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3.xml" ContentType="application/vnd.openxmlformats-officedocument.wordprocessingml.footer+xml"/>
  <Override PartName="/word/header22.xml" ContentType="application/vnd.openxmlformats-officedocument.wordprocessingml.header+xml"/>
  <Override PartName="/word/footer24.xml" ContentType="application/vnd.openxmlformats-officedocument.wordprocessingml.footer+xml"/>
  <Override PartName="/word/header23.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9.xml" ContentType="application/vnd.openxmlformats-officedocument.wordprocessingml.footer+xml"/>
  <Override PartName="/word/header28.xml" ContentType="application/vnd.openxmlformats-officedocument.wordprocessingml.header+xml"/>
  <Override PartName="/word/footer30.xml" ContentType="application/vnd.openxmlformats-officedocument.wordprocessingml.footer+xml"/>
  <Override PartName="/word/header29.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3.xml" ContentType="application/vnd.openxmlformats-officedocument.wordprocessingml.footer+xml"/>
  <Override PartName="/word/header32.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4.xml" ContentType="application/vnd.openxmlformats-officedocument.wordprocessingml.footer+xml"/>
  <Override PartName="/word/header43.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54.xml" ContentType="application/vnd.openxmlformats-officedocument.wordprocessingml.header+xml"/>
  <Override PartName="/word/footer55.xml" ContentType="application/vnd.openxmlformats-officedocument.wordprocessingml.footer+xml"/>
  <Override PartName="/word/header55.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oter77.xml" ContentType="application/vnd.openxmlformats-officedocument.wordprocessingml.footer+xml"/>
  <Override PartName="/word/header79.xml" ContentType="application/vnd.openxmlformats-officedocument.wordprocessingml.header+xml"/>
  <Override PartName="/word/footer78.xml" ContentType="application/vnd.openxmlformats-officedocument.wordprocessingml.footer+xml"/>
  <Override PartName="/word/footer79.xml" ContentType="application/vnd.openxmlformats-officedocument.wordprocessingml.footer+xml"/>
  <Override PartName="/word/header80.xml" ContentType="application/vnd.openxmlformats-officedocument.wordprocessingml.header+xml"/>
  <Override PartName="/word/header81.xml" ContentType="application/vnd.openxmlformats-officedocument.wordprocessingml.header+xml"/>
  <Override PartName="/word/footer80.xml" ContentType="application/vnd.openxmlformats-officedocument.wordprocessingml.foot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4.xml" ContentType="application/vnd.openxmlformats-officedocument.wordprocessingml.footer+xml"/>
  <Override PartName="/word/header87.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footer87.xml" ContentType="application/vnd.openxmlformats-officedocument.wordprocessingml.footer+xml"/>
  <Override PartName="/word/footer88.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footer91.xml" ContentType="application/vnd.openxmlformats-officedocument.wordprocessingml.footer+xml"/>
  <Override PartName="/word/header95.xml" ContentType="application/vnd.openxmlformats-officedocument.wordprocessingml.header+xml"/>
  <Override PartName="/word/footer92.xml" ContentType="application/vnd.openxmlformats-officedocument.wordprocessingml.footer+xml"/>
  <Override PartName="/word/footer93.xml" ContentType="application/vnd.openxmlformats-officedocument.wordprocessingml.footer+xml"/>
  <Override PartName="/word/header96.xml" ContentType="application/vnd.openxmlformats-officedocument.wordprocessingml.header+xml"/>
  <Override PartName="/word/header97.xml" ContentType="application/vnd.openxmlformats-officedocument.wordprocessingml.header+xml"/>
  <Override PartName="/word/footer94.xml" ContentType="application/vnd.openxmlformats-officedocument.wordprocessingml.footer+xml"/>
  <Override PartName="/word/header98.xml" ContentType="application/vnd.openxmlformats-officedocument.wordprocessingml.header+xml"/>
  <Override PartName="/word/footer95.xml" ContentType="application/vnd.openxmlformats-officedocument.wordprocessingml.footer+xml"/>
  <Override PartName="/word/footer96.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99.xml" ContentType="application/vnd.openxmlformats-officedocument.wordprocessingml.footer+xml"/>
  <Override PartName="/word/header103.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footer102.xml" ContentType="application/vnd.openxmlformats-officedocument.wordprocessingml.footer+xml"/>
  <Override PartName="/word/footer103.xml" ContentType="application/vnd.openxmlformats-officedocument.wordprocessingml.footer+xml"/>
  <Override PartName="/word/header107.xml" ContentType="application/vnd.openxmlformats-officedocument.wordprocessingml.header+xml"/>
  <Override PartName="/word/header108.xml" ContentType="application/vnd.openxmlformats-officedocument.wordprocessingml.header+xml"/>
  <Override PartName="/word/footer104.xml" ContentType="application/vnd.openxmlformats-officedocument.wordprocessingml.footer+xml"/>
  <Override PartName="/word/header109.xml" ContentType="application/vnd.openxmlformats-officedocument.wordprocessingml.header+xml"/>
  <Override PartName="/word/footer105.xml" ContentType="application/vnd.openxmlformats-officedocument.wordprocessingml.footer+xml"/>
  <Override PartName="/word/footer106.xml" ContentType="application/vnd.openxmlformats-officedocument.wordprocessingml.foot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footer107.xml" ContentType="application/vnd.openxmlformats-officedocument.wordprocessingml.footer+xml"/>
  <Override PartName="/word/footer108.xml" ContentType="application/vnd.openxmlformats-officedocument.wordprocessingml.footer+xml"/>
  <Override PartName="/word/header114.xml" ContentType="application/vnd.openxmlformats-officedocument.wordprocessingml.header+xml"/>
  <Override PartName="/word/header115.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6.xml" ContentType="application/vnd.openxmlformats-officedocument.wordprocessingml.header+xml"/>
  <Override PartName="/word/footer111.xml" ContentType="application/vnd.openxmlformats-officedocument.wordprocessingml.footer+xml"/>
  <Override PartName="/word/footer112.xml" ContentType="application/vnd.openxmlformats-officedocument.wordprocessingml.footer+xml"/>
  <Override PartName="/word/header117.xml" ContentType="application/vnd.openxmlformats-officedocument.wordprocessingml.header+xml"/>
  <Override PartName="/word/header118.xml" ContentType="application/vnd.openxmlformats-officedocument.wordprocessingml.header+xml"/>
  <Override PartName="/word/footer113.xml" ContentType="application/vnd.openxmlformats-officedocument.wordprocessingml.footer+xml"/>
  <Override PartName="/word/footer114.xml" ContentType="application/vnd.openxmlformats-officedocument.wordprocessingml.footer+xml"/>
  <Override PartName="/word/header119.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120.xml" ContentType="application/vnd.openxmlformats-officedocument.wordprocessingml.header+xml"/>
  <Override PartName="/word/header121.xml" ContentType="application/vnd.openxmlformats-officedocument.wordprocessingml.header+xml"/>
  <Override PartName="/word/footer117.xml" ContentType="application/vnd.openxmlformats-officedocument.wordprocessingml.footer+xml"/>
  <Override PartName="/word/footer118.xml" ContentType="application/vnd.openxmlformats-officedocument.wordprocessingml.footer+xml"/>
  <Override PartName="/word/header122.xml" ContentType="application/vnd.openxmlformats-officedocument.wordprocessingml.header+xml"/>
  <Override PartName="/word/header123.xml" ContentType="application/vnd.openxmlformats-officedocument.wordprocessingml.header+xml"/>
  <Override PartName="/word/footer119.xml" ContentType="application/vnd.openxmlformats-officedocument.wordprocessingml.footer+xml"/>
  <Override PartName="/word/footer120.xml" ContentType="application/vnd.openxmlformats-officedocument.wordprocessingml.footer+xml"/>
  <Override PartName="/word/header124.xml" ContentType="application/vnd.openxmlformats-officedocument.wordprocessingml.header+xml"/>
  <Override PartName="/word/footer121.xml" ContentType="application/vnd.openxmlformats-officedocument.wordprocessingml.footer+xml"/>
  <Override PartName="/word/header125.xml" ContentType="application/vnd.openxmlformats-officedocument.wordprocessingml.header+xml"/>
  <Override PartName="/word/footer122.xml" ContentType="application/vnd.openxmlformats-officedocument.wordprocessingml.footer+xml"/>
  <Override PartName="/word/footer123.xml" ContentType="application/vnd.openxmlformats-officedocument.wordprocessingml.footer+xml"/>
  <Override PartName="/word/header126.xml" ContentType="application/vnd.openxmlformats-officedocument.wordprocessingml.header+xml"/>
  <Override PartName="/word/header127.xml" ContentType="application/vnd.openxmlformats-officedocument.wordprocessingml.header+xml"/>
  <Override PartName="/word/footer124.xml" ContentType="application/vnd.openxmlformats-officedocument.wordprocessingml.footer+xml"/>
  <Override PartName="/word/footer125.xml" ContentType="application/vnd.openxmlformats-officedocument.wordprocessingml.footer+xml"/>
  <Override PartName="/word/header128.xml" ContentType="application/vnd.openxmlformats-officedocument.wordprocessingml.header+xml"/>
  <Override PartName="/word/header129.xml" ContentType="application/vnd.openxmlformats-officedocument.wordprocessingml.header+xml"/>
  <Override PartName="/word/header130.xml" ContentType="application/vnd.openxmlformats-officedocument.wordprocessingml.header+xml"/>
  <Override PartName="/word/footer126.xml" ContentType="application/vnd.openxmlformats-officedocument.wordprocessingml.footer+xml"/>
  <Override PartName="/word/header131.xml" ContentType="application/vnd.openxmlformats-officedocument.wordprocessingml.header+xml"/>
  <Override PartName="/word/footer127.xml" ContentType="application/vnd.openxmlformats-officedocument.wordprocessingml.footer+xml"/>
  <Override PartName="/word/header132.xml" ContentType="application/vnd.openxmlformats-officedocument.wordprocessingml.header+xml"/>
  <Override PartName="/word/footer128.xml" ContentType="application/vnd.openxmlformats-officedocument.wordprocessingml.footer+xml"/>
  <Override PartName="/word/header133.xml" ContentType="application/vnd.openxmlformats-officedocument.wordprocessingml.header+xml"/>
  <Override PartName="/word/footer12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21E38B" w14:textId="77777777" w:rsidR="0055291C" w:rsidRDefault="00000000">
      <w:pPr>
        <w:pStyle w:val="a3"/>
        <w:spacing w:before="1"/>
        <w:rPr>
          <w:rFonts w:ascii="Times New Roman"/>
          <w:sz w:val="9"/>
        </w:rPr>
      </w:pPr>
      <w:r>
        <w:pict w14:anchorId="210FE255">
          <v:group id="docshapegroup1" o:spid="_x0000_s3725" style="position:absolute;margin-left:0;margin-top:118.15pt;width:612pt;height:673.85pt;z-index:-251611648;mso-position-horizontal-relative:page;mso-position-vertical-relative:page" coordorigin=",2363" coordsize="12240,13477">
            <v:shape id="docshape2" o:spid="_x0000_s3789" style="position:absolute;top:8005;width:7927;height:7835" coordorigin=",8005" coordsize="7927,7835" path="m441,8005r-148,2l146,8012,,8020r,7820l7916,15840r2,-32l7921,15733r3,-74l7925,15584r1,-74l7926,15436r,-74l7924,15288r-2,-74l7919,15140r-3,-73l7912,14993r-5,-73l7901,14847r-6,-73l7888,14701r-8,-72l7871,14557r-9,-73l7852,14412r-10,-72l7830,14269r-12,-72l7806,14126r-14,-71l7778,13984r-14,-71l7748,13843r-16,-70l7716,13703r-18,-70l7680,13563r-18,-69l7643,13425r-20,-69l7602,13288r-21,-69l7559,13151r-23,-68l7513,13016r-24,-68l7465,12881r-25,-66l7414,12748r-26,-66l7361,12616r-27,-66l7306,12485r-29,-65l7248,12355r-30,-64l7187,12227r-31,-64l7124,12100r-32,-63l7059,11974r-33,-63l6992,11849r-35,-62l6922,11726r-36,-61l6850,11604r-37,-60l6775,11484r-38,-60l6699,11365r-39,-59l6620,11247r-40,-58l6539,11131r-41,-57l6456,11017r-43,-57l6370,10904r-43,-56l6283,10793r-44,-55l6194,10683r-46,-54l6102,10576r-47,-54l6008,10469r-47,-52l5913,10365r-49,-51l5815,10263r-49,-51l5716,10162r-51,-50l5614,10063r-51,-49l5511,9966r-53,-48l5405,9871r-53,-47l5298,9778r-54,-46l5189,9687r-55,-45l5078,9598r-56,-44l4966,9510r-57,-42l4851,9425r-58,-41l4735,9343r-59,-41l4617,9262r-59,-40l4498,9183r-61,-38l4376,9107r-61,-37l4254,9033r-63,-36l4129,8961r-63,-35l4003,8892r-64,-34l3875,8825r-64,-33l3746,8760r-65,-32l3615,8698r-66,-31l3483,8638r-67,-29l3349,8580r-67,-27l3214,8525r-68,-26l3077,8473r-69,-25l2939,8423r-69,-24l2800,8376r-70,-22l2659,8332r-71,-22l2517,8290r-72,-20l2373,8251r-72,-19l2229,8214r-73,-17l2083,8181r-74,-16l1935,8150r-74,-15l1787,8122r-75,-13l1637,8097r-75,-12l1487,8075r-75,-10l1336,8055r-75,-8l1186,8039r-75,-6l1036,8027r-74,-6l887,8017r-75,-4l738,8010r-149,-4l441,8005xe" fillcolor="#545456" stroked="f">
              <v:fill opacity="6553f"/>
              <v:path arrowok="t"/>
            </v:shape>
            <v:shape id="docshape3" o:spid="_x0000_s3788" style="position:absolute;top:8932;width:7053;height:6908" coordorigin=",8933" coordsize="7053,6908" path="m492,8933r-72,l349,8934r-71,2l206,8939r-71,3l64,8946,,8951r,6889l7044,15840r2,-44l7049,15724r2,-71l7052,15581r1,-71l7052,15438r-1,-71l7049,15296r-2,-72l7043,15153r-4,-71l7034,15011r-6,-70l7022,14870r-7,-71l7006,14729r-8,-71l6988,14588r-10,-70l6967,14448r-12,-70l6942,14309r-13,-70l6915,14170r-15,-69l6885,14032r-16,-69l6852,13895r-18,-69l6816,13758r-19,-68l6777,13623r-21,-68l6735,13488r-22,-67l6690,13354r-23,-66l6643,13221r-25,-66l6592,13090r-26,-66l6539,12959r-28,-65l6483,12829r-29,-64l6424,12701r-30,-64l6363,12574r-32,-63l6299,12448r-34,-62l6232,12324r-35,-62l6162,12201r-36,-61l6090,12079r-37,-60l6015,11959r-39,-59l5937,11841r-40,-59l5857,11724r-41,-58l5774,11608r-42,-57l5689,11495r-44,-57l5601,11383r-45,-56l5510,11273r-46,-55l5417,11164r-47,-53l5322,11058r-49,-53l5224,10953r-50,-51l5123,10851r-51,-51l5020,10750r-52,-49l4915,10652r-54,-48l4807,10556r-55,-48l4697,10462r-56,-47l4584,10370r-57,-45l4469,10280r-58,-44l4352,10193r-59,-43l4232,10108r-60,-42l4111,10025r-62,-40l3986,9945r-63,-39l3860,9868r-64,-38l3731,9793r-65,-37l3600,9720r-66,-35l3467,9651r-67,-34l3332,9584r-69,-33l3194,9520r-69,-31l3055,9458r-70,-29l2916,9401r-70,-28l2775,9347r-70,-26l2635,9296r-71,-24l2493,9249r-70,-23l2352,9205r-71,-21l2210,9164r-72,-19l2067,9127r-71,-18l1924,9093r-71,-16l1782,9062r-72,-14l1638,9035r-71,-13l1495,9011r-72,-11l1352,8990r-72,-9l1208,8972r-72,-7l1065,8958r-72,-6l921,8947r-71,-4l778,8939r-72,-3l635,8934r-72,-1l492,8933xe" fillcolor="#545456" stroked="f">
              <v:fill opacity="13107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4" o:spid="_x0000_s3787" type="#_x0000_t75" style="position:absolute;left:5605;top:9232;width:126;height:126">
              <v:imagedata r:id="rId8" o:title=""/>
            </v:shape>
            <v:shape id="docshape5" o:spid="_x0000_s3786" style="position:absolute;left:5162;top:9293;width:523;height:547" coordorigin="5162,9293" coordsize="523,547" o:spt="100" adj="0,,0" path="m5518,9591r-116,l5400,9597r-15,20l5282,9740r-11,14l5264,9767r,9l5268,9782r2,2l5328,9837r6,3l5343,9829r7,-16l5350,9797r-3,-12l5345,9780r163,-178l5509,9600r9,-9xm5190,9661r-8,3l5174,9673r-12,13l5168,9691r55,51l5231,9750r6,3l5243,9749r11,-11l5323,9667r-103,l5201,9662r-11,-1xm5676,9473r-283,l5220,9667r103,l5378,9611r18,-17l5402,9591r116,l5521,9589r68,l5643,9529r29,-42l5676,9473xm5589,9589r-68,l5508,9602r-3,6l5509,9616r11,11l5535,9634r14,-4l5559,9622r3,-4l5589,9589xm5521,9589r-12,11l5508,9602r13,-13xm5548,9293r-31,2l5481,9311r-39,32l5360,9435r-15,14l5340,9458r3,8l5355,9477r14,7l5382,9482r8,-6l5393,9473r283,l5684,9448r,-31l5673,9397r-10,-9l5596,9388r-12,l5581,9374r5,-17l5593,9340r2,-9l5587,9321r-4,-6l5569,9302r-21,-9xm5635,9369r-8,3l5612,9381r-16,7l5663,9388r-1,-1l5653,9381r-8,-6l5635,9369xe" fillcolor="#545456" stroked="f">
              <v:stroke joinstyle="round"/>
              <v:formulas/>
              <v:path arrowok="t" o:connecttype="segments"/>
            </v:shape>
            <v:shape id="docshape6" o:spid="_x0000_s3785" type="#_x0000_t75" style="position:absolute;left:5503;top:9345;width:119;height:131">
              <v:imagedata r:id="rId9" o:title=""/>
            </v:shape>
            <v:shape id="docshape7" o:spid="_x0000_s3784" type="#_x0000_t75" style="position:absolute;left:5247;top:8935;width:125;height:125">
              <v:imagedata r:id="rId10" o:title=""/>
            </v:shape>
            <v:shape id="docshape8" o:spid="_x0000_s3783" style="position:absolute;left:2653;top:9018;width:2659;height:1436" coordorigin="2654,9019" coordsize="2659,1436" o:spt="100" adj="0,,0" path="m3628,9983r-2,-18l3618,9950r-14,-11l2931,9610r-17,-4l2897,9609r-16,9l2869,9633r-206,373l2656,10026r-2,24l2658,10071r12,14l2959,10226r-64,131l2890,10375r2,17l2900,10407r13,11l2979,10450r16,4l3012,10451r15,-10l3038,10426r64,-130l3391,10437r18,1l3428,10428r18,-17l3457,10393r167,-392l3628,9983xm5312,9121r-7,-21l5301,9094r-5,-9l5278,9073r-10,-1l5243,9052r-1,-10l5227,9028r-11,-4l5211,9022r-21,-3l5185,9020r,286l5184,9306r,1l5184,9306r1,l5185,9020r-23,5l5128,9041r-42,28l5049,9098r-19,15l5030,9178r,1l5028,9182r2,-2l5030,9178r,-65l5020,9121r-18,15l4995,9141r-13,15l4977,9166r3,8l4992,9184r12,10l5015,9191r7,-5l4907,9283r,11l4956,9335r-19,24l4919,9381r-14,16l4896,9408r-10,1l4872,9405r-15,-2l4845,9408r-11,14l4839,9426r41,34l4888,9468r6,2l4900,9466r10,-11l4952,9409r40,-44l5007,9378r-74,96l4927,9488r1,9l4932,9503r2,2l4977,9540r6,3l4991,9532r4,-15l4989,9502r-5,-14l4987,9474r55,-68l5087,9444r12,-2l5121,9406r27,-41l5179,9315r-4,8l5174,9334r12,11l5201,9351r14,-5l5224,9338r4,-4l5238,9315r3,-5l5242,9307r1,-1l5250,9292r12,-22l5280,9233r21,-46l5301,9186r1,-4l5303,9178r8,-28l5312,9121xe" fillcolor="#545456" stroked="f">
              <v:stroke joinstyle="round"/>
              <v:formulas/>
              <v:path arrowok="t" o:connecttype="segments"/>
            </v:shape>
            <v:shape id="docshape9" o:spid="_x0000_s3782" style="position:absolute;left:2723;top:9665;width:845;height:689" coordorigin="2724,9665" coordsize="845,689" path="m2931,9665r-203,325l2724,10003r,13l2730,10027r10,8l3387,10351r12,3l3411,10351r11,-7l3430,10332r135,-321l3569,9997r-2,-13l3560,9972r-10,-8l2944,9668r-13,-3xe" stroked="f">
              <v:path arrowok="t"/>
            </v:shape>
            <v:shape id="docshape10" o:spid="_x0000_s3781" style="position:absolute;left:2744;top:9683;width:805;height:647" coordorigin="2745,9684" coordsize="805,647" o:spt="100" adj="0,,0" path="m3032,9958r-4,-14l2837,9850r-14,5l2745,10000r3,14l2943,10109r14,-5l2963,10092r69,-134xm3125,9789r-4,-13l2933,9684r-14,5l2845,9826r3,14l3037,9932r13,-5l3057,9915r68,-126xm3252,10065r-4,-14l3059,9959r-13,5l2970,10111r4,13l3170,10220r13,-6l3188,10202r64,-137xm3331,9890r-4,-14l3152,9791r-14,5l3067,9935r4,14l3252,10037r14,-5l3271,10020r60,-130xm3475,10173r-5,-14l3278,10066r-13,5l3196,10221r4,14l3396,10330r13,-6l3414,10312r61,-139xm3549,9996r-4,-14l3357,9890r-13,6l3281,10039r5,14l3474,10145r13,-5l3492,10128r57,-132xe" fillcolor="#00aca1" stroked="f">
              <v:stroke joinstyle="round"/>
              <v:formulas/>
              <v:path arrowok="t" o:connecttype="segments"/>
            </v:shape>
            <v:shape id="docshape11" o:spid="_x0000_s3780" style="position:absolute;left:5701;top:12683;width:647;height:1290" coordorigin="5702,12684" coordsize="647,1290" path="m5874,12684r-104,38l5735,12743r-24,32l5702,12814r6,41l6076,13867r37,51l6277,13959r39,10l6335,13973r10,-4l6348,13961r-1,-9l5888,12690r-14,-6xe" fillcolor="#545456" stroked="f">
              <v:path arrowok="t"/>
            </v:shape>
            <v:shape id="docshape12" o:spid="_x0000_s3779" type="#_x0000_t75" style="position:absolute;left:6013;top:12770;width:266;height:416">
              <v:imagedata r:id="rId11" o:title=""/>
            </v:shape>
            <v:shape id="docshape13" o:spid="_x0000_s3778" style="position:absolute;left:5926;top:12734;width:248;height:575" coordorigin="5926,12734" coordsize="248,575" path="m5966,12734r-36,14l5926,12755r200,550l6134,13308r6,-2l6170,13295r3,-7l5973,12738r-7,-4xe" fillcolor="#545456" stroked="f">
              <v:path arrowok="t"/>
            </v:shape>
            <v:shape id="docshape14" o:spid="_x0000_s3777" style="position:absolute;left:5298;top:12512;width:984;height:1859" coordorigin="5298,12512" coordsize="984,1859" o:spt="100" adj="0,,0" path="m6072,14330r-21,-19l6033,14290r-15,-23l6007,14242r-8,-28l5996,14187r,-28l6001,14131r-22,-19l5961,14091r-15,-24l5934,14042r-7,-28l5923,13987r,-28l5928,13931r-22,-19l5888,13891r-15,-23l5862,13842r-6,-19l5852,13802r-2,-22l5851,13757r1,-4l5831,13734r-18,-21l5798,13690r-12,-26l5778,13637r-3,-28l5775,13581r4,-28l5758,13535r-18,-22l5725,13490r-12,-26l5705,13437r-3,-28l5702,13381r5,-28l5685,13335r-18,-22l5652,13290r-12,-26l5634,13244r-4,-22l5629,13199r1,-24l5614,13159r-13,-17l5591,13125r-8,-19l5575,13079r-4,-28l5572,13023r4,-28l5555,12977r-18,-21l5522,12932r-12,-26l5502,12879r-3,-28l5499,12823r5,-28l5482,12777r-18,-21l5449,12732r-12,-26l5429,12678r-4,-30l5424,12618r4,-29l5298,12628r239,581l5960,14371r112,-41xm6176,14292r-20,-19l6138,14252r-15,-23l6111,14204r-7,-28l6100,14149r,-28l6105,14093r-21,-19l6065,14053r-15,-23l6039,14004r-8,-27l6027,13949r1,-28l6032,13893r-21,-19l5992,13853r-15,-23l5966,13804r-6,-19l5956,13764r-2,-22l5955,13719r1,-4l5935,13697r-18,-22l5902,13652r-12,-26l5883,13599r-4,-28l5879,13543r5,-28l5862,13497r-18,-22l5829,13452r-11,-26l5810,13399r-4,-28l5806,13343r5,-28l5790,13297r-19,-22l5756,13252r-11,-26l5739,13206r-4,-22l5733,13161r2,-24l5718,13120r-14,-19l5693,13081r-8,-19l5677,13034r-3,-27l5674,12979r4,-28l5657,12932r-18,-21l5624,12888r-12,-26l5604,12835r-3,-28l5601,12779r5,-28l5584,12732r-18,-21l5551,12688r-12,-26l5532,12635r-4,-28l5528,12579r5,-28l5462,12577r-4,19l5454,12619r,24l5457,12667r6,22l5473,12711r13,20l5501,12749r18,16l5535,12777r-4,19l5527,12819r,24l5530,12866r6,23l5546,12911r13,20l5574,12949r18,16l5608,12976r-5,20l5600,13019r-1,24l5602,13066r7,23l5617,13109r12,20l5644,13148r18,18l5659,13190r1,23l5663,13234r6,20l5678,13275r13,20l5707,13313r18,16l5741,13341r-5,19l5732,13384r,23l5735,13431r7,23l5751,13475r13,20l5779,13513r18,16l5813,13541r-4,19l5805,13583r,24l5808,13631r6,23l5824,13675r13,20l5852,13713r18,16l5886,13741r-4,25l5882,13789r2,22l5890,13831r10,22l5912,13873r16,18l5946,13907r16,12l5957,13938r-4,23l5953,13985r3,23l5963,14031r9,22l5985,14073r16,18l6019,14107r15,11l6030,14138r-4,23l6026,14185r3,23l6035,14231r10,22l6058,14273r15,18l6091,14307r15,10l6176,14292xm6282,14253r-21,-18l6243,14214r-15,-23l6217,14165r-8,-27l6206,14110r,-28l6210,14054r-21,-18l6171,14015r-15,-24l6144,13965r-8,-27l6133,13910r,-28l6138,13854r-22,-18l6098,13815r-15,-24l6071,13765r-6,-20l6061,13724r-1,-22l6061,13681r,-1l6062,13678r,-1l6041,13658r-19,-21l6007,13613r-11,-26l5988,13560r-4,-27l5985,13505r4,-28l5968,13458r-18,-21l5935,13413r-12,-25l5915,13360r-3,-27l5912,13305r4,-28l5895,13258r-18,-21l5862,13213r-12,-25l5844,13166r-4,-23l5839,13121r1,-23l5840,13098r,l5824,13082r-13,-18l5799,13044r-9,-21l5783,12996r-4,-28l5779,12940r5,-28l5763,12894r-19,-21l5729,12849r-11,-26l5710,12796r-4,-28l5707,12740r4,-28l5690,12694r-19,-21l5656,12649r-11,-26l5637,12596r-3,-28l5635,12540r5,-28l5568,12538r-6,20l5558,12581r,24l5561,12629r7,22l5577,12673r13,20l5606,12711r18,16l5639,12739r-4,19l5631,12781r,24l5634,12828r6,23l5650,12873r13,20l5678,12911r18,16l5712,12938r-4,20l5704,12981r,24l5707,13028r6,23l5722,13071r12,19l5749,13108r18,18l5764,13151r,23l5767,13195r6,21l5783,13237r13,20l5811,13275r18,16l5845,13303r-5,19l5837,13346r-1,23l5839,13393r7,23l5856,13437r12,20l5884,13475r18,16l5918,13503r-5,19l5909,13546r,23l5912,13593r7,23l5928,13637r13,20l5957,13675r18,16l5990,13703r-3,25l5986,13751r3,22l5994,13793r10,22l6017,13835r15,18l6050,13869r16,12l6061,13900r-3,23l6057,13947r4,23l6067,13993r10,22l6089,14035r16,18l6123,14069r16,11l6134,14100r-3,23l6130,14147r3,23l6140,14193r10,22l6162,14235r16,18l6196,14269r15,11l6271,14258r11,-5xe" fillcolor="#00aca1" stroked="f">
              <v:stroke joinstyle="round"/>
              <v:formulas/>
              <v:path arrowok="t" o:connecttype="segments"/>
            </v:shape>
            <v:shape id="docshape15" o:spid="_x0000_s3776" type="#_x0000_t75" style="position:absolute;left:7790;top:13998;width:118;height:118">
              <v:imagedata r:id="rId12" o:title=""/>
            </v:shape>
            <v:shape id="docshape16" o:spid="_x0000_s3775" type="#_x0000_t75" style="position:absolute;left:7830;top:14224;width:118;height:118">
              <v:imagedata r:id="rId13" o:title=""/>
            </v:shape>
            <v:shape id="docshape17" o:spid="_x0000_s3774" style="position:absolute;left:7871;top:13836;width:630;height:589" coordorigin="7871,13836" coordsize="630,589" o:spt="100" adj="0,,0" path="m8050,14359r-2,-7l7972,13920r-6,-5l7876,13931r-5,7l7880,13989r15,9l7906,14011r9,15l7920,14043r1,19l7918,14079r-6,16l7902,14108r18,107l7935,14225r11,12l7955,14253r5,17l7961,14288r-3,17l7952,14321r-11,14l7949,14377r6,5l8046,14366r4,-7xm8057,13863r-2,-10l8053,13843r-9,-7l7935,13856r-7,9l7932,13885r9,7l8050,13873r7,-10xm8151,14396r-2,-10l8147,14376r-9,-7l8029,14388r-7,10l8026,14418r9,7l8144,14406r7,-10xm8501,14092r-1,-21l8492,14047r-13,-20l8461,14011r-21,-11l8441,13989r1,-11l8442,13967r-2,-12l8423,13911r-33,-34l8347,13858r-48,-2l8295,13857r78,445l8374,14309r15,-5l8403,14296r12,-10l8425,14273r5,-7l8434,14258r3,-9l8441,14249r23,-9l8480,14224r10,-22l8491,14178r-2,-11l8483,14157r-7,-8l8489,14132r8,-19l8501,14092xe" fillcolor="#545456" stroked="f">
              <v:stroke joinstyle="round"/>
              <v:formulas/>
              <v:path arrowok="t" o:connecttype="segments"/>
            </v:shape>
            <v:shape id="docshape18" o:spid="_x0000_s3773" style="position:absolute;left:6328;top:12052;width:2046;height:2323" coordorigin="6328,12052" coordsize="2046,2323" o:spt="100" adj="0,,0" path="m6759,12253r-115,-198l6635,12052r-7,5l6345,12243r-8,4l6332,12252r-4,5l6426,12426r6,-1l6439,12423r8,-5l6749,12267r7,-5l6759,12253xm8374,14309r-1,-4l8303,13904r-8,-47l8288,13842r-11,-11l8263,13824r-14,-1l8018,13904r-1,-6l8016,13892r,-2l7980,13896r,2l7980,13896r,l8061,14358r3,14l8064,14375r36,-6l8100,14367r-3,-14l8342,14351r12,-5l8364,14337r7,-13l8374,14309xe" fillcolor="#00aca1" stroked="f">
              <v:stroke joinstyle="round"/>
              <v:formulas/>
              <v:path arrowok="t" o:connecttype="segments"/>
            </v:shape>
            <v:shape id="docshape19" o:spid="_x0000_s3772" type="#_x0000_t75" style="position:absolute;left:6233;top:12276;width:168;height:193">
              <v:imagedata r:id="rId14" o:title=""/>
            </v:shape>
            <v:shape id="docshape20" o:spid="_x0000_s3771" style="position:absolute;left:6078;top:11907;width:416;height:346" coordorigin="6078,11908" coordsize="416,346" path="m6390,11908r-27,3l6337,11922r-256,148l6078,12079r99,172l6187,12253r256,-148l6465,12088r16,-21l6491,12042r3,-26l6440,11922r-24,-10l6390,11908xe" fillcolor="#00aca1" stroked="f">
              <v:path arrowok="t"/>
            </v:shape>
            <v:shape id="docshape21" o:spid="_x0000_s3770" type="#_x0000_t75" style="position:absolute;left:6460;top:11880;width:118;height:123">
              <v:imagedata r:id="rId15" o:title=""/>
            </v:shape>
            <v:shape id="docshape22" o:spid="_x0000_s3769" style="position:absolute;top:10062;width:5861;height:5778" coordorigin=",10063" coordsize="5861,5778" path="m616,10063l,10110r,5730l5833,15840r2,-21l5842,15745r5,-74l5852,15597r4,-73l5858,15452r2,-72l5860,15309r-1,-128l5855,15055r-8,-124l5837,14810r-13,-117l5809,14579r-17,-111l5774,14361r-20,-103l5733,14159r-22,-94l5688,13974r-23,-85l5643,13809r-23,-76l5598,13663r-22,-64l5556,13540r-36,-99l5490,13367r-25,-60l5463,13302r,l5429,13220r-35,-80l5357,13062r-37,-77l5282,12909r-39,-74l5203,12761r-41,-72l5120,12619r-42,-70l5035,12481r-44,-67l4946,12348r-45,-65l4856,12220r-47,-62l4763,12097r-48,-60l4668,11978r-48,-57l4571,11864r-48,-55l4474,11755r-50,-53l4375,11650r-50,-51l3722,11082r-547,-354l2777,10526r-153,-65l2542,10428r-81,-31l2380,10367r-81,-28l2219,10312r-81,-25l2058,10264r-80,-22l1899,10221r-79,-19l1741,10184r-78,-16l1585,10153r-78,-14l1430,10126r-77,-11l1277,10105r-76,-9l1126,10088r-74,-7l977,10076r-73,-5l831,10068r-72,-3l687,10063r-71,xe" stroked="f">
              <v:path arrowok="t"/>
            </v:shape>
            <v:shape id="docshape23" o:spid="_x0000_s3768" type="#_x0000_t75" style="position:absolute;top:9888;width:6035;height:5952">
              <v:imagedata r:id="rId16" o:title=""/>
            </v:shape>
            <v:shape id="docshape24" o:spid="_x0000_s3767" style="position:absolute;top:14478;width:12240;height:1362" coordorigin=",14478" coordsize="12240,1362" path="m12240,14579r-11498,l,14478r,101l,15840r10080,l12240,15840r,-1261xe" stroked="f">
              <v:path arrowok="t"/>
            </v:shape>
            <v:shape id="docshape25" o:spid="_x0000_s3766" type="#_x0000_t75" style="position:absolute;left:4338;top:14860;width:2078;height:691">
              <v:imagedata r:id="rId17" o:title=""/>
            </v:shape>
            <v:shape id="docshape26" o:spid="_x0000_s3765" type="#_x0000_t75" style="position:absolute;left:1087;top:14860;width:1981;height:691">
              <v:imagedata r:id="rId18" o:title=""/>
            </v:shape>
            <v:shape id="docshape27" o:spid="_x0000_s3764" style="position:absolute;left:7288;top:12247;width:492;height:654" coordorigin="7289,12248" coordsize="492,654" o:spt="100" adj="0,,0" path="m7543,12248r-19,11l7524,12259r-191,103l7309,12382r-15,27l7289,12439r5,30l7448,12849r17,26l7489,12893r30,8l7550,12899r220,-62l7770,12837r10,-3l7776,12824r-246,l7519,12819r-10,-25l7514,12785r159,-44l7742,12741r,-1l7496,12740r-11,-5l7475,12710r5,-10l7613,12655r-152,l7451,12651r-10,-25l7445,12616r110,-45l7428,12571r-11,-4l7407,12543r5,-11l7507,12487r-114,l7383,12483r-10,-25l7377,12447r145,-78l7592,12369r-49,-121xm7742,12741r-69,l7683,12746r10,25l7689,12780r-159,44l7776,12824r-34,-83xm7705,12648r-70,l7645,12652r10,25l7651,12687r-155,53l7742,12740r-37,-92xm7667,12554r-70,l7607,12559r11,24l7613,12594r-152,61l7613,12655r22,-7l7705,12648r-38,-94xm7629,12462r-69,l7570,12466r10,25l7576,12501r-148,70l7555,12571r42,-17l7667,12554r-38,-92xm7592,12369r-70,l7532,12372r10,25l7538,12408r-145,79l7507,12487r53,-25l7629,12462r-37,-93xe" fillcolor="#535456" stroked="f">
              <v:stroke joinstyle="round"/>
              <v:formulas/>
              <v:path arrowok="t" o:connecttype="segments"/>
            </v:shape>
            <v:shape id="docshape28" o:spid="_x0000_s3763" type="#_x0000_t75" style="position:absolute;left:7669;top:12398;width:310;height:169">
              <v:imagedata r:id="rId19" o:title=""/>
            </v:shape>
            <v:shape id="docshape29" o:spid="_x0000_s3762" style="position:absolute;left:7541;top:12202;width:319;height:644" coordorigin="7541,12203" coordsize="319,644" path="m7600,12203r-57,31l7541,12244r2,10l7776,12830r5,9l7790,12844r9,2l7809,12844r35,-11l7852,12827r6,-8l7860,12810r-2,-10l7623,12219r-6,-9l7609,12205r-9,-2xe" fillcolor="#00aca1" stroked="f">
              <v:path arrowok="t"/>
            </v:shape>
            <v:shape id="docshape30" o:spid="_x0000_s3761" style="position:absolute;left:7693;top:12507;width:40;height:40" coordorigin="7694,12507" coordsize="40,40" path="m7719,12507r-11,l7694,12522r,11l7708,12547r11,l7733,12532r,-11l7726,12514r-7,-7xe" fillcolor="#535456" stroked="f">
              <v:path arrowok="t"/>
            </v:shape>
            <v:shape id="docshape31" o:spid="_x0000_s3760" type="#_x0000_t75" style="position:absolute;left:1080;top:8306;width:534;height:708">
              <v:imagedata r:id="rId20" o:title=""/>
            </v:shape>
            <v:shape id="docshape32" o:spid="_x0000_s3759" style="position:absolute;left:4290;top:10958;width:1182;height:921" coordorigin="4291,10958" coordsize="1182,921" o:spt="100" adj="0,,0" path="m4639,10978r-21,3l4600,10992r-292,273l4295,11282r-4,20l4294,11323r11,18l4790,11861r18,13l4828,11879r20,-4l4866,11864r501,-466l5071,11398r-16,-112l4949,11286r-18,-133l4825,11153r-18,-133l4700,11020r-24,-25l4659,10983r-20,-5xm5369,11166r-21,4l5330,11181r-218,203l5103,11391r-10,4l5082,11398r-11,l5367,11398r88,-83l5468,11298r4,-20l5469,11257r-11,-18l5406,11184r-17,-13l5369,11166xm5021,11225r-16,9l5005,11234r-56,52l5055,11286r-2,-13l5051,11252r-6,-18l5035,11225r-14,xm5005,11234r,l5005,11234r,xm4896,11092r-15,9l4881,11101r-56,52l4931,11153r-2,-14l4926,11119r-5,-18l4910,11092r-14,xm4881,11101r,l4881,11101r,xm4772,10958r-16,9l4756,10967r-56,53l4807,11020r-2,-14l4802,10985r-6,-18l4786,10958r-14,xm4756,10967r,l4756,10967r,xe" fillcolor="#535456" stroked="f">
              <v:stroke joinstyle="round"/>
              <v:formulas/>
              <v:path arrowok="t" o:connecttype="segments"/>
            </v:shape>
            <v:shape id="docshape33" o:spid="_x0000_s3758" style="position:absolute;left:5361;top:10538;width:413;height:616" coordorigin="5362,10538" coordsize="413,616" path="m5547,10538r-53,l5448,10563r-33,41l5403,10654r17,53l5411,10714r-4,5l5373,10768r-11,57l5372,10882r32,50l5412,10940r-6,23l5432,11037r44,26l5480,11078r6,14l5495,11107r12,14l5566,11154r59,-7l5674,11111r26,-54l5692,10996r34,-28l5749,10931r7,-43l5743,10843r13,-20l5766,10801r6,-24l5774,10753r-2,-30l5731,10646r-77,-43l5625,10600r-6,l5614,10589r-7,-10l5598,10570r-51,-32xe" fillcolor="#00aca1" stroked="f">
              <v:path arrowok="t"/>
            </v:shape>
            <v:shape id="docshape34" o:spid="_x0000_s3757" type="#_x0000_t75" style="position:absolute;left:4734;top:9814;width:345;height:343">
              <v:imagedata r:id="rId21" o:title=""/>
            </v:shape>
            <v:shape id="docshape35" o:spid="_x0000_s3756" style="position:absolute;left:3915;top:9386;width:944;height:903" coordorigin="3916,9387" coordsize="944,903" o:spt="100" adj="0,,0" path="m4772,9886r-503,l4319,9921r88,61l4435,10002r23,17l4470,10027r12,9l4496,10045r13,9l4523,10062r14,7l4418,10239r3,12l4474,10289r13,-3l4639,10069r24,-10l4680,10051r16,-10l4719,10024r15,-11l4749,9999r15,-16l4776,9969r23,-33l4795,9931r-4,-5l4788,9921r-5,-10l4778,9901r-5,-11l4772,9886xm4318,9440r-106,l4221,9445r9,6l4221,9459r-9,8l4206,9474r-5,7l3916,9887r,2l3918,9900r49,35l3979,9932r115,-164l4793,9768,4338,9450r-10,-6l4318,9440xm4261,9888r-55,l4214,9890r2,5l4210,9916r2,5l4219,9923r5,-3l4230,9897r6,-5l4253,9890r8,-2xm4768,9873r-609,l4171,9874r8,4l4180,9884r-10,21l4171,9910r7,4l4183,9911r11,-22l4206,9888r55,l4269,9886r503,l4770,9880r-2,-7xm4765,9850r-636,l4140,9854r6,5l4146,9865r-14,22l4132,9893r6,4l4144,9895r15,-22l4768,9873r-2,-6l4764,9852r1,-2xm4793,9768r-699,l4100,9787r4,13l4109,9812r8,16l4119,9833r-1,7l4101,9859r,l4100,9864r6,6l4111,9869r18,-19l4765,9850r1,-12l4776,9827r9,-3l4858,9824r-4,-9l4843,9803r-50,-35xm4858,9824r-73,l4795,9825r10,3l4814,9832r11,6l4835,9845r9,7l4852,9861r1,-2l4859,9845r1,-16l4858,9824xm4215,9387r-23,8l4173,9413r-180,257l3984,9672r-21,10l3943,9704r-6,35l3942,9743r17,3l3985,9735r36,-38l4064,9636r91,-131l4185,9463r12,-16l4205,9440r7,l4318,9440r,l4315,9435r-4,-4l4262,9397r-23,-10l4215,9387xe" fillcolor="#535456" stroked="f">
              <v:stroke joinstyle="round"/>
              <v:formulas/>
              <v:path arrowok="t" o:connecttype="segments"/>
            </v:shape>
            <v:shape id="docshape36" o:spid="_x0000_s3755" type="#_x0000_t75" style="position:absolute;left:4705;top:10056;width:125;height:131">
              <v:imagedata r:id="rId22" o:title=""/>
            </v:shape>
            <v:shape id="docshape37" o:spid="_x0000_s3754" type="#_x0000_t75" style="position:absolute;left:4365;top:9509;width:381;height:374">
              <v:imagedata r:id="rId23" o:title=""/>
            </v:shape>
            <v:shape id="docshape38" o:spid="_x0000_s3753" type="#_x0000_t75" style="position:absolute;left:2753;top:8525;width:486;height:682">
              <v:imagedata r:id="rId24" o:title=""/>
            </v:shape>
            <v:shape id="docshape39" o:spid="_x0000_s3752" style="position:absolute;left:2781;top:8591;width:326;height:776" coordorigin="2781,8592" coordsize="326,776" path="m3095,8592r-6,3l2783,9352r-2,6l2783,9363r10,4l2798,9364r308,-763l3104,8596r-9,-4xe" fillcolor="#535456" stroked="f">
              <v:path arrowok="t"/>
            </v:shape>
            <v:shape id="docshape40" o:spid="_x0000_s3751" type="#_x0000_t75" style="position:absolute;left:7484;top:13330;width:315;height:272">
              <v:imagedata r:id="rId25" o:title=""/>
            </v:shape>
            <v:shape id="docshape41" o:spid="_x0000_s3750" style="position:absolute;left:6869;top:13324;width:647;height:609" coordorigin="6869,13325" coordsize="647,609" o:spt="100" adj="0,,0" path="m7263,13723r-2,-15l7174,13407r-6,-14l7158,13381r-13,-9l7132,13367r-238,-42l6882,13325r-9,6l6869,13340r1,13l7032,13915r5,12l7046,13933r10,l7066,13927r180,-162l7255,13753r5,-14l7263,13723xm7515,13566r-1,-15l7472,13406r-6,-13l7456,13381r-13,-9l7429,13367r-219,-40l7198,13327r-8,6l7186,13342r1,13l7299,13746r6,11l7313,13763r10,l7334,13757r165,-150l7507,13596r6,-14l7515,13566xe" fillcolor="#00aca1" stroked="f">
              <v:stroke joinstyle="round"/>
              <v:formulas/>
              <v:path arrowok="t" o:connecttype="segments"/>
            </v:shape>
            <v:shape id="docshape42" o:spid="_x0000_s3749" type="#_x0000_t75" style="position:absolute;left:6780;top:13608;width:153;height:125">
              <v:imagedata r:id="rId26" o:title=""/>
            </v:shape>
            <v:shape id="docshape43" o:spid="_x0000_s3748" type="#_x0000_t75" style="position:absolute;left:348;top:9205;width:194;height:341">
              <v:imagedata r:id="rId27" o:title=""/>
            </v:shape>
            <v:shape id="docshape44" o:spid="_x0000_s3747" style="position:absolute;left:1460;top:9202;width:52;height:758" coordorigin="1461,9202" coordsize="52,758" path="m1513,9202r-4,6l1505,9213r-5,4l1461,9959r12,1l1513,9202xe" fillcolor="#535456" stroked="f">
              <v:path arrowok="t"/>
            </v:shape>
            <v:shape id="docshape45" o:spid="_x0000_s3746" style="position:absolute;left:1387;top:9100;width:127;height:125" coordorigin="1387,9100" coordsize="127,125" o:spt="100" adj="0,,0" path="m1462,9100r-25,1l1414,9111r-18,17l1387,9151r1,25l1398,9199r17,17l1438,9225r26,l1487,9215r17,-18l1506,9193r-62,l1433,9189r-8,-9l1420,9169r-1,-12l1424,9146r8,-9l1444,9132r61,l1503,9126r-18,-17l1462,9100xm1505,9132r-49,l1467,9137r9,8l1481,9156r,12l1477,9179r-9,9l1457,9193r-13,l1506,9193r7,-18l1513,9149r-8,-17xe" fillcolor="#00aca1" stroked="f">
              <v:stroke joinstyle="round"/>
              <v:formulas/>
              <v:path arrowok="t" o:connecttype="segments"/>
            </v:shape>
            <v:shape id="docshape46" o:spid="_x0000_s3745" style="position:absolute;left:954;top:9124;width:521;height:177" coordorigin="954,9124" coordsize="521,177" o:spt="100" adj="0,,0" path="m1410,9222r-11,-8l1390,9204r-8,-13l1378,9178r-2,-15l1378,9149r4,-13l1389,9124r-435,91l985,9226r24,19l1027,9270r10,30l1410,9222xm1475,9170r-3,-12l1470,9146r-12,-7l1434,9144r-8,11l1431,9179r12,8l1467,9182r8,-12xe" fillcolor="#535456" stroked="f">
              <v:stroke joinstyle="round"/>
              <v:formulas/>
              <v:path arrowok="t" o:connecttype="segments"/>
            </v:shape>
            <v:shape id="docshape47" o:spid="_x0000_s3744" type="#_x0000_t75" style="position:absolute;left:506;top:9230;width:372;height:176">
              <v:imagedata r:id="rId28" o:title=""/>
            </v:shape>
            <v:shape id="docshape48" o:spid="_x0000_s3743" style="position:absolute;left:689;top:9366;width:432;height:523" coordorigin="690,9366" coordsize="432,523" o:spt="100" adj="0,,0" path="m1056,9572r-134,l926,9581r12,48l963,9728r24,97l998,9870r6,13l1122,9889r-4,-14l1056,9572xm849,9366l696,9854r-6,13l811,9873r5,-14l918,9580r4,-8l1056,9572r-32,-158l930,9414r-24,-5l883,9399r-19,-14l849,9366xm1016,9375r-17,17l979,9405r-23,7l930,9414r94,l1016,9375xe" fillcolor="#58595b" stroked="f">
              <v:stroke joinstyle="round"/>
              <v:formulas/>
              <v:path arrowok="t" o:connecttype="segments"/>
            </v:shape>
            <v:shape id="docshape49" o:spid="_x0000_s3742" type="#_x0000_t75" style="position:absolute;left:847;top:9226;width:177;height:175">
              <v:imagedata r:id="rId29" o:title=""/>
            </v:shape>
            <v:shape id="docshape50" o:spid="_x0000_s3741" style="position:absolute;left:641;top:9873;width:529;height:71" coordorigin="642,9873" coordsize="529,71" path="m654,9873r-10,9l642,9916r528,28l1170,9922r1,-12l1161,9900,654,9873xe" fillcolor="#00aca1" stroked="f">
              <v:path arrowok="t"/>
            </v:shape>
            <v:shape id="docshape51" o:spid="_x0000_s3740" type="#_x0000_t75" style="position:absolute;left:2429;top:7784;width:110;height:120">
              <v:imagedata r:id="rId30" o:title=""/>
            </v:shape>
            <v:shape id="docshape52" o:spid="_x0000_s3739" style="position:absolute;left:2170;top:7860;width:443;height:391" coordorigin="2171,7861" coordsize="443,391" o:spt="100" adj="0,,0" path="m2284,7861r-56,33l2182,7979r-11,58l2176,8090r19,47l2225,8176r39,32l2310,8232r50,14l2411,8251r51,-7l2509,8227r42,-30l2584,8154r23,-57l2613,8014r-26,-63l2533,7913r-41,-4l2444,7909r-20,-5l2418,7898r-30,-19l2340,7861r-56,xm2455,7906r-5,1l2444,7909r48,l2455,7906xe" fillcolor="#00aca1" stroked="f">
              <v:stroke joinstyle="round"/>
              <v:formulas/>
              <v:path arrowok="t" o:connecttype="segments"/>
            </v:shape>
            <v:shape id="docshape53" o:spid="_x0000_s3738" style="position:absolute;left:6647;top:10956;width:716;height:643" coordorigin="6647,10957" coordsize="716,643" path="m7156,10957r-506,328l6647,11299r194,298l6854,11599r10,-6l7360,11271r3,-14l7170,10960r-14,-3xe" fillcolor="#535456" stroked="f">
              <v:path arrowok="t"/>
            </v:shape>
            <v:shape id="docshape54" o:spid="_x0000_s3737" style="position:absolute;left:6709;top:11273;width:189;height:273" coordorigin="6709,11273" coordsize="189,273" o:spt="100" adj="0,,0" path="m6767,11329r-36,-55l6727,11273r-17,11l6709,11288r36,56l6750,11344r3,-2l6766,11334r1,-5xm6898,11530r-36,-55l6857,11474r-16,11l6840,11489r36,55l6880,11545r3,-2l6897,11534r1,-4xe" fillcolor="#00aca1" stroked="f">
              <v:stroke joinstyle="round"/>
              <v:formulas/>
              <v:path arrowok="t" o:connecttype="segments"/>
            </v:shape>
            <v:shape id="docshape55" o:spid="_x0000_s3736" style="position:absolute;left:6783;top:11015;width:512;height:481" coordorigin="6783,11016" coordsize="512,481" path="m7123,11016r-338,219l6783,11244r163,251l6955,11497r6,-5l7293,11277r2,-9l7132,11018r-9,-2xe" stroked="f">
              <v:path arrowok="t"/>
            </v:shape>
            <v:shape id="docshape56" o:spid="_x0000_s3735" type="#_x0000_t75" style="position:absolute;left:6750;top:11353;width:106;height:110">
              <v:imagedata r:id="rId31" o:title=""/>
            </v:shape>
            <v:shape id="docshape57" o:spid="_x0000_s3734" style="position:absolute;left:7210;top:11094;width:49;height:68" coordorigin="7211,11094" coordsize="49,68" path="m7217,11094r-6,4l7211,11103r37,58l7253,11162r3,-2l7259,11158r,-4l7222,11096r-5,-2xe" fillcolor="#00aca1" stroked="f">
              <v:path arrowok="t"/>
            </v:shape>
            <v:shape id="docshape58" o:spid="_x0000_s3733" style="position:absolute;left:5975;top:10034;width:567;height:528" coordorigin="5976,10035" coordsize="567,528" path="m6499,10035r-6,10l6484,10041r-14,-2l6460,10040r-10,-3l6418,10038r-13,1l6395,10046r-21,5l6364,10055r-10,6l6346,10068r-19,20l6318,10093r-3,7l6317,10105r-4,3l6309,10106r-8,3l6295,10115r-4,7l6293,10127r-4,3l6285,10127r-6,2l6272,10135r-5,8l6270,10147r-2,3l6264,10151r-3,-2l6255,10151r-6,5l6244,10163r2,7l6243,10173r-7,-2l6231,10173r-8,7l6221,10185r1,6l6218,10194r-4,-2l6207,10194r-6,6l6197,10207r2,5l6193,10216r-5,-4l6182,10215r-9,8l6170,10230r2,3l6170,10236r-3,2l6164,10235r-7,2l6153,10242r-8,8l6139,10254r-3,7l6138,10265r-1,2l6130,10265r-5,2l6109,10284r-7,5l6102,10296r-7,-2l6074,10314r-7,5l6063,10327r1,4l6063,10333r-3,1l6056,10331r-9,7l6034,10349r-3,7l6033,10359r-1,3l6028,10365r-4,-4l6017,10364r-14,14l6000,10383r-12,21l5982,10416r-3,5l5976,10435r20,27l6005,10473r6,9l6017,10483r2,8l6027,10499r18,19l6052,10528r8,1l6060,10538r16,7l6081,10553r3,l6086,10557r3,2l6099,10562r9,-1l6118,10557r22,-10l6148,10545r16,-12l6167,10528r-2,-6l6174,10521r10,-7l6193,10505r4,-9l6199,10495r4,1l6210,10491r6,-6l6230,10472r8,-5l6240,10459r7,-4l6256,10449r8,-8l6271,10433r-2,l6271,10430r-2,-2l6270,10428r1,-1l6271,10426r8,1l6288,10420r15,-11l6307,10400r-2,-4l6306,10394r4,-2l6313,10395r10,-4l6328,10383r5,-4l6335,10375r-2,-5l6335,10367r3,-2l6340,10367r8,-1l6351,10360r6,-4l6359,10352r-3,-3l6358,10345r3,-2l6364,10346r7,-2l6378,10338r5,-8l6380,10326r1,-2l6384,10322r4,3l6395,10322r7,-6l6406,10309r-3,-4l6405,10303r2,-2l6411,10303r8,-2l6425,10295r4,-7l6427,10284r2,-3l6432,10279r3,3l6442,10280r3,-5l6450,10271r3,-3l6449,10262r6,-4l6460,10260r8,-3l6471,10251r11,-8l6492,10233r27,-39l6529,10174r3,-12l6534,10149r,-24l6536,10101r,-11l6542,10084r-6,-8l6499,10035xe" fillcolor="#535456" stroked="f">
              <v:path arrowok="t"/>
            </v:shape>
            <v:shape id="docshape59" o:spid="_x0000_s3732" style="position:absolute;left:3833;top:8165;width:2750;height:1922" coordorigin="3833,8165" coordsize="2750,1922" o:spt="100" adj="0,,0" path="m4294,8397r-2,-10l4287,8377r-9,-7l4119,8289r2,-10l4120,8268r-6,-9l4106,8253r-27,-14l4068,8236r-10,1l4048,8242r-7,8l3882,8169r-11,-4l3861,8167r-10,5l3844,8180r-8,17l3833,8207r2,11l3840,8227r9,7l4245,8436r10,3l4266,8438r9,-5l4282,8424r9,-16l4294,8397xm6582,10048r-9,-12l6566,10028r-2,-3l6556,10017r-9,-8l6539,10004r-9,-2l6524,10008r-8,6l6511,10019r-3,2l6503,10024r-1,3l6501,10028r-1,-1l6498,10029r,2l6498,10033r2,3l6499,10037r16,19l6530,10071r13,13l6546,10085r2,2l6550,10087r3,-2l6552,10084r,-1l6556,10084r,-1l6558,10078r3,-3l6562,10074r1,1l6564,10074r4,-5l6575,10063r5,-6l6582,10048xe" fillcolor="#00aca1" stroked="f">
              <v:stroke joinstyle="round"/>
              <v:formulas/>
              <v:path arrowok="t" o:connecttype="segments"/>
            </v:shape>
            <v:shape id="docshape60" o:spid="_x0000_s3731" style="position:absolute;left:3644;top:8246;width:599;height:621" coordorigin="3644,8247" coordsize="599,621" o:spt="100" adj="0,,0" path="m3835,8247r-27,56l3750,8431r-63,137l3650,8654r-6,30l3649,8706r12,15l3675,8730r257,131l3956,8868r21,-4l3996,8854r13,-15l4021,8822r28,-46l4108,8679r-136,l3970,8678r-3,l3965,8677r-4,-3l3908,8648r-1,-5l3909,8639r-63,l3845,8637r1,-3l3853,8621r-2,-4l3817,8599r-5,-3l3807,8591r-3,-11l3802,8543r,-11l3804,8529r3,l3808,8526r1,-5l3810,8520r2,-2l3813,8518r2,-2l3867,8483r26,l3904,8431r3,l3948,8431r6,-3l3959,8425r7,-1l4181,8424,3835,8247xm3984,8604r-53,l3977,8627r3,5l3982,8663r,9l3979,8677r-3,1l3972,8679r136,l4108,8678r-128,l3981,8677r4,-1l3987,8671r,-8l3984,8604xm4188,8545r-181,l4056,8588r-1,3l4036,8591r-3,4l4033,8597r2,35l4035,8634r,5l4033,8645r-8,8l3991,8674r-7,4l3980,8678r128,l4188,8545xm3994,8555r-108,l3889,8555r20,61l3907,8620r-61,19l3909,8639r17,-34l3931,8604r53,l3983,8597r-2,-2l3961,8595r-1,-3l3994,8555xm3980,8594r-19,1l3981,8595r-1,-1xm3807,8529r-3,l3804,8530r-1,2l3803,8534r3,4l3809,8540r5,3l3874,8573r4,-2l3886,8555r108,l3996,8552r-150,l3818,8538r-5,-3l3810,8534r-3,-5l3807,8529xm3893,8483r-26,l3871,8484r25,36l3895,8525r-43,27l3846,8552r150,l4003,8546r4,-1l4188,8545r6,-9l3981,8536r-3,-3l3977,8512r-21,l3893,8497r-2,-4l3893,8483xm4241,8457r-223,l4020,8459r3,3l4024,8464r1,2l4025,8468r3,64l4025,8535r-44,1l4194,8536r47,-79xm4018,8451r-6,l4009,8452r-5,3l3948,8490r-1,4l3957,8510r-1,2l3977,8512r-2,-30l3978,8477r26,-16l4009,8458r3,-1l4018,8457r223,l4243,8455r-3,-2l4022,8453r-2,l4018,8451xm4181,8424r-215,l3976,8427r37,19l4019,8450r3,3l4240,8453r-59,-29xm3948,8431r-41,l3917,8447r4,1l3948,8431xe" fillcolor="#535456" stroked="f">
              <v:stroke joinstyle="round"/>
              <v:formulas/>
              <v:path arrowok="t" o:connecttype="segments"/>
            </v:shape>
            <v:shape id="docshape61" o:spid="_x0000_s3730" style="position:absolute;left:504;top:7358;width:591;height:676" coordorigin="505,7359" coordsize="591,676" path="m820,7359l521,7623r-16,355l505,7991r8,9l526,8009r8,2l700,8019r5,-2l713,8009r2,-5l723,7827r152,7l868,8011r2,5l877,8024r5,3l1048,8034r8,-1l1070,8025r9,-8l1080,8003r15,-355l820,7359xe" fillcolor="#545456" stroked="f">
              <v:path arrowok="t"/>
            </v:shape>
            <v:shape id="docshape62" o:spid="_x0000_s3729" style="position:absolute;left:417;top:7185;width:786;height:453" coordorigin="418,7185" coordsize="786,453" path="m827,7185l437,7508r-19,39l420,7569r49,39l482,7609r13,-4l821,7319r291,303l1129,7634r21,4l1170,7634r18,-12l1200,7603r4,-21l1200,7560r-12,-19l1082,7433r9,-213l1082,7209r-73,-3l999,7216r-5,123l863,7202r-17,-12l827,7185xe" fillcolor="#00aca1" stroked="f">
              <v:path arrowok="t"/>
            </v:shape>
            <v:rect id="docshape63" o:spid="_x0000_s3728" style="position:absolute;top:2363;width:10061;height:3366" fillcolor="#7f3f98" stroked="f"/>
            <v:shape id="docshape64" o:spid="_x0000_s3727" style="position:absolute;left:9205;top:5153;width:3035;height:1564" coordorigin="9206,5153" coordsize="3035,1564" o:spt="100" adj="0,,0" path="m11821,6272r-6,-73l11798,6130r-28,-64l11733,6006r-46,-54l11634,5905r-60,-39l11507,5834r-14,-71l11471,5695r-27,-66l11410,5566r-39,-60l11326,5450r-49,-52l11223,5350r-59,-44l11101,5267r-66,-33l10966,5206r-73,-23l10818,5167r-78,-10l10660,5153r-80,4l10502,5167r-75,17l10354,5206r-70,29l10217,5269r-62,39l10096,5351r-54,49l9992,5453r-44,56l9929,5507r-19,-1l9892,5505r-19,l9795,5509r-75,12l9648,5541r-68,27l9515,5602r-59,39l9401,5687r-49,50l9310,5793r-36,60l9245,5916r-22,67l9210,6053r-4,72l9212,6209r17,80l9258,6365r38,71l9343,6502r56,59l9459,6611r66,43l9598,6690r76,27l11484,6717r66,-27l11612,6654r54,-43l11714,6561r45,-64l11793,6427r21,-75l11821,6272xm12240,5846r-14,-19l12175,5774r-58,-47l12053,5687r-70,-33l11909,5630r-78,-15l11749,5610r-50,2l11649,5618r-48,10l11555,5640r11,31l11576,5701r9,32l11593,5764r71,42l11728,5856r56,56l11831,5975r37,69l11896,6116r17,77l11919,6272r-6,76l11897,6422r-26,71l11835,6561r-46,63l11766,6650r-23,24l11718,6696r-27,21l12240,6717r,-871xe" fillcolor="#f3f4f4" stroked="f">
              <v:stroke joinstyle="round"/>
              <v:formulas/>
              <v:path arrowok="t" o:connecttype="segments"/>
            </v:shape>
            <v:rect id="docshape65" o:spid="_x0000_s3726" style="position:absolute;top:5964;width:13;height:9876" stroked="f"/>
            <w10:wrap anchorx="page" anchory="page"/>
          </v:group>
        </w:pict>
      </w:r>
      <w:r>
        <w:pict w14:anchorId="796A8B07">
          <v:shape id="docshape66" o:spid="_x0000_s3724" style="position:absolute;margin-left:503.05pt;margin-top:562.7pt;width:109pt;height:76.1pt;z-index:251521536;mso-position-horizontal-relative:page;mso-position-vertical-relative:page" coordorigin="10061,11254" coordsize="2180,1522" o:spt="100" adj="0,,0" path="m10691,11596r-79,5l10536,11615r-73,22l10395,11667r-64,37l10273,11749r-53,50l10174,11855r-39,61l10103,11982r-23,69l10066,12124r-5,76l10067,12281r16,78l10110,12433r36,69l10191,12566r52,58l10300,12673r63,42l10431,12749r73,27l12213,12776r27,-12l12240,11919r-5,-2l12220,11843r-22,-71l12169,11704r-35,-64l12107,11600r-1345,l10744,11599r-17,-2l10709,11596r-18,xm11435,11254r-83,4l11271,11270r-78,20l11119,11316r-71,33l10981,11388r-63,46l10861,11484r-53,56l10762,11600r1345,l12093,11579r-47,-57l11994,11470r-57,-48l11876,11380r-66,-37l11741,11312r-72,-25l11593,11269r-78,-11l11435,11254xe" fillcolor="#f3f4f4" stroked="f">
            <v:stroke joinstyle="round"/>
            <v:formulas/>
            <v:path arrowok="t" o:connecttype="segments"/>
            <w10:wrap anchorx="page" anchory="page"/>
          </v:shape>
        </w:pict>
      </w:r>
    </w:p>
    <w:p w14:paraId="4F2309B0" w14:textId="6E917E26" w:rsidR="0055291C" w:rsidRDefault="00F23C61">
      <w:pPr>
        <w:ind w:left="1087"/>
        <w:rPr>
          <w:rFonts w:ascii="Times New Roman"/>
          <w:sz w:val="20"/>
          <w:lang w:eastAsia="ja-JP"/>
        </w:rPr>
      </w:pPr>
      <w:r>
        <w:rPr>
          <w:rFonts w:ascii="Times New Roman"/>
          <w:noProof/>
          <w:sz w:val="20"/>
        </w:rPr>
        <w:drawing>
          <wp:inline distT="0" distB="0" distL="0" distR="0" wp14:anchorId="07647592" wp14:editId="0E28019A">
            <wp:extent cx="596756" cy="595312"/>
            <wp:effectExtent l="0" t="0" r="0" b="0"/>
            <wp:docPr id="1"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5.png"/>
                    <pic:cNvPicPr/>
                  </pic:nvPicPr>
                  <pic:blipFill>
                    <a:blip r:embed="rId32" cstate="print"/>
                    <a:stretch>
                      <a:fillRect/>
                    </a:stretch>
                  </pic:blipFill>
                  <pic:spPr>
                    <a:xfrm>
                      <a:off x="0" y="0"/>
                      <a:ext cx="596756" cy="595312"/>
                    </a:xfrm>
                    <a:prstGeom prst="rect">
                      <a:avLst/>
                    </a:prstGeom>
                  </pic:spPr>
                </pic:pic>
              </a:graphicData>
            </a:graphic>
          </wp:inline>
        </w:drawing>
      </w:r>
      <w:r>
        <w:rPr>
          <w:rFonts w:ascii="Times New Roman"/>
          <w:spacing w:val="127"/>
          <w:sz w:val="20"/>
          <w:lang w:eastAsia="ja-JP"/>
        </w:rPr>
        <w:t xml:space="preserve"> </w:t>
      </w:r>
      <w:r w:rsidR="00000000">
        <w:rPr>
          <w:rFonts w:ascii="Times New Roman"/>
          <w:spacing w:val="127"/>
          <w:position w:val="52"/>
          <w:sz w:val="20"/>
        </w:rPr>
      </w:r>
      <w:r w:rsidR="00000000">
        <w:rPr>
          <w:rFonts w:ascii="Times New Roman"/>
          <w:spacing w:val="127"/>
          <w:position w:val="52"/>
          <w:sz w:val="20"/>
        </w:rPr>
        <w:pict w14:anchorId="48C7DC34">
          <v:group id="docshapegroup67" o:spid="_x0000_s3719" style="width:44.25pt;height:15pt;mso-position-horizontal-relative:char;mso-position-vertical-relative:line" coordsize="885,300">
            <v:shape id="docshape68" o:spid="_x0000_s3723" type="#_x0000_t75" style="position:absolute;left:276;top:4;width:176;height:292">
              <v:imagedata r:id="rId33" o:title=""/>
            </v:shape>
            <v:shape id="docshape69" o:spid="_x0000_s3722" type="#_x0000_t75" style="position:absolute;width:208;height:300">
              <v:imagedata r:id="rId34" o:title=""/>
            </v:shape>
            <v:shape id="docshape70" o:spid="_x0000_s3721" type="#_x0000_t75" style="position:absolute;left:516;top:4;width:151;height:292">
              <v:imagedata r:id="rId35" o:title=""/>
            </v:shape>
            <v:shape id="docshape71" o:spid="_x0000_s3720" type="#_x0000_t75" style="position:absolute;left:733;top:4;width:151;height:292">
              <v:imagedata r:id="rId36" o:title=""/>
            </v:shape>
            <w10:anchorlock/>
          </v:group>
        </w:pict>
      </w:r>
      <w:r>
        <w:rPr>
          <w:rFonts w:ascii="Times New Roman"/>
          <w:spacing w:val="10"/>
          <w:position w:val="52"/>
          <w:sz w:val="20"/>
          <w:lang w:eastAsia="ja-JP"/>
        </w:rPr>
        <w:t xml:space="preserve"> </w:t>
      </w:r>
      <w:r w:rsidR="00000000">
        <w:rPr>
          <w:rFonts w:ascii="Times New Roman"/>
          <w:spacing w:val="10"/>
          <w:position w:val="52"/>
          <w:sz w:val="20"/>
        </w:rPr>
      </w:r>
      <w:r w:rsidR="00000000">
        <w:rPr>
          <w:rFonts w:ascii="Times New Roman"/>
          <w:spacing w:val="10"/>
          <w:position w:val="52"/>
          <w:sz w:val="20"/>
        </w:rPr>
        <w:pict w14:anchorId="574713E4">
          <v:group id="docshapegroup72" o:spid="_x0000_s3712" style="width:71.75pt;height:15pt;mso-position-horizontal-relative:char;mso-position-vertical-relative:line" coordsize="1435,300">
            <v:shape id="docshape73" o:spid="_x0000_s3718" type="#_x0000_t75" style="position:absolute;top:4;width:190;height:292">
              <v:imagedata r:id="rId37" o:title=""/>
            </v:shape>
            <v:shape id="docshape74" o:spid="_x0000_s3717" type="#_x0000_t75" style="position:absolute;left:258;top:4;width:186;height:292">
              <v:imagedata r:id="rId38" o:title=""/>
            </v:shape>
            <v:shape id="docshape75" o:spid="_x0000_s3716" type="#_x0000_t75" style="position:absolute;left:512;width:209;height:300">
              <v:imagedata r:id="rId39" o:title=""/>
            </v:shape>
            <v:shape id="docshape76" o:spid="_x0000_s3715" type="#_x0000_t75" style="position:absolute;left:789;top:4;width:202;height:296">
              <v:imagedata r:id="rId40" o:title=""/>
            </v:shape>
            <v:shape id="docshape77" o:spid="_x0000_s3714" type="#_x0000_t75" style="position:absolute;left:1051;width:164;height:300">
              <v:imagedata r:id="rId41" o:title=""/>
            </v:shape>
            <v:shape id="docshape78" o:spid="_x0000_s3713" type="#_x0000_t75" style="position:absolute;left:1283;top:4;width:151;height:292">
              <v:imagedata r:id="rId42" o:title=""/>
            </v:shape>
            <w10:anchorlock/>
          </v:group>
        </w:pict>
      </w:r>
    </w:p>
    <w:p w14:paraId="0E3775A3" w14:textId="77777777" w:rsidR="0055291C" w:rsidRDefault="0055291C">
      <w:pPr>
        <w:pStyle w:val="a3"/>
        <w:rPr>
          <w:rFonts w:ascii="Times New Roman"/>
          <w:sz w:val="20"/>
          <w:lang w:eastAsia="ja-JP"/>
        </w:rPr>
      </w:pPr>
    </w:p>
    <w:p w14:paraId="00A8B9BF" w14:textId="77777777" w:rsidR="0055291C" w:rsidRDefault="0055291C">
      <w:pPr>
        <w:pStyle w:val="a3"/>
        <w:rPr>
          <w:rFonts w:ascii="Times New Roman"/>
          <w:sz w:val="20"/>
          <w:lang w:eastAsia="ja-JP"/>
        </w:rPr>
      </w:pPr>
    </w:p>
    <w:p w14:paraId="63EA8B75" w14:textId="77777777" w:rsidR="0055291C" w:rsidRDefault="0055291C">
      <w:pPr>
        <w:pStyle w:val="a3"/>
        <w:spacing w:before="8"/>
        <w:rPr>
          <w:rFonts w:ascii="Times New Roman"/>
          <w:sz w:val="24"/>
          <w:lang w:eastAsia="ja-JP"/>
        </w:rPr>
      </w:pPr>
    </w:p>
    <w:p w14:paraId="37F4F4C0" w14:textId="6A9FF45E" w:rsidR="0055291C" w:rsidRPr="00E2477E" w:rsidRDefault="00875135">
      <w:pPr>
        <w:spacing w:before="98" w:line="252" w:lineRule="auto"/>
        <w:ind w:left="1087" w:right="2642"/>
        <w:rPr>
          <w:rFonts w:ascii="Arial"/>
          <w:b/>
          <w:i/>
          <w:color w:val="FFFFFF" w:themeColor="background1"/>
          <w:sz w:val="75"/>
          <w:lang w:eastAsia="ja-JP"/>
        </w:rPr>
      </w:pPr>
      <w:r w:rsidRPr="00E2477E">
        <w:rPr>
          <w:rFonts w:ascii="ＭＳ ゴシック" w:eastAsia="ＭＳ ゴシック" w:hAnsi="ＭＳ ゴシック" w:cs="ＭＳ ゴシック" w:hint="eastAsia"/>
          <w:b/>
          <w:i/>
          <w:color w:val="FFFFFF" w:themeColor="background1"/>
          <w:sz w:val="75"/>
          <w:lang w:eastAsia="ja-JP"/>
        </w:rPr>
        <w:t>製品ライフサイクル</w:t>
      </w:r>
      <w:r w:rsidR="00E847CF">
        <w:rPr>
          <w:rFonts w:ascii="ＭＳ ゴシック" w:eastAsia="ＭＳ ゴシック" w:hAnsi="ＭＳ ゴシック" w:cs="ＭＳ ゴシック" w:hint="eastAsia"/>
          <w:b/>
          <w:i/>
          <w:color w:val="FFFFFF" w:themeColor="background1"/>
          <w:sz w:val="75"/>
          <w:lang w:eastAsia="ja-JP"/>
        </w:rPr>
        <w:t>のGHG算出</w:t>
      </w:r>
      <w:r w:rsidRPr="00E2477E">
        <w:rPr>
          <w:rFonts w:ascii="ＭＳ ゴシック" w:eastAsia="ＭＳ ゴシック" w:hAnsi="ＭＳ ゴシック" w:cs="ＭＳ ゴシック" w:hint="eastAsia"/>
          <w:b/>
          <w:i/>
          <w:color w:val="FFFFFF" w:themeColor="background1"/>
          <w:sz w:val="75"/>
          <w:lang w:eastAsia="ja-JP"/>
        </w:rPr>
        <w:t>および報告基準</w:t>
      </w:r>
      <w:r w:rsidR="00000000">
        <w:rPr>
          <w:color w:val="FFFFFF" w:themeColor="background1"/>
        </w:rPr>
        <w:pict w14:anchorId="5CD2F315">
          <v:shape id="docshape79" o:spid="_x0000_s3711" style="position:absolute;left:0;text-align:left;margin-left:588.55pt;margin-top:-41.6pt;width:23.5pt;height:38.1pt;z-index:251519488;mso-position-horizontal-relative:page;mso-position-vertical-relative:text" coordorigin="11771,-832" coordsize="470,762" path="m12240,-832r-32,38l12186,-795r-22,-1l12084,-789r-73,22l11944,-733r-58,46l11838,-632r-36,63l11779,-500r-8,75l11779,-351r22,69l11837,-219r48,55l11959,-108r88,38l12240,-70r,-762xe" fillcolor="#f3f4f4" stroked="f">
            <v:path arrowok="t"/>
            <w10:wrap anchorx="page"/>
          </v:shape>
        </w:pict>
      </w:r>
      <w:r w:rsidR="00000000">
        <w:rPr>
          <w:color w:val="FFFFFF" w:themeColor="background1"/>
        </w:rPr>
        <w:pict w14:anchorId="23C463FE">
          <v:shape id="docshape80" o:spid="_x0000_s3710" style="position:absolute;left:0;text-align:left;margin-left:383.3pt;margin-top:-90pt;width:70.5pt;height:33.1pt;z-index:251520512;mso-position-horizontal-relative:page;mso-position-vertical-relative:text" coordorigin="7666,-1800" coordsize="1410,662" o:spt="100" adj="0,,0" path="m8762,-1327r-10,-60l8725,-1440r-42,-42l8630,-1512r-18,-67l8581,-1640r-44,-54l8483,-1738r-63,-34l8351,-1793r-75,-7l8203,-1793r-68,20l8074,-1742r-53,42l7977,-1650r-10,-1l7956,-1652r-10,l7872,-1642r-67,26l7748,-1575r-43,53l7676,-1459r-10,70l7672,-1337r16,49l7714,-1244r33,39l7773,-1184r27,19l7831,-1150r32,11l8621,-1139r27,-11l8674,-1166r23,-18l8717,-1205r19,-27l8750,-1262r9,-32l8762,-1327xm9076,-1272r-7,-43l9050,-1352r-30,-30l8983,-1403r-21,-66l8923,-1525r-53,-43l8805,-1597r-73,-10l8711,-1606r-21,2l8670,-1600r-20,6l8655,-1581r4,13l8663,-1555r3,13l8723,-1503r43,50l8793,-1393r10,66l8799,-1287r-10,38l8772,-1212r-24,34l8739,-1168r-10,11l8719,-1148r-12,9l8976,-1139r20,-8l9014,-1158r16,-13l9044,-1186r13,-19l9067,-1226r7,-22l9076,-1272xe" fillcolor="#f3f4f4" stroked="f">
            <v:stroke joinstyle="round"/>
            <v:formulas/>
            <v:path arrowok="t" o:connecttype="segments"/>
            <w10:wrap anchorx="page"/>
          </v:shape>
        </w:pict>
      </w:r>
      <w:r w:rsidR="00000000">
        <w:rPr>
          <w:color w:val="FFFFFF" w:themeColor="background1"/>
        </w:rPr>
        <w:pict w14:anchorId="403CC850">
          <v:group id="docshapegroup81" o:spid="_x0000_s3703" style="position:absolute;left:0;text-align:left;margin-left:152.4pt;margin-top:-58.4pt;width:92.25pt;height:15.05pt;z-index:-251610624;mso-position-horizontal-relative:page;mso-position-vertical-relative:text" coordorigin="3048,-1168" coordsize="1845,301">
            <v:shape id="docshape82" o:spid="_x0000_s3709" type="#_x0000_t75" style="position:absolute;left:3277;top:-1163;width:176;height:292">
              <v:imagedata r:id="rId43" o:title=""/>
            </v:shape>
            <v:shape id="docshape83" o:spid="_x0000_s3708" type="#_x0000_t75" style="position:absolute;left:3501;top:-1167;width:674;height:300">
              <v:imagedata r:id="rId44" o:title=""/>
            </v:shape>
            <v:shape id="docshape84" o:spid="_x0000_s3707" type="#_x0000_t75" style="position:absolute;left:4238;top:-1167;width:183;height:300">
              <v:imagedata r:id="rId45" o:title=""/>
            </v:shape>
            <v:shape id="docshape85" o:spid="_x0000_s3706" type="#_x0000_t75" style="position:absolute;left:4464;top:-1169;width:209;height:300">
              <v:imagedata r:id="rId46" o:title=""/>
            </v:shape>
            <v:shape id="docshape86" o:spid="_x0000_s3705" type="#_x0000_t75" style="position:absolute;left:4741;top:-1164;width:151;height:292">
              <v:imagedata r:id="rId47" o:title=""/>
            </v:shape>
            <v:shape id="docshape87" o:spid="_x0000_s3704" type="#_x0000_t75" style="position:absolute;left:3047;top:-1163;width:161;height:292">
              <v:imagedata r:id="rId48" o:title=""/>
            </v:shape>
            <w10:wrap anchorx="page"/>
          </v:group>
        </w:pict>
      </w:r>
      <w:r w:rsidR="00000000">
        <w:rPr>
          <w:color w:val="FFFFFF" w:themeColor="background1"/>
        </w:rPr>
        <w:pict w14:anchorId="76DD7203">
          <v:group id="docshapegroup88" o:spid="_x0000_s3699" style="position:absolute;left:0;text-align:left;margin-left:110.25pt;margin-top:-58.4pt;width:32.95pt;height:15.05pt;z-index:-251609600;mso-position-horizontal-relative:page;mso-position-vertical-relative:text" coordorigin="2205,-1168" coordsize="659,301">
            <v:shape id="docshape89" o:spid="_x0000_s3702" type="#_x0000_t75" style="position:absolute;left:2204;top:-1167;width:208;height:300">
              <v:imagedata r:id="rId49" o:title=""/>
            </v:shape>
            <v:shape id="docshape90" o:spid="_x0000_s3701" type="#_x0000_t75" style="position:absolute;left:2700;top:-1169;width:164;height:300">
              <v:imagedata r:id="rId50" o:title=""/>
            </v:shape>
            <v:shape id="docshape91" o:spid="_x0000_s3700" type="#_x0000_t75" style="position:absolute;left:2444;top:-1163;width:217;height:292">
              <v:imagedata r:id="rId51" o:title=""/>
            </v:shape>
            <w10:wrap anchorx="page"/>
          </v:group>
        </w:pict>
      </w:r>
    </w:p>
    <w:p w14:paraId="4B5E489C" w14:textId="77777777" w:rsidR="0055291C" w:rsidRDefault="0055291C">
      <w:pPr>
        <w:pStyle w:val="a3"/>
        <w:rPr>
          <w:rFonts w:ascii="Arial"/>
          <w:b/>
          <w:i/>
          <w:sz w:val="20"/>
          <w:lang w:eastAsia="ja-JP"/>
        </w:rPr>
      </w:pPr>
    </w:p>
    <w:p w14:paraId="7B1460DC" w14:textId="77777777" w:rsidR="0055291C" w:rsidRDefault="0055291C">
      <w:pPr>
        <w:pStyle w:val="a3"/>
        <w:rPr>
          <w:rFonts w:ascii="Arial"/>
          <w:b/>
          <w:i/>
          <w:sz w:val="20"/>
          <w:lang w:eastAsia="ja-JP"/>
        </w:rPr>
      </w:pPr>
    </w:p>
    <w:p w14:paraId="57D4D01B" w14:textId="77777777" w:rsidR="0055291C" w:rsidRDefault="0055291C">
      <w:pPr>
        <w:pStyle w:val="a3"/>
        <w:rPr>
          <w:rFonts w:ascii="Arial"/>
          <w:b/>
          <w:i/>
          <w:sz w:val="20"/>
          <w:lang w:eastAsia="ja-JP"/>
        </w:rPr>
      </w:pPr>
    </w:p>
    <w:p w14:paraId="1A408323" w14:textId="77777777" w:rsidR="0055291C" w:rsidRDefault="0055291C">
      <w:pPr>
        <w:pStyle w:val="a3"/>
        <w:rPr>
          <w:rFonts w:ascii="Arial"/>
          <w:b/>
          <w:i/>
          <w:sz w:val="20"/>
          <w:lang w:eastAsia="ja-JP"/>
        </w:rPr>
      </w:pPr>
    </w:p>
    <w:p w14:paraId="37F39BB3" w14:textId="77777777" w:rsidR="0055291C" w:rsidRDefault="0055291C">
      <w:pPr>
        <w:pStyle w:val="a3"/>
        <w:rPr>
          <w:rFonts w:ascii="Arial"/>
          <w:b/>
          <w:i/>
          <w:sz w:val="20"/>
          <w:lang w:eastAsia="ja-JP"/>
        </w:rPr>
      </w:pPr>
    </w:p>
    <w:p w14:paraId="17A8EE88" w14:textId="77777777" w:rsidR="0055291C" w:rsidRDefault="00000000">
      <w:pPr>
        <w:pStyle w:val="a3"/>
        <w:spacing w:before="4"/>
        <w:rPr>
          <w:rFonts w:ascii="Arial"/>
          <w:b/>
          <w:i/>
          <w:sz w:val="11"/>
          <w:lang w:eastAsia="ja-JP"/>
        </w:rPr>
      </w:pPr>
      <w:r>
        <w:pict w14:anchorId="286BCBD6">
          <v:shape id="docshape92" o:spid="_x0000_s3698" style="position:absolute;margin-left:271.05pt;margin-top:7.75pt;width:100.1pt;height:48.4pt;z-index:-251529728;mso-wrap-distance-left:0;mso-wrap-distance-right:0;mso-position-horizontal-relative:page" coordorigin="5421,155" coordsize="2002,968" o:spt="100" adj="0,,0" path="m6977,846r-9,-70l6942,711r-39,-56l6851,609r-61,-33l6774,506r-26,-65l6714,380r-43,-55l6621,276r-57,-42l6501,201r-68,-25l6362,160r-76,-5l6200,162r-82,20l6042,215r-68,44l5913,312r-50,63l5840,373r-22,-1l5738,380r-74,22l5596,438r-58,47l5489,541r-37,66l5429,678r-8,78l5429,832r23,72l5488,969r48,56l5572,1056r39,27l5654,1105r46,17l6776,1122r40,-17l6852,1083r33,-27l6913,1025r27,-39l6960,943r12,-47l6977,846xm7422,927r-9,-62l7385,811r-41,-45l7290,735r-18,-69l7240,603r-44,-56l7142,502r-63,-35l7009,445r-75,-8l6904,438r-30,4l6846,448r-28,8l6825,475r6,19l6836,513r5,19l6907,576r53,56l7001,697r25,72l7035,846r-5,59l7015,962r-24,53l6957,1065r-13,15l6930,1095r-15,14l6899,1122r381,l7308,1110r26,-16l7357,1075r20,-21l7396,1026r14,-31l7419,962r3,-35xe" fillcolor="#f3f4f4" stroked="f">
            <v:stroke joinstyle="round"/>
            <v:formulas/>
            <v:path arrowok="t" o:connecttype="segments"/>
            <w10:wrap type="topAndBottom" anchorx="page"/>
          </v:shape>
        </w:pict>
      </w:r>
    </w:p>
    <w:p w14:paraId="46D39C57" w14:textId="77777777" w:rsidR="0055291C" w:rsidRDefault="0055291C">
      <w:pPr>
        <w:rPr>
          <w:rFonts w:ascii="Arial"/>
          <w:sz w:val="11"/>
          <w:lang w:eastAsia="ja-JP"/>
        </w:rPr>
        <w:sectPr w:rsidR="0055291C">
          <w:footerReference w:type="default" r:id="rId52"/>
          <w:type w:val="continuous"/>
          <w:pgSz w:w="12240" w:h="15840"/>
          <w:pgMar w:top="740" w:right="0" w:bottom="280" w:left="0" w:header="0" w:footer="0" w:gutter="0"/>
          <w:pgNumType w:start="1"/>
          <w:cols w:space="720"/>
        </w:sectPr>
      </w:pPr>
    </w:p>
    <w:p w14:paraId="3F2193A4" w14:textId="71CB0A63" w:rsidR="0055291C" w:rsidRDefault="00000000">
      <w:pPr>
        <w:pStyle w:val="a3"/>
        <w:rPr>
          <w:rFonts w:ascii="Arial"/>
          <w:sz w:val="20"/>
        </w:rPr>
      </w:pPr>
      <w:r>
        <w:rPr>
          <w:rFonts w:ascii="Arial"/>
          <w:sz w:val="20"/>
        </w:rPr>
      </w:r>
      <w:r>
        <w:rPr>
          <w:rFonts w:ascii="Arial"/>
          <w:sz w:val="20"/>
        </w:rPr>
        <w:pict w14:anchorId="68CA0AFA">
          <v:group id="docshapegroup93" o:spid="_x0000_s3696" style="width:297pt;height:31.8pt;mso-position-horizontal-relative:char;mso-position-vertical-relative:line" coordsize="5940,636">
            <v:shape id="docshape94" o:spid="_x0000_s3697" style="position:absolute;width:5940;height:636" coordsize="5940,636" path="m5940,l,,,635r5713,l5844,632r68,-25l5936,539r4,-131l5940,xe" fillcolor="#00aca1" stroked="f">
              <v:path arrowok="t"/>
            </v:shape>
            <w10:anchorlock/>
          </v:group>
        </w:pict>
      </w:r>
    </w:p>
    <w:p w14:paraId="0629D2D9" w14:textId="77777777" w:rsidR="0055291C" w:rsidRDefault="0055291C">
      <w:pPr>
        <w:pStyle w:val="a3"/>
        <w:rPr>
          <w:rFonts w:ascii="Arial"/>
          <w:b/>
          <w:i/>
          <w:sz w:val="20"/>
        </w:rPr>
      </w:pPr>
    </w:p>
    <w:p w14:paraId="0D8A8143" w14:textId="77777777" w:rsidR="0055291C" w:rsidRDefault="0055291C">
      <w:pPr>
        <w:pStyle w:val="a3"/>
        <w:rPr>
          <w:rFonts w:ascii="Arial"/>
          <w:b/>
          <w:i/>
          <w:sz w:val="20"/>
        </w:rPr>
      </w:pPr>
    </w:p>
    <w:p w14:paraId="158DA42F" w14:textId="77777777" w:rsidR="0055291C" w:rsidRDefault="0055291C">
      <w:pPr>
        <w:pStyle w:val="a3"/>
        <w:rPr>
          <w:rFonts w:ascii="Arial"/>
          <w:b/>
          <w:i/>
          <w:sz w:val="20"/>
        </w:rPr>
      </w:pPr>
    </w:p>
    <w:p w14:paraId="75E0656E" w14:textId="77777777" w:rsidR="0055291C" w:rsidRDefault="0055291C">
      <w:pPr>
        <w:pStyle w:val="a3"/>
        <w:rPr>
          <w:rFonts w:ascii="Arial"/>
          <w:b/>
          <w:i/>
          <w:sz w:val="20"/>
        </w:rPr>
      </w:pPr>
    </w:p>
    <w:p w14:paraId="3CA01C4E" w14:textId="77777777" w:rsidR="0055291C" w:rsidRDefault="0055291C">
      <w:pPr>
        <w:pStyle w:val="a3"/>
        <w:rPr>
          <w:rFonts w:ascii="Arial"/>
          <w:b/>
          <w:i/>
          <w:sz w:val="20"/>
        </w:rPr>
      </w:pPr>
    </w:p>
    <w:p w14:paraId="656AB32D" w14:textId="77777777" w:rsidR="0055291C" w:rsidRDefault="0055291C">
      <w:pPr>
        <w:pStyle w:val="a3"/>
        <w:rPr>
          <w:rFonts w:ascii="Arial"/>
          <w:b/>
          <w:i/>
          <w:sz w:val="20"/>
        </w:rPr>
      </w:pPr>
    </w:p>
    <w:p w14:paraId="4968B331" w14:textId="77777777" w:rsidR="0055291C" w:rsidRDefault="0055291C">
      <w:pPr>
        <w:pStyle w:val="a3"/>
        <w:rPr>
          <w:rFonts w:ascii="Arial"/>
          <w:b/>
          <w:i/>
          <w:sz w:val="20"/>
        </w:rPr>
      </w:pPr>
    </w:p>
    <w:p w14:paraId="50AF4394" w14:textId="77777777" w:rsidR="0055291C" w:rsidRDefault="0055291C">
      <w:pPr>
        <w:pStyle w:val="a3"/>
        <w:rPr>
          <w:rFonts w:ascii="Arial"/>
          <w:b/>
          <w:i/>
          <w:sz w:val="20"/>
        </w:rPr>
      </w:pPr>
    </w:p>
    <w:p w14:paraId="6EC06A5E" w14:textId="77777777" w:rsidR="0055291C" w:rsidRDefault="0055291C">
      <w:pPr>
        <w:pStyle w:val="a3"/>
        <w:rPr>
          <w:rFonts w:ascii="Arial"/>
          <w:b/>
          <w:i/>
          <w:sz w:val="20"/>
        </w:rPr>
      </w:pPr>
    </w:p>
    <w:p w14:paraId="66BD7DAD" w14:textId="77777777" w:rsidR="0055291C" w:rsidRDefault="0055291C">
      <w:pPr>
        <w:pStyle w:val="a3"/>
        <w:rPr>
          <w:rFonts w:ascii="Arial"/>
          <w:b/>
          <w:i/>
          <w:sz w:val="20"/>
        </w:rPr>
      </w:pPr>
    </w:p>
    <w:p w14:paraId="0E8B347C" w14:textId="77777777" w:rsidR="0055291C" w:rsidRDefault="0055291C">
      <w:pPr>
        <w:pStyle w:val="a3"/>
        <w:rPr>
          <w:rFonts w:ascii="Arial"/>
          <w:b/>
          <w:i/>
          <w:sz w:val="20"/>
        </w:rPr>
      </w:pPr>
    </w:p>
    <w:p w14:paraId="0D693C56" w14:textId="77777777" w:rsidR="0055291C" w:rsidRDefault="0055291C">
      <w:pPr>
        <w:pStyle w:val="a3"/>
        <w:rPr>
          <w:rFonts w:ascii="Arial"/>
          <w:b/>
          <w:i/>
          <w:sz w:val="20"/>
        </w:rPr>
      </w:pPr>
    </w:p>
    <w:p w14:paraId="193C6711" w14:textId="77777777" w:rsidR="0055291C" w:rsidRDefault="0055291C">
      <w:pPr>
        <w:pStyle w:val="a3"/>
        <w:rPr>
          <w:rFonts w:ascii="Arial"/>
          <w:b/>
          <w:i/>
          <w:sz w:val="20"/>
        </w:rPr>
      </w:pPr>
    </w:p>
    <w:p w14:paraId="3D4AB704" w14:textId="77777777" w:rsidR="0055291C" w:rsidRDefault="0055291C">
      <w:pPr>
        <w:pStyle w:val="a3"/>
        <w:rPr>
          <w:rFonts w:ascii="Arial"/>
          <w:b/>
          <w:i/>
          <w:sz w:val="20"/>
        </w:rPr>
      </w:pPr>
    </w:p>
    <w:p w14:paraId="765BE500" w14:textId="77777777" w:rsidR="0055291C" w:rsidRDefault="0055291C">
      <w:pPr>
        <w:pStyle w:val="a3"/>
        <w:spacing w:before="9"/>
        <w:rPr>
          <w:rFonts w:ascii="Arial"/>
          <w:b/>
          <w:i/>
          <w:sz w:val="20"/>
        </w:rPr>
      </w:pPr>
    </w:p>
    <w:p w14:paraId="3E6D14F4" w14:textId="6E05B8E3" w:rsidR="0055291C" w:rsidRDefault="00F23C61">
      <w:pPr>
        <w:pStyle w:val="3"/>
        <w:spacing w:before="0"/>
        <w:ind w:left="1114"/>
        <w:rPr>
          <w:lang w:eastAsia="ja-JP"/>
        </w:rPr>
      </w:pPr>
      <w:r>
        <w:rPr>
          <w:color w:val="00ACA1"/>
          <w:w w:val="95"/>
          <w:lang w:eastAsia="ja-JP"/>
        </w:rPr>
        <w:t>GHG</w:t>
      </w:r>
      <w:r>
        <w:rPr>
          <w:color w:val="00ACA1"/>
          <w:spacing w:val="-8"/>
          <w:w w:val="95"/>
          <w:lang w:eastAsia="ja-JP"/>
        </w:rPr>
        <w:t xml:space="preserve"> </w:t>
      </w:r>
      <w:r w:rsidR="00E2477E">
        <w:rPr>
          <w:rFonts w:ascii="ＭＳ 明朝" w:eastAsia="ＭＳ 明朝" w:hAnsi="ＭＳ 明朝" w:cs="ＭＳ 明朝" w:hint="eastAsia"/>
          <w:color w:val="00ACA1"/>
          <w:w w:val="95"/>
          <w:lang w:eastAsia="ja-JP"/>
        </w:rPr>
        <w:t>プロトコルチーム</w:t>
      </w:r>
    </w:p>
    <w:p w14:paraId="79C9BA77" w14:textId="77777777" w:rsidR="0055291C" w:rsidRDefault="00F23C61">
      <w:pPr>
        <w:pStyle w:val="a3"/>
        <w:spacing w:before="54" w:line="312" w:lineRule="auto"/>
        <w:ind w:left="1114" w:right="7255"/>
      </w:pPr>
      <w:r>
        <w:rPr>
          <w:color w:val="545456"/>
          <w:spacing w:val="-1"/>
        </w:rPr>
        <w:t>Pankaj Bhatia, World Resources Institute</w:t>
      </w:r>
      <w:r>
        <w:rPr>
          <w:color w:val="545456"/>
        </w:rPr>
        <w:t xml:space="preserve"> </w:t>
      </w:r>
      <w:r>
        <w:rPr>
          <w:color w:val="545456"/>
          <w:spacing w:val="-2"/>
        </w:rPr>
        <w:t>Cynthia</w:t>
      </w:r>
      <w:r>
        <w:rPr>
          <w:color w:val="545456"/>
          <w:spacing w:val="-9"/>
        </w:rPr>
        <w:t xml:space="preserve"> </w:t>
      </w:r>
      <w:proofErr w:type="spellStart"/>
      <w:r>
        <w:rPr>
          <w:color w:val="545456"/>
          <w:spacing w:val="-2"/>
        </w:rPr>
        <w:t>Cummis</w:t>
      </w:r>
      <w:proofErr w:type="spellEnd"/>
      <w:r>
        <w:rPr>
          <w:color w:val="545456"/>
          <w:spacing w:val="-2"/>
        </w:rPr>
        <w:t>,</w:t>
      </w:r>
      <w:r>
        <w:rPr>
          <w:color w:val="545456"/>
          <w:spacing w:val="-8"/>
        </w:rPr>
        <w:t xml:space="preserve"> </w:t>
      </w:r>
      <w:r>
        <w:rPr>
          <w:color w:val="545456"/>
          <w:spacing w:val="-2"/>
        </w:rPr>
        <w:t>World</w:t>
      </w:r>
      <w:r>
        <w:rPr>
          <w:color w:val="545456"/>
          <w:spacing w:val="-9"/>
        </w:rPr>
        <w:t xml:space="preserve"> </w:t>
      </w:r>
      <w:r>
        <w:rPr>
          <w:color w:val="545456"/>
          <w:spacing w:val="-2"/>
        </w:rPr>
        <w:t>Resources</w:t>
      </w:r>
      <w:r>
        <w:rPr>
          <w:color w:val="545456"/>
          <w:spacing w:val="-8"/>
        </w:rPr>
        <w:t xml:space="preserve"> </w:t>
      </w:r>
      <w:r>
        <w:rPr>
          <w:color w:val="545456"/>
          <w:spacing w:val="-1"/>
        </w:rPr>
        <w:t>Institute</w:t>
      </w:r>
    </w:p>
    <w:p w14:paraId="4B0361AA" w14:textId="77777777" w:rsidR="0055291C" w:rsidRDefault="00F23C61">
      <w:pPr>
        <w:pStyle w:val="a3"/>
        <w:spacing w:before="1" w:line="312" w:lineRule="auto"/>
        <w:ind w:left="1114" w:right="5415"/>
      </w:pPr>
      <w:r>
        <w:rPr>
          <w:color w:val="545456"/>
          <w:spacing w:val="-1"/>
        </w:rPr>
        <w:t>Andrea</w:t>
      </w:r>
      <w:r>
        <w:rPr>
          <w:color w:val="545456"/>
          <w:spacing w:val="-11"/>
        </w:rPr>
        <w:t xml:space="preserve"> </w:t>
      </w:r>
      <w:r>
        <w:rPr>
          <w:color w:val="545456"/>
          <w:spacing w:val="-1"/>
        </w:rPr>
        <w:t>Brown,</w:t>
      </w:r>
      <w:r>
        <w:rPr>
          <w:color w:val="545456"/>
          <w:spacing w:val="-11"/>
        </w:rPr>
        <w:t xml:space="preserve"> </w:t>
      </w:r>
      <w:r>
        <w:rPr>
          <w:color w:val="545456"/>
          <w:spacing w:val="-1"/>
        </w:rPr>
        <w:t>World</w:t>
      </w:r>
      <w:r>
        <w:rPr>
          <w:color w:val="545456"/>
          <w:spacing w:val="-11"/>
        </w:rPr>
        <w:t xml:space="preserve"> </w:t>
      </w:r>
      <w:r>
        <w:rPr>
          <w:color w:val="545456"/>
          <w:spacing w:val="-1"/>
        </w:rPr>
        <w:t>Business</w:t>
      </w:r>
      <w:r>
        <w:rPr>
          <w:color w:val="545456"/>
          <w:spacing w:val="-11"/>
        </w:rPr>
        <w:t xml:space="preserve"> </w:t>
      </w:r>
      <w:r>
        <w:rPr>
          <w:color w:val="545456"/>
          <w:spacing w:val="-1"/>
        </w:rPr>
        <w:t>Council</w:t>
      </w:r>
      <w:r>
        <w:rPr>
          <w:color w:val="545456"/>
          <w:spacing w:val="-11"/>
        </w:rPr>
        <w:t xml:space="preserve"> </w:t>
      </w:r>
      <w:r>
        <w:rPr>
          <w:color w:val="545456"/>
        </w:rPr>
        <w:t>for</w:t>
      </w:r>
      <w:r>
        <w:rPr>
          <w:color w:val="545456"/>
          <w:spacing w:val="-11"/>
        </w:rPr>
        <w:t xml:space="preserve"> </w:t>
      </w:r>
      <w:r>
        <w:rPr>
          <w:color w:val="545456"/>
        </w:rPr>
        <w:t>Sustainable</w:t>
      </w:r>
      <w:r>
        <w:rPr>
          <w:color w:val="545456"/>
          <w:spacing w:val="-11"/>
        </w:rPr>
        <w:t xml:space="preserve"> </w:t>
      </w:r>
      <w:r>
        <w:rPr>
          <w:color w:val="545456"/>
        </w:rPr>
        <w:t>Development</w:t>
      </w:r>
      <w:r>
        <w:rPr>
          <w:color w:val="545456"/>
          <w:spacing w:val="-48"/>
        </w:rPr>
        <w:t xml:space="preserve"> </w:t>
      </w:r>
      <w:r>
        <w:rPr>
          <w:color w:val="545456"/>
        </w:rPr>
        <w:t>Laura</w:t>
      </w:r>
      <w:r>
        <w:rPr>
          <w:color w:val="545456"/>
          <w:spacing w:val="-11"/>
        </w:rPr>
        <w:t xml:space="preserve"> </w:t>
      </w:r>
      <w:proofErr w:type="spellStart"/>
      <w:r>
        <w:rPr>
          <w:color w:val="545456"/>
        </w:rPr>
        <w:t>Draucker</w:t>
      </w:r>
      <w:proofErr w:type="spellEnd"/>
      <w:r>
        <w:rPr>
          <w:color w:val="545456"/>
        </w:rPr>
        <w:t>,</w:t>
      </w:r>
      <w:r>
        <w:rPr>
          <w:color w:val="545456"/>
          <w:spacing w:val="-11"/>
        </w:rPr>
        <w:t xml:space="preserve"> </w:t>
      </w:r>
      <w:r>
        <w:rPr>
          <w:color w:val="545456"/>
        </w:rPr>
        <w:t>World</w:t>
      </w:r>
      <w:r>
        <w:rPr>
          <w:color w:val="545456"/>
          <w:spacing w:val="-11"/>
        </w:rPr>
        <w:t xml:space="preserve"> </w:t>
      </w:r>
      <w:r>
        <w:rPr>
          <w:color w:val="545456"/>
        </w:rPr>
        <w:t>Resources</w:t>
      </w:r>
      <w:r>
        <w:rPr>
          <w:color w:val="545456"/>
          <w:spacing w:val="-11"/>
        </w:rPr>
        <w:t xml:space="preserve"> </w:t>
      </w:r>
      <w:r>
        <w:rPr>
          <w:color w:val="545456"/>
        </w:rPr>
        <w:t>Institute</w:t>
      </w:r>
    </w:p>
    <w:p w14:paraId="5BC6891A" w14:textId="77777777" w:rsidR="0055291C" w:rsidRDefault="00F23C61">
      <w:pPr>
        <w:pStyle w:val="a3"/>
        <w:spacing w:line="312" w:lineRule="auto"/>
        <w:ind w:left="1114" w:right="7627"/>
      </w:pPr>
      <w:r>
        <w:rPr>
          <w:color w:val="545456"/>
          <w:w w:val="95"/>
        </w:rPr>
        <w:t>David</w:t>
      </w:r>
      <w:r>
        <w:rPr>
          <w:color w:val="545456"/>
          <w:spacing w:val="16"/>
          <w:w w:val="95"/>
        </w:rPr>
        <w:t xml:space="preserve"> </w:t>
      </w:r>
      <w:r>
        <w:rPr>
          <w:color w:val="545456"/>
          <w:w w:val="95"/>
        </w:rPr>
        <w:t>Rich,</w:t>
      </w:r>
      <w:r>
        <w:rPr>
          <w:color w:val="545456"/>
          <w:spacing w:val="16"/>
          <w:w w:val="95"/>
        </w:rPr>
        <w:t xml:space="preserve"> </w:t>
      </w:r>
      <w:r>
        <w:rPr>
          <w:color w:val="545456"/>
          <w:w w:val="95"/>
        </w:rPr>
        <w:t>World</w:t>
      </w:r>
      <w:r>
        <w:rPr>
          <w:color w:val="545456"/>
          <w:spacing w:val="16"/>
          <w:w w:val="95"/>
        </w:rPr>
        <w:t xml:space="preserve"> </w:t>
      </w:r>
      <w:r>
        <w:rPr>
          <w:color w:val="545456"/>
          <w:w w:val="95"/>
        </w:rPr>
        <w:t>Resources</w:t>
      </w:r>
      <w:r>
        <w:rPr>
          <w:color w:val="545456"/>
          <w:spacing w:val="16"/>
          <w:w w:val="95"/>
        </w:rPr>
        <w:t xml:space="preserve"> </w:t>
      </w:r>
      <w:r>
        <w:rPr>
          <w:color w:val="545456"/>
          <w:w w:val="95"/>
        </w:rPr>
        <w:t>Institute</w:t>
      </w:r>
      <w:r>
        <w:rPr>
          <w:color w:val="545456"/>
          <w:spacing w:val="-45"/>
          <w:w w:val="95"/>
        </w:rPr>
        <w:t xml:space="preserve"> </w:t>
      </w:r>
      <w:r>
        <w:rPr>
          <w:color w:val="545456"/>
          <w:spacing w:val="-1"/>
        </w:rPr>
        <w:t>Holly</w:t>
      </w:r>
      <w:r>
        <w:rPr>
          <w:color w:val="545456"/>
          <w:spacing w:val="-10"/>
        </w:rPr>
        <w:t xml:space="preserve"> </w:t>
      </w:r>
      <w:proofErr w:type="spellStart"/>
      <w:r>
        <w:rPr>
          <w:color w:val="545456"/>
          <w:spacing w:val="-1"/>
        </w:rPr>
        <w:t>Lahd</w:t>
      </w:r>
      <w:proofErr w:type="spellEnd"/>
      <w:r>
        <w:rPr>
          <w:color w:val="545456"/>
          <w:spacing w:val="-1"/>
        </w:rPr>
        <w:t>,</w:t>
      </w:r>
      <w:r>
        <w:rPr>
          <w:color w:val="545456"/>
          <w:spacing w:val="-10"/>
        </w:rPr>
        <w:t xml:space="preserve"> </w:t>
      </w:r>
      <w:r>
        <w:rPr>
          <w:color w:val="545456"/>
          <w:spacing w:val="-1"/>
        </w:rPr>
        <w:t>World</w:t>
      </w:r>
      <w:r>
        <w:rPr>
          <w:color w:val="545456"/>
          <w:spacing w:val="-10"/>
        </w:rPr>
        <w:t xml:space="preserve"> </w:t>
      </w:r>
      <w:r>
        <w:rPr>
          <w:color w:val="545456"/>
          <w:spacing w:val="-1"/>
        </w:rPr>
        <w:t>Resources</w:t>
      </w:r>
      <w:r>
        <w:rPr>
          <w:color w:val="545456"/>
          <w:spacing w:val="-10"/>
        </w:rPr>
        <w:t xml:space="preserve"> </w:t>
      </w:r>
      <w:r>
        <w:rPr>
          <w:color w:val="545456"/>
          <w:spacing w:val="-1"/>
        </w:rPr>
        <w:t>Institute</w:t>
      </w:r>
    </w:p>
    <w:p w14:paraId="6A869C2F" w14:textId="77777777" w:rsidR="0055291C" w:rsidRDefault="0055291C">
      <w:pPr>
        <w:pStyle w:val="a3"/>
        <w:rPr>
          <w:sz w:val="20"/>
        </w:rPr>
      </w:pPr>
    </w:p>
    <w:p w14:paraId="4922ACF0" w14:textId="77777777" w:rsidR="0055291C" w:rsidRDefault="0055291C">
      <w:pPr>
        <w:pStyle w:val="a3"/>
        <w:rPr>
          <w:sz w:val="20"/>
        </w:rPr>
      </w:pPr>
    </w:p>
    <w:p w14:paraId="52514250" w14:textId="77777777" w:rsidR="0055291C" w:rsidRDefault="0055291C">
      <w:pPr>
        <w:pStyle w:val="a3"/>
        <w:spacing w:before="6"/>
        <w:rPr>
          <w:sz w:val="17"/>
        </w:rPr>
      </w:pPr>
    </w:p>
    <w:p w14:paraId="1269C9B6" w14:textId="3DD66C04" w:rsidR="0055291C" w:rsidRPr="00E2477E" w:rsidRDefault="00E2477E">
      <w:pPr>
        <w:pStyle w:val="3"/>
        <w:spacing w:before="0"/>
        <w:ind w:left="1114"/>
        <w:rPr>
          <w:color w:val="31849B" w:themeColor="accent5" w:themeShade="BF"/>
        </w:rPr>
      </w:pPr>
      <w:r w:rsidRPr="00E2477E">
        <w:rPr>
          <w:rFonts w:ascii="ＭＳ 明朝" w:eastAsia="ＭＳ 明朝" w:hAnsi="ＭＳ 明朝" w:cs="ＭＳ 明朝" w:hint="eastAsia"/>
          <w:color w:val="31849B" w:themeColor="accent5" w:themeShade="BF"/>
          <w:lang w:eastAsia="ja-JP"/>
        </w:rPr>
        <w:t>運営委員会</w:t>
      </w:r>
    </w:p>
    <w:p w14:paraId="7F6C0C00" w14:textId="77777777" w:rsidR="0055291C" w:rsidRDefault="00F23C61">
      <w:pPr>
        <w:pStyle w:val="a3"/>
        <w:spacing w:before="54"/>
        <w:ind w:left="1114"/>
      </w:pPr>
      <w:r>
        <w:rPr>
          <w:color w:val="545456"/>
          <w:spacing w:val="-2"/>
        </w:rPr>
        <w:t>Gerald</w:t>
      </w:r>
      <w:r>
        <w:rPr>
          <w:color w:val="545456"/>
          <w:spacing w:val="-9"/>
        </w:rPr>
        <w:t xml:space="preserve"> </w:t>
      </w:r>
      <w:proofErr w:type="spellStart"/>
      <w:r>
        <w:rPr>
          <w:color w:val="545456"/>
          <w:spacing w:val="-2"/>
        </w:rPr>
        <w:t>Rebitzer</w:t>
      </w:r>
      <w:proofErr w:type="spellEnd"/>
      <w:r>
        <w:rPr>
          <w:color w:val="545456"/>
          <w:spacing w:val="-2"/>
        </w:rPr>
        <w:t>,</w:t>
      </w:r>
      <w:r>
        <w:rPr>
          <w:color w:val="545456"/>
          <w:spacing w:val="-9"/>
        </w:rPr>
        <w:t xml:space="preserve"> </w:t>
      </w:r>
      <w:r>
        <w:rPr>
          <w:color w:val="545456"/>
          <w:spacing w:val="-1"/>
        </w:rPr>
        <w:t>Amcor</w:t>
      </w:r>
      <w:r>
        <w:rPr>
          <w:color w:val="545456"/>
          <w:spacing w:val="-9"/>
        </w:rPr>
        <w:t xml:space="preserve"> </w:t>
      </w:r>
      <w:r>
        <w:rPr>
          <w:color w:val="545456"/>
          <w:spacing w:val="-1"/>
        </w:rPr>
        <w:t>Ltd.</w:t>
      </w:r>
    </w:p>
    <w:p w14:paraId="6F1567BD" w14:textId="77777777" w:rsidR="0055291C" w:rsidRDefault="00F23C61">
      <w:pPr>
        <w:pStyle w:val="a3"/>
        <w:spacing w:before="65" w:line="312" w:lineRule="auto"/>
        <w:ind w:left="1114" w:right="6087"/>
      </w:pPr>
      <w:r>
        <w:rPr>
          <w:color w:val="545456"/>
          <w:w w:val="95"/>
        </w:rPr>
        <w:t>Nigel Topping, Frances Way,</w:t>
      </w:r>
      <w:r>
        <w:rPr>
          <w:color w:val="545456"/>
          <w:spacing w:val="1"/>
          <w:w w:val="95"/>
        </w:rPr>
        <w:t xml:space="preserve"> </w:t>
      </w:r>
      <w:r>
        <w:rPr>
          <w:color w:val="545456"/>
          <w:w w:val="95"/>
        </w:rPr>
        <w:t>Carbon Disclosure Project</w:t>
      </w:r>
      <w:r>
        <w:rPr>
          <w:color w:val="545456"/>
          <w:spacing w:val="1"/>
          <w:w w:val="95"/>
        </w:rPr>
        <w:t xml:space="preserve"> </w:t>
      </w:r>
      <w:r>
        <w:rPr>
          <w:color w:val="545456"/>
          <w:w w:val="95"/>
        </w:rPr>
        <w:t>(CDP)</w:t>
      </w:r>
      <w:r>
        <w:rPr>
          <w:color w:val="545456"/>
          <w:spacing w:val="-45"/>
          <w:w w:val="95"/>
        </w:rPr>
        <w:t xml:space="preserve"> </w:t>
      </w:r>
      <w:r>
        <w:rPr>
          <w:color w:val="545456"/>
        </w:rPr>
        <w:t>Graham</w:t>
      </w:r>
      <w:r>
        <w:rPr>
          <w:color w:val="545456"/>
          <w:spacing w:val="-12"/>
        </w:rPr>
        <w:t xml:space="preserve"> </w:t>
      </w:r>
      <w:proofErr w:type="spellStart"/>
      <w:r>
        <w:rPr>
          <w:color w:val="545456"/>
        </w:rPr>
        <w:t>Sinden</w:t>
      </w:r>
      <w:proofErr w:type="spellEnd"/>
      <w:r>
        <w:rPr>
          <w:color w:val="545456"/>
        </w:rPr>
        <w:t>,</w:t>
      </w:r>
      <w:r>
        <w:rPr>
          <w:color w:val="545456"/>
          <w:spacing w:val="-12"/>
        </w:rPr>
        <w:t xml:space="preserve"> </w:t>
      </w:r>
      <w:r>
        <w:rPr>
          <w:color w:val="545456"/>
        </w:rPr>
        <w:t>The</w:t>
      </w:r>
      <w:r>
        <w:rPr>
          <w:color w:val="545456"/>
          <w:spacing w:val="-11"/>
        </w:rPr>
        <w:t xml:space="preserve"> </w:t>
      </w:r>
      <w:r>
        <w:rPr>
          <w:color w:val="545456"/>
        </w:rPr>
        <w:t>Carbon</w:t>
      </w:r>
      <w:r>
        <w:rPr>
          <w:color w:val="545456"/>
          <w:spacing w:val="-12"/>
        </w:rPr>
        <w:t xml:space="preserve"> </w:t>
      </w:r>
      <w:r>
        <w:rPr>
          <w:color w:val="545456"/>
        </w:rPr>
        <w:t>Trust</w:t>
      </w:r>
    </w:p>
    <w:p w14:paraId="2339B4B9" w14:textId="77777777" w:rsidR="0055291C" w:rsidRDefault="00F23C61">
      <w:pPr>
        <w:pStyle w:val="a3"/>
        <w:spacing w:before="1" w:line="312" w:lineRule="auto"/>
        <w:ind w:left="1114" w:right="7255"/>
      </w:pPr>
      <w:r>
        <w:rPr>
          <w:color w:val="545456"/>
        </w:rPr>
        <w:t>H.</w:t>
      </w:r>
      <w:r>
        <w:rPr>
          <w:color w:val="545456"/>
          <w:spacing w:val="-13"/>
        </w:rPr>
        <w:t xml:space="preserve"> </w:t>
      </w:r>
      <w:r>
        <w:rPr>
          <w:color w:val="545456"/>
        </w:rPr>
        <w:t>Scott</w:t>
      </w:r>
      <w:r>
        <w:rPr>
          <w:color w:val="545456"/>
          <w:spacing w:val="-12"/>
        </w:rPr>
        <w:t xml:space="preserve"> </w:t>
      </w:r>
      <w:r>
        <w:rPr>
          <w:color w:val="545456"/>
        </w:rPr>
        <w:t>Matthews,</w:t>
      </w:r>
      <w:r>
        <w:rPr>
          <w:color w:val="545456"/>
          <w:spacing w:val="-12"/>
        </w:rPr>
        <w:t xml:space="preserve"> </w:t>
      </w:r>
      <w:r>
        <w:rPr>
          <w:color w:val="545456"/>
        </w:rPr>
        <w:t>Carnegie</w:t>
      </w:r>
      <w:r>
        <w:rPr>
          <w:color w:val="545456"/>
          <w:spacing w:val="-12"/>
        </w:rPr>
        <w:t xml:space="preserve"> </w:t>
      </w:r>
      <w:r>
        <w:rPr>
          <w:color w:val="545456"/>
        </w:rPr>
        <w:t>Mellon</w:t>
      </w:r>
      <w:r>
        <w:rPr>
          <w:color w:val="545456"/>
          <w:spacing w:val="-12"/>
        </w:rPr>
        <w:t xml:space="preserve"> </w:t>
      </w:r>
      <w:r>
        <w:rPr>
          <w:color w:val="545456"/>
        </w:rPr>
        <w:t>University</w:t>
      </w:r>
      <w:r>
        <w:rPr>
          <w:color w:val="545456"/>
          <w:spacing w:val="-47"/>
        </w:rPr>
        <w:t xml:space="preserve"> </w:t>
      </w:r>
      <w:r>
        <w:rPr>
          <w:color w:val="545456"/>
          <w:w w:val="95"/>
        </w:rPr>
        <w:t>Luc</w:t>
      </w:r>
      <w:r>
        <w:rPr>
          <w:color w:val="545456"/>
          <w:spacing w:val="-4"/>
          <w:w w:val="95"/>
        </w:rPr>
        <w:t xml:space="preserve"> </w:t>
      </w:r>
      <w:proofErr w:type="spellStart"/>
      <w:r>
        <w:rPr>
          <w:color w:val="545456"/>
          <w:w w:val="95"/>
        </w:rPr>
        <w:t>Larmuseau</w:t>
      </w:r>
      <w:proofErr w:type="spellEnd"/>
      <w:r>
        <w:rPr>
          <w:color w:val="545456"/>
          <w:w w:val="95"/>
        </w:rPr>
        <w:t>,</w:t>
      </w:r>
      <w:r>
        <w:rPr>
          <w:color w:val="545456"/>
          <w:spacing w:val="-3"/>
          <w:w w:val="95"/>
        </w:rPr>
        <w:t xml:space="preserve"> </w:t>
      </w:r>
      <w:r>
        <w:rPr>
          <w:color w:val="545456"/>
          <w:w w:val="95"/>
        </w:rPr>
        <w:t>DNV</w:t>
      </w:r>
      <w:r>
        <w:rPr>
          <w:color w:val="545456"/>
          <w:spacing w:val="-3"/>
          <w:w w:val="95"/>
        </w:rPr>
        <w:t xml:space="preserve"> </w:t>
      </w:r>
      <w:r>
        <w:rPr>
          <w:color w:val="545456"/>
          <w:w w:val="95"/>
        </w:rPr>
        <w:t>Climate</w:t>
      </w:r>
      <w:r>
        <w:rPr>
          <w:color w:val="545456"/>
          <w:spacing w:val="-4"/>
          <w:w w:val="95"/>
        </w:rPr>
        <w:t xml:space="preserve"> </w:t>
      </w:r>
      <w:r>
        <w:rPr>
          <w:color w:val="545456"/>
          <w:w w:val="95"/>
        </w:rPr>
        <w:t>Change</w:t>
      </w:r>
      <w:r>
        <w:rPr>
          <w:color w:val="545456"/>
          <w:spacing w:val="-3"/>
          <w:w w:val="95"/>
        </w:rPr>
        <w:t xml:space="preserve"> </w:t>
      </w:r>
      <w:r>
        <w:rPr>
          <w:color w:val="545456"/>
          <w:w w:val="95"/>
        </w:rPr>
        <w:t>Services</w:t>
      </w:r>
    </w:p>
    <w:p w14:paraId="77D6E8CE" w14:textId="77777777" w:rsidR="0055291C" w:rsidRDefault="00F23C61">
      <w:pPr>
        <w:pStyle w:val="a3"/>
        <w:spacing w:before="1"/>
        <w:ind w:left="1114"/>
      </w:pPr>
      <w:r>
        <w:rPr>
          <w:color w:val="545456"/>
          <w:w w:val="95"/>
        </w:rPr>
        <w:t>David</w:t>
      </w:r>
      <w:r>
        <w:rPr>
          <w:color w:val="545456"/>
          <w:spacing w:val="-3"/>
          <w:w w:val="95"/>
        </w:rPr>
        <w:t xml:space="preserve"> </w:t>
      </w:r>
      <w:r>
        <w:rPr>
          <w:color w:val="545456"/>
          <w:w w:val="95"/>
        </w:rPr>
        <w:t>A.</w:t>
      </w:r>
      <w:r>
        <w:rPr>
          <w:color w:val="545456"/>
          <w:spacing w:val="-2"/>
          <w:w w:val="95"/>
        </w:rPr>
        <w:t xml:space="preserve"> </w:t>
      </w:r>
      <w:r>
        <w:rPr>
          <w:color w:val="545456"/>
          <w:w w:val="95"/>
        </w:rPr>
        <w:t>Russell,</w:t>
      </w:r>
      <w:r>
        <w:rPr>
          <w:color w:val="545456"/>
          <w:spacing w:val="-3"/>
          <w:w w:val="95"/>
        </w:rPr>
        <w:t xml:space="preserve"> </w:t>
      </w:r>
      <w:r>
        <w:rPr>
          <w:color w:val="545456"/>
          <w:w w:val="95"/>
        </w:rPr>
        <w:t>Rob</w:t>
      </w:r>
      <w:r>
        <w:rPr>
          <w:color w:val="545456"/>
          <w:spacing w:val="-2"/>
          <w:w w:val="95"/>
        </w:rPr>
        <w:t xml:space="preserve"> </w:t>
      </w:r>
      <w:r>
        <w:rPr>
          <w:color w:val="545456"/>
          <w:w w:val="95"/>
        </w:rPr>
        <w:t>Rouse,</w:t>
      </w:r>
      <w:r>
        <w:rPr>
          <w:color w:val="545456"/>
          <w:spacing w:val="-3"/>
          <w:w w:val="95"/>
        </w:rPr>
        <w:t xml:space="preserve"> </w:t>
      </w:r>
      <w:r>
        <w:rPr>
          <w:color w:val="545456"/>
          <w:w w:val="95"/>
        </w:rPr>
        <w:t>The</w:t>
      </w:r>
      <w:r>
        <w:rPr>
          <w:color w:val="545456"/>
          <w:spacing w:val="-2"/>
          <w:w w:val="95"/>
        </w:rPr>
        <w:t xml:space="preserve"> </w:t>
      </w:r>
      <w:r>
        <w:rPr>
          <w:color w:val="545456"/>
          <w:w w:val="95"/>
        </w:rPr>
        <w:t>Dow</w:t>
      </w:r>
      <w:r>
        <w:rPr>
          <w:color w:val="545456"/>
          <w:spacing w:val="-2"/>
          <w:w w:val="95"/>
        </w:rPr>
        <w:t xml:space="preserve"> </w:t>
      </w:r>
      <w:r>
        <w:rPr>
          <w:color w:val="545456"/>
          <w:w w:val="95"/>
        </w:rPr>
        <w:t>Chemical</w:t>
      </w:r>
      <w:r>
        <w:rPr>
          <w:color w:val="545456"/>
          <w:spacing w:val="-3"/>
          <w:w w:val="95"/>
        </w:rPr>
        <w:t xml:space="preserve"> </w:t>
      </w:r>
      <w:r>
        <w:rPr>
          <w:color w:val="545456"/>
          <w:w w:val="95"/>
        </w:rPr>
        <w:t>Company</w:t>
      </w:r>
    </w:p>
    <w:p w14:paraId="0AAE319B" w14:textId="77777777" w:rsidR="0055291C" w:rsidRDefault="00F23C61">
      <w:pPr>
        <w:pStyle w:val="a3"/>
        <w:spacing w:before="65" w:line="312" w:lineRule="auto"/>
        <w:ind w:left="1114" w:right="2642"/>
      </w:pPr>
      <w:r>
        <w:rPr>
          <w:color w:val="545456"/>
          <w:w w:val="95"/>
        </w:rPr>
        <w:t>Jiang</w:t>
      </w:r>
      <w:r>
        <w:rPr>
          <w:color w:val="545456"/>
          <w:spacing w:val="18"/>
          <w:w w:val="95"/>
        </w:rPr>
        <w:t xml:space="preserve"> </w:t>
      </w:r>
      <w:proofErr w:type="spellStart"/>
      <w:r>
        <w:rPr>
          <w:color w:val="545456"/>
          <w:w w:val="95"/>
        </w:rPr>
        <w:t>Kejun</w:t>
      </w:r>
      <w:proofErr w:type="spellEnd"/>
      <w:r>
        <w:rPr>
          <w:color w:val="545456"/>
          <w:w w:val="95"/>
        </w:rPr>
        <w:t>,</w:t>
      </w:r>
      <w:r>
        <w:rPr>
          <w:color w:val="545456"/>
          <w:spacing w:val="19"/>
          <w:w w:val="95"/>
        </w:rPr>
        <w:t xml:space="preserve"> </w:t>
      </w:r>
      <w:r>
        <w:rPr>
          <w:color w:val="545456"/>
          <w:w w:val="95"/>
        </w:rPr>
        <w:t>Energy</w:t>
      </w:r>
      <w:r>
        <w:rPr>
          <w:color w:val="545456"/>
          <w:spacing w:val="19"/>
          <w:w w:val="95"/>
        </w:rPr>
        <w:t xml:space="preserve"> </w:t>
      </w:r>
      <w:r>
        <w:rPr>
          <w:color w:val="545456"/>
          <w:w w:val="95"/>
        </w:rPr>
        <w:t>Research</w:t>
      </w:r>
      <w:r>
        <w:rPr>
          <w:color w:val="545456"/>
          <w:spacing w:val="19"/>
          <w:w w:val="95"/>
        </w:rPr>
        <w:t xml:space="preserve"> </w:t>
      </w:r>
      <w:r>
        <w:rPr>
          <w:color w:val="545456"/>
          <w:w w:val="95"/>
        </w:rPr>
        <w:t>Institute,</w:t>
      </w:r>
      <w:r>
        <w:rPr>
          <w:color w:val="545456"/>
          <w:spacing w:val="18"/>
          <w:w w:val="95"/>
        </w:rPr>
        <w:t xml:space="preserve"> </w:t>
      </w:r>
      <w:r>
        <w:rPr>
          <w:color w:val="545456"/>
          <w:w w:val="95"/>
        </w:rPr>
        <w:t>China’s</w:t>
      </w:r>
      <w:r>
        <w:rPr>
          <w:color w:val="545456"/>
          <w:spacing w:val="19"/>
          <w:w w:val="95"/>
        </w:rPr>
        <w:t xml:space="preserve"> </w:t>
      </w:r>
      <w:r>
        <w:rPr>
          <w:color w:val="545456"/>
          <w:w w:val="95"/>
        </w:rPr>
        <w:t>National</w:t>
      </w:r>
      <w:r>
        <w:rPr>
          <w:color w:val="545456"/>
          <w:spacing w:val="19"/>
          <w:w w:val="95"/>
        </w:rPr>
        <w:t xml:space="preserve"> </w:t>
      </w:r>
      <w:r>
        <w:rPr>
          <w:color w:val="545456"/>
          <w:w w:val="95"/>
        </w:rPr>
        <w:t>Development</w:t>
      </w:r>
      <w:r>
        <w:rPr>
          <w:color w:val="545456"/>
          <w:spacing w:val="18"/>
          <w:w w:val="95"/>
        </w:rPr>
        <w:t xml:space="preserve"> </w:t>
      </w:r>
      <w:r>
        <w:rPr>
          <w:color w:val="545456"/>
          <w:w w:val="95"/>
        </w:rPr>
        <w:t>and</w:t>
      </w:r>
      <w:r>
        <w:rPr>
          <w:color w:val="545456"/>
          <w:spacing w:val="19"/>
          <w:w w:val="95"/>
        </w:rPr>
        <w:t xml:space="preserve"> </w:t>
      </w:r>
      <w:r>
        <w:rPr>
          <w:color w:val="545456"/>
          <w:w w:val="95"/>
        </w:rPr>
        <w:t>Reform</w:t>
      </w:r>
      <w:r>
        <w:rPr>
          <w:color w:val="545456"/>
          <w:spacing w:val="19"/>
          <w:w w:val="95"/>
        </w:rPr>
        <w:t xml:space="preserve"> </w:t>
      </w:r>
      <w:r>
        <w:rPr>
          <w:color w:val="545456"/>
          <w:w w:val="95"/>
        </w:rPr>
        <w:t>Commission</w:t>
      </w:r>
      <w:r>
        <w:rPr>
          <w:color w:val="545456"/>
          <w:spacing w:val="-45"/>
          <w:w w:val="95"/>
        </w:rPr>
        <w:t xml:space="preserve"> </w:t>
      </w:r>
      <w:r>
        <w:rPr>
          <w:color w:val="545456"/>
        </w:rPr>
        <w:t>Andrew</w:t>
      </w:r>
      <w:r>
        <w:rPr>
          <w:color w:val="545456"/>
          <w:spacing w:val="-11"/>
        </w:rPr>
        <w:t xml:space="preserve"> </w:t>
      </w:r>
      <w:r>
        <w:rPr>
          <w:color w:val="545456"/>
        </w:rPr>
        <w:t>Hutson,</w:t>
      </w:r>
      <w:r>
        <w:rPr>
          <w:color w:val="545456"/>
          <w:spacing w:val="-10"/>
        </w:rPr>
        <w:t xml:space="preserve"> </w:t>
      </w:r>
      <w:r>
        <w:rPr>
          <w:color w:val="545456"/>
        </w:rPr>
        <w:t>Environmental</w:t>
      </w:r>
      <w:r>
        <w:rPr>
          <w:color w:val="545456"/>
          <w:spacing w:val="-10"/>
        </w:rPr>
        <w:t xml:space="preserve"> </w:t>
      </w:r>
      <w:r>
        <w:rPr>
          <w:color w:val="545456"/>
        </w:rPr>
        <w:t>Defense</w:t>
      </w:r>
      <w:r>
        <w:rPr>
          <w:color w:val="545456"/>
          <w:spacing w:val="-10"/>
        </w:rPr>
        <w:t xml:space="preserve"> </w:t>
      </w:r>
      <w:r>
        <w:rPr>
          <w:color w:val="545456"/>
        </w:rPr>
        <w:t>Fund</w:t>
      </w:r>
    </w:p>
    <w:p w14:paraId="57B1CA12" w14:textId="77777777" w:rsidR="0055291C" w:rsidRDefault="00F23C61">
      <w:pPr>
        <w:pStyle w:val="a3"/>
        <w:spacing w:before="1"/>
        <w:ind w:left="1114"/>
      </w:pPr>
      <w:r>
        <w:rPr>
          <w:color w:val="545456"/>
          <w:spacing w:val="-2"/>
        </w:rPr>
        <w:t>Simon</w:t>
      </w:r>
      <w:r>
        <w:rPr>
          <w:color w:val="545456"/>
          <w:spacing w:val="-10"/>
        </w:rPr>
        <w:t xml:space="preserve"> </w:t>
      </w:r>
      <w:proofErr w:type="spellStart"/>
      <w:r>
        <w:rPr>
          <w:color w:val="545456"/>
          <w:spacing w:val="-2"/>
        </w:rPr>
        <w:t>Aumônier</w:t>
      </w:r>
      <w:proofErr w:type="spellEnd"/>
      <w:r>
        <w:rPr>
          <w:color w:val="545456"/>
          <w:spacing w:val="-2"/>
        </w:rPr>
        <w:t>,</w:t>
      </w:r>
      <w:r>
        <w:rPr>
          <w:color w:val="545456"/>
          <w:spacing w:val="-10"/>
        </w:rPr>
        <w:t xml:space="preserve"> </w:t>
      </w:r>
      <w:r>
        <w:rPr>
          <w:color w:val="545456"/>
          <w:spacing w:val="-1"/>
        </w:rPr>
        <w:t>Environmental</w:t>
      </w:r>
      <w:r>
        <w:rPr>
          <w:color w:val="545456"/>
          <w:spacing w:val="-9"/>
        </w:rPr>
        <w:t xml:space="preserve"> </w:t>
      </w:r>
      <w:r>
        <w:rPr>
          <w:color w:val="545456"/>
          <w:spacing w:val="-1"/>
        </w:rPr>
        <w:t>Resources</w:t>
      </w:r>
      <w:r>
        <w:rPr>
          <w:color w:val="545456"/>
          <w:spacing w:val="-10"/>
        </w:rPr>
        <w:t xml:space="preserve"> </w:t>
      </w:r>
      <w:r>
        <w:rPr>
          <w:color w:val="545456"/>
          <w:spacing w:val="-1"/>
        </w:rPr>
        <w:t>Management</w:t>
      </w:r>
    </w:p>
    <w:p w14:paraId="5AA1E84F" w14:textId="77777777" w:rsidR="0055291C" w:rsidRDefault="00F23C61">
      <w:pPr>
        <w:pStyle w:val="a3"/>
        <w:spacing w:before="65" w:line="312" w:lineRule="auto"/>
        <w:ind w:left="1114" w:right="3951"/>
      </w:pPr>
      <w:r>
        <w:rPr>
          <w:color w:val="545456"/>
          <w:w w:val="95"/>
        </w:rPr>
        <w:t>Ugo</w:t>
      </w:r>
      <w:r>
        <w:rPr>
          <w:color w:val="545456"/>
          <w:spacing w:val="17"/>
          <w:w w:val="95"/>
        </w:rPr>
        <w:t xml:space="preserve"> </w:t>
      </w:r>
      <w:proofErr w:type="spellStart"/>
      <w:r>
        <w:rPr>
          <w:color w:val="545456"/>
          <w:w w:val="95"/>
        </w:rPr>
        <w:t>Pretato</w:t>
      </w:r>
      <w:proofErr w:type="spellEnd"/>
      <w:r>
        <w:rPr>
          <w:color w:val="545456"/>
          <w:w w:val="95"/>
        </w:rPr>
        <w:t>,</w:t>
      </w:r>
      <w:r>
        <w:rPr>
          <w:color w:val="545456"/>
          <w:spacing w:val="17"/>
          <w:w w:val="95"/>
        </w:rPr>
        <w:t xml:space="preserve"> </w:t>
      </w:r>
      <w:r>
        <w:rPr>
          <w:color w:val="545456"/>
          <w:w w:val="95"/>
        </w:rPr>
        <w:t>Kirana</w:t>
      </w:r>
      <w:r>
        <w:rPr>
          <w:color w:val="545456"/>
          <w:spacing w:val="17"/>
          <w:w w:val="95"/>
        </w:rPr>
        <w:t xml:space="preserve"> </w:t>
      </w:r>
      <w:proofErr w:type="spellStart"/>
      <w:r>
        <w:rPr>
          <w:color w:val="545456"/>
          <w:w w:val="95"/>
        </w:rPr>
        <w:t>Chomkhamsri</w:t>
      </w:r>
      <w:proofErr w:type="spellEnd"/>
      <w:r>
        <w:rPr>
          <w:color w:val="545456"/>
          <w:w w:val="95"/>
        </w:rPr>
        <w:t>,</w:t>
      </w:r>
      <w:r>
        <w:rPr>
          <w:color w:val="545456"/>
          <w:spacing w:val="18"/>
          <w:w w:val="95"/>
        </w:rPr>
        <w:t xml:space="preserve"> </w:t>
      </w:r>
      <w:r>
        <w:rPr>
          <w:color w:val="545456"/>
          <w:w w:val="95"/>
        </w:rPr>
        <w:t>European</w:t>
      </w:r>
      <w:r>
        <w:rPr>
          <w:color w:val="545456"/>
          <w:spacing w:val="17"/>
          <w:w w:val="95"/>
        </w:rPr>
        <w:t xml:space="preserve"> </w:t>
      </w:r>
      <w:r>
        <w:rPr>
          <w:color w:val="545456"/>
          <w:w w:val="95"/>
        </w:rPr>
        <w:t>Commission</w:t>
      </w:r>
      <w:r>
        <w:rPr>
          <w:color w:val="545456"/>
          <w:spacing w:val="17"/>
          <w:w w:val="95"/>
        </w:rPr>
        <w:t xml:space="preserve"> </w:t>
      </w:r>
      <w:r>
        <w:rPr>
          <w:color w:val="545456"/>
          <w:w w:val="95"/>
        </w:rPr>
        <w:t>Joint</w:t>
      </w:r>
      <w:r>
        <w:rPr>
          <w:color w:val="545456"/>
          <w:spacing w:val="17"/>
          <w:w w:val="95"/>
        </w:rPr>
        <w:t xml:space="preserve"> </w:t>
      </w:r>
      <w:r>
        <w:rPr>
          <w:color w:val="545456"/>
          <w:w w:val="95"/>
        </w:rPr>
        <w:t>Research</w:t>
      </w:r>
      <w:r>
        <w:rPr>
          <w:color w:val="545456"/>
          <w:spacing w:val="18"/>
          <w:w w:val="95"/>
        </w:rPr>
        <w:t xml:space="preserve"> </w:t>
      </w:r>
      <w:r>
        <w:rPr>
          <w:color w:val="545456"/>
          <w:w w:val="95"/>
        </w:rPr>
        <w:t>Centre</w:t>
      </w:r>
      <w:r>
        <w:rPr>
          <w:color w:val="545456"/>
          <w:spacing w:val="-45"/>
          <w:w w:val="95"/>
        </w:rPr>
        <w:t xml:space="preserve"> </w:t>
      </w:r>
      <w:r>
        <w:rPr>
          <w:color w:val="545456"/>
        </w:rPr>
        <w:t>Steven</w:t>
      </w:r>
      <w:r>
        <w:rPr>
          <w:color w:val="545456"/>
          <w:spacing w:val="-11"/>
        </w:rPr>
        <w:t xml:space="preserve"> </w:t>
      </w:r>
      <w:r>
        <w:rPr>
          <w:color w:val="545456"/>
        </w:rPr>
        <w:t>Meyers,</w:t>
      </w:r>
      <w:r>
        <w:rPr>
          <w:color w:val="545456"/>
          <w:spacing w:val="-11"/>
        </w:rPr>
        <w:t xml:space="preserve"> </w:t>
      </w:r>
      <w:r>
        <w:rPr>
          <w:color w:val="545456"/>
        </w:rPr>
        <w:t>General</w:t>
      </w:r>
      <w:r>
        <w:rPr>
          <w:color w:val="545456"/>
          <w:spacing w:val="-11"/>
        </w:rPr>
        <w:t xml:space="preserve"> </w:t>
      </w:r>
      <w:r>
        <w:rPr>
          <w:color w:val="545456"/>
        </w:rPr>
        <w:t>Electric</w:t>
      </w:r>
    </w:p>
    <w:p w14:paraId="1059FB64" w14:textId="77777777" w:rsidR="0055291C" w:rsidRDefault="00F23C61">
      <w:pPr>
        <w:pStyle w:val="a3"/>
        <w:spacing w:before="1" w:line="312" w:lineRule="auto"/>
        <w:ind w:left="1114" w:right="5084"/>
      </w:pPr>
      <w:r>
        <w:rPr>
          <w:color w:val="545456"/>
          <w:w w:val="95"/>
        </w:rPr>
        <w:t>Sergio</w:t>
      </w:r>
      <w:r>
        <w:rPr>
          <w:color w:val="545456"/>
          <w:spacing w:val="-8"/>
          <w:w w:val="95"/>
        </w:rPr>
        <w:t xml:space="preserve"> </w:t>
      </w:r>
      <w:proofErr w:type="spellStart"/>
      <w:r>
        <w:rPr>
          <w:color w:val="545456"/>
          <w:w w:val="95"/>
        </w:rPr>
        <w:t>Galeano</w:t>
      </w:r>
      <w:proofErr w:type="spellEnd"/>
      <w:r>
        <w:rPr>
          <w:color w:val="545456"/>
          <w:w w:val="95"/>
        </w:rPr>
        <w:t>,</w:t>
      </w:r>
      <w:r>
        <w:rPr>
          <w:color w:val="545456"/>
          <w:spacing w:val="-7"/>
          <w:w w:val="95"/>
        </w:rPr>
        <w:t xml:space="preserve"> </w:t>
      </w:r>
      <w:r>
        <w:rPr>
          <w:color w:val="545456"/>
          <w:w w:val="95"/>
        </w:rPr>
        <w:t>Georgia</w:t>
      </w:r>
      <w:r>
        <w:rPr>
          <w:color w:val="545456"/>
          <w:spacing w:val="-8"/>
          <w:w w:val="95"/>
        </w:rPr>
        <w:t xml:space="preserve"> </w:t>
      </w:r>
      <w:r>
        <w:rPr>
          <w:color w:val="545456"/>
          <w:w w:val="95"/>
        </w:rPr>
        <w:t>Pacific,</w:t>
      </w:r>
      <w:r>
        <w:rPr>
          <w:color w:val="545456"/>
          <w:spacing w:val="-7"/>
          <w:w w:val="95"/>
        </w:rPr>
        <w:t xml:space="preserve"> </w:t>
      </w:r>
      <w:r>
        <w:rPr>
          <w:color w:val="545456"/>
          <w:w w:val="95"/>
        </w:rPr>
        <w:t>ISO</w:t>
      </w:r>
      <w:r>
        <w:rPr>
          <w:color w:val="545456"/>
          <w:spacing w:val="-8"/>
          <w:w w:val="95"/>
        </w:rPr>
        <w:t xml:space="preserve"> </w:t>
      </w:r>
      <w:r>
        <w:rPr>
          <w:color w:val="545456"/>
          <w:w w:val="95"/>
        </w:rPr>
        <w:t>TC207</w:t>
      </w:r>
      <w:r>
        <w:rPr>
          <w:color w:val="545456"/>
          <w:spacing w:val="-7"/>
          <w:w w:val="95"/>
        </w:rPr>
        <w:t xml:space="preserve"> </w:t>
      </w:r>
      <w:r>
        <w:rPr>
          <w:color w:val="545456"/>
          <w:w w:val="95"/>
        </w:rPr>
        <w:t>U.S.</w:t>
      </w:r>
      <w:r>
        <w:rPr>
          <w:color w:val="545456"/>
          <w:spacing w:val="-7"/>
          <w:w w:val="95"/>
        </w:rPr>
        <w:t xml:space="preserve"> </w:t>
      </w:r>
      <w:r>
        <w:rPr>
          <w:color w:val="545456"/>
          <w:w w:val="95"/>
        </w:rPr>
        <w:t>Technical</w:t>
      </w:r>
      <w:r>
        <w:rPr>
          <w:color w:val="545456"/>
          <w:spacing w:val="-8"/>
          <w:w w:val="95"/>
        </w:rPr>
        <w:t xml:space="preserve"> </w:t>
      </w:r>
      <w:r>
        <w:rPr>
          <w:color w:val="545456"/>
          <w:w w:val="95"/>
        </w:rPr>
        <w:t>Advisory</w:t>
      </w:r>
      <w:r>
        <w:rPr>
          <w:color w:val="545456"/>
          <w:spacing w:val="-7"/>
          <w:w w:val="95"/>
        </w:rPr>
        <w:t xml:space="preserve"> </w:t>
      </w:r>
      <w:r>
        <w:rPr>
          <w:color w:val="545456"/>
          <w:w w:val="95"/>
        </w:rPr>
        <w:t>Group</w:t>
      </w:r>
      <w:r>
        <w:rPr>
          <w:color w:val="545456"/>
          <w:spacing w:val="-45"/>
          <w:w w:val="95"/>
        </w:rPr>
        <w:t xml:space="preserve"> </w:t>
      </w:r>
      <w:r>
        <w:rPr>
          <w:color w:val="545456"/>
          <w:w w:val="95"/>
        </w:rPr>
        <w:t>Gregory</w:t>
      </w:r>
      <w:r>
        <w:rPr>
          <w:color w:val="545456"/>
          <w:spacing w:val="9"/>
          <w:w w:val="95"/>
        </w:rPr>
        <w:t xml:space="preserve"> </w:t>
      </w:r>
      <w:r>
        <w:rPr>
          <w:color w:val="545456"/>
          <w:w w:val="95"/>
        </w:rPr>
        <w:t>A.</w:t>
      </w:r>
      <w:r>
        <w:rPr>
          <w:color w:val="545456"/>
          <w:spacing w:val="10"/>
          <w:w w:val="95"/>
        </w:rPr>
        <w:t xml:space="preserve"> </w:t>
      </w:r>
      <w:r>
        <w:rPr>
          <w:color w:val="545456"/>
          <w:w w:val="95"/>
        </w:rPr>
        <w:t>Norris,</w:t>
      </w:r>
      <w:r>
        <w:rPr>
          <w:color w:val="545456"/>
          <w:spacing w:val="10"/>
          <w:w w:val="95"/>
        </w:rPr>
        <w:t xml:space="preserve"> </w:t>
      </w:r>
      <w:r>
        <w:rPr>
          <w:color w:val="545456"/>
          <w:w w:val="95"/>
        </w:rPr>
        <w:t>Harvard</w:t>
      </w:r>
      <w:r>
        <w:rPr>
          <w:color w:val="545456"/>
          <w:spacing w:val="10"/>
          <w:w w:val="95"/>
        </w:rPr>
        <w:t xml:space="preserve"> </w:t>
      </w:r>
      <w:r>
        <w:rPr>
          <w:color w:val="545456"/>
          <w:w w:val="95"/>
        </w:rPr>
        <w:t>University,</w:t>
      </w:r>
      <w:r>
        <w:rPr>
          <w:color w:val="545456"/>
          <w:spacing w:val="10"/>
          <w:w w:val="95"/>
        </w:rPr>
        <w:t xml:space="preserve"> </w:t>
      </w:r>
      <w:r>
        <w:rPr>
          <w:color w:val="545456"/>
          <w:w w:val="95"/>
        </w:rPr>
        <w:t>New</w:t>
      </w:r>
      <w:r>
        <w:rPr>
          <w:color w:val="545456"/>
          <w:spacing w:val="9"/>
          <w:w w:val="95"/>
        </w:rPr>
        <w:t xml:space="preserve"> </w:t>
      </w:r>
      <w:r>
        <w:rPr>
          <w:color w:val="545456"/>
          <w:w w:val="95"/>
        </w:rPr>
        <w:t>Earth,</w:t>
      </w:r>
      <w:r>
        <w:rPr>
          <w:color w:val="545456"/>
          <w:spacing w:val="10"/>
          <w:w w:val="95"/>
        </w:rPr>
        <w:t xml:space="preserve"> </w:t>
      </w:r>
      <w:r>
        <w:rPr>
          <w:color w:val="545456"/>
          <w:w w:val="95"/>
        </w:rPr>
        <w:t>University</w:t>
      </w:r>
      <w:r>
        <w:rPr>
          <w:color w:val="545456"/>
          <w:spacing w:val="10"/>
          <w:w w:val="95"/>
        </w:rPr>
        <w:t xml:space="preserve"> </w:t>
      </w:r>
      <w:r>
        <w:rPr>
          <w:color w:val="545456"/>
          <w:w w:val="95"/>
        </w:rPr>
        <w:t>of</w:t>
      </w:r>
      <w:r>
        <w:rPr>
          <w:color w:val="545456"/>
          <w:spacing w:val="10"/>
          <w:w w:val="95"/>
        </w:rPr>
        <w:t xml:space="preserve"> </w:t>
      </w:r>
      <w:r>
        <w:rPr>
          <w:color w:val="545456"/>
          <w:w w:val="95"/>
        </w:rPr>
        <w:t>Arkansas</w:t>
      </w:r>
      <w:r>
        <w:rPr>
          <w:color w:val="545456"/>
          <w:spacing w:val="1"/>
          <w:w w:val="95"/>
        </w:rPr>
        <w:t xml:space="preserve"> </w:t>
      </w:r>
      <w:r>
        <w:rPr>
          <w:color w:val="545456"/>
          <w:w w:val="95"/>
        </w:rPr>
        <w:t>Klaus</w:t>
      </w:r>
      <w:r>
        <w:rPr>
          <w:color w:val="545456"/>
          <w:spacing w:val="-6"/>
          <w:w w:val="95"/>
        </w:rPr>
        <w:t xml:space="preserve"> </w:t>
      </w:r>
      <w:proofErr w:type="spellStart"/>
      <w:r>
        <w:rPr>
          <w:color w:val="545456"/>
          <w:w w:val="95"/>
        </w:rPr>
        <w:t>Radunsky</w:t>
      </w:r>
      <w:proofErr w:type="spellEnd"/>
      <w:r>
        <w:rPr>
          <w:color w:val="545456"/>
          <w:w w:val="95"/>
        </w:rPr>
        <w:t>,</w:t>
      </w:r>
      <w:r>
        <w:rPr>
          <w:color w:val="545456"/>
          <w:spacing w:val="-6"/>
          <w:w w:val="95"/>
        </w:rPr>
        <w:t xml:space="preserve"> </w:t>
      </w:r>
      <w:r>
        <w:rPr>
          <w:color w:val="545456"/>
          <w:w w:val="95"/>
        </w:rPr>
        <w:t>ISO</w:t>
      </w:r>
      <w:r>
        <w:rPr>
          <w:color w:val="545456"/>
          <w:spacing w:val="-6"/>
          <w:w w:val="95"/>
        </w:rPr>
        <w:t xml:space="preserve"> </w:t>
      </w:r>
      <w:r>
        <w:rPr>
          <w:color w:val="545456"/>
          <w:w w:val="95"/>
        </w:rPr>
        <w:t>14067</w:t>
      </w:r>
      <w:r>
        <w:rPr>
          <w:color w:val="545456"/>
          <w:spacing w:val="-6"/>
          <w:w w:val="95"/>
        </w:rPr>
        <w:t xml:space="preserve"> </w:t>
      </w:r>
      <w:r>
        <w:rPr>
          <w:color w:val="545456"/>
          <w:w w:val="95"/>
        </w:rPr>
        <w:t>Working</w:t>
      </w:r>
      <w:r>
        <w:rPr>
          <w:color w:val="545456"/>
          <w:spacing w:val="-6"/>
          <w:w w:val="95"/>
        </w:rPr>
        <w:t xml:space="preserve"> </w:t>
      </w:r>
      <w:r>
        <w:rPr>
          <w:color w:val="545456"/>
          <w:w w:val="95"/>
        </w:rPr>
        <w:t>Group</w:t>
      </w:r>
      <w:r>
        <w:rPr>
          <w:color w:val="545456"/>
          <w:spacing w:val="-6"/>
          <w:w w:val="95"/>
        </w:rPr>
        <w:t xml:space="preserve"> </w:t>
      </w:r>
      <w:r>
        <w:rPr>
          <w:color w:val="545456"/>
          <w:w w:val="95"/>
        </w:rPr>
        <w:t>Convener</w:t>
      </w:r>
    </w:p>
    <w:p w14:paraId="670DD2E3" w14:textId="77777777" w:rsidR="0055291C" w:rsidRDefault="00F23C61">
      <w:pPr>
        <w:pStyle w:val="a3"/>
        <w:spacing w:before="1"/>
        <w:ind w:left="1114"/>
      </w:pPr>
      <w:r>
        <w:rPr>
          <w:color w:val="545456"/>
          <w:w w:val="95"/>
        </w:rPr>
        <w:t>Atsushi</w:t>
      </w:r>
      <w:r>
        <w:rPr>
          <w:color w:val="545456"/>
          <w:spacing w:val="9"/>
          <w:w w:val="95"/>
        </w:rPr>
        <w:t xml:space="preserve"> </w:t>
      </w:r>
      <w:r>
        <w:rPr>
          <w:color w:val="545456"/>
          <w:w w:val="95"/>
        </w:rPr>
        <w:t>Inaba,</w:t>
      </w:r>
      <w:r>
        <w:rPr>
          <w:color w:val="545456"/>
          <w:spacing w:val="9"/>
          <w:w w:val="95"/>
        </w:rPr>
        <w:t xml:space="preserve"> </w:t>
      </w:r>
      <w:proofErr w:type="spellStart"/>
      <w:r>
        <w:rPr>
          <w:color w:val="545456"/>
          <w:w w:val="95"/>
        </w:rPr>
        <w:t>Kogakuin</w:t>
      </w:r>
      <w:proofErr w:type="spellEnd"/>
      <w:r>
        <w:rPr>
          <w:color w:val="545456"/>
          <w:spacing w:val="9"/>
          <w:w w:val="95"/>
        </w:rPr>
        <w:t xml:space="preserve"> </w:t>
      </w:r>
      <w:r>
        <w:rPr>
          <w:color w:val="545456"/>
          <w:w w:val="95"/>
        </w:rPr>
        <w:t>University</w:t>
      </w:r>
    </w:p>
    <w:p w14:paraId="18604B13" w14:textId="77777777" w:rsidR="0055291C" w:rsidRDefault="00F23C61">
      <w:pPr>
        <w:pStyle w:val="a3"/>
        <w:spacing w:before="65" w:line="312" w:lineRule="auto"/>
        <w:ind w:left="1114" w:right="5736"/>
      </w:pPr>
      <w:r>
        <w:rPr>
          <w:color w:val="545456"/>
        </w:rPr>
        <w:t>Alison</w:t>
      </w:r>
      <w:r>
        <w:rPr>
          <w:color w:val="545456"/>
          <w:spacing w:val="-8"/>
        </w:rPr>
        <w:t xml:space="preserve"> </w:t>
      </w:r>
      <w:r>
        <w:rPr>
          <w:color w:val="545456"/>
        </w:rPr>
        <w:t>Watson,</w:t>
      </w:r>
      <w:r>
        <w:rPr>
          <w:color w:val="545456"/>
          <w:spacing w:val="-7"/>
        </w:rPr>
        <w:t xml:space="preserve"> </w:t>
      </w:r>
      <w:r>
        <w:rPr>
          <w:color w:val="545456"/>
        </w:rPr>
        <w:t>New</w:t>
      </w:r>
      <w:r>
        <w:rPr>
          <w:color w:val="545456"/>
          <w:spacing w:val="-7"/>
        </w:rPr>
        <w:t xml:space="preserve"> </w:t>
      </w:r>
      <w:r>
        <w:rPr>
          <w:color w:val="545456"/>
        </w:rPr>
        <w:t>Zealand</w:t>
      </w:r>
      <w:r>
        <w:rPr>
          <w:color w:val="545456"/>
          <w:spacing w:val="-7"/>
        </w:rPr>
        <w:t xml:space="preserve"> </w:t>
      </w:r>
      <w:r>
        <w:rPr>
          <w:color w:val="545456"/>
        </w:rPr>
        <w:t>Ministry</w:t>
      </w:r>
      <w:r>
        <w:rPr>
          <w:color w:val="545456"/>
          <w:spacing w:val="-8"/>
        </w:rPr>
        <w:t xml:space="preserve"> </w:t>
      </w:r>
      <w:r>
        <w:rPr>
          <w:color w:val="545456"/>
        </w:rPr>
        <w:t>of</w:t>
      </w:r>
      <w:r>
        <w:rPr>
          <w:color w:val="545456"/>
          <w:spacing w:val="-7"/>
        </w:rPr>
        <w:t xml:space="preserve"> </w:t>
      </w:r>
      <w:r>
        <w:rPr>
          <w:color w:val="545456"/>
        </w:rPr>
        <w:t>Agriculture</w:t>
      </w:r>
      <w:r>
        <w:rPr>
          <w:color w:val="545456"/>
          <w:spacing w:val="-7"/>
        </w:rPr>
        <w:t xml:space="preserve"> </w:t>
      </w:r>
      <w:r>
        <w:rPr>
          <w:color w:val="545456"/>
        </w:rPr>
        <w:t>and</w:t>
      </w:r>
      <w:r>
        <w:rPr>
          <w:color w:val="545456"/>
          <w:spacing w:val="-7"/>
        </w:rPr>
        <w:t xml:space="preserve"> </w:t>
      </w:r>
      <w:r>
        <w:rPr>
          <w:color w:val="545456"/>
        </w:rPr>
        <w:t>Forestry</w:t>
      </w:r>
      <w:r>
        <w:rPr>
          <w:color w:val="545456"/>
          <w:spacing w:val="-48"/>
        </w:rPr>
        <w:t xml:space="preserve"> </w:t>
      </w:r>
      <w:r>
        <w:rPr>
          <w:color w:val="545456"/>
          <w:w w:val="95"/>
        </w:rPr>
        <w:t>Susan</w:t>
      </w:r>
      <w:r>
        <w:rPr>
          <w:color w:val="545456"/>
          <w:spacing w:val="-5"/>
          <w:w w:val="95"/>
        </w:rPr>
        <w:t xml:space="preserve"> </w:t>
      </w:r>
      <w:proofErr w:type="spellStart"/>
      <w:r>
        <w:rPr>
          <w:color w:val="545456"/>
          <w:w w:val="95"/>
        </w:rPr>
        <w:t>Cosper</w:t>
      </w:r>
      <w:proofErr w:type="spellEnd"/>
      <w:r>
        <w:rPr>
          <w:color w:val="545456"/>
          <w:w w:val="95"/>
        </w:rPr>
        <w:t>,</w:t>
      </w:r>
      <w:r>
        <w:rPr>
          <w:color w:val="545456"/>
          <w:spacing w:val="-5"/>
          <w:w w:val="95"/>
        </w:rPr>
        <w:t xml:space="preserve"> </w:t>
      </w:r>
      <w:r>
        <w:rPr>
          <w:color w:val="545456"/>
          <w:w w:val="95"/>
        </w:rPr>
        <w:t>Nick</w:t>
      </w:r>
      <w:r>
        <w:rPr>
          <w:color w:val="545456"/>
          <w:spacing w:val="-4"/>
          <w:w w:val="95"/>
        </w:rPr>
        <w:t xml:space="preserve"> </w:t>
      </w:r>
      <w:proofErr w:type="spellStart"/>
      <w:r>
        <w:rPr>
          <w:color w:val="545456"/>
          <w:w w:val="95"/>
        </w:rPr>
        <w:t>Shufro</w:t>
      </w:r>
      <w:proofErr w:type="spellEnd"/>
      <w:r>
        <w:rPr>
          <w:color w:val="545456"/>
          <w:w w:val="95"/>
        </w:rPr>
        <w:t>,</w:t>
      </w:r>
      <w:r>
        <w:rPr>
          <w:color w:val="545456"/>
          <w:spacing w:val="-5"/>
          <w:w w:val="95"/>
        </w:rPr>
        <w:t xml:space="preserve"> </w:t>
      </w:r>
      <w:r>
        <w:rPr>
          <w:color w:val="545456"/>
          <w:w w:val="95"/>
        </w:rPr>
        <w:t>PricewaterhouseCoopers</w:t>
      </w:r>
      <w:r>
        <w:rPr>
          <w:color w:val="545456"/>
          <w:spacing w:val="-5"/>
          <w:w w:val="95"/>
        </w:rPr>
        <w:t xml:space="preserve"> </w:t>
      </w:r>
      <w:r>
        <w:rPr>
          <w:color w:val="545456"/>
          <w:w w:val="95"/>
        </w:rPr>
        <w:t>LLP</w:t>
      </w:r>
    </w:p>
    <w:p w14:paraId="412CCE00" w14:textId="77777777" w:rsidR="0055291C" w:rsidRDefault="00F23C61">
      <w:pPr>
        <w:pStyle w:val="a3"/>
        <w:spacing w:before="1" w:line="312" w:lineRule="auto"/>
        <w:ind w:left="1114" w:right="5084"/>
      </w:pPr>
      <w:r>
        <w:rPr>
          <w:color w:val="545456"/>
          <w:w w:val="95"/>
        </w:rPr>
        <w:t>Rasmus</w:t>
      </w:r>
      <w:r>
        <w:rPr>
          <w:color w:val="545456"/>
          <w:spacing w:val="12"/>
          <w:w w:val="95"/>
        </w:rPr>
        <w:t xml:space="preserve"> </w:t>
      </w:r>
      <w:proofErr w:type="spellStart"/>
      <w:r>
        <w:rPr>
          <w:color w:val="545456"/>
          <w:w w:val="95"/>
        </w:rPr>
        <w:t>Priess</w:t>
      </w:r>
      <w:proofErr w:type="spellEnd"/>
      <w:r>
        <w:rPr>
          <w:color w:val="545456"/>
          <w:w w:val="95"/>
        </w:rPr>
        <w:t>,</w:t>
      </w:r>
      <w:r>
        <w:rPr>
          <w:color w:val="545456"/>
          <w:spacing w:val="13"/>
          <w:w w:val="95"/>
        </w:rPr>
        <w:t xml:space="preserve"> </w:t>
      </w:r>
      <w:r>
        <w:rPr>
          <w:color w:val="545456"/>
          <w:w w:val="95"/>
        </w:rPr>
        <w:t>THEMA1</w:t>
      </w:r>
      <w:r>
        <w:rPr>
          <w:color w:val="545456"/>
          <w:spacing w:val="13"/>
          <w:w w:val="95"/>
        </w:rPr>
        <w:t xml:space="preserve"> </w:t>
      </w:r>
      <w:r>
        <w:rPr>
          <w:color w:val="545456"/>
          <w:w w:val="95"/>
        </w:rPr>
        <w:t>GmbH,</w:t>
      </w:r>
      <w:r>
        <w:rPr>
          <w:color w:val="545456"/>
          <w:spacing w:val="13"/>
          <w:w w:val="95"/>
        </w:rPr>
        <w:t xml:space="preserve"> </w:t>
      </w:r>
      <w:r>
        <w:rPr>
          <w:color w:val="545456"/>
          <w:w w:val="95"/>
        </w:rPr>
        <w:t>Product</w:t>
      </w:r>
      <w:r>
        <w:rPr>
          <w:color w:val="545456"/>
          <w:spacing w:val="13"/>
          <w:w w:val="95"/>
        </w:rPr>
        <w:t xml:space="preserve"> </w:t>
      </w:r>
      <w:r>
        <w:rPr>
          <w:color w:val="545456"/>
          <w:w w:val="95"/>
        </w:rPr>
        <w:t>Carbon</w:t>
      </w:r>
      <w:r>
        <w:rPr>
          <w:color w:val="545456"/>
          <w:spacing w:val="13"/>
          <w:w w:val="95"/>
        </w:rPr>
        <w:t xml:space="preserve"> </w:t>
      </w:r>
      <w:r>
        <w:rPr>
          <w:color w:val="545456"/>
          <w:w w:val="95"/>
        </w:rPr>
        <w:t>Footprint</w:t>
      </w:r>
      <w:r>
        <w:rPr>
          <w:color w:val="545456"/>
          <w:spacing w:val="13"/>
          <w:w w:val="95"/>
        </w:rPr>
        <w:t xml:space="preserve"> </w:t>
      </w:r>
      <w:r>
        <w:rPr>
          <w:color w:val="545456"/>
          <w:w w:val="95"/>
        </w:rPr>
        <w:t>World</w:t>
      </w:r>
      <w:r>
        <w:rPr>
          <w:color w:val="545456"/>
          <w:spacing w:val="12"/>
          <w:w w:val="95"/>
        </w:rPr>
        <w:t xml:space="preserve"> </w:t>
      </w:r>
      <w:r>
        <w:rPr>
          <w:color w:val="545456"/>
          <w:w w:val="95"/>
        </w:rPr>
        <w:t>Forum</w:t>
      </w:r>
      <w:r>
        <w:rPr>
          <w:color w:val="545456"/>
          <w:spacing w:val="-44"/>
          <w:w w:val="95"/>
        </w:rPr>
        <w:t xml:space="preserve"> </w:t>
      </w:r>
      <w:r>
        <w:rPr>
          <w:color w:val="545456"/>
        </w:rPr>
        <w:t>Wanda</w:t>
      </w:r>
      <w:r>
        <w:rPr>
          <w:color w:val="545456"/>
          <w:spacing w:val="-11"/>
        </w:rPr>
        <w:t xml:space="preserve"> </w:t>
      </w:r>
      <w:r>
        <w:rPr>
          <w:color w:val="545456"/>
        </w:rPr>
        <w:t>Callahan,</w:t>
      </w:r>
      <w:r>
        <w:rPr>
          <w:color w:val="545456"/>
          <w:spacing w:val="-11"/>
        </w:rPr>
        <w:t xml:space="preserve"> </w:t>
      </w:r>
      <w:r>
        <w:rPr>
          <w:color w:val="545456"/>
        </w:rPr>
        <w:t>Shell</w:t>
      </w:r>
    </w:p>
    <w:p w14:paraId="6EE7B562" w14:textId="77777777" w:rsidR="0055291C" w:rsidRDefault="00F23C61">
      <w:pPr>
        <w:pStyle w:val="a3"/>
        <w:spacing w:before="1"/>
        <w:ind w:left="1114"/>
      </w:pPr>
      <w:r>
        <w:rPr>
          <w:color w:val="545456"/>
          <w:w w:val="95"/>
        </w:rPr>
        <w:t>James</w:t>
      </w:r>
      <w:r>
        <w:rPr>
          <w:color w:val="545456"/>
          <w:spacing w:val="-6"/>
          <w:w w:val="95"/>
        </w:rPr>
        <w:t xml:space="preserve"> </w:t>
      </w:r>
      <w:r>
        <w:rPr>
          <w:color w:val="545456"/>
          <w:w w:val="95"/>
        </w:rPr>
        <w:t>A.</w:t>
      </w:r>
      <w:r>
        <w:rPr>
          <w:color w:val="545456"/>
          <w:spacing w:val="-5"/>
          <w:w w:val="95"/>
        </w:rPr>
        <w:t xml:space="preserve"> </w:t>
      </w:r>
      <w:r>
        <w:rPr>
          <w:color w:val="545456"/>
          <w:w w:val="95"/>
        </w:rPr>
        <w:t>Fava,</w:t>
      </w:r>
      <w:r>
        <w:rPr>
          <w:color w:val="545456"/>
          <w:spacing w:val="-5"/>
          <w:w w:val="95"/>
        </w:rPr>
        <w:t xml:space="preserve"> </w:t>
      </w:r>
      <w:r>
        <w:rPr>
          <w:color w:val="545456"/>
          <w:w w:val="95"/>
        </w:rPr>
        <w:t>UNEP</w:t>
      </w:r>
      <w:r>
        <w:rPr>
          <w:color w:val="545456"/>
          <w:spacing w:val="-5"/>
          <w:w w:val="95"/>
        </w:rPr>
        <w:t xml:space="preserve"> </w:t>
      </w:r>
      <w:r>
        <w:rPr>
          <w:color w:val="545456"/>
          <w:w w:val="95"/>
        </w:rPr>
        <w:t>SETAC</w:t>
      </w:r>
      <w:r>
        <w:rPr>
          <w:color w:val="545456"/>
          <w:spacing w:val="-5"/>
          <w:w w:val="95"/>
        </w:rPr>
        <w:t xml:space="preserve"> </w:t>
      </w:r>
      <w:r>
        <w:rPr>
          <w:color w:val="545456"/>
          <w:w w:val="95"/>
        </w:rPr>
        <w:t>Life</w:t>
      </w:r>
      <w:r>
        <w:rPr>
          <w:color w:val="545456"/>
          <w:spacing w:val="-5"/>
          <w:w w:val="95"/>
        </w:rPr>
        <w:t xml:space="preserve"> </w:t>
      </w:r>
      <w:r>
        <w:rPr>
          <w:color w:val="545456"/>
          <w:w w:val="95"/>
        </w:rPr>
        <w:t>Cycle</w:t>
      </w:r>
      <w:r>
        <w:rPr>
          <w:color w:val="545456"/>
          <w:spacing w:val="-6"/>
          <w:w w:val="95"/>
        </w:rPr>
        <w:t xml:space="preserve"> </w:t>
      </w:r>
      <w:r>
        <w:rPr>
          <w:color w:val="545456"/>
          <w:w w:val="95"/>
        </w:rPr>
        <w:t>Initiative,</w:t>
      </w:r>
      <w:r>
        <w:rPr>
          <w:color w:val="545456"/>
          <w:spacing w:val="-5"/>
          <w:w w:val="95"/>
        </w:rPr>
        <w:t xml:space="preserve"> </w:t>
      </w:r>
      <w:r>
        <w:rPr>
          <w:color w:val="545456"/>
          <w:w w:val="95"/>
        </w:rPr>
        <w:t>Five</w:t>
      </w:r>
      <w:r>
        <w:rPr>
          <w:color w:val="545456"/>
          <w:spacing w:val="-5"/>
          <w:w w:val="95"/>
        </w:rPr>
        <w:t xml:space="preserve"> </w:t>
      </w:r>
      <w:r>
        <w:rPr>
          <w:color w:val="545456"/>
          <w:w w:val="95"/>
        </w:rPr>
        <w:t>Winds</w:t>
      </w:r>
      <w:r>
        <w:rPr>
          <w:color w:val="545456"/>
          <w:spacing w:val="-5"/>
          <w:w w:val="95"/>
        </w:rPr>
        <w:t xml:space="preserve"> </w:t>
      </w:r>
      <w:r>
        <w:rPr>
          <w:color w:val="545456"/>
          <w:w w:val="95"/>
        </w:rPr>
        <w:t>International</w:t>
      </w:r>
    </w:p>
    <w:p w14:paraId="4A265335" w14:textId="77777777" w:rsidR="0055291C" w:rsidRDefault="00F23C61">
      <w:pPr>
        <w:pStyle w:val="a3"/>
        <w:spacing w:before="65" w:line="312" w:lineRule="auto"/>
        <w:ind w:left="1114" w:right="3951"/>
      </w:pPr>
      <w:r>
        <w:rPr>
          <w:color w:val="545456"/>
          <w:w w:val="95"/>
        </w:rPr>
        <w:t>Matthias</w:t>
      </w:r>
      <w:r>
        <w:rPr>
          <w:color w:val="545456"/>
          <w:spacing w:val="4"/>
          <w:w w:val="95"/>
        </w:rPr>
        <w:t xml:space="preserve"> </w:t>
      </w:r>
      <w:proofErr w:type="spellStart"/>
      <w:r>
        <w:rPr>
          <w:color w:val="545456"/>
          <w:w w:val="95"/>
        </w:rPr>
        <w:t>Finkbeiner</w:t>
      </w:r>
      <w:proofErr w:type="spellEnd"/>
      <w:r>
        <w:rPr>
          <w:color w:val="545456"/>
          <w:w w:val="95"/>
        </w:rPr>
        <w:t>,</w:t>
      </w:r>
      <w:r>
        <w:rPr>
          <w:color w:val="545456"/>
          <w:spacing w:val="5"/>
          <w:w w:val="95"/>
        </w:rPr>
        <w:t xml:space="preserve"> </w:t>
      </w:r>
      <w:r>
        <w:rPr>
          <w:color w:val="545456"/>
          <w:w w:val="95"/>
        </w:rPr>
        <w:t>UNEP</w:t>
      </w:r>
      <w:r>
        <w:rPr>
          <w:color w:val="545456"/>
          <w:spacing w:val="4"/>
          <w:w w:val="95"/>
        </w:rPr>
        <w:t xml:space="preserve"> </w:t>
      </w:r>
      <w:r>
        <w:rPr>
          <w:color w:val="545456"/>
          <w:w w:val="95"/>
        </w:rPr>
        <w:t>SETAC</w:t>
      </w:r>
      <w:r>
        <w:rPr>
          <w:color w:val="545456"/>
          <w:spacing w:val="5"/>
          <w:w w:val="95"/>
        </w:rPr>
        <w:t xml:space="preserve"> </w:t>
      </w:r>
      <w:r>
        <w:rPr>
          <w:color w:val="545456"/>
          <w:w w:val="95"/>
        </w:rPr>
        <w:t>Life</w:t>
      </w:r>
      <w:r>
        <w:rPr>
          <w:color w:val="545456"/>
          <w:spacing w:val="4"/>
          <w:w w:val="95"/>
        </w:rPr>
        <w:t xml:space="preserve"> </w:t>
      </w:r>
      <w:r>
        <w:rPr>
          <w:color w:val="545456"/>
          <w:w w:val="95"/>
        </w:rPr>
        <w:t>Cycle</w:t>
      </w:r>
      <w:r>
        <w:rPr>
          <w:color w:val="545456"/>
          <w:spacing w:val="5"/>
          <w:w w:val="95"/>
        </w:rPr>
        <w:t xml:space="preserve"> </w:t>
      </w:r>
      <w:r>
        <w:rPr>
          <w:color w:val="545456"/>
          <w:w w:val="95"/>
        </w:rPr>
        <w:t>Initiative,</w:t>
      </w:r>
      <w:r>
        <w:rPr>
          <w:color w:val="545456"/>
          <w:spacing w:val="5"/>
          <w:w w:val="95"/>
        </w:rPr>
        <w:t xml:space="preserve"> </w:t>
      </w:r>
      <w:proofErr w:type="spellStart"/>
      <w:r>
        <w:rPr>
          <w:color w:val="545456"/>
          <w:w w:val="95"/>
        </w:rPr>
        <w:t>Technische</w:t>
      </w:r>
      <w:proofErr w:type="spellEnd"/>
      <w:r>
        <w:rPr>
          <w:color w:val="545456"/>
          <w:spacing w:val="4"/>
          <w:w w:val="95"/>
        </w:rPr>
        <w:t xml:space="preserve"> </w:t>
      </w:r>
      <w:r>
        <w:rPr>
          <w:color w:val="545456"/>
          <w:w w:val="95"/>
        </w:rPr>
        <w:t>Universität</w:t>
      </w:r>
      <w:r>
        <w:rPr>
          <w:color w:val="545456"/>
          <w:spacing w:val="5"/>
          <w:w w:val="95"/>
        </w:rPr>
        <w:t xml:space="preserve"> </w:t>
      </w:r>
      <w:r>
        <w:rPr>
          <w:color w:val="545456"/>
          <w:w w:val="95"/>
        </w:rPr>
        <w:t>Berlin</w:t>
      </w:r>
      <w:r>
        <w:rPr>
          <w:color w:val="545456"/>
          <w:spacing w:val="-45"/>
          <w:w w:val="95"/>
        </w:rPr>
        <w:t xml:space="preserve"> </w:t>
      </w:r>
      <w:r>
        <w:rPr>
          <w:color w:val="545456"/>
        </w:rPr>
        <w:t>Henry</w:t>
      </w:r>
      <w:r>
        <w:rPr>
          <w:color w:val="545456"/>
          <w:spacing w:val="-11"/>
        </w:rPr>
        <w:t xml:space="preserve"> </w:t>
      </w:r>
      <w:r>
        <w:rPr>
          <w:color w:val="545456"/>
        </w:rPr>
        <w:t>King,</w:t>
      </w:r>
      <w:r>
        <w:rPr>
          <w:color w:val="545456"/>
          <w:spacing w:val="-10"/>
        </w:rPr>
        <w:t xml:space="preserve"> </w:t>
      </w:r>
      <w:r>
        <w:rPr>
          <w:color w:val="545456"/>
        </w:rPr>
        <w:t>Unilever</w:t>
      </w:r>
    </w:p>
    <w:p w14:paraId="3B52F398" w14:textId="77777777" w:rsidR="0055291C" w:rsidRDefault="00F23C61">
      <w:pPr>
        <w:pStyle w:val="a3"/>
        <w:spacing w:line="312" w:lineRule="auto"/>
        <w:ind w:left="1114" w:right="3892"/>
      </w:pPr>
      <w:r>
        <w:rPr>
          <w:color w:val="545456"/>
        </w:rPr>
        <w:t xml:space="preserve">Susan </w:t>
      </w:r>
      <w:proofErr w:type="spellStart"/>
      <w:r>
        <w:rPr>
          <w:color w:val="545456"/>
        </w:rPr>
        <w:t>Wickwire</w:t>
      </w:r>
      <w:proofErr w:type="spellEnd"/>
      <w:r>
        <w:rPr>
          <w:color w:val="545456"/>
        </w:rPr>
        <w:t xml:space="preserve">, John </w:t>
      </w:r>
      <w:proofErr w:type="spellStart"/>
      <w:r>
        <w:rPr>
          <w:color w:val="545456"/>
        </w:rPr>
        <w:t>Sottong</w:t>
      </w:r>
      <w:proofErr w:type="spellEnd"/>
      <w:r>
        <w:rPr>
          <w:color w:val="545456"/>
        </w:rPr>
        <w:t>, United States Environmental Protection Agency</w:t>
      </w:r>
      <w:r>
        <w:rPr>
          <w:color w:val="545456"/>
          <w:spacing w:val="1"/>
        </w:rPr>
        <w:t xml:space="preserve"> </w:t>
      </w:r>
      <w:r>
        <w:rPr>
          <w:color w:val="545456"/>
        </w:rPr>
        <w:t>Maureen</w:t>
      </w:r>
      <w:r>
        <w:rPr>
          <w:color w:val="545456"/>
          <w:spacing w:val="-5"/>
        </w:rPr>
        <w:t xml:space="preserve"> </w:t>
      </w:r>
      <w:r>
        <w:rPr>
          <w:color w:val="545456"/>
        </w:rPr>
        <w:t>Nowak,</w:t>
      </w:r>
      <w:r>
        <w:rPr>
          <w:color w:val="545456"/>
          <w:spacing w:val="-4"/>
        </w:rPr>
        <w:t xml:space="preserve"> </w:t>
      </w:r>
      <w:r>
        <w:rPr>
          <w:color w:val="545456"/>
        </w:rPr>
        <w:t>United</w:t>
      </w:r>
      <w:r>
        <w:rPr>
          <w:color w:val="545456"/>
          <w:spacing w:val="-5"/>
        </w:rPr>
        <w:t xml:space="preserve"> </w:t>
      </w:r>
      <w:r>
        <w:rPr>
          <w:color w:val="545456"/>
        </w:rPr>
        <w:t>Kingdom</w:t>
      </w:r>
      <w:r>
        <w:rPr>
          <w:color w:val="545456"/>
          <w:spacing w:val="-4"/>
        </w:rPr>
        <w:t xml:space="preserve"> </w:t>
      </w:r>
      <w:r>
        <w:rPr>
          <w:color w:val="545456"/>
        </w:rPr>
        <w:t>Department</w:t>
      </w:r>
      <w:r>
        <w:rPr>
          <w:color w:val="545456"/>
          <w:spacing w:val="-5"/>
        </w:rPr>
        <w:t xml:space="preserve"> </w:t>
      </w:r>
      <w:r>
        <w:rPr>
          <w:color w:val="545456"/>
        </w:rPr>
        <w:t>of</w:t>
      </w:r>
      <w:r>
        <w:rPr>
          <w:color w:val="545456"/>
          <w:spacing w:val="-4"/>
        </w:rPr>
        <w:t xml:space="preserve"> </w:t>
      </w:r>
      <w:r>
        <w:rPr>
          <w:color w:val="545456"/>
        </w:rPr>
        <w:t>Environment,</w:t>
      </w:r>
      <w:r>
        <w:rPr>
          <w:color w:val="545456"/>
          <w:spacing w:val="-5"/>
        </w:rPr>
        <w:t xml:space="preserve"> </w:t>
      </w:r>
      <w:r>
        <w:rPr>
          <w:color w:val="545456"/>
        </w:rPr>
        <w:t>Food,</w:t>
      </w:r>
      <w:r>
        <w:rPr>
          <w:color w:val="545456"/>
          <w:spacing w:val="-4"/>
        </w:rPr>
        <w:t xml:space="preserve"> </w:t>
      </w:r>
      <w:r>
        <w:rPr>
          <w:color w:val="545456"/>
        </w:rPr>
        <w:t>and</w:t>
      </w:r>
      <w:r>
        <w:rPr>
          <w:color w:val="545456"/>
          <w:spacing w:val="-5"/>
        </w:rPr>
        <w:t xml:space="preserve"> </w:t>
      </w:r>
      <w:r>
        <w:rPr>
          <w:color w:val="545456"/>
        </w:rPr>
        <w:t>Rural</w:t>
      </w:r>
      <w:r>
        <w:rPr>
          <w:color w:val="545456"/>
          <w:spacing w:val="-4"/>
        </w:rPr>
        <w:t xml:space="preserve"> </w:t>
      </w:r>
      <w:r>
        <w:rPr>
          <w:color w:val="545456"/>
        </w:rPr>
        <w:t>Affairs</w:t>
      </w:r>
      <w:r>
        <w:rPr>
          <w:color w:val="545456"/>
          <w:spacing w:val="-48"/>
        </w:rPr>
        <w:t xml:space="preserve"> </w:t>
      </w:r>
      <w:r>
        <w:rPr>
          <w:color w:val="545456"/>
        </w:rPr>
        <w:t>James</w:t>
      </w:r>
      <w:r>
        <w:rPr>
          <w:color w:val="545456"/>
          <w:spacing w:val="-12"/>
        </w:rPr>
        <w:t xml:space="preserve"> </w:t>
      </w:r>
      <w:r>
        <w:rPr>
          <w:color w:val="545456"/>
        </w:rPr>
        <w:t>Stanway,</w:t>
      </w:r>
      <w:r>
        <w:rPr>
          <w:color w:val="545456"/>
          <w:spacing w:val="-11"/>
        </w:rPr>
        <w:t xml:space="preserve"> </w:t>
      </w:r>
      <w:r>
        <w:rPr>
          <w:color w:val="545456"/>
        </w:rPr>
        <w:t>Miranda</w:t>
      </w:r>
      <w:r>
        <w:rPr>
          <w:color w:val="545456"/>
          <w:spacing w:val="-11"/>
        </w:rPr>
        <w:t xml:space="preserve"> </w:t>
      </w:r>
      <w:r>
        <w:rPr>
          <w:color w:val="545456"/>
        </w:rPr>
        <w:t>Ballentine,</w:t>
      </w:r>
      <w:r>
        <w:rPr>
          <w:color w:val="545456"/>
          <w:spacing w:val="-11"/>
        </w:rPr>
        <w:t xml:space="preserve"> </w:t>
      </w:r>
      <w:r>
        <w:rPr>
          <w:color w:val="545456"/>
        </w:rPr>
        <w:t>Walmart</w:t>
      </w:r>
      <w:r>
        <w:rPr>
          <w:color w:val="545456"/>
          <w:spacing w:val="-12"/>
        </w:rPr>
        <w:t xml:space="preserve"> </w:t>
      </w:r>
      <w:r>
        <w:rPr>
          <w:color w:val="545456"/>
        </w:rPr>
        <w:t>Stores</w:t>
      </w:r>
      <w:r>
        <w:rPr>
          <w:color w:val="545456"/>
          <w:spacing w:val="-11"/>
        </w:rPr>
        <w:t xml:space="preserve"> </w:t>
      </w:r>
      <w:r>
        <w:rPr>
          <w:color w:val="545456"/>
        </w:rPr>
        <w:t>Inc.</w:t>
      </w:r>
    </w:p>
    <w:p w14:paraId="7857D1CD" w14:textId="77777777" w:rsidR="0055291C" w:rsidRDefault="0055291C">
      <w:pPr>
        <w:pStyle w:val="a3"/>
        <w:rPr>
          <w:sz w:val="20"/>
        </w:rPr>
      </w:pPr>
    </w:p>
    <w:p w14:paraId="5C189F88" w14:textId="77777777" w:rsidR="0055291C" w:rsidRDefault="00000000">
      <w:pPr>
        <w:pStyle w:val="a3"/>
        <w:spacing w:before="8"/>
        <w:rPr>
          <w:sz w:val="29"/>
        </w:rPr>
      </w:pPr>
      <w:r>
        <w:pict w14:anchorId="2A13FA9A">
          <v:shape id="docshape95" o:spid="_x0000_s3695" style="position:absolute;margin-left:56.7pt;margin-top:18pt;width:498.65pt;height:.1pt;z-index:-251528704;mso-wrap-distance-left:0;mso-wrap-distance-right:0;mso-position-horizontal-relative:page" coordorigin="1134,360" coordsize="9973,0" path="m1134,360r9972,e" filled="f" strokecolor="#00aca1" strokeweight=".25pt">
            <v:path arrowok="t"/>
            <w10:wrap type="topAndBottom" anchorx="page"/>
          </v:shape>
        </w:pict>
      </w:r>
    </w:p>
    <w:p w14:paraId="37ACFA33" w14:textId="77777777" w:rsidR="0055291C" w:rsidRDefault="0055291C">
      <w:pPr>
        <w:rPr>
          <w:sz w:val="29"/>
        </w:rPr>
        <w:sectPr w:rsidR="0055291C">
          <w:pgSz w:w="12240" w:h="15840"/>
          <w:pgMar w:top="0" w:right="0" w:bottom="280" w:left="0" w:header="0" w:footer="0" w:gutter="0"/>
          <w:cols w:space="720"/>
        </w:sectPr>
      </w:pPr>
    </w:p>
    <w:p w14:paraId="02074F8C" w14:textId="77777777" w:rsidR="0055291C" w:rsidRDefault="0055291C">
      <w:pPr>
        <w:pStyle w:val="a3"/>
        <w:rPr>
          <w:sz w:val="20"/>
        </w:rPr>
      </w:pPr>
    </w:p>
    <w:p w14:paraId="6D83593E" w14:textId="77777777" w:rsidR="0055291C" w:rsidRDefault="0055291C">
      <w:pPr>
        <w:pStyle w:val="a3"/>
        <w:rPr>
          <w:sz w:val="20"/>
        </w:rPr>
      </w:pPr>
    </w:p>
    <w:p w14:paraId="63037FE2" w14:textId="77777777" w:rsidR="0055291C" w:rsidRDefault="0055291C">
      <w:pPr>
        <w:pStyle w:val="a3"/>
        <w:rPr>
          <w:sz w:val="20"/>
        </w:rPr>
      </w:pPr>
    </w:p>
    <w:p w14:paraId="184DE249" w14:textId="77777777" w:rsidR="0055291C" w:rsidRDefault="0055291C">
      <w:pPr>
        <w:pStyle w:val="a3"/>
        <w:rPr>
          <w:sz w:val="20"/>
        </w:rPr>
      </w:pPr>
    </w:p>
    <w:p w14:paraId="7EEED48C" w14:textId="77777777" w:rsidR="0055291C" w:rsidRDefault="0055291C">
      <w:pPr>
        <w:pStyle w:val="a3"/>
        <w:rPr>
          <w:sz w:val="20"/>
        </w:rPr>
      </w:pPr>
    </w:p>
    <w:p w14:paraId="2B5CEA62" w14:textId="77777777" w:rsidR="0055291C" w:rsidRDefault="0055291C">
      <w:pPr>
        <w:pStyle w:val="a3"/>
        <w:rPr>
          <w:sz w:val="20"/>
        </w:rPr>
      </w:pPr>
    </w:p>
    <w:p w14:paraId="26987E41" w14:textId="77777777" w:rsidR="0055291C" w:rsidRDefault="0055291C">
      <w:pPr>
        <w:pStyle w:val="a3"/>
        <w:rPr>
          <w:sz w:val="20"/>
        </w:rPr>
      </w:pPr>
    </w:p>
    <w:p w14:paraId="4330567C" w14:textId="77777777" w:rsidR="0055291C" w:rsidRDefault="0055291C">
      <w:pPr>
        <w:pStyle w:val="a3"/>
        <w:rPr>
          <w:sz w:val="20"/>
        </w:rPr>
      </w:pPr>
    </w:p>
    <w:p w14:paraId="3072A8D7" w14:textId="77777777" w:rsidR="0055291C" w:rsidRDefault="0055291C">
      <w:pPr>
        <w:pStyle w:val="a3"/>
        <w:rPr>
          <w:sz w:val="20"/>
        </w:rPr>
      </w:pPr>
    </w:p>
    <w:p w14:paraId="39C4191F" w14:textId="77777777" w:rsidR="0055291C" w:rsidRDefault="0055291C">
      <w:pPr>
        <w:pStyle w:val="a3"/>
        <w:rPr>
          <w:sz w:val="20"/>
        </w:rPr>
      </w:pPr>
    </w:p>
    <w:p w14:paraId="33048C02" w14:textId="77777777" w:rsidR="0055291C" w:rsidRDefault="0055291C">
      <w:pPr>
        <w:pStyle w:val="a3"/>
        <w:rPr>
          <w:sz w:val="20"/>
        </w:rPr>
      </w:pPr>
    </w:p>
    <w:p w14:paraId="507C0915" w14:textId="77777777" w:rsidR="0055291C" w:rsidRDefault="0055291C">
      <w:pPr>
        <w:pStyle w:val="a3"/>
        <w:rPr>
          <w:sz w:val="20"/>
        </w:rPr>
      </w:pPr>
    </w:p>
    <w:p w14:paraId="41755B19" w14:textId="77777777" w:rsidR="0055291C" w:rsidRDefault="0055291C">
      <w:pPr>
        <w:pStyle w:val="a3"/>
        <w:rPr>
          <w:sz w:val="20"/>
        </w:rPr>
      </w:pPr>
    </w:p>
    <w:p w14:paraId="4E349A35" w14:textId="77777777" w:rsidR="0055291C" w:rsidRDefault="0055291C">
      <w:pPr>
        <w:pStyle w:val="a3"/>
        <w:rPr>
          <w:sz w:val="20"/>
        </w:rPr>
      </w:pPr>
    </w:p>
    <w:p w14:paraId="530CD212" w14:textId="77777777" w:rsidR="0055291C" w:rsidRDefault="0055291C">
      <w:pPr>
        <w:pStyle w:val="a3"/>
        <w:rPr>
          <w:sz w:val="20"/>
        </w:rPr>
      </w:pPr>
    </w:p>
    <w:p w14:paraId="2DE3EF2E" w14:textId="77777777" w:rsidR="0055291C" w:rsidRDefault="0055291C">
      <w:pPr>
        <w:pStyle w:val="a3"/>
        <w:spacing w:before="9"/>
        <w:rPr>
          <w:sz w:val="21"/>
        </w:rPr>
      </w:pPr>
    </w:p>
    <w:p w14:paraId="1C5B8E1B" w14:textId="470BF3A9" w:rsidR="0055291C" w:rsidRDefault="00000000">
      <w:pPr>
        <w:pStyle w:val="3"/>
        <w:ind w:left="3697"/>
      </w:pPr>
      <w:r>
        <w:pict w14:anchorId="5B81C15B">
          <v:shape id="docshape96" o:spid="_x0000_s3694" style="position:absolute;left:0;text-align:left;margin-left:253.95pt;margin-top:-182.1pt;width:358.05pt;height:382.45pt;z-index:-251608576;mso-position-horizontal-relative:page" coordorigin="5079,-3642" coordsize="7161,7649" o:spt="100" adj="0,,0" path="m6524,-3642r-36,32l6436,-3561r-51,49l5945,-3005r-301,459l5472,-2212r-55,129l8039,-2287r1645,188l10536,-1787r244,164l10738,-1688r-44,-64l10650,-1816r-46,-63l10558,-1943r-48,-63l10462,-2069r-50,-63l10362,-2194r-52,-62l10258,-2317r-52,-61l10152,-2439r-54,-60l10044,-2559r-55,-60l9933,-2677r-56,-59l9821,-2794r-56,-57l9708,-2907r-57,-56l9595,-3019r-57,-54l8910,-3635r-9,-7m8810,-3642r1022,861l10860,-1498r380,816l11295,-396r16,-75l11327,-546r14,-77l11354,-700r13,-77l11378,-855r11,-79l11398,-1013r9,-79l11415,-1171r8,-80l11429,-1331r6,-81l11440,-1492r4,-80l11448,-1653r3,-80l11453,-1813r1,-80l11456,-1973r,-80l11456,-2132r-1,-79l11454,-2289r-42,-836l11360,-3642t-49,l11452,-1876r-191,1625l10946,591r-166,240l10845,790r65,-43l10975,703r64,-45l11103,612r64,-47l11231,517r63,-49l11358,418r62,-51l11483,316r62,-52l11606,211r61,-53l11728,104r60,-55l11847,-5r59,-55l11965,-116r58,-56l12080,-228r56,-56l12192,-340r48,-48m12240,-442r-289,335l10653,909r-826,375l9538,1338r75,16l9690,1369r77,15l9845,1397r78,12l10002,1420r80,11l10162,1440r80,9l10323,1457r81,7l10485,1471r81,6l10647,1482r81,4l10810,1489r81,3l10972,1494r81,2l11134,1497r81,1l11295,1498r80,-1l11454,1496r786,-39m11244,3672r81,-34l11405,3603r78,-37l11560,3529r75,-39l11708,3450r73,-40l11851,3368r70,-42l11988,3283r67,-44l12120,3194r63,-46l12240,3106t,-1707l11038,1493,9392,1304,8540,993,8296,829r42,64l8382,957r44,64l8472,1085r46,63l8566,1211r49,63l8664,1337r51,62l8766,1461r52,62l8871,1584r53,61l8978,1705r55,60l9088,1824r55,59l9199,1941r56,58l9312,2056r56,57l9425,2169r57,55l9539,2279r627,561l10712,3281r386,288l11244,3672t-3411,-1l7915,3704r81,30l8078,3763r81,27l8239,3815r80,24l8399,3860r80,20l8558,3899r79,16l8715,3931r78,13l8870,3956r76,11l9022,3977r76,8l9173,3991r74,6l9321,4001r72,3l9466,4006r71,l10211,3955r541,-115l11113,3725r131,-53l9243,1986,8215,703,7835,-113r-54,-285l7764,-324r-15,76l7735,-172r-14,77l7709,-17r-12,78l7687,139r-10,79l7668,297r-8,80l7653,457r-7,80l7641,617r-5,80l7631,778r-3,80l7625,938r-3,81l7621,1099r-1,79l7619,1258r,79l7620,1416r1,79l7663,2330r72,693l7803,3496r30,175m5418,1288r34,80l5488,1447r37,77l5563,1600r39,74l5642,1746r42,71l5726,1887r43,68l5813,2022r44,65l5903,2151r46,63l5996,2275r47,60l6091,2393r48,57l6188,2506r49,54l6286,2613r50,52l6386,2716r513,434l7364,3447r338,170l7833,3671,7626,1081,7816,-544r316,-842l8297,-1626r-65,41l8167,-1542r-64,44l8038,-1453r-64,46l7910,-1360r-64,49l7783,-1262r-63,49l7657,-1162r-62,51l7533,-1058r-61,52l7411,-952r-61,53l7290,-844r-60,54l7171,-734r-58,55l7055,-623r-57,56l6941,-511r-56,56l6830,-399,6261,221,5814,762r-292,381l5418,1288t-1,-3371l5384,-2002r-31,80l5324,-1841r-27,80l5272,-1681r-24,79l5226,-1523r-20,79l5188,-1366r-17,78l5155,-1211r-13,77l5129,-1058r-10,76l5109,-907r-8,75l5094,-758r-5,73l5085,-612r-3,72l5080,-469r-1,71l5131,267r116,535l5364,1159r54,129l7125,-688,8424,-1704r826,-375l9539,-2133r-76,-16l9387,-2164r-78,-14l9232,-2192r-79,-12l9074,-2215r-79,-11l8915,-2235r-81,-9l8754,-2252r-81,-7l8592,-2265r-81,-6l8429,-2276r-81,-4l8267,-2284r-82,-3l8104,-2289r-81,-2l7942,-2292r-80,l7781,-2292r-79,1l7622,-2290r-846,41l6074,-2179r-479,67l5417,-2083e" filled="f" strokecolor="#d9dadc" strokeweight=".5pt">
            <v:stroke joinstyle="round"/>
            <v:formulas/>
            <v:path arrowok="t" o:connecttype="segments"/>
            <w10:wrap anchorx="page"/>
          </v:shape>
        </w:pict>
      </w:r>
      <w:r w:rsidR="00E2477E">
        <w:rPr>
          <w:rFonts w:ascii="ＭＳ 明朝" w:eastAsia="ＭＳ 明朝" w:hAnsi="ＭＳ 明朝" w:cs="ＭＳ 明朝" w:hint="eastAsia"/>
          <w:color w:val="00ACA1"/>
          <w:w w:val="95"/>
          <w:lang w:eastAsia="ja-JP"/>
        </w:rPr>
        <w:t>目次</w:t>
      </w:r>
    </w:p>
    <w:p w14:paraId="7F6765D7" w14:textId="77777777" w:rsidR="0055291C" w:rsidRDefault="00F23C61">
      <w:pPr>
        <w:pStyle w:val="7"/>
        <w:spacing w:before="141"/>
        <w:ind w:left="3697" w:firstLine="0"/>
      </w:pPr>
      <w:r>
        <w:rPr>
          <w:color w:val="00B8B1"/>
        </w:rPr>
        <w:t>CHAPTERS</w:t>
      </w:r>
    </w:p>
    <w:sdt>
      <w:sdtPr>
        <w:id w:val="-322127246"/>
        <w:docPartObj>
          <w:docPartGallery w:val="Table of Contents"/>
          <w:docPartUnique/>
        </w:docPartObj>
      </w:sdtPr>
      <w:sdtContent>
        <w:p w14:paraId="3CBAE69C" w14:textId="5C802BE8" w:rsidR="0055291C" w:rsidRDefault="00000000">
          <w:pPr>
            <w:pStyle w:val="20"/>
            <w:numPr>
              <w:ilvl w:val="0"/>
              <w:numId w:val="59"/>
            </w:numPr>
            <w:tabs>
              <w:tab w:val="left" w:pos="4018"/>
              <w:tab w:val="right" w:pos="10980"/>
            </w:tabs>
            <w:spacing w:before="150"/>
            <w:rPr>
              <w:i w:val="0"/>
              <w:sz w:val="18"/>
            </w:rPr>
          </w:pPr>
          <w:r>
            <w:pict w14:anchorId="1BE3B0FA">
              <v:group id="docshapegroup97" o:spid="_x0000_s3691" style="position:absolute;left:0;text-align:left;margin-left:120.8pt;margin-top:8.6pt;width:50.2pt;height:10pt;z-index:251523584;mso-position-horizontal-relative:page;mso-position-vertical-relative:text" coordorigin="2416,172" coordsize="1004,200">
                <v:shape id="docshape98" o:spid="_x0000_s3693" style="position:absolute;left:2415;top:172;width:1004;height:200" coordorigin="2416,172" coordsize="1004,200" path="m3359,172r-883,l2441,173r-18,7l2417,198r-1,34l2416,311r1,35l2423,364r18,6l2476,371r883,l3394,370r18,-6l3418,346r1,-35l3419,232r-1,-34l3412,180r-18,-7l3359,172xe" fillcolor="#00aca1" stroked="f">
                  <v:path arrowok="t"/>
                </v:shape>
                <v:shapetype id="_x0000_t202" coordsize="21600,21600" o:spt="202" path="m,l,21600r21600,l21600,xe">
                  <v:stroke joinstyle="miter"/>
                  <v:path gradientshapeok="t" o:connecttype="rect"/>
                </v:shapetype>
                <v:shape id="docshape99" o:spid="_x0000_s3692" type="#_x0000_t202" style="position:absolute;left:2415;top:172;width:1004;height:200" filled="f" stroked="f">
                  <v:textbox style="mso-next-textbox:#docshape99" inset="0,0,0,0">
                    <w:txbxContent>
                      <w:p w14:paraId="08CF36AA" w14:textId="77777777" w:rsidR="0055291C" w:rsidRDefault="00F23C61">
                        <w:pPr>
                          <w:spacing w:before="3"/>
                          <w:ind w:left="183"/>
                          <w:rPr>
                            <w:rFonts w:ascii="Arial"/>
                            <w:b/>
                            <w:i/>
                            <w:sz w:val="14"/>
                          </w:rPr>
                        </w:pPr>
                        <w:r>
                          <w:rPr>
                            <w:rFonts w:ascii="Arial"/>
                            <w:b/>
                            <w:i/>
                            <w:color w:val="F3F4F4"/>
                            <w:sz w:val="14"/>
                          </w:rPr>
                          <w:t>guidance</w:t>
                        </w:r>
                      </w:p>
                    </w:txbxContent>
                  </v:textbox>
                </v:shape>
                <w10:wrap anchorx="page"/>
              </v:group>
            </w:pict>
          </w:r>
          <w:r w:rsidR="00E2477E">
            <w:rPr>
              <w:rFonts w:ascii="ＭＳ 明朝" w:eastAsia="ＭＳ 明朝" w:hAnsi="ＭＳ 明朝" w:cs="ＭＳ 明朝" w:hint="eastAsia"/>
              <w:color w:val="545456"/>
              <w:lang w:eastAsia="ja-JP"/>
            </w:rPr>
            <w:t>はじめに</w:t>
          </w:r>
          <w:r w:rsidR="00F23C61">
            <w:rPr>
              <w:color w:val="545456"/>
            </w:rPr>
            <w:tab/>
          </w:r>
          <w:r w:rsidR="00F23C61">
            <w:rPr>
              <w:i w:val="0"/>
              <w:color w:val="7F3F98"/>
              <w:sz w:val="18"/>
            </w:rPr>
            <w:t>02</w:t>
          </w:r>
        </w:p>
        <w:p w14:paraId="692DD219" w14:textId="766A5854" w:rsidR="0055291C" w:rsidRDefault="00000000">
          <w:pPr>
            <w:pStyle w:val="20"/>
            <w:numPr>
              <w:ilvl w:val="0"/>
              <w:numId w:val="59"/>
            </w:numPr>
            <w:tabs>
              <w:tab w:val="left" w:pos="4018"/>
              <w:tab w:val="right" w:pos="10980"/>
            </w:tabs>
            <w:rPr>
              <w:i w:val="0"/>
              <w:sz w:val="18"/>
            </w:rPr>
          </w:pPr>
          <w:r>
            <w:pict w14:anchorId="09093666">
              <v:group id="docshapegroup100" o:spid="_x0000_s3688" style="position:absolute;left:0;text-align:left;margin-left:120.8pt;margin-top:11.45pt;width:50.2pt;height:10pt;z-index:251524608;mso-position-horizontal-relative:page" coordorigin="2416,229" coordsize="1004,200">
                <v:shape id="docshape101" o:spid="_x0000_s3690" style="position:absolute;left:2415;top:229;width:1004;height:200" coordorigin="2416,229" coordsize="1004,200" path="m3359,229r-883,l2441,230r-18,7l2417,254r-1,35l2416,368r1,35l2423,421r18,6l2476,428r883,l3394,427r18,-6l3418,403r1,-35l3419,289r-1,-35l3412,237r-18,-7l3359,229xe" fillcolor="#00aca1" stroked="f">
                  <v:path arrowok="t"/>
                </v:shape>
                <v:shape id="docshape102" o:spid="_x0000_s3689" type="#_x0000_t202" style="position:absolute;left:2415;top:229;width:1004;height:200" filled="f" stroked="f">
                  <v:textbox style="mso-next-textbox:#docshape102" inset="0,0,0,0">
                    <w:txbxContent>
                      <w:p w14:paraId="536520A1" w14:textId="77777777" w:rsidR="0055291C" w:rsidRDefault="00F23C61">
                        <w:pPr>
                          <w:spacing w:before="3"/>
                          <w:ind w:left="183"/>
                          <w:rPr>
                            <w:rFonts w:ascii="Arial"/>
                            <w:b/>
                            <w:i/>
                            <w:sz w:val="14"/>
                          </w:rPr>
                        </w:pPr>
                        <w:r>
                          <w:rPr>
                            <w:rFonts w:ascii="Arial"/>
                            <w:b/>
                            <w:i/>
                            <w:color w:val="F3F4F4"/>
                            <w:sz w:val="14"/>
                          </w:rPr>
                          <w:t>guidance</w:t>
                        </w:r>
                      </w:p>
                    </w:txbxContent>
                  </v:textbox>
                </v:shape>
                <w10:wrap anchorx="page"/>
              </v:group>
            </w:pict>
          </w:r>
          <w:r w:rsidR="00E2477E">
            <w:rPr>
              <w:rFonts w:ascii="ＭＳ 明朝" w:eastAsia="ＭＳ 明朝" w:hAnsi="ＭＳ 明朝" w:cs="ＭＳ 明朝" w:hint="eastAsia"/>
              <w:color w:val="545456"/>
              <w:lang w:eastAsia="ja-JP"/>
            </w:rPr>
            <w:t>事業目標の設定</w:t>
          </w:r>
          <w:r w:rsidR="00F23C61">
            <w:rPr>
              <w:rFonts w:ascii="Times New Roman"/>
              <w:color w:val="545456"/>
            </w:rPr>
            <w:tab/>
          </w:r>
          <w:r w:rsidR="00F23C61">
            <w:rPr>
              <w:i w:val="0"/>
              <w:color w:val="7F3F98"/>
              <w:sz w:val="18"/>
            </w:rPr>
            <w:t>08</w:t>
          </w:r>
        </w:p>
        <w:p w14:paraId="1DE20AB6" w14:textId="63A70EB9" w:rsidR="0055291C" w:rsidRDefault="00000000">
          <w:pPr>
            <w:pStyle w:val="20"/>
            <w:numPr>
              <w:ilvl w:val="0"/>
              <w:numId w:val="59"/>
            </w:numPr>
            <w:tabs>
              <w:tab w:val="left" w:pos="4018"/>
              <w:tab w:val="right" w:pos="10980"/>
            </w:tabs>
            <w:rPr>
              <w:i w:val="0"/>
              <w:sz w:val="18"/>
            </w:rPr>
          </w:pPr>
          <w:r>
            <w:pict w14:anchorId="417896C9">
              <v:group id="docshapegroup103" o:spid="_x0000_s3685" style="position:absolute;left:0;text-align:left;margin-left:120.8pt;margin-top:11.45pt;width:50.2pt;height:10pt;z-index:251525632;mso-position-horizontal-relative:page" coordorigin="2416,229" coordsize="1004,200">
                <v:shape id="docshape104" o:spid="_x0000_s3687" style="position:absolute;left:2415;top:229;width:1004;height:200" coordorigin="2416,229" coordsize="1004,200" path="m3359,229r-883,l2441,230r-18,6l2417,254r-1,35l2416,368r1,35l2423,421r18,6l2476,428r883,l3394,427r18,-6l3418,403r1,-35l3419,289r-1,-35l3412,236r-18,-6l3359,229xe" fillcolor="#00aca1" stroked="f">
                  <v:path arrowok="t"/>
                </v:shape>
                <v:shape id="docshape105" o:spid="_x0000_s3686" type="#_x0000_t202" style="position:absolute;left:2415;top:229;width:1004;height:200" filled="f" stroked="f">
                  <v:textbox style="mso-next-textbox:#docshape105" inset="0,0,0,0">
                    <w:txbxContent>
                      <w:p w14:paraId="7A819977" w14:textId="77777777" w:rsidR="0055291C" w:rsidRDefault="00F23C61">
                        <w:pPr>
                          <w:spacing w:before="3"/>
                          <w:ind w:left="183"/>
                          <w:rPr>
                            <w:rFonts w:ascii="Arial"/>
                            <w:b/>
                            <w:i/>
                            <w:sz w:val="14"/>
                          </w:rPr>
                        </w:pPr>
                        <w:r>
                          <w:rPr>
                            <w:rFonts w:ascii="Arial"/>
                            <w:b/>
                            <w:i/>
                            <w:color w:val="F3F4F4"/>
                            <w:sz w:val="14"/>
                          </w:rPr>
                          <w:t>guidance</w:t>
                        </w:r>
                      </w:p>
                    </w:txbxContent>
                  </v:textbox>
                </v:shape>
                <w10:wrap anchorx="page"/>
              </v:group>
            </w:pict>
          </w:r>
          <w:r>
            <w:pict w14:anchorId="4A3D6B8B">
              <v:group id="docshapegroup106" o:spid="_x0000_s3682" style="position:absolute;left:0;text-align:left;margin-left:56.7pt;margin-top:11.6pt;width:50.2pt;height:10pt;z-index:251528704;mso-position-horizontal-relative:page" coordorigin="1134,232" coordsize="1004,200">
                <v:shape id="docshape107" o:spid="_x0000_s3684" style="position:absolute;left:1133;top:231;width:1004;height:200" coordorigin="1134,232" coordsize="1004,200" path="m2077,232r-883,l1159,233r-18,6l1135,257r-1,35l1134,371r1,35l1141,423r18,7l1194,431r883,l2112,430r18,-7l2136,406r1,-35l2137,292r-1,-35l2130,239r-18,-6l2077,232xe" fillcolor="#7f3f98" stroked="f">
                  <v:path arrowok="t"/>
                </v:shape>
                <v:shape id="docshape108" o:spid="_x0000_s3683" type="#_x0000_t202" style="position:absolute;left:1133;top:231;width:1004;height:200" filled="f" stroked="f">
                  <v:textbox style="mso-next-textbox:#docshape108" inset="0,0,0,0">
                    <w:txbxContent>
                      <w:p w14:paraId="0C8E22B2" w14:textId="77777777" w:rsidR="0055291C" w:rsidRDefault="00F23C61">
                        <w:pPr>
                          <w:spacing w:before="4"/>
                          <w:ind w:left="30"/>
                          <w:rPr>
                            <w:rFonts w:ascii="Arial"/>
                            <w:b/>
                            <w:i/>
                            <w:sz w:val="14"/>
                          </w:rPr>
                        </w:pPr>
                        <w:r>
                          <w:rPr>
                            <w:rFonts w:ascii="Arial"/>
                            <w:b/>
                            <w:i/>
                            <w:color w:val="F3F4F4"/>
                            <w:sz w:val="14"/>
                          </w:rPr>
                          <w:t>requirements</w:t>
                        </w:r>
                      </w:p>
                    </w:txbxContent>
                  </v:textbox>
                </v:shape>
                <w10:wrap anchorx="page"/>
              </v:group>
            </w:pict>
          </w:r>
          <w:r w:rsidR="00E2477E">
            <w:rPr>
              <w:rFonts w:ascii="ＭＳ 明朝" w:eastAsia="ＭＳ 明朝" w:hAnsi="ＭＳ 明朝" w:cs="ＭＳ 明朝" w:hint="eastAsia"/>
              <w:color w:val="545456"/>
              <w:spacing w:val="-1"/>
              <w:w w:val="95"/>
              <w:lang w:eastAsia="ja-JP"/>
            </w:rPr>
            <w:t>手順と要件の</w:t>
          </w:r>
          <w:r w:rsidR="00554C80">
            <w:rPr>
              <w:rFonts w:ascii="ＭＳ 明朝" w:eastAsia="ＭＳ 明朝" w:hAnsi="ＭＳ 明朝" w:cs="ＭＳ 明朝" w:hint="eastAsia"/>
              <w:color w:val="545456"/>
              <w:spacing w:val="-1"/>
              <w:w w:val="95"/>
              <w:lang w:eastAsia="ja-JP"/>
            </w:rPr>
            <w:t>概要</w:t>
          </w:r>
          <w:r w:rsidR="00F23C61">
            <w:rPr>
              <w:color w:val="545456"/>
              <w:spacing w:val="-1"/>
              <w:w w:val="95"/>
            </w:rPr>
            <w:tab/>
          </w:r>
          <w:r w:rsidR="00F23C61">
            <w:rPr>
              <w:i w:val="0"/>
              <w:color w:val="7F3F98"/>
              <w:w w:val="95"/>
              <w:sz w:val="18"/>
            </w:rPr>
            <w:t>12</w:t>
          </w:r>
        </w:p>
        <w:p w14:paraId="03C1A4BD" w14:textId="285B8EDB" w:rsidR="0055291C" w:rsidRDefault="00000000">
          <w:pPr>
            <w:pStyle w:val="20"/>
            <w:numPr>
              <w:ilvl w:val="0"/>
              <w:numId w:val="59"/>
            </w:numPr>
            <w:tabs>
              <w:tab w:val="left" w:pos="4018"/>
              <w:tab w:val="right" w:pos="10980"/>
            </w:tabs>
            <w:spacing w:before="206"/>
            <w:rPr>
              <w:i w:val="0"/>
              <w:sz w:val="18"/>
              <w:lang w:eastAsia="ja-JP"/>
            </w:rPr>
          </w:pPr>
          <w:r>
            <w:pict w14:anchorId="31539B20">
              <v:group id="docshapegroup109" o:spid="_x0000_s3679" style="position:absolute;left:0;text-align:left;margin-left:120.8pt;margin-top:11.4pt;width:50.2pt;height:10pt;z-index:251526656;mso-position-horizontal-relative:page" coordorigin="2416,228" coordsize="1004,200">
                <v:shape id="docshape110" o:spid="_x0000_s3681" style="position:absolute;left:2415;top:227;width:1004;height:200" coordorigin="2416,228" coordsize="1004,200" path="m3359,228r-883,l2441,229r-18,6l2417,253r-1,35l2416,367r1,35l2423,419r18,7l2476,427r883,l3394,426r18,-7l3418,402r1,-35l3419,288r-1,-35l3412,235r-18,-6l3359,228xe" fillcolor="#00aca1" stroked="f">
                  <v:path arrowok="t"/>
                </v:shape>
                <v:shape id="docshape111" o:spid="_x0000_s3680" type="#_x0000_t202" style="position:absolute;left:2415;top:227;width:1004;height:200" filled="f" stroked="f">
                  <v:textbox style="mso-next-textbox:#docshape111" inset="0,0,0,0">
                    <w:txbxContent>
                      <w:p w14:paraId="780277E1" w14:textId="77777777" w:rsidR="0055291C" w:rsidRDefault="00F23C61">
                        <w:pPr>
                          <w:spacing w:before="3"/>
                          <w:ind w:left="183"/>
                          <w:rPr>
                            <w:rFonts w:ascii="Arial"/>
                            <w:b/>
                            <w:i/>
                            <w:sz w:val="14"/>
                          </w:rPr>
                        </w:pPr>
                        <w:r>
                          <w:rPr>
                            <w:rFonts w:ascii="Arial"/>
                            <w:b/>
                            <w:i/>
                            <w:color w:val="F3F4F4"/>
                            <w:sz w:val="14"/>
                          </w:rPr>
                          <w:t>guidance</w:t>
                        </w:r>
                      </w:p>
                    </w:txbxContent>
                  </v:textbox>
                </v:shape>
                <w10:wrap anchorx="page"/>
              </v:group>
            </w:pict>
          </w:r>
          <w:r>
            <w:pict w14:anchorId="6F72D61E">
              <v:group id="docshapegroup112" o:spid="_x0000_s3676" style="position:absolute;left:0;text-align:left;margin-left:56.7pt;margin-top:11.4pt;width:50.2pt;height:10pt;z-index:251527680;mso-position-horizontal-relative:page" coordorigin="1134,228" coordsize="1004,200">
                <v:shape id="docshape113" o:spid="_x0000_s3678" style="position:absolute;left:1133;top:227;width:1004;height:200" coordorigin="1134,228" coordsize="1004,200" path="m2077,228r-883,l1159,229r-18,6l1135,253r-1,35l1134,367r1,35l1141,419r18,7l1194,427r883,l2112,426r18,-7l2136,402r1,-35l2137,288r-1,-35l2130,235r-18,-6l2077,228xe" fillcolor="#7f3f98" stroked="f">
                  <v:path arrowok="t"/>
                </v:shape>
                <v:shape id="docshape114" o:spid="_x0000_s3677" type="#_x0000_t202" style="position:absolute;left:1133;top:227;width:1004;height:200" filled="f" stroked="f">
                  <v:textbox style="mso-next-textbox:#docshape114" inset="0,0,0,0">
                    <w:txbxContent>
                      <w:p w14:paraId="3C915695" w14:textId="77777777" w:rsidR="0055291C" w:rsidRDefault="00F23C61">
                        <w:pPr>
                          <w:spacing w:before="4"/>
                          <w:ind w:left="30"/>
                          <w:rPr>
                            <w:rFonts w:ascii="Arial"/>
                            <w:b/>
                            <w:i/>
                            <w:sz w:val="14"/>
                          </w:rPr>
                        </w:pPr>
                        <w:r>
                          <w:rPr>
                            <w:rFonts w:ascii="Arial"/>
                            <w:b/>
                            <w:i/>
                            <w:color w:val="F3F4F4"/>
                            <w:sz w:val="14"/>
                          </w:rPr>
                          <w:t>requirements</w:t>
                        </w:r>
                      </w:p>
                    </w:txbxContent>
                  </v:textbox>
                </v:shape>
                <w10:wrap anchorx="page"/>
              </v:group>
            </w:pict>
          </w:r>
          <w:r w:rsidR="00E2477E" w:rsidRPr="00E2477E">
            <w:rPr>
              <w:rFonts w:ascii="ＭＳ 明朝" w:eastAsia="ＭＳ 明朝" w:hAnsi="ＭＳ 明朝" w:cs="ＭＳ 明朝" w:hint="eastAsia"/>
              <w:color w:val="545456"/>
              <w:w w:val="95"/>
              <w:lang w:eastAsia="ja-JP"/>
            </w:rPr>
            <w:t>製品ライフサイクル</w:t>
          </w:r>
          <w:r w:rsidR="000446E0">
            <w:rPr>
              <w:rFonts w:ascii="ＭＳ 明朝" w:eastAsia="ＭＳ 明朝" w:hAnsi="ＭＳ 明朝" w:cs="ＭＳ 明朝" w:hint="eastAsia"/>
              <w:color w:val="545456"/>
              <w:w w:val="95"/>
              <w:lang w:eastAsia="ja-JP"/>
            </w:rPr>
            <w:t>における</w:t>
          </w:r>
          <w:r w:rsidR="00E2477E" w:rsidRPr="00E2477E">
            <w:rPr>
              <w:color w:val="545456"/>
              <w:w w:val="95"/>
              <w:lang w:eastAsia="ja-JP"/>
            </w:rPr>
            <w:t>GHG</w:t>
          </w:r>
          <w:r w:rsidR="00737EE5">
            <w:rPr>
              <w:rFonts w:ascii="ＭＳ 明朝" w:eastAsia="ＭＳ 明朝" w:hAnsi="ＭＳ 明朝" w:cs="ＭＳ 明朝" w:hint="eastAsia"/>
              <w:color w:val="545456"/>
              <w:w w:val="95"/>
              <w:lang w:eastAsia="ja-JP"/>
            </w:rPr>
            <w:t>算出</w:t>
          </w:r>
          <w:r w:rsidR="00E2477E" w:rsidRPr="00E2477E">
            <w:rPr>
              <w:rFonts w:ascii="ＭＳ 明朝" w:eastAsia="ＭＳ 明朝" w:hAnsi="ＭＳ 明朝" w:cs="ＭＳ 明朝" w:hint="eastAsia"/>
              <w:color w:val="545456"/>
              <w:w w:val="95"/>
              <w:lang w:eastAsia="ja-JP"/>
            </w:rPr>
            <w:t>と報告の原則</w:t>
          </w:r>
          <w:r w:rsidR="00F23C61">
            <w:rPr>
              <w:color w:val="545456"/>
              <w:w w:val="95"/>
              <w:lang w:eastAsia="ja-JP"/>
            </w:rPr>
            <w:tab/>
          </w:r>
          <w:r w:rsidR="00F23C61">
            <w:rPr>
              <w:i w:val="0"/>
              <w:color w:val="7F3F98"/>
              <w:w w:val="95"/>
              <w:sz w:val="18"/>
              <w:lang w:eastAsia="ja-JP"/>
            </w:rPr>
            <w:t>18</w:t>
          </w:r>
        </w:p>
        <w:p w14:paraId="36D9981D" w14:textId="3FD31DFC" w:rsidR="0055291C" w:rsidRDefault="00000000">
          <w:pPr>
            <w:pStyle w:val="20"/>
            <w:numPr>
              <w:ilvl w:val="0"/>
              <w:numId w:val="59"/>
            </w:numPr>
            <w:tabs>
              <w:tab w:val="left" w:pos="4018"/>
              <w:tab w:val="right" w:pos="10980"/>
            </w:tabs>
            <w:rPr>
              <w:i w:val="0"/>
              <w:sz w:val="18"/>
              <w:lang w:eastAsia="ja-JP"/>
            </w:rPr>
          </w:pPr>
          <w:r>
            <w:pict w14:anchorId="238D1F48">
              <v:group id="docshapegroup115" o:spid="_x0000_s3673" style="position:absolute;left:0;text-align:left;margin-left:120.8pt;margin-top:11.45pt;width:50.2pt;height:10pt;z-index:251529728;mso-position-horizontal-relative:page" coordorigin="2416,229" coordsize="1004,200">
                <v:shape id="docshape116" o:spid="_x0000_s3675" style="position:absolute;left:2415;top:228;width:1004;height:200" coordorigin="2416,229" coordsize="1004,200" path="m3359,229r-883,l2441,230r-18,6l2417,254r-1,35l2416,368r1,34l2423,420r18,7l2476,428r883,l3394,427r18,-7l3418,402r1,-34l3419,289r-1,-35l3412,236r-18,-6l3359,229xe" fillcolor="#00aca1" stroked="f">
                  <v:path arrowok="t"/>
                </v:shape>
                <v:shape id="docshape117" o:spid="_x0000_s3674" type="#_x0000_t202" style="position:absolute;left:2415;top:228;width:1004;height:200" filled="f" stroked="f">
                  <v:textbox style="mso-next-textbox:#docshape117" inset="0,0,0,0">
                    <w:txbxContent>
                      <w:p w14:paraId="30A72448" w14:textId="77777777" w:rsidR="0055291C" w:rsidRDefault="00F23C61">
                        <w:pPr>
                          <w:spacing w:before="3"/>
                          <w:ind w:left="183"/>
                          <w:rPr>
                            <w:rFonts w:ascii="Arial"/>
                            <w:b/>
                            <w:i/>
                            <w:sz w:val="14"/>
                          </w:rPr>
                        </w:pPr>
                        <w:r>
                          <w:rPr>
                            <w:rFonts w:ascii="Arial"/>
                            <w:b/>
                            <w:i/>
                            <w:color w:val="F3F4F4"/>
                            <w:sz w:val="14"/>
                          </w:rPr>
                          <w:t>guidance</w:t>
                        </w:r>
                      </w:p>
                    </w:txbxContent>
                  </v:textbox>
                </v:shape>
                <w10:wrap anchorx="page"/>
              </v:group>
            </w:pict>
          </w:r>
          <w:r>
            <w:pict w14:anchorId="77F5D3A9">
              <v:group id="docshapegroup118" o:spid="_x0000_s3670" style="position:absolute;left:0;text-align:left;margin-left:56.7pt;margin-top:11.45pt;width:50.2pt;height:10pt;z-index:251530752;mso-position-horizontal-relative:page" coordorigin="1134,229" coordsize="1004,200">
                <v:shape id="docshape119" o:spid="_x0000_s3672" style="position:absolute;left:1133;top:228;width:1004;height:200" coordorigin="1134,229" coordsize="1004,200" path="m2077,229r-883,l1159,230r-18,6l1135,254r-1,35l1134,368r1,34l1141,420r18,7l1194,428r883,l2112,427r18,-7l2136,402r1,-34l2137,289r-1,-35l2130,236r-18,-6l2077,229xe" fillcolor="#7f3f98" stroked="f">
                  <v:path arrowok="t"/>
                </v:shape>
                <v:shape id="docshape120" o:spid="_x0000_s3671" type="#_x0000_t202" style="position:absolute;left:1133;top:228;width:1004;height:200" filled="f" stroked="f">
                  <v:textbox style="mso-next-textbox:#docshape120" inset="0,0,0,0">
                    <w:txbxContent>
                      <w:p w14:paraId="66BF865B" w14:textId="77777777" w:rsidR="0055291C" w:rsidRDefault="00F23C61">
                        <w:pPr>
                          <w:spacing w:before="4"/>
                          <w:ind w:left="30"/>
                          <w:rPr>
                            <w:rFonts w:ascii="Arial"/>
                            <w:b/>
                            <w:i/>
                            <w:sz w:val="14"/>
                          </w:rPr>
                        </w:pPr>
                        <w:r>
                          <w:rPr>
                            <w:rFonts w:ascii="Arial"/>
                            <w:b/>
                            <w:i/>
                            <w:color w:val="F3F4F4"/>
                            <w:sz w:val="14"/>
                          </w:rPr>
                          <w:t>requirements</w:t>
                        </w:r>
                      </w:p>
                    </w:txbxContent>
                  </v:textbox>
                </v:shape>
                <w10:wrap anchorx="page"/>
              </v:group>
            </w:pict>
          </w:r>
          <w:r w:rsidR="00EB7758" w:rsidRPr="00EB7758">
            <w:rPr>
              <w:rFonts w:ascii="ＭＳ 明朝" w:eastAsia="ＭＳ 明朝" w:hAnsi="ＭＳ 明朝" w:cs="ＭＳ 明朝" w:hint="eastAsia"/>
              <w:color w:val="545456"/>
              <w:w w:val="95"/>
              <w:lang w:eastAsia="ja-JP"/>
            </w:rPr>
            <w:t>製品ライフサイクル</w:t>
          </w:r>
          <w:r w:rsidR="00EB7758">
            <w:rPr>
              <w:rFonts w:ascii="ＭＳ 明朝" w:eastAsia="ＭＳ 明朝" w:hAnsi="ＭＳ 明朝" w:cs="ＭＳ 明朝" w:hint="eastAsia"/>
              <w:color w:val="545456"/>
              <w:w w:val="95"/>
              <w:lang w:eastAsia="ja-JP"/>
            </w:rPr>
            <w:t>における</w:t>
          </w:r>
          <w:r w:rsidR="00EB7758" w:rsidRPr="00EB7758">
            <w:rPr>
              <w:color w:val="545456"/>
              <w:w w:val="95"/>
              <w:lang w:eastAsia="ja-JP"/>
            </w:rPr>
            <w:t>GHG</w:t>
          </w:r>
          <w:r w:rsidR="00737EE5">
            <w:rPr>
              <w:rFonts w:ascii="ＭＳ 明朝" w:eastAsia="ＭＳ 明朝" w:hAnsi="ＭＳ 明朝" w:cs="ＭＳ 明朝" w:hint="eastAsia"/>
              <w:color w:val="545456"/>
              <w:w w:val="95"/>
              <w:lang w:eastAsia="ja-JP"/>
            </w:rPr>
            <w:t>算出</w:t>
          </w:r>
          <w:r w:rsidR="00EB7758" w:rsidRPr="00EB7758">
            <w:rPr>
              <w:rFonts w:ascii="ＭＳ 明朝" w:eastAsia="ＭＳ 明朝" w:hAnsi="ＭＳ 明朝" w:cs="ＭＳ 明朝" w:hint="eastAsia"/>
              <w:color w:val="545456"/>
              <w:w w:val="95"/>
              <w:lang w:eastAsia="ja-JP"/>
            </w:rPr>
            <w:t>の基礎</w:t>
          </w:r>
          <w:r w:rsidR="00F23C61">
            <w:rPr>
              <w:color w:val="545456"/>
              <w:w w:val="95"/>
              <w:lang w:eastAsia="ja-JP"/>
            </w:rPr>
            <w:tab/>
          </w:r>
          <w:r w:rsidR="00F23C61">
            <w:rPr>
              <w:i w:val="0"/>
              <w:color w:val="7F3F98"/>
              <w:w w:val="95"/>
              <w:sz w:val="18"/>
              <w:lang w:eastAsia="ja-JP"/>
            </w:rPr>
            <w:t>20</w:t>
          </w:r>
        </w:p>
        <w:p w14:paraId="54AD65E1" w14:textId="1DA1368A" w:rsidR="0055291C" w:rsidRDefault="00000000">
          <w:pPr>
            <w:pStyle w:val="20"/>
            <w:numPr>
              <w:ilvl w:val="0"/>
              <w:numId w:val="59"/>
            </w:numPr>
            <w:tabs>
              <w:tab w:val="left" w:pos="4018"/>
              <w:tab w:val="right" w:pos="10980"/>
            </w:tabs>
            <w:rPr>
              <w:i w:val="0"/>
              <w:sz w:val="18"/>
              <w:lang w:eastAsia="ja-JP"/>
            </w:rPr>
          </w:pPr>
          <w:r>
            <w:pict w14:anchorId="2CC5F7AD">
              <v:group id="docshapegroup121" o:spid="_x0000_s3667" style="position:absolute;left:0;text-align:left;margin-left:120.8pt;margin-top:11.45pt;width:50.2pt;height:10pt;z-index:251531776;mso-position-horizontal-relative:page" coordorigin="2416,229" coordsize="1004,200">
                <v:shape id="docshape122" o:spid="_x0000_s3669" style="position:absolute;left:2415;top:228;width:1004;height:200" coordorigin="2416,229" coordsize="1004,200" path="m3359,229r-883,l2441,229r-18,7l2417,254r-1,35l2416,368r1,34l2423,420r18,7l2476,428r883,l3394,427r18,-7l3418,402r1,-34l3419,289r-1,-35l3412,236r-18,-7l3359,229xe" fillcolor="#00aca1" stroked="f">
                  <v:path arrowok="t"/>
                </v:shape>
                <v:shape id="docshape123" o:spid="_x0000_s3668" type="#_x0000_t202" style="position:absolute;left:2415;top:228;width:1004;height:200" filled="f" stroked="f">
                  <v:textbox style="mso-next-textbox:#docshape123" inset="0,0,0,0">
                    <w:txbxContent>
                      <w:p w14:paraId="6F1724A1" w14:textId="77777777" w:rsidR="0055291C" w:rsidRDefault="00F23C61">
                        <w:pPr>
                          <w:spacing w:before="3"/>
                          <w:ind w:left="183"/>
                          <w:rPr>
                            <w:rFonts w:ascii="Arial"/>
                            <w:b/>
                            <w:i/>
                            <w:sz w:val="14"/>
                          </w:rPr>
                        </w:pPr>
                        <w:r>
                          <w:rPr>
                            <w:rFonts w:ascii="Arial"/>
                            <w:b/>
                            <w:i/>
                            <w:color w:val="F3F4F4"/>
                            <w:sz w:val="14"/>
                          </w:rPr>
                          <w:t>guidance</w:t>
                        </w:r>
                      </w:p>
                    </w:txbxContent>
                  </v:textbox>
                </v:shape>
                <w10:wrap anchorx="page"/>
              </v:group>
            </w:pict>
          </w:r>
          <w:r>
            <w:pict w14:anchorId="41BB764C">
              <v:group id="docshapegroup124" o:spid="_x0000_s3664" style="position:absolute;left:0;text-align:left;margin-left:56.7pt;margin-top:11.45pt;width:50.2pt;height:10pt;z-index:251532800;mso-position-horizontal-relative:page" coordorigin="1134,229" coordsize="1004,200">
                <v:shape id="docshape125" o:spid="_x0000_s3666" style="position:absolute;left:1133;top:228;width:1004;height:200" coordorigin="1134,229" coordsize="1004,200" path="m2077,229r-883,l1159,229r-18,7l1135,254r-1,35l1134,368r1,34l1141,420r18,7l1194,428r883,l2112,427r18,-7l2136,402r1,-34l2137,289r-1,-35l2130,236r-18,-7l2077,229xe" fillcolor="#7f3f98" stroked="f">
                  <v:path arrowok="t"/>
                </v:shape>
                <v:shape id="docshape126" o:spid="_x0000_s3665" type="#_x0000_t202" style="position:absolute;left:1133;top:228;width:1004;height:200" filled="f" stroked="f">
                  <v:textbox style="mso-next-textbox:#docshape126" inset="0,0,0,0">
                    <w:txbxContent>
                      <w:p w14:paraId="2251BC70" w14:textId="77777777" w:rsidR="0055291C" w:rsidRDefault="00F23C61">
                        <w:pPr>
                          <w:spacing w:before="4"/>
                          <w:ind w:left="30"/>
                          <w:rPr>
                            <w:rFonts w:ascii="Arial"/>
                            <w:b/>
                            <w:i/>
                            <w:sz w:val="14"/>
                          </w:rPr>
                        </w:pPr>
                        <w:r>
                          <w:rPr>
                            <w:rFonts w:ascii="Arial"/>
                            <w:b/>
                            <w:i/>
                            <w:color w:val="F3F4F4"/>
                            <w:sz w:val="14"/>
                          </w:rPr>
                          <w:t>requirements</w:t>
                        </w:r>
                      </w:p>
                    </w:txbxContent>
                  </v:textbox>
                </v:shape>
                <w10:wrap anchorx="page"/>
              </v:group>
            </w:pict>
          </w:r>
          <w:r w:rsidR="00570DAA">
            <w:rPr>
              <w:rFonts w:ascii="ＭＳ 明朝" w:eastAsia="ＭＳ 明朝" w:hAnsi="ＭＳ 明朝" w:cs="ＭＳ 明朝" w:hint="eastAsia"/>
              <w:lang w:eastAsia="ja-JP"/>
            </w:rPr>
            <w:t>排出量算出</w:t>
          </w:r>
          <w:r w:rsidR="005E0613" w:rsidRPr="005E0613">
            <w:rPr>
              <w:rFonts w:ascii="ＭＳ 明朝" w:eastAsia="ＭＳ 明朝" w:hAnsi="ＭＳ 明朝" w:cs="ＭＳ 明朝" w:hint="eastAsia"/>
              <w:color w:val="545456"/>
              <w:lang w:eastAsia="ja-JP"/>
            </w:rPr>
            <w:t>の範囲設定</w:t>
          </w:r>
          <w:r w:rsidR="00F23C61">
            <w:rPr>
              <w:color w:val="545456"/>
              <w:lang w:eastAsia="ja-JP"/>
            </w:rPr>
            <w:tab/>
          </w:r>
          <w:r w:rsidR="00F23C61">
            <w:rPr>
              <w:i w:val="0"/>
              <w:color w:val="7F3F98"/>
              <w:sz w:val="18"/>
              <w:lang w:eastAsia="ja-JP"/>
            </w:rPr>
            <w:t>26</w:t>
          </w:r>
        </w:p>
        <w:p w14:paraId="1B2A3E4F" w14:textId="134B2359" w:rsidR="0055291C" w:rsidRDefault="00000000">
          <w:pPr>
            <w:pStyle w:val="20"/>
            <w:numPr>
              <w:ilvl w:val="0"/>
              <w:numId w:val="59"/>
            </w:numPr>
            <w:tabs>
              <w:tab w:val="left" w:pos="4018"/>
              <w:tab w:val="right" w:pos="10980"/>
            </w:tabs>
            <w:spacing w:before="206"/>
            <w:rPr>
              <w:i w:val="0"/>
              <w:sz w:val="18"/>
            </w:rPr>
          </w:pPr>
          <w:r>
            <w:pict w14:anchorId="4FB62244">
              <v:group id="docshapegroup127" o:spid="_x0000_s3661" style="position:absolute;left:0;text-align:left;margin-left:120.8pt;margin-top:11.35pt;width:50.2pt;height:10pt;z-index:251533824;mso-position-horizontal-relative:page" coordorigin="2416,227" coordsize="1004,200">
                <v:shape id="docshape128" o:spid="_x0000_s3663" style="position:absolute;left:2415;top:227;width:1004;height:200" coordorigin="2416,227" coordsize="1004,200" path="m3359,227r-883,l2441,228r-18,7l2417,253r-1,34l2416,366r1,35l2423,419r18,7l2476,426r883,l3394,426r18,-7l3418,401r1,-35l3419,287r-1,-34l3412,235r-18,-7l3359,227xe" fillcolor="#00aca1" stroked="f">
                  <v:path arrowok="t"/>
                </v:shape>
                <v:shape id="docshape129" o:spid="_x0000_s3662" type="#_x0000_t202" style="position:absolute;left:2415;top:227;width:1004;height:200" filled="f" stroked="f">
                  <v:textbox style="mso-next-textbox:#docshape129" inset="0,0,0,0">
                    <w:txbxContent>
                      <w:p w14:paraId="62E1E829" w14:textId="77777777" w:rsidR="0055291C" w:rsidRDefault="00F23C61">
                        <w:pPr>
                          <w:spacing w:before="3"/>
                          <w:ind w:left="183"/>
                          <w:rPr>
                            <w:rFonts w:ascii="Arial"/>
                            <w:b/>
                            <w:i/>
                            <w:sz w:val="14"/>
                          </w:rPr>
                        </w:pPr>
                        <w:r>
                          <w:rPr>
                            <w:rFonts w:ascii="Arial"/>
                            <w:b/>
                            <w:i/>
                            <w:color w:val="F3F4F4"/>
                            <w:sz w:val="14"/>
                          </w:rPr>
                          <w:t>guidance</w:t>
                        </w:r>
                      </w:p>
                    </w:txbxContent>
                  </v:textbox>
                </v:shape>
                <w10:wrap anchorx="page"/>
              </v:group>
            </w:pict>
          </w:r>
          <w:r>
            <w:pict w14:anchorId="194D70AF">
              <v:group id="docshapegroup130" o:spid="_x0000_s3658" style="position:absolute;left:0;text-align:left;margin-left:56.7pt;margin-top:11.35pt;width:50.2pt;height:10pt;z-index:251534848;mso-position-horizontal-relative:page" coordorigin="1134,227" coordsize="1004,200">
                <v:shape id="docshape131" o:spid="_x0000_s3660" style="position:absolute;left:1133;top:227;width:1004;height:200" coordorigin="1134,227" coordsize="1004,200" path="m2077,227r-883,l1159,228r-18,7l1135,253r-1,34l1134,366r1,35l1141,419r18,7l1194,426r883,l2112,426r18,-7l2136,401r1,-35l2137,287r-1,-34l2130,235r-18,-7l2077,227xe" fillcolor="#7f3f98" stroked="f">
                  <v:path arrowok="t"/>
                </v:shape>
                <v:shape id="docshape132" o:spid="_x0000_s3659" type="#_x0000_t202" style="position:absolute;left:1133;top:227;width:1004;height:200" filled="f" stroked="f">
                  <v:textbox style="mso-next-textbox:#docshape132" inset="0,0,0,0">
                    <w:txbxContent>
                      <w:p w14:paraId="4A4A1F5A" w14:textId="77777777" w:rsidR="0055291C" w:rsidRDefault="00F23C61">
                        <w:pPr>
                          <w:spacing w:before="4"/>
                          <w:ind w:left="30"/>
                          <w:rPr>
                            <w:rFonts w:ascii="Arial"/>
                            <w:b/>
                            <w:i/>
                            <w:sz w:val="14"/>
                          </w:rPr>
                        </w:pPr>
                        <w:r>
                          <w:rPr>
                            <w:rFonts w:ascii="Arial"/>
                            <w:b/>
                            <w:i/>
                            <w:color w:val="F3F4F4"/>
                            <w:sz w:val="14"/>
                          </w:rPr>
                          <w:t>requirements</w:t>
                        </w:r>
                      </w:p>
                    </w:txbxContent>
                  </v:textbox>
                </v:shape>
                <w10:wrap anchorx="page"/>
              </v:group>
            </w:pict>
          </w:r>
          <w:r w:rsidR="00795C43">
            <w:rPr>
              <w:rFonts w:ascii="ＭＳ 明朝" w:eastAsia="ＭＳ 明朝" w:hAnsi="ＭＳ 明朝" w:cs="ＭＳ 明朝" w:hint="eastAsia"/>
              <w:color w:val="545456"/>
              <w:lang w:eastAsia="ja-JP"/>
            </w:rPr>
            <w:t>境界の設定</w:t>
          </w:r>
          <w:r w:rsidR="00F23C61">
            <w:rPr>
              <w:rFonts w:ascii="Times New Roman"/>
              <w:color w:val="545456"/>
            </w:rPr>
            <w:tab/>
          </w:r>
          <w:r w:rsidR="00F23C61">
            <w:rPr>
              <w:i w:val="0"/>
              <w:color w:val="7F3F98"/>
              <w:sz w:val="18"/>
            </w:rPr>
            <w:t>32</w:t>
          </w:r>
        </w:p>
        <w:p w14:paraId="3EA520CF" w14:textId="1111D585" w:rsidR="0055291C" w:rsidRDefault="00000000">
          <w:pPr>
            <w:pStyle w:val="20"/>
            <w:numPr>
              <w:ilvl w:val="0"/>
              <w:numId w:val="59"/>
            </w:numPr>
            <w:tabs>
              <w:tab w:val="left" w:pos="4018"/>
              <w:tab w:val="right" w:pos="10980"/>
            </w:tabs>
            <w:rPr>
              <w:i w:val="0"/>
              <w:sz w:val="18"/>
              <w:lang w:eastAsia="ja-JP"/>
            </w:rPr>
          </w:pPr>
          <w:r>
            <w:pict w14:anchorId="4AE8A538">
              <v:group id="docshapegroup133" o:spid="_x0000_s3655" style="position:absolute;left:0;text-align:left;margin-left:120.8pt;margin-top:11.4pt;width:50.2pt;height:10pt;z-index:251535872;mso-position-horizontal-relative:page" coordorigin="2416,228" coordsize="1004,200">
                <v:shape id="docshape134" o:spid="_x0000_s3657" style="position:absolute;left:2415;top:228;width:1004;height:200" coordorigin="2416,228" coordsize="1004,200" path="m3359,228r-883,l2441,229r-18,7l2417,254r-1,34l2416,367r1,35l2423,420r18,6l2476,427r883,l3394,426r18,-6l3418,402r1,-35l3419,288r-1,-34l3412,236r-18,-7l3359,228xe" fillcolor="#00aca1" stroked="f">
                  <v:path arrowok="t"/>
                </v:shape>
                <v:shape id="docshape135" o:spid="_x0000_s3656" type="#_x0000_t202" style="position:absolute;left:2415;top:228;width:1004;height:200" filled="f" stroked="f">
                  <v:textbox style="mso-next-textbox:#docshape135" inset="0,0,0,0">
                    <w:txbxContent>
                      <w:p w14:paraId="0A21933B" w14:textId="77777777" w:rsidR="0055291C" w:rsidRDefault="00F23C61">
                        <w:pPr>
                          <w:spacing w:before="3"/>
                          <w:ind w:left="183"/>
                          <w:rPr>
                            <w:rFonts w:ascii="Arial"/>
                            <w:b/>
                            <w:i/>
                            <w:sz w:val="14"/>
                          </w:rPr>
                        </w:pPr>
                        <w:r>
                          <w:rPr>
                            <w:rFonts w:ascii="Arial"/>
                            <w:b/>
                            <w:i/>
                            <w:color w:val="F3F4F4"/>
                            <w:sz w:val="14"/>
                          </w:rPr>
                          <w:t>guidance</w:t>
                        </w:r>
                      </w:p>
                    </w:txbxContent>
                  </v:textbox>
                </v:shape>
                <w10:wrap anchorx="page"/>
              </v:group>
            </w:pict>
          </w:r>
          <w:r>
            <w:pict w14:anchorId="5A171F4C">
              <v:group id="docshapegroup136" o:spid="_x0000_s3652" style="position:absolute;left:0;text-align:left;margin-left:56.7pt;margin-top:11.4pt;width:50.2pt;height:10pt;z-index:251536896;mso-position-horizontal-relative:page" coordorigin="1134,228" coordsize="1004,200">
                <v:shape id="docshape137" o:spid="_x0000_s3654" style="position:absolute;left:1133;top:228;width:1004;height:200" coordorigin="1134,228" coordsize="1004,200" path="m2077,228r-883,l1159,229r-18,7l1135,254r-1,34l1134,367r1,35l1141,420r18,6l1194,427r883,l2112,426r18,-6l2136,402r1,-35l2137,288r-1,-34l2130,236r-18,-7l2077,228xe" fillcolor="#7f3f98" stroked="f">
                  <v:path arrowok="t"/>
                </v:shape>
                <v:shape id="docshape138" o:spid="_x0000_s3653" type="#_x0000_t202" style="position:absolute;left:1133;top:228;width:1004;height:200" filled="f" stroked="f">
                  <v:textbox style="mso-next-textbox:#docshape138" inset="0,0,0,0">
                    <w:txbxContent>
                      <w:p w14:paraId="0F2BABC7" w14:textId="77777777" w:rsidR="0055291C" w:rsidRDefault="00F23C61">
                        <w:pPr>
                          <w:spacing w:before="4"/>
                          <w:ind w:left="30"/>
                          <w:rPr>
                            <w:rFonts w:ascii="Arial"/>
                            <w:b/>
                            <w:i/>
                            <w:sz w:val="14"/>
                          </w:rPr>
                        </w:pPr>
                        <w:r>
                          <w:rPr>
                            <w:rFonts w:ascii="Arial"/>
                            <w:b/>
                            <w:i/>
                            <w:color w:val="F3F4F4"/>
                            <w:sz w:val="14"/>
                          </w:rPr>
                          <w:t>requirements</w:t>
                        </w:r>
                      </w:p>
                    </w:txbxContent>
                  </v:textbox>
                </v:shape>
                <w10:wrap anchorx="page"/>
              </v:group>
            </w:pict>
          </w:r>
          <w:hyperlink w:anchor="_TOC_250005" w:history="1">
            <w:r w:rsidR="00795C43">
              <w:rPr>
                <w:rFonts w:ascii="ＭＳ 明朝" w:eastAsia="ＭＳ 明朝" w:hAnsi="ＭＳ 明朝" w:cs="ＭＳ 明朝" w:hint="eastAsia"/>
                <w:lang w:eastAsia="ja-JP"/>
              </w:rPr>
              <w:t>データ収集とデータ</w:t>
            </w:r>
            <w:r w:rsidR="00570DAA">
              <w:rPr>
                <w:rFonts w:ascii="ＭＳ 明朝" w:eastAsia="ＭＳ 明朝" w:hAnsi="ＭＳ 明朝" w:cs="ＭＳ 明朝" w:hint="eastAsia"/>
                <w:lang w:eastAsia="ja-JP"/>
              </w:rPr>
              <w:t>品</w:t>
            </w:r>
            <w:r w:rsidR="00795C43">
              <w:rPr>
                <w:rFonts w:ascii="ＭＳ 明朝" w:eastAsia="ＭＳ 明朝" w:hAnsi="ＭＳ 明朝" w:cs="ＭＳ 明朝" w:hint="eastAsia"/>
                <w:lang w:eastAsia="ja-JP"/>
              </w:rPr>
              <w:t>質の評価</w:t>
            </w:r>
            <w:r w:rsidR="00F23C61">
              <w:rPr>
                <w:color w:val="545456"/>
                <w:lang w:eastAsia="ja-JP"/>
              </w:rPr>
              <w:tab/>
            </w:r>
            <w:r w:rsidR="00F23C61">
              <w:rPr>
                <w:i w:val="0"/>
                <w:color w:val="7F3F98"/>
                <w:sz w:val="18"/>
                <w:lang w:eastAsia="ja-JP"/>
              </w:rPr>
              <w:t>46</w:t>
            </w:r>
          </w:hyperlink>
        </w:p>
        <w:p w14:paraId="5FE8834F" w14:textId="42EDF551" w:rsidR="0055291C" w:rsidRDefault="00000000">
          <w:pPr>
            <w:pStyle w:val="20"/>
            <w:numPr>
              <w:ilvl w:val="0"/>
              <w:numId w:val="59"/>
            </w:numPr>
            <w:tabs>
              <w:tab w:val="left" w:pos="4018"/>
              <w:tab w:val="right" w:pos="10980"/>
            </w:tabs>
            <w:rPr>
              <w:i w:val="0"/>
              <w:sz w:val="18"/>
            </w:rPr>
          </w:pPr>
          <w:r>
            <w:pict w14:anchorId="44188B2A">
              <v:group id="docshapegroup139" o:spid="_x0000_s3649" style="position:absolute;left:0;text-align:left;margin-left:120.8pt;margin-top:11.4pt;width:50.2pt;height:10pt;z-index:251537920;mso-position-horizontal-relative:page" coordorigin="2416,228" coordsize="1004,200">
                <v:shape id="docshape140" o:spid="_x0000_s3651" style="position:absolute;left:2415;top:228;width:1004;height:200" coordorigin="2416,228" coordsize="1004,200" path="m3359,228r-883,l2441,229r-18,7l2417,253r-1,35l2416,367r1,35l2423,420r18,6l2476,427r883,l3394,426r18,-6l3418,402r1,-35l3419,288r-1,-35l3412,236r-18,-7l3359,228xe" fillcolor="#00aca1" stroked="f">
                  <v:path arrowok="t"/>
                </v:shape>
                <v:shape id="docshape141" o:spid="_x0000_s3650" type="#_x0000_t202" style="position:absolute;left:2415;top:228;width:1004;height:200" filled="f" stroked="f">
                  <v:textbox style="mso-next-textbox:#docshape141" inset="0,0,0,0">
                    <w:txbxContent>
                      <w:p w14:paraId="050E094D" w14:textId="77777777" w:rsidR="0055291C" w:rsidRDefault="00F23C61">
                        <w:pPr>
                          <w:spacing w:before="3"/>
                          <w:ind w:left="183"/>
                          <w:rPr>
                            <w:rFonts w:ascii="Arial"/>
                            <w:b/>
                            <w:i/>
                            <w:sz w:val="14"/>
                          </w:rPr>
                        </w:pPr>
                        <w:r>
                          <w:rPr>
                            <w:rFonts w:ascii="Arial"/>
                            <w:b/>
                            <w:i/>
                            <w:color w:val="F3F4F4"/>
                            <w:sz w:val="14"/>
                          </w:rPr>
                          <w:t>guidance</w:t>
                        </w:r>
                      </w:p>
                    </w:txbxContent>
                  </v:textbox>
                </v:shape>
                <w10:wrap anchorx="page"/>
              </v:group>
            </w:pict>
          </w:r>
          <w:r>
            <w:pict w14:anchorId="7C9F9AF4">
              <v:group id="docshapegroup142" o:spid="_x0000_s3646" style="position:absolute;left:0;text-align:left;margin-left:56.7pt;margin-top:11.4pt;width:50.2pt;height:10pt;z-index:251538944;mso-position-horizontal-relative:page" coordorigin="1134,228" coordsize="1004,200">
                <v:shape id="docshape143" o:spid="_x0000_s3648" style="position:absolute;left:1133;top:228;width:1004;height:200" coordorigin="1134,228" coordsize="1004,200" path="m2077,228r-883,l1159,229r-18,7l1135,253r-1,35l1134,367r1,35l1141,420r18,6l1194,427r883,l2112,426r18,-6l2136,402r1,-35l2137,288r-1,-35l2130,236r-18,-7l2077,228xe" fillcolor="#7f3f98" stroked="f">
                  <v:path arrowok="t"/>
                </v:shape>
                <v:shape id="docshape144" o:spid="_x0000_s3647" type="#_x0000_t202" style="position:absolute;left:1133;top:228;width:1004;height:200" filled="f" stroked="f">
                  <v:textbox style="mso-next-textbox:#docshape144" inset="0,0,0,0">
                    <w:txbxContent>
                      <w:p w14:paraId="19CF0E7E" w14:textId="77777777" w:rsidR="0055291C" w:rsidRDefault="00F23C61">
                        <w:pPr>
                          <w:spacing w:before="4"/>
                          <w:ind w:left="30"/>
                          <w:rPr>
                            <w:rFonts w:ascii="Arial"/>
                            <w:b/>
                            <w:i/>
                            <w:sz w:val="14"/>
                          </w:rPr>
                        </w:pPr>
                        <w:r>
                          <w:rPr>
                            <w:rFonts w:ascii="Arial"/>
                            <w:b/>
                            <w:i/>
                            <w:color w:val="F3F4F4"/>
                            <w:sz w:val="14"/>
                          </w:rPr>
                          <w:t>requirements</w:t>
                        </w:r>
                      </w:p>
                    </w:txbxContent>
                  </v:textbox>
                </v:shape>
                <w10:wrap anchorx="page"/>
              </v:group>
            </w:pict>
          </w:r>
          <w:r w:rsidR="003A76E5">
            <w:rPr>
              <w:rFonts w:ascii="ＭＳ 明朝" w:eastAsia="ＭＳ 明朝" w:hAnsi="ＭＳ 明朝" w:cs="ＭＳ 明朝" w:hint="eastAsia"/>
              <w:color w:val="545456"/>
              <w:lang w:eastAsia="ja-JP"/>
            </w:rPr>
            <w:t>割り当て</w:t>
          </w:r>
          <w:r w:rsidR="00F23C61">
            <w:rPr>
              <w:color w:val="545456"/>
            </w:rPr>
            <w:tab/>
          </w:r>
          <w:r w:rsidR="00F23C61">
            <w:rPr>
              <w:i w:val="0"/>
              <w:color w:val="7F3F98"/>
              <w:sz w:val="18"/>
            </w:rPr>
            <w:t>60</w:t>
          </w:r>
        </w:p>
        <w:p w14:paraId="76024CEE" w14:textId="02FBCCD2" w:rsidR="0055291C" w:rsidRDefault="00000000">
          <w:pPr>
            <w:pStyle w:val="20"/>
            <w:numPr>
              <w:ilvl w:val="0"/>
              <w:numId w:val="59"/>
            </w:numPr>
            <w:tabs>
              <w:tab w:val="left" w:pos="4018"/>
              <w:tab w:val="right" w:pos="10980"/>
            </w:tabs>
            <w:rPr>
              <w:i w:val="0"/>
              <w:sz w:val="18"/>
            </w:rPr>
          </w:pPr>
          <w:r>
            <w:pict w14:anchorId="12087489">
              <v:group id="docshapegroup145" o:spid="_x0000_s3643" style="position:absolute;left:0;text-align:left;margin-left:120.8pt;margin-top:11.4pt;width:50.2pt;height:10pt;z-index:251539968;mso-position-horizontal-relative:page" coordorigin="2416,228" coordsize="1004,200">
                <v:shape id="docshape146" o:spid="_x0000_s3645" style="position:absolute;left:2415;top:227;width:1004;height:200" coordorigin="2416,228" coordsize="1004,200" path="m3359,228r-883,l2441,229r-18,6l2417,253r-1,35l2416,367r1,35l2423,419r18,7l2476,427r883,l3394,426r18,-7l3418,402r1,-35l3419,288r-1,-35l3412,235r-18,-6l3359,228xe" fillcolor="#00aca1" stroked="f">
                  <v:path arrowok="t"/>
                </v:shape>
                <v:shape id="docshape147" o:spid="_x0000_s3644" type="#_x0000_t202" style="position:absolute;left:2415;top:227;width:1004;height:200" filled="f" stroked="f">
                  <v:textbox style="mso-next-textbox:#docshape147" inset="0,0,0,0">
                    <w:txbxContent>
                      <w:p w14:paraId="3A0E16FB" w14:textId="77777777" w:rsidR="0055291C" w:rsidRDefault="00F23C61">
                        <w:pPr>
                          <w:spacing w:before="3"/>
                          <w:ind w:left="183"/>
                          <w:rPr>
                            <w:rFonts w:ascii="Arial"/>
                            <w:b/>
                            <w:i/>
                            <w:sz w:val="14"/>
                          </w:rPr>
                        </w:pPr>
                        <w:r>
                          <w:rPr>
                            <w:rFonts w:ascii="Arial"/>
                            <w:b/>
                            <w:i/>
                            <w:color w:val="F3F4F4"/>
                            <w:sz w:val="14"/>
                          </w:rPr>
                          <w:t>guidance</w:t>
                        </w:r>
                      </w:p>
                    </w:txbxContent>
                  </v:textbox>
                </v:shape>
                <w10:wrap anchorx="page"/>
              </v:group>
            </w:pict>
          </w:r>
          <w:r>
            <w:pict w14:anchorId="696B62D7">
              <v:group id="docshapegroup148" o:spid="_x0000_s3640" style="position:absolute;left:0;text-align:left;margin-left:56.7pt;margin-top:11.4pt;width:50.2pt;height:10pt;z-index:251540992;mso-position-horizontal-relative:page" coordorigin="1134,228" coordsize="1004,200">
                <v:shape id="docshape149" o:spid="_x0000_s3642" style="position:absolute;left:1133;top:227;width:1004;height:200" coordorigin="1134,228" coordsize="1004,200" path="m2077,228r-883,l1159,229r-18,6l1135,253r-1,35l1134,367r1,35l1141,419r18,7l1194,427r883,l2112,426r18,-7l2136,402r1,-35l2137,288r-1,-35l2130,235r-18,-6l2077,228xe" fillcolor="#7f3f98" stroked="f">
                  <v:path arrowok="t"/>
                </v:shape>
                <v:shape id="docshape150" o:spid="_x0000_s3641" type="#_x0000_t202" style="position:absolute;left:1133;top:227;width:1004;height:200" filled="f" stroked="f">
                  <v:textbox style="mso-next-textbox:#docshape150" inset="0,0,0,0">
                    <w:txbxContent>
                      <w:p w14:paraId="5EDE9E69" w14:textId="77777777" w:rsidR="0055291C" w:rsidRDefault="00F23C61">
                        <w:pPr>
                          <w:spacing w:before="4"/>
                          <w:ind w:left="30"/>
                          <w:rPr>
                            <w:rFonts w:ascii="Arial"/>
                            <w:b/>
                            <w:i/>
                            <w:sz w:val="14"/>
                          </w:rPr>
                        </w:pPr>
                        <w:r>
                          <w:rPr>
                            <w:rFonts w:ascii="Arial"/>
                            <w:b/>
                            <w:i/>
                            <w:color w:val="F3F4F4"/>
                            <w:sz w:val="14"/>
                          </w:rPr>
                          <w:t>requirements</w:t>
                        </w:r>
                      </w:p>
                    </w:txbxContent>
                  </v:textbox>
                </v:shape>
                <w10:wrap anchorx="page"/>
              </v:group>
            </w:pict>
          </w:r>
          <w:hyperlink w:anchor="_TOC_250004" w:history="1">
            <w:r w:rsidR="00C258B5">
              <w:rPr>
                <w:rFonts w:ascii="ＭＳ 明朝" w:eastAsia="ＭＳ 明朝" w:hAnsi="ＭＳ 明朝" w:cs="ＭＳ 明朝" w:hint="eastAsia"/>
                <w:color w:val="545456"/>
                <w:lang w:eastAsia="ja-JP"/>
              </w:rPr>
              <w:t>不確実性の評価</w:t>
            </w:r>
            <w:r w:rsidR="00F23C61">
              <w:rPr>
                <w:color w:val="545456"/>
              </w:rPr>
              <w:tab/>
            </w:r>
            <w:r w:rsidR="00F23C61">
              <w:rPr>
                <w:i w:val="0"/>
                <w:color w:val="7F3F98"/>
                <w:sz w:val="18"/>
              </w:rPr>
              <w:t>78</w:t>
            </w:r>
          </w:hyperlink>
        </w:p>
        <w:p w14:paraId="514E417E" w14:textId="05095F9D" w:rsidR="0055291C" w:rsidRDefault="00000000">
          <w:pPr>
            <w:pStyle w:val="20"/>
            <w:numPr>
              <w:ilvl w:val="0"/>
              <w:numId w:val="59"/>
            </w:numPr>
            <w:tabs>
              <w:tab w:val="left" w:pos="4018"/>
              <w:tab w:val="right" w:pos="10980"/>
            </w:tabs>
            <w:spacing w:before="206"/>
            <w:rPr>
              <w:i w:val="0"/>
              <w:sz w:val="18"/>
            </w:rPr>
          </w:pPr>
          <w:r>
            <w:pict w14:anchorId="57BBBF5A">
              <v:group id="docshapegroup151" o:spid="_x0000_s3637" style="position:absolute;left:0;text-align:left;margin-left:120.8pt;margin-top:11.35pt;width:50.2pt;height:10pt;z-index:251542016;mso-position-horizontal-relative:page" coordorigin="2416,227" coordsize="1004,200">
                <v:shape id="docshape152" o:spid="_x0000_s3639" style="position:absolute;left:2415;top:226;width:1004;height:200" coordorigin="2416,227" coordsize="1004,200" path="m3359,227r-883,l2441,228r-18,6l2417,252r-1,35l2416,366r1,35l2423,418r18,7l2476,426r883,l3394,425r18,-7l3418,401r1,-35l3419,287r-1,-35l3412,234r-18,-6l3359,227xe" fillcolor="#00aca1" stroked="f">
                  <v:path arrowok="t"/>
                </v:shape>
                <v:shape id="docshape153" o:spid="_x0000_s3638" type="#_x0000_t202" style="position:absolute;left:2415;top:226;width:1004;height:200" filled="f" stroked="f">
                  <v:textbox style="mso-next-textbox:#docshape153" inset="0,0,0,0">
                    <w:txbxContent>
                      <w:p w14:paraId="6FA0BBFF" w14:textId="77777777" w:rsidR="0055291C" w:rsidRDefault="00F23C61">
                        <w:pPr>
                          <w:spacing w:before="3"/>
                          <w:ind w:left="183"/>
                          <w:rPr>
                            <w:rFonts w:ascii="Arial"/>
                            <w:b/>
                            <w:i/>
                            <w:sz w:val="14"/>
                          </w:rPr>
                        </w:pPr>
                        <w:r>
                          <w:rPr>
                            <w:rFonts w:ascii="Arial"/>
                            <w:b/>
                            <w:i/>
                            <w:color w:val="F3F4F4"/>
                            <w:sz w:val="14"/>
                          </w:rPr>
                          <w:t>guidance</w:t>
                        </w:r>
                      </w:p>
                    </w:txbxContent>
                  </v:textbox>
                </v:shape>
                <w10:wrap anchorx="page"/>
              </v:group>
            </w:pict>
          </w:r>
          <w:r>
            <w:pict w14:anchorId="58A8B317">
              <v:group id="docshapegroup154" o:spid="_x0000_s3634" style="position:absolute;left:0;text-align:left;margin-left:56.7pt;margin-top:11.35pt;width:50.2pt;height:10pt;z-index:251543040;mso-position-horizontal-relative:page" coordorigin="1134,227" coordsize="1004,200">
                <v:shape id="docshape155" o:spid="_x0000_s3636" style="position:absolute;left:1133;top:226;width:1004;height:200" coordorigin="1134,227" coordsize="1004,200" path="m2077,227r-883,l1159,228r-18,6l1135,252r-1,35l1134,366r1,35l1141,418r18,7l1194,426r883,l2112,425r18,-7l2136,401r1,-35l2137,287r-1,-35l2130,234r-18,-6l2077,227xe" fillcolor="#7f3f98" stroked="f">
                  <v:path arrowok="t"/>
                </v:shape>
                <v:shape id="docshape156" o:spid="_x0000_s3635" type="#_x0000_t202" style="position:absolute;left:1133;top:226;width:1004;height:200" filled="f" stroked="f">
                  <v:textbox style="mso-next-textbox:#docshape156" inset="0,0,0,0">
                    <w:txbxContent>
                      <w:p w14:paraId="68A37695" w14:textId="77777777" w:rsidR="0055291C" w:rsidRDefault="00F23C61">
                        <w:pPr>
                          <w:spacing w:before="4"/>
                          <w:ind w:left="30"/>
                          <w:rPr>
                            <w:rFonts w:ascii="Arial"/>
                            <w:b/>
                            <w:i/>
                            <w:sz w:val="14"/>
                          </w:rPr>
                        </w:pPr>
                        <w:r>
                          <w:rPr>
                            <w:rFonts w:ascii="Arial"/>
                            <w:b/>
                            <w:i/>
                            <w:color w:val="F3F4F4"/>
                            <w:sz w:val="14"/>
                          </w:rPr>
                          <w:t>requirements</w:t>
                        </w:r>
                      </w:p>
                    </w:txbxContent>
                  </v:textbox>
                </v:shape>
                <w10:wrap anchorx="page"/>
              </v:group>
            </w:pict>
          </w:r>
          <w:hyperlink w:anchor="_TOC_250003" w:history="1">
            <w:r w:rsidR="00570DAA">
              <w:rPr>
                <w:rFonts w:ascii="ＭＳ 明朝" w:eastAsia="ＭＳ 明朝" w:hAnsi="ＭＳ 明朝" w:cs="ＭＳ 明朝" w:hint="eastAsia"/>
                <w:color w:val="545456"/>
                <w:lang w:eastAsia="ja-JP"/>
              </w:rPr>
              <w:t>算出</w:t>
            </w:r>
            <w:r w:rsidR="00A830C8">
              <w:rPr>
                <w:rFonts w:ascii="ＭＳ 明朝" w:eastAsia="ＭＳ 明朝" w:hAnsi="ＭＳ 明朝" w:cs="ＭＳ 明朝" w:hint="eastAsia"/>
                <w:color w:val="545456"/>
                <w:lang w:eastAsia="ja-JP"/>
              </w:rPr>
              <w:t>結果の</w:t>
            </w:r>
            <w:r w:rsidR="00570DAA">
              <w:rPr>
                <w:rFonts w:ascii="ＭＳ 明朝" w:eastAsia="ＭＳ 明朝" w:hAnsi="ＭＳ 明朝" w:cs="ＭＳ 明朝" w:hint="eastAsia"/>
                <w:color w:val="545456"/>
                <w:lang w:eastAsia="ja-JP"/>
              </w:rPr>
              <w:t>計算</w:t>
            </w:r>
            <w:r w:rsidR="00F23C61">
              <w:rPr>
                <w:color w:val="545456"/>
              </w:rPr>
              <w:tab/>
            </w:r>
            <w:r w:rsidR="00F23C61">
              <w:rPr>
                <w:i w:val="0"/>
                <w:color w:val="7F3F98"/>
                <w:sz w:val="18"/>
              </w:rPr>
              <w:t>84</w:t>
            </w:r>
          </w:hyperlink>
        </w:p>
        <w:p w14:paraId="42336281" w14:textId="7442BB23" w:rsidR="0055291C" w:rsidRDefault="00000000">
          <w:pPr>
            <w:pStyle w:val="20"/>
            <w:numPr>
              <w:ilvl w:val="0"/>
              <w:numId w:val="59"/>
            </w:numPr>
            <w:tabs>
              <w:tab w:val="left" w:pos="4018"/>
              <w:tab w:val="right" w:pos="10980"/>
            </w:tabs>
            <w:rPr>
              <w:i w:val="0"/>
              <w:sz w:val="18"/>
            </w:rPr>
          </w:pPr>
          <w:r>
            <w:pict w14:anchorId="5AEB5990">
              <v:group id="docshapegroup157" o:spid="_x0000_s3631" style="position:absolute;left:0;text-align:left;margin-left:120.8pt;margin-top:11.4pt;width:50.2pt;height:10pt;z-index:251544064;mso-position-horizontal-relative:page" coordorigin="2416,228" coordsize="1004,200">
                <v:shape id="docshape158" o:spid="_x0000_s3633" style="position:absolute;left:2415;top:227;width:1004;height:200" coordorigin="2416,228" coordsize="1004,200" path="m3359,228r-883,l2441,229r-18,6l2417,253r-1,35l2416,367r1,34l2423,419r18,7l2476,427r883,l3394,426r18,-7l3418,401r1,-34l3419,288r-1,-35l3412,235r-18,-6l3359,228xe" fillcolor="#00aca1" stroked="f">
                  <v:path arrowok="t"/>
                </v:shape>
                <v:shape id="docshape159" o:spid="_x0000_s3632" type="#_x0000_t202" style="position:absolute;left:2415;top:227;width:1004;height:200" filled="f" stroked="f">
                  <v:textbox style="mso-next-textbox:#docshape159" inset="0,0,0,0">
                    <w:txbxContent>
                      <w:p w14:paraId="10989535" w14:textId="77777777" w:rsidR="0055291C" w:rsidRDefault="00F23C61">
                        <w:pPr>
                          <w:spacing w:before="3"/>
                          <w:ind w:left="183"/>
                          <w:rPr>
                            <w:rFonts w:ascii="Arial"/>
                            <w:b/>
                            <w:i/>
                            <w:sz w:val="14"/>
                          </w:rPr>
                        </w:pPr>
                        <w:r>
                          <w:rPr>
                            <w:rFonts w:ascii="Arial"/>
                            <w:b/>
                            <w:i/>
                            <w:color w:val="F3F4F4"/>
                            <w:sz w:val="14"/>
                          </w:rPr>
                          <w:t>guidance</w:t>
                        </w:r>
                      </w:p>
                    </w:txbxContent>
                  </v:textbox>
                </v:shape>
                <w10:wrap anchorx="page"/>
              </v:group>
            </w:pict>
          </w:r>
          <w:r>
            <w:pict w14:anchorId="11D7CBD9">
              <v:group id="docshapegroup160" o:spid="_x0000_s3628" style="position:absolute;left:0;text-align:left;margin-left:56.7pt;margin-top:11.4pt;width:50.2pt;height:10pt;z-index:251545088;mso-position-horizontal-relative:page" coordorigin="1134,228" coordsize="1004,200">
                <v:shape id="docshape161" o:spid="_x0000_s3630" style="position:absolute;left:1133;top:227;width:1004;height:200" coordorigin="1134,228" coordsize="1004,200" path="m2077,228r-883,l1159,229r-18,6l1135,253r-1,35l1134,367r1,34l1141,419r18,7l1194,427r883,l2112,426r18,-7l2136,401r1,-34l2137,288r-1,-35l2130,235r-18,-6l2077,228xe" fillcolor="#7f3f98" stroked="f">
                  <v:path arrowok="t"/>
                </v:shape>
                <v:shape id="docshape162" o:spid="_x0000_s3629" type="#_x0000_t202" style="position:absolute;left:1133;top:227;width:1004;height:200" filled="f" stroked="f">
                  <v:textbox style="mso-next-textbox:#docshape162" inset="0,0,0,0">
                    <w:txbxContent>
                      <w:p w14:paraId="5CEDB029" w14:textId="77777777" w:rsidR="0055291C" w:rsidRDefault="00F23C61">
                        <w:pPr>
                          <w:spacing w:before="4"/>
                          <w:ind w:left="30"/>
                          <w:rPr>
                            <w:rFonts w:ascii="Arial"/>
                            <w:b/>
                            <w:i/>
                            <w:sz w:val="14"/>
                          </w:rPr>
                        </w:pPr>
                        <w:r>
                          <w:rPr>
                            <w:rFonts w:ascii="Arial"/>
                            <w:b/>
                            <w:i/>
                            <w:color w:val="F3F4F4"/>
                            <w:sz w:val="14"/>
                          </w:rPr>
                          <w:t>requirements</w:t>
                        </w:r>
                      </w:p>
                    </w:txbxContent>
                  </v:textbox>
                </v:shape>
                <w10:wrap anchorx="page"/>
              </v:group>
            </w:pict>
          </w:r>
          <w:hyperlink w:anchor="_TOC_250002" w:history="1">
            <w:r w:rsidR="00CA21D3">
              <w:rPr>
                <w:rFonts w:ascii="ＭＳ 明朝" w:eastAsia="ＭＳ 明朝" w:hAnsi="ＭＳ 明朝" w:cs="ＭＳ 明朝" w:hint="eastAsia"/>
                <w:color w:val="545456"/>
                <w:lang w:eastAsia="ja-JP"/>
              </w:rPr>
              <w:t>報告書の保証</w:t>
            </w:r>
            <w:r w:rsidR="00F23C61">
              <w:rPr>
                <w:color w:val="545456"/>
              </w:rPr>
              <w:tab/>
            </w:r>
            <w:r w:rsidR="00F23C61">
              <w:rPr>
                <w:i w:val="0"/>
                <w:color w:val="7F3F98"/>
                <w:sz w:val="18"/>
              </w:rPr>
              <w:t>92</w:t>
            </w:r>
          </w:hyperlink>
        </w:p>
        <w:p w14:paraId="4856BFA3" w14:textId="5F419976" w:rsidR="0055291C" w:rsidRDefault="00000000">
          <w:pPr>
            <w:pStyle w:val="31"/>
            <w:numPr>
              <w:ilvl w:val="0"/>
              <w:numId w:val="59"/>
            </w:numPr>
            <w:tabs>
              <w:tab w:val="left" w:pos="4018"/>
              <w:tab w:val="right" w:pos="11081"/>
            </w:tabs>
            <w:rPr>
              <w:i w:val="0"/>
              <w:sz w:val="18"/>
            </w:rPr>
          </w:pPr>
          <w:r>
            <w:pict w14:anchorId="1EB3F1D7">
              <v:group id="docshapegroup163" o:spid="_x0000_s3625" style="position:absolute;left:0;text-align:left;margin-left:120.8pt;margin-top:11.35pt;width:50.2pt;height:10pt;z-index:251546112;mso-position-horizontal-relative:page" coordorigin="2416,227" coordsize="1004,200">
                <v:shape id="docshape164" o:spid="_x0000_s3627" style="position:absolute;left:2415;top:227;width:1004;height:200" coordorigin="2416,227" coordsize="1004,200" path="m3359,227r-883,l2441,228r-18,7l2417,253r-1,34l2416,367r1,34l2423,419r18,7l2476,427r883,l3394,426r18,-7l3418,401r1,-34l3419,287r-1,-34l3412,235r-18,-7l3359,227xe" fillcolor="#00aca1" stroked="f">
                  <v:path arrowok="t"/>
                </v:shape>
                <v:shape id="docshape165" o:spid="_x0000_s3626" type="#_x0000_t202" style="position:absolute;left:2415;top:227;width:1004;height:200" filled="f" stroked="f">
                  <v:textbox style="mso-next-textbox:#docshape165" inset="0,0,0,0">
                    <w:txbxContent>
                      <w:p w14:paraId="08436694" w14:textId="77777777" w:rsidR="0055291C" w:rsidRDefault="00F23C61">
                        <w:pPr>
                          <w:spacing w:before="3"/>
                          <w:ind w:left="183"/>
                          <w:rPr>
                            <w:rFonts w:ascii="Arial"/>
                            <w:b/>
                            <w:i/>
                            <w:sz w:val="14"/>
                          </w:rPr>
                        </w:pPr>
                        <w:r>
                          <w:rPr>
                            <w:rFonts w:ascii="Arial"/>
                            <w:b/>
                            <w:i/>
                            <w:color w:val="F3F4F4"/>
                            <w:sz w:val="14"/>
                          </w:rPr>
                          <w:t>guidance</w:t>
                        </w:r>
                      </w:p>
                    </w:txbxContent>
                  </v:textbox>
                </v:shape>
                <w10:wrap anchorx="page"/>
              </v:group>
            </w:pict>
          </w:r>
          <w:r>
            <w:pict w14:anchorId="78518CCF">
              <v:group id="docshapegroup166" o:spid="_x0000_s3622" style="position:absolute;left:0;text-align:left;margin-left:56.7pt;margin-top:11.35pt;width:50.2pt;height:10pt;z-index:251547136;mso-position-horizontal-relative:page" coordorigin="1134,227" coordsize="1004,200">
                <v:shape id="docshape167" o:spid="_x0000_s3624" style="position:absolute;left:1133;top:227;width:1004;height:200" coordorigin="1134,227" coordsize="1004,200" path="m2077,227r-883,l1159,228r-18,7l1135,253r-1,34l1134,367r1,34l1141,419r18,7l1194,427r883,l2112,426r18,-7l2136,401r1,-34l2137,287r-1,-34l2130,235r-18,-7l2077,227xe" fillcolor="#7f3f98" stroked="f">
                  <v:path arrowok="t"/>
                </v:shape>
                <v:shape id="docshape168" o:spid="_x0000_s3623" type="#_x0000_t202" style="position:absolute;left:1133;top:227;width:1004;height:200" filled="f" stroked="f">
                  <v:textbox style="mso-next-textbox:#docshape168" inset="0,0,0,0">
                    <w:txbxContent>
                      <w:p w14:paraId="7F01BC71" w14:textId="77777777" w:rsidR="0055291C" w:rsidRDefault="00F23C61">
                        <w:pPr>
                          <w:spacing w:before="4"/>
                          <w:ind w:left="30"/>
                          <w:rPr>
                            <w:rFonts w:ascii="Arial"/>
                            <w:b/>
                            <w:i/>
                            <w:sz w:val="14"/>
                          </w:rPr>
                        </w:pPr>
                        <w:r>
                          <w:rPr>
                            <w:rFonts w:ascii="Arial"/>
                            <w:b/>
                            <w:i/>
                            <w:color w:val="F3F4F4"/>
                            <w:sz w:val="14"/>
                          </w:rPr>
                          <w:t>requirements</w:t>
                        </w:r>
                      </w:p>
                    </w:txbxContent>
                  </v:textbox>
                </v:shape>
                <w10:wrap anchorx="page"/>
              </v:group>
            </w:pict>
          </w:r>
          <w:hyperlink w:anchor="_TOC_250001" w:history="1">
            <w:r w:rsidR="00E847CF">
              <w:rPr>
                <w:rFonts w:ascii="ＭＳ 明朝" w:eastAsia="ＭＳ 明朝" w:hAnsi="ＭＳ 明朝" w:cs="ＭＳ 明朝" w:hint="eastAsia"/>
                <w:color w:val="545456"/>
                <w:sz w:val="19"/>
                <w:lang w:eastAsia="ja-JP"/>
              </w:rPr>
              <w:t>報告</w:t>
            </w:r>
            <w:r w:rsidR="00F23C61">
              <w:rPr>
                <w:color w:val="545456"/>
                <w:sz w:val="19"/>
              </w:rPr>
              <w:tab/>
            </w:r>
            <w:r w:rsidR="00F23C61">
              <w:rPr>
                <w:i w:val="0"/>
                <w:color w:val="7F3F98"/>
                <w:sz w:val="18"/>
              </w:rPr>
              <w:t>100</w:t>
            </w:r>
          </w:hyperlink>
        </w:p>
        <w:p w14:paraId="4302A2B6" w14:textId="3D779090" w:rsidR="0055291C" w:rsidRDefault="00000000">
          <w:pPr>
            <w:pStyle w:val="20"/>
            <w:numPr>
              <w:ilvl w:val="0"/>
              <w:numId w:val="59"/>
            </w:numPr>
            <w:tabs>
              <w:tab w:val="left" w:pos="4018"/>
              <w:tab w:val="right" w:pos="11081"/>
            </w:tabs>
            <w:spacing w:before="206"/>
            <w:rPr>
              <w:i w:val="0"/>
              <w:sz w:val="18"/>
              <w:lang w:eastAsia="ja-JP"/>
            </w:rPr>
          </w:pPr>
          <w:r>
            <w:pict w14:anchorId="6B93DAE1">
              <v:group id="docshapegroup169" o:spid="_x0000_s3619" style="position:absolute;left:0;text-align:left;margin-left:120.8pt;margin-top:11.3pt;width:50.2pt;height:10pt;z-index:251548160;mso-position-horizontal-relative:page" coordorigin="2416,226" coordsize="1004,200">
                <v:shape id="docshape170" o:spid="_x0000_s3621" style="position:absolute;left:2415;top:226;width:1004;height:200" coordorigin="2416,226" coordsize="1004,200" path="m3359,226r-883,l2441,227r-18,7l2417,252r-1,34l2416,365r1,35l2423,418r18,6l2476,425r883,l3394,424r18,-6l3418,400r1,-35l3419,286r-1,-34l3412,234r-18,-7l3359,226xe" fillcolor="#00aca1" stroked="f">
                  <v:path arrowok="t"/>
                </v:shape>
                <v:shape id="docshape171" o:spid="_x0000_s3620" type="#_x0000_t202" style="position:absolute;left:2415;top:226;width:1004;height:200" filled="f" stroked="f">
                  <v:textbox style="mso-next-textbox:#docshape171" inset="0,0,0,0">
                    <w:txbxContent>
                      <w:p w14:paraId="2737C55D" w14:textId="77777777" w:rsidR="0055291C" w:rsidRDefault="00F23C61">
                        <w:pPr>
                          <w:spacing w:before="3"/>
                          <w:ind w:left="183"/>
                          <w:rPr>
                            <w:rFonts w:ascii="Arial"/>
                            <w:b/>
                            <w:i/>
                            <w:sz w:val="14"/>
                          </w:rPr>
                        </w:pPr>
                        <w:r>
                          <w:rPr>
                            <w:rFonts w:ascii="Arial"/>
                            <w:b/>
                            <w:i/>
                            <w:color w:val="F3F4F4"/>
                            <w:sz w:val="14"/>
                          </w:rPr>
                          <w:t>guidance</w:t>
                        </w:r>
                      </w:p>
                    </w:txbxContent>
                  </v:textbox>
                </v:shape>
                <w10:wrap anchorx="page"/>
              </v:group>
            </w:pict>
          </w:r>
          <w:r>
            <w:pict w14:anchorId="2240E958">
              <v:group id="docshapegroup172" o:spid="_x0000_s3616" style="position:absolute;left:0;text-align:left;margin-left:56.7pt;margin-top:11.3pt;width:50.2pt;height:10pt;z-index:251549184;mso-position-horizontal-relative:page" coordorigin="1134,226" coordsize="1004,200">
                <v:shape id="docshape173" o:spid="_x0000_s3618" style="position:absolute;left:1133;top:226;width:1004;height:200" coordorigin="1134,226" coordsize="1004,200" path="m2077,226r-883,l1159,227r-18,7l1135,252r-1,34l1134,365r1,35l1141,418r18,6l1194,425r883,l2112,424r18,-6l2136,400r1,-35l2137,286r-1,-34l2130,234r-18,-7l2077,226xe" fillcolor="#7f3f98" stroked="f">
                  <v:path arrowok="t"/>
                </v:shape>
                <v:shape id="docshape174" o:spid="_x0000_s3617" type="#_x0000_t202" style="position:absolute;left:1133;top:226;width:1004;height:200" filled="f" stroked="f">
                  <v:textbox style="mso-next-textbox:#docshape174" inset="0,0,0,0">
                    <w:txbxContent>
                      <w:p w14:paraId="5E21BE1E" w14:textId="77777777" w:rsidR="0055291C" w:rsidRDefault="00F23C61">
                        <w:pPr>
                          <w:spacing w:before="4"/>
                          <w:ind w:left="30"/>
                          <w:rPr>
                            <w:rFonts w:ascii="Arial"/>
                            <w:b/>
                            <w:i/>
                            <w:sz w:val="14"/>
                          </w:rPr>
                        </w:pPr>
                        <w:r>
                          <w:rPr>
                            <w:rFonts w:ascii="Arial"/>
                            <w:b/>
                            <w:i/>
                            <w:color w:val="F3F4F4"/>
                            <w:sz w:val="14"/>
                          </w:rPr>
                          <w:t>requirements</w:t>
                        </w:r>
                      </w:p>
                    </w:txbxContent>
                  </v:textbox>
                </v:shape>
                <w10:wrap anchorx="page"/>
              </v:group>
            </w:pict>
          </w:r>
          <w:r w:rsidR="00392065">
            <w:rPr>
              <w:rFonts w:ascii="ＭＳ 明朝" w:eastAsia="ＭＳ 明朝" w:hAnsi="ＭＳ 明朝" w:cs="ＭＳ 明朝" w:hint="eastAsia"/>
              <w:lang w:eastAsia="ja-JP"/>
            </w:rPr>
            <w:t>削減目標の設定と排出量の経年変化</w:t>
          </w:r>
          <w:r w:rsidR="00F23C61">
            <w:rPr>
              <w:color w:val="545456"/>
              <w:w w:val="95"/>
              <w:lang w:eastAsia="ja-JP"/>
            </w:rPr>
            <w:tab/>
          </w:r>
          <w:r w:rsidR="00F23C61">
            <w:rPr>
              <w:i w:val="0"/>
              <w:color w:val="7F3F98"/>
              <w:w w:val="95"/>
              <w:sz w:val="18"/>
              <w:lang w:eastAsia="ja-JP"/>
            </w:rPr>
            <w:t>108</w:t>
          </w:r>
        </w:p>
        <w:p w14:paraId="5728F96E" w14:textId="34EB0389" w:rsidR="0055291C" w:rsidRDefault="00000000">
          <w:pPr>
            <w:pStyle w:val="10"/>
          </w:pPr>
          <w:hyperlink w:anchor="_TOC_250000" w:history="1">
            <w:r w:rsidR="006D7ED2">
              <w:rPr>
                <w:rFonts w:ascii="ＭＳ 明朝" w:eastAsia="ＭＳ 明朝" w:hAnsi="ＭＳ 明朝" w:cs="ＭＳ 明朝" w:hint="eastAsia"/>
                <w:color w:val="00B8B1"/>
                <w:lang w:eastAsia="ja-JP"/>
              </w:rPr>
              <w:t>付録</w:t>
            </w:r>
          </w:hyperlink>
        </w:p>
        <w:p w14:paraId="59F5DE94" w14:textId="777B9052" w:rsidR="0055291C" w:rsidRDefault="00160EDC">
          <w:pPr>
            <w:pStyle w:val="20"/>
            <w:numPr>
              <w:ilvl w:val="1"/>
              <w:numId w:val="59"/>
            </w:numPr>
            <w:tabs>
              <w:tab w:val="left" w:pos="4018"/>
              <w:tab w:val="right" w:pos="11081"/>
            </w:tabs>
            <w:spacing w:before="160"/>
            <w:ind w:hanging="321"/>
            <w:rPr>
              <w:i w:val="0"/>
              <w:sz w:val="18"/>
            </w:rPr>
          </w:pPr>
          <w:proofErr w:type="spellStart"/>
          <w:r w:rsidRPr="00160EDC">
            <w:rPr>
              <w:rFonts w:ascii="ＭＳ 明朝" w:eastAsia="ＭＳ 明朝" w:hAnsi="ＭＳ 明朝" w:cs="ＭＳ 明朝" w:hint="eastAsia"/>
              <w:color w:val="545456"/>
              <w:w w:val="95"/>
            </w:rPr>
            <w:t>製品比較の手引き</w:t>
          </w:r>
          <w:proofErr w:type="spellEnd"/>
          <w:r w:rsidR="00F23C61">
            <w:rPr>
              <w:color w:val="545456"/>
              <w:w w:val="95"/>
            </w:rPr>
            <w:tab/>
          </w:r>
          <w:r w:rsidR="00F23C61">
            <w:rPr>
              <w:i w:val="0"/>
              <w:color w:val="7F3F98"/>
              <w:w w:val="95"/>
              <w:sz w:val="18"/>
            </w:rPr>
            <w:t>115</w:t>
          </w:r>
        </w:p>
        <w:p w14:paraId="4868CA01" w14:textId="23C8E3D0" w:rsidR="0055291C" w:rsidRDefault="00160EDC">
          <w:pPr>
            <w:pStyle w:val="20"/>
            <w:numPr>
              <w:ilvl w:val="1"/>
              <w:numId w:val="59"/>
            </w:numPr>
            <w:tabs>
              <w:tab w:val="left" w:pos="4018"/>
              <w:tab w:val="right" w:pos="11081"/>
            </w:tabs>
            <w:spacing w:before="281"/>
            <w:ind w:hanging="321"/>
            <w:rPr>
              <w:i w:val="0"/>
              <w:sz w:val="18"/>
              <w:lang w:eastAsia="ja-JP"/>
            </w:rPr>
          </w:pPr>
          <w:r w:rsidRPr="00160EDC">
            <w:rPr>
              <w:rFonts w:ascii="ＭＳ 明朝" w:eastAsia="ＭＳ 明朝" w:hAnsi="ＭＳ 明朝" w:cs="ＭＳ 明朝" w:hint="eastAsia"/>
              <w:color w:val="545456"/>
              <w:lang w:eastAsia="ja-JP"/>
            </w:rPr>
            <w:t>土地利用変化による影響</w:t>
          </w:r>
          <w:r w:rsidR="00F23C61">
            <w:rPr>
              <w:color w:val="545456"/>
              <w:lang w:eastAsia="ja-JP"/>
            </w:rPr>
            <w:tab/>
          </w:r>
          <w:r w:rsidR="00F23C61">
            <w:rPr>
              <w:i w:val="0"/>
              <w:color w:val="7F3F98"/>
              <w:sz w:val="18"/>
              <w:lang w:eastAsia="ja-JP"/>
            </w:rPr>
            <w:t>117</w:t>
          </w:r>
        </w:p>
        <w:p w14:paraId="771A53F7" w14:textId="2C703587" w:rsidR="0055291C" w:rsidRDefault="00160EDC">
          <w:pPr>
            <w:pStyle w:val="20"/>
            <w:numPr>
              <w:ilvl w:val="1"/>
              <w:numId w:val="59"/>
            </w:numPr>
            <w:tabs>
              <w:tab w:val="left" w:pos="4018"/>
              <w:tab w:val="right" w:pos="11081"/>
            </w:tabs>
            <w:spacing w:before="282"/>
            <w:ind w:hanging="321"/>
            <w:rPr>
              <w:i w:val="0"/>
              <w:sz w:val="18"/>
            </w:rPr>
          </w:pPr>
          <w:proofErr w:type="spellStart"/>
          <w:r w:rsidRPr="00160EDC">
            <w:rPr>
              <w:rFonts w:ascii="ＭＳ 明朝" w:eastAsia="ＭＳ 明朝" w:hAnsi="ＭＳ 明朝" w:cs="ＭＳ 明朝" w:hint="eastAsia"/>
              <w:color w:val="545456"/>
            </w:rPr>
            <w:t>データ管理計画</w:t>
          </w:r>
          <w:proofErr w:type="spellEnd"/>
          <w:r w:rsidR="00F23C61">
            <w:rPr>
              <w:color w:val="545456"/>
            </w:rPr>
            <w:tab/>
          </w:r>
          <w:r w:rsidR="00F23C61">
            <w:rPr>
              <w:i w:val="0"/>
              <w:color w:val="7F3F98"/>
              <w:sz w:val="18"/>
            </w:rPr>
            <w:t>126</w:t>
          </w:r>
        </w:p>
        <w:p w14:paraId="48140F22" w14:textId="2ACC629B" w:rsidR="0055291C" w:rsidRDefault="00160EDC">
          <w:pPr>
            <w:pStyle w:val="20"/>
            <w:tabs>
              <w:tab w:val="right" w:pos="11081"/>
            </w:tabs>
            <w:spacing w:before="281"/>
            <w:ind w:left="3697" w:firstLine="0"/>
            <w:rPr>
              <w:i w:val="0"/>
              <w:sz w:val="18"/>
            </w:rPr>
          </w:pPr>
          <w:r>
            <w:rPr>
              <w:rFonts w:ascii="ＭＳ 明朝" w:eastAsia="ＭＳ 明朝" w:hAnsi="ＭＳ 明朝" w:cs="ＭＳ 明朝" w:hint="eastAsia"/>
              <w:color w:val="545456"/>
              <w:lang w:eastAsia="ja-JP"/>
            </w:rPr>
            <w:t>略語一覧</w:t>
          </w:r>
          <w:r w:rsidR="00F23C61">
            <w:rPr>
              <w:color w:val="545456"/>
            </w:rPr>
            <w:tab/>
          </w:r>
          <w:r w:rsidR="00F23C61">
            <w:rPr>
              <w:i w:val="0"/>
              <w:color w:val="7F3F98"/>
              <w:sz w:val="18"/>
            </w:rPr>
            <w:t>132</w:t>
          </w:r>
        </w:p>
        <w:p w14:paraId="4495747A" w14:textId="659A8C67" w:rsidR="0055291C" w:rsidRDefault="00806512">
          <w:pPr>
            <w:pStyle w:val="31"/>
            <w:tabs>
              <w:tab w:val="right" w:pos="11081"/>
            </w:tabs>
            <w:spacing w:before="282"/>
            <w:rPr>
              <w:i w:val="0"/>
              <w:sz w:val="18"/>
            </w:rPr>
          </w:pPr>
          <w:r>
            <w:rPr>
              <w:rFonts w:ascii="ＭＳ 明朝" w:eastAsia="ＭＳ 明朝" w:hAnsi="ＭＳ 明朝" w:cs="ＭＳ 明朝" w:hint="eastAsia"/>
              <w:color w:val="545456"/>
              <w:sz w:val="19"/>
              <w:lang w:eastAsia="ja-JP"/>
            </w:rPr>
            <w:t>用語集</w:t>
          </w:r>
          <w:r w:rsidR="00F23C61">
            <w:rPr>
              <w:color w:val="545456"/>
              <w:sz w:val="19"/>
            </w:rPr>
            <w:tab/>
          </w:r>
          <w:r w:rsidR="00F23C61">
            <w:rPr>
              <w:i w:val="0"/>
              <w:color w:val="7F3F98"/>
              <w:sz w:val="18"/>
            </w:rPr>
            <w:t>133</w:t>
          </w:r>
        </w:p>
        <w:p w14:paraId="34A24017" w14:textId="77777777" w:rsidR="0055291C" w:rsidRDefault="00F23C61">
          <w:pPr>
            <w:pStyle w:val="31"/>
            <w:tabs>
              <w:tab w:val="right" w:pos="11081"/>
            </w:tabs>
            <w:spacing w:before="281"/>
            <w:rPr>
              <w:i w:val="0"/>
              <w:sz w:val="18"/>
            </w:rPr>
          </w:pPr>
          <w:r>
            <w:rPr>
              <w:color w:val="545456"/>
              <w:sz w:val="19"/>
            </w:rPr>
            <w:t>References</w:t>
          </w:r>
          <w:r>
            <w:rPr>
              <w:color w:val="545456"/>
              <w:sz w:val="19"/>
            </w:rPr>
            <w:tab/>
          </w:r>
          <w:r>
            <w:rPr>
              <w:i w:val="0"/>
              <w:color w:val="7F3F98"/>
              <w:sz w:val="18"/>
            </w:rPr>
            <w:t>139</w:t>
          </w:r>
        </w:p>
        <w:p w14:paraId="4F818F0B" w14:textId="77777777" w:rsidR="0055291C" w:rsidRDefault="00F23C61">
          <w:pPr>
            <w:pStyle w:val="20"/>
            <w:tabs>
              <w:tab w:val="right" w:pos="11081"/>
            </w:tabs>
            <w:spacing w:before="282"/>
            <w:ind w:left="3697" w:firstLine="0"/>
            <w:rPr>
              <w:i w:val="0"/>
              <w:sz w:val="18"/>
            </w:rPr>
          </w:pPr>
          <w:r>
            <w:rPr>
              <w:color w:val="545456"/>
            </w:rPr>
            <w:t>Recognitions</w:t>
          </w:r>
          <w:r>
            <w:rPr>
              <w:color w:val="545456"/>
            </w:rPr>
            <w:tab/>
          </w:r>
          <w:r>
            <w:rPr>
              <w:i w:val="0"/>
              <w:color w:val="7F3F98"/>
              <w:sz w:val="18"/>
            </w:rPr>
            <w:t>140</w:t>
          </w:r>
        </w:p>
      </w:sdtContent>
    </w:sdt>
    <w:p w14:paraId="385966EC" w14:textId="77777777" w:rsidR="0055291C" w:rsidRDefault="00000000">
      <w:pPr>
        <w:spacing w:before="726"/>
        <w:ind w:right="1126"/>
        <w:jc w:val="right"/>
        <w:rPr>
          <w:sz w:val="16"/>
        </w:rPr>
      </w:pPr>
      <w:r>
        <w:lastRenderedPageBreak/>
        <w:pict w14:anchorId="2F449555">
          <v:line id="_x0000_s3615" style="position:absolute;left:0;text-align:left;z-index:251522560;mso-position-horizontal-relative:page" from="56.7pt,22.15pt" to="555.3pt,22.15pt" strokecolor="#00aca1" strokeweight=".25pt">
            <w10:wrap anchorx="page"/>
          </v:line>
        </w:pict>
      </w:r>
      <w:r w:rsidR="00F23C61">
        <w:rPr>
          <w:color w:val="7F3F98"/>
          <w:w w:val="105"/>
          <w:sz w:val="16"/>
        </w:rPr>
        <w:t>[01]</w:t>
      </w:r>
    </w:p>
    <w:p w14:paraId="58CE41FA" w14:textId="77777777" w:rsidR="0055291C" w:rsidRDefault="0055291C">
      <w:pPr>
        <w:jc w:val="right"/>
        <w:rPr>
          <w:sz w:val="16"/>
        </w:rPr>
        <w:sectPr w:rsidR="0055291C">
          <w:pgSz w:w="12240" w:h="15840"/>
          <w:pgMar w:top="0" w:right="0" w:bottom="280" w:left="0" w:header="0" w:footer="0" w:gutter="0"/>
          <w:cols w:space="720"/>
        </w:sectPr>
      </w:pPr>
    </w:p>
    <w:p w14:paraId="7BC5F047" w14:textId="343C807B" w:rsidR="0055291C" w:rsidRDefault="00000000">
      <w:pPr>
        <w:pStyle w:val="1"/>
        <w:numPr>
          <w:ilvl w:val="0"/>
          <w:numId w:val="58"/>
        </w:numPr>
        <w:tabs>
          <w:tab w:val="left" w:pos="2417"/>
          <w:tab w:val="left" w:pos="2418"/>
        </w:tabs>
        <w:ind w:hanging="1289"/>
      </w:pPr>
      <w:r>
        <w:lastRenderedPageBreak/>
        <w:pict w14:anchorId="7521B8D7">
          <v:group id="docshapegroup175" o:spid="_x0000_s3611" style="position:absolute;left:0;text-align:left;margin-left:0;margin-top:0;width:612pt;height:11in;z-index:-251607552;mso-position-horizontal-relative:page;mso-position-vertical-relative:page" coordsize="12240,15840">
            <v:shape id="docshape176" o:spid="_x0000_s3614" type="#_x0000_t75" style="position:absolute;width:12240;height:15840">
              <v:imagedata r:id="rId53" o:title=""/>
            </v:shape>
            <v:rect id="docshape177" o:spid="_x0000_s3613" style="position:absolute;width:12240;height:2015" fillcolor="#f3f4f4" stroked="f">
              <v:fill opacity="45875f"/>
            </v:rect>
            <v:shape id="docshape178" o:spid="_x0000_s3612" style="position:absolute;width:2135;height:2015" coordsize="2135,2015" path="m2134,l,,,2014r1894,l2033,2011r71,-27l2130,1913r4,-139l2134,xe" fillcolor="#00aca1" stroked="f">
              <v:path arrowok="t"/>
            </v:shape>
            <w10:wrap anchorx="page" anchory="page"/>
          </v:group>
        </w:pict>
      </w:r>
      <w:r w:rsidR="00DB6545">
        <w:rPr>
          <w:rFonts w:ascii="ＭＳ 明朝" w:eastAsia="ＭＳ 明朝" w:hAnsi="ＭＳ 明朝" w:cs="ＭＳ 明朝" w:hint="eastAsia"/>
          <w:color w:val="545456"/>
          <w:lang w:eastAsia="ja-JP"/>
        </w:rPr>
        <w:t>はじめに</w:t>
      </w:r>
    </w:p>
    <w:p w14:paraId="739FD98A" w14:textId="77777777" w:rsidR="0055291C" w:rsidRDefault="0055291C">
      <w:pPr>
        <w:sectPr w:rsidR="0055291C">
          <w:pgSz w:w="12240" w:h="15840"/>
          <w:pgMar w:top="1020" w:right="0" w:bottom="280" w:left="0" w:header="0" w:footer="0" w:gutter="0"/>
          <w:cols w:space="720"/>
        </w:sectPr>
      </w:pPr>
    </w:p>
    <w:p w14:paraId="566965D0" w14:textId="77777777" w:rsidR="0055291C" w:rsidRDefault="0055291C">
      <w:pPr>
        <w:pStyle w:val="a3"/>
        <w:rPr>
          <w:rFonts w:ascii="Arial"/>
          <w:b/>
          <w:i/>
          <w:sz w:val="20"/>
          <w:lang w:eastAsia="ja-JP"/>
        </w:rPr>
      </w:pPr>
    </w:p>
    <w:p w14:paraId="2473BEF2" w14:textId="77777777" w:rsidR="0055291C" w:rsidRDefault="0055291C">
      <w:pPr>
        <w:pStyle w:val="a3"/>
        <w:rPr>
          <w:rFonts w:ascii="Arial"/>
          <w:b/>
          <w:i/>
          <w:sz w:val="20"/>
          <w:lang w:eastAsia="ja-JP"/>
        </w:rPr>
      </w:pPr>
    </w:p>
    <w:p w14:paraId="0771105A" w14:textId="77777777" w:rsidR="0055291C" w:rsidRDefault="0055291C">
      <w:pPr>
        <w:pStyle w:val="a3"/>
        <w:rPr>
          <w:rFonts w:ascii="Arial"/>
          <w:b/>
          <w:i/>
          <w:sz w:val="20"/>
          <w:lang w:eastAsia="ja-JP"/>
        </w:rPr>
      </w:pPr>
    </w:p>
    <w:p w14:paraId="178CF649" w14:textId="77777777" w:rsidR="0055291C" w:rsidRDefault="0055291C">
      <w:pPr>
        <w:pStyle w:val="a3"/>
        <w:rPr>
          <w:rFonts w:ascii="Arial"/>
          <w:b/>
          <w:i/>
          <w:sz w:val="20"/>
          <w:lang w:eastAsia="ja-JP"/>
        </w:rPr>
      </w:pPr>
    </w:p>
    <w:p w14:paraId="15D0FABB" w14:textId="77777777" w:rsidR="0055291C" w:rsidRDefault="0055291C">
      <w:pPr>
        <w:pStyle w:val="a3"/>
        <w:rPr>
          <w:rFonts w:ascii="Arial"/>
          <w:b/>
          <w:i/>
          <w:sz w:val="20"/>
          <w:lang w:eastAsia="ja-JP"/>
        </w:rPr>
      </w:pPr>
    </w:p>
    <w:p w14:paraId="0D2F91DB" w14:textId="77777777" w:rsidR="0055291C" w:rsidRDefault="0055291C">
      <w:pPr>
        <w:pStyle w:val="a3"/>
        <w:rPr>
          <w:rFonts w:ascii="Arial"/>
          <w:b/>
          <w:i/>
          <w:sz w:val="20"/>
          <w:lang w:eastAsia="ja-JP"/>
        </w:rPr>
      </w:pPr>
    </w:p>
    <w:p w14:paraId="74FB41B1" w14:textId="77777777" w:rsidR="0055291C" w:rsidRDefault="0055291C">
      <w:pPr>
        <w:pStyle w:val="a3"/>
        <w:rPr>
          <w:rFonts w:ascii="Arial"/>
          <w:b/>
          <w:i/>
          <w:sz w:val="20"/>
          <w:lang w:eastAsia="ja-JP"/>
        </w:rPr>
      </w:pPr>
    </w:p>
    <w:p w14:paraId="661419E9" w14:textId="77777777" w:rsidR="0055291C" w:rsidRDefault="0055291C">
      <w:pPr>
        <w:pStyle w:val="a3"/>
        <w:rPr>
          <w:rFonts w:ascii="Arial"/>
          <w:b/>
          <w:i/>
          <w:sz w:val="20"/>
          <w:lang w:eastAsia="ja-JP"/>
        </w:rPr>
      </w:pPr>
    </w:p>
    <w:p w14:paraId="2C32EE2A" w14:textId="77777777" w:rsidR="0055291C" w:rsidRDefault="0055291C">
      <w:pPr>
        <w:pStyle w:val="a3"/>
        <w:rPr>
          <w:rFonts w:ascii="Arial"/>
          <w:b/>
          <w:i/>
          <w:sz w:val="20"/>
          <w:lang w:eastAsia="ja-JP"/>
        </w:rPr>
      </w:pPr>
    </w:p>
    <w:p w14:paraId="38E79807" w14:textId="77777777" w:rsidR="0055291C" w:rsidRDefault="0055291C">
      <w:pPr>
        <w:pStyle w:val="a3"/>
        <w:rPr>
          <w:rFonts w:ascii="Arial"/>
          <w:b/>
          <w:i/>
          <w:sz w:val="20"/>
          <w:lang w:eastAsia="ja-JP"/>
        </w:rPr>
      </w:pPr>
    </w:p>
    <w:p w14:paraId="27C0050F" w14:textId="77777777" w:rsidR="0055291C" w:rsidRDefault="0055291C">
      <w:pPr>
        <w:pStyle w:val="a3"/>
        <w:rPr>
          <w:rFonts w:ascii="Arial"/>
          <w:b/>
          <w:i/>
          <w:sz w:val="20"/>
          <w:lang w:eastAsia="ja-JP"/>
        </w:rPr>
      </w:pPr>
    </w:p>
    <w:p w14:paraId="0C8ED2FD" w14:textId="77777777" w:rsidR="0055291C" w:rsidRDefault="0055291C">
      <w:pPr>
        <w:pStyle w:val="a3"/>
        <w:rPr>
          <w:rFonts w:ascii="Arial"/>
          <w:b/>
          <w:i/>
          <w:sz w:val="20"/>
          <w:lang w:eastAsia="ja-JP"/>
        </w:rPr>
      </w:pPr>
    </w:p>
    <w:p w14:paraId="5E40F2C6" w14:textId="77777777" w:rsidR="0055291C" w:rsidRDefault="0055291C">
      <w:pPr>
        <w:pStyle w:val="a3"/>
        <w:rPr>
          <w:rFonts w:ascii="Arial"/>
          <w:b/>
          <w:i/>
          <w:sz w:val="20"/>
          <w:lang w:eastAsia="ja-JP"/>
        </w:rPr>
      </w:pPr>
    </w:p>
    <w:p w14:paraId="7CAE7EFA" w14:textId="77777777" w:rsidR="0055291C" w:rsidRDefault="0055291C">
      <w:pPr>
        <w:pStyle w:val="a3"/>
        <w:rPr>
          <w:rFonts w:ascii="Arial"/>
          <w:b/>
          <w:i/>
          <w:sz w:val="20"/>
          <w:lang w:eastAsia="ja-JP"/>
        </w:rPr>
      </w:pPr>
    </w:p>
    <w:p w14:paraId="4D4A2FFC" w14:textId="77777777" w:rsidR="0055291C" w:rsidRDefault="0055291C">
      <w:pPr>
        <w:pStyle w:val="a3"/>
        <w:rPr>
          <w:rFonts w:ascii="Arial"/>
          <w:b/>
          <w:i/>
          <w:sz w:val="20"/>
          <w:lang w:eastAsia="ja-JP"/>
        </w:rPr>
      </w:pPr>
    </w:p>
    <w:p w14:paraId="321FB76E" w14:textId="77777777" w:rsidR="0055291C" w:rsidRDefault="0055291C">
      <w:pPr>
        <w:pStyle w:val="a3"/>
        <w:rPr>
          <w:rFonts w:ascii="Arial"/>
          <w:b/>
          <w:i/>
          <w:sz w:val="20"/>
          <w:lang w:eastAsia="ja-JP"/>
        </w:rPr>
      </w:pPr>
    </w:p>
    <w:p w14:paraId="05CCCB7C" w14:textId="77777777" w:rsidR="0055291C" w:rsidRDefault="0055291C">
      <w:pPr>
        <w:pStyle w:val="a3"/>
        <w:rPr>
          <w:rFonts w:ascii="Arial"/>
          <w:b/>
          <w:i/>
          <w:sz w:val="20"/>
          <w:lang w:eastAsia="ja-JP"/>
        </w:rPr>
      </w:pPr>
    </w:p>
    <w:p w14:paraId="1CA70354" w14:textId="77777777" w:rsidR="0055291C" w:rsidRDefault="0055291C">
      <w:pPr>
        <w:pStyle w:val="a3"/>
        <w:rPr>
          <w:rFonts w:ascii="Arial"/>
          <w:b/>
          <w:i/>
          <w:sz w:val="20"/>
          <w:lang w:eastAsia="ja-JP"/>
        </w:rPr>
      </w:pPr>
    </w:p>
    <w:p w14:paraId="4E377898" w14:textId="77777777" w:rsidR="0055291C" w:rsidRDefault="0055291C">
      <w:pPr>
        <w:pStyle w:val="a3"/>
        <w:rPr>
          <w:rFonts w:ascii="Arial"/>
          <w:b/>
          <w:i/>
          <w:sz w:val="20"/>
          <w:lang w:eastAsia="ja-JP"/>
        </w:rPr>
      </w:pPr>
    </w:p>
    <w:p w14:paraId="411A3935" w14:textId="77777777" w:rsidR="0055291C" w:rsidRDefault="0055291C">
      <w:pPr>
        <w:pStyle w:val="a3"/>
        <w:rPr>
          <w:rFonts w:ascii="Arial"/>
          <w:b/>
          <w:i/>
          <w:sz w:val="20"/>
          <w:lang w:eastAsia="ja-JP"/>
        </w:rPr>
      </w:pPr>
    </w:p>
    <w:p w14:paraId="261185DD" w14:textId="77777777" w:rsidR="0055291C" w:rsidRDefault="0055291C">
      <w:pPr>
        <w:pStyle w:val="a3"/>
        <w:rPr>
          <w:rFonts w:ascii="Arial"/>
          <w:b/>
          <w:i/>
          <w:sz w:val="20"/>
          <w:lang w:eastAsia="ja-JP"/>
        </w:rPr>
      </w:pPr>
    </w:p>
    <w:p w14:paraId="09494070" w14:textId="77777777" w:rsidR="0055291C" w:rsidRDefault="0055291C">
      <w:pPr>
        <w:pStyle w:val="a3"/>
        <w:rPr>
          <w:rFonts w:ascii="Arial"/>
          <w:b/>
          <w:i/>
          <w:sz w:val="20"/>
          <w:lang w:eastAsia="ja-JP"/>
        </w:rPr>
      </w:pPr>
    </w:p>
    <w:p w14:paraId="5A39B14C" w14:textId="77777777" w:rsidR="0055291C" w:rsidRPr="00D16717" w:rsidRDefault="0055291C">
      <w:pPr>
        <w:pStyle w:val="a3"/>
        <w:rPr>
          <w:rFonts w:ascii="Arial" w:eastAsiaTheme="minorEastAsia"/>
          <w:b/>
          <w:i/>
          <w:sz w:val="20"/>
          <w:lang w:eastAsia="ja-JP"/>
        </w:rPr>
      </w:pPr>
    </w:p>
    <w:p w14:paraId="72539BAE" w14:textId="77777777" w:rsidR="0055291C" w:rsidRDefault="0055291C">
      <w:pPr>
        <w:pStyle w:val="a3"/>
        <w:spacing w:before="4"/>
        <w:rPr>
          <w:rFonts w:ascii="Arial"/>
          <w:b/>
          <w:i/>
          <w:sz w:val="24"/>
          <w:lang w:eastAsia="ja-JP"/>
        </w:rPr>
      </w:pPr>
    </w:p>
    <w:p w14:paraId="2E617A6D" w14:textId="4A4305D1" w:rsidR="00460722" w:rsidRPr="000D211B" w:rsidRDefault="00000000" w:rsidP="00460722">
      <w:pPr>
        <w:pStyle w:val="3"/>
        <w:spacing w:line="364" w:lineRule="auto"/>
        <w:ind w:left="2143" w:right="1121"/>
        <w:jc w:val="both"/>
        <w:rPr>
          <w:color w:val="545456"/>
          <w:w w:val="95"/>
          <w:sz w:val="22"/>
          <w:szCs w:val="22"/>
          <w:lang w:eastAsia="ja-JP"/>
        </w:rPr>
      </w:pPr>
      <w:bookmarkStart w:id="0" w:name="_世界中で気候変動とその影響を引き起こす人為的な温室効果ガス（GHG）の"/>
      <w:bookmarkEnd w:id="0"/>
      <w:r>
        <w:rPr>
          <w:sz w:val="22"/>
          <w:szCs w:val="22"/>
        </w:rPr>
        <w:pict w14:anchorId="29BCFD94">
          <v:group id="docshapegroup181" o:spid="_x0000_s3607" style="position:absolute;left:0;text-align:left;margin-left:253.7pt;margin-top:-278.75pt;width:358.55pt;height:382.95pt;z-index:-251606528;mso-position-horizontal-relative:page" coordorigin="5074,-5575" coordsize="7171,7659">
            <v:shape id="docshape182" o:spid="_x0000_s3610" style="position:absolute;left:11614;top:-5570;width:626;height:5717" coordorigin="11615,-5570" coordsize="626,5717" path="m12240,-5570r-625,l11615,-80r3,131l11643,118r67,25l11842,146r398,l12240,-5570xe" fillcolor="#00aca1" stroked="f">
              <v:path arrowok="t"/>
            </v:shape>
            <v:shape id="docshape183" o:spid="_x0000_s3609" style="position:absolute;left:5079;top:-5570;width:7161;height:7649" coordorigin="5079,-5570" coordsize="7161,7649" o:spt="100" adj="0,,0" path="m6524,-5570r-36,32l6436,-5488r-51,49l5945,-4933r-301,460l5472,-4139r-55,128l8039,-4215r1645,189l10536,-3715r244,164l10738,-3615r-44,-64l10650,-3743r-46,-64l10558,-3870r-48,-64l10462,-3997r-50,-62l10362,-4121r-52,-62l10258,-4245r-52,-61l10152,-4367r-54,-60l10044,-4487r-55,-59l9933,-4605r-56,-58l9821,-4721r-56,-57l9708,-4835r-57,-56l9595,-4946r-57,-55l8910,-5563r-9,-7m8810,-5570r1022,862l10860,-3426r380,816l11295,-2324r16,-75l11327,-2474r14,-76l11354,-2627r13,-78l11378,-2783r11,-78l11398,-2940r9,-79l11415,-3099r8,-80l11429,-3259r6,-80l11440,-3420r4,-80l11448,-3580r3,-81l11453,-3741r1,-80l11456,-3901r,-79l11456,-4059r-1,-79l11454,-4217r-42,-835l11360,-5570t-49,l11452,-3804r-191,1625l10946,-1337r-166,241l10845,-1138r65,-43l10975,-1225r64,-45l11103,-1316r64,-47l11231,-1411r63,-49l11358,-1510r62,-50l11483,-1612r62,-52l11606,-1717r61,-53l11728,-1824r60,-54l11847,-1933r59,-55l11965,-2043r58,-56l12080,-2155r56,-56l12192,-2267r48,-49m12240,-2369r-289,334l10653,-1019r-826,375l9538,-589r75,16l9690,-558r77,14l9845,-531r78,12l10002,-507r80,10l10162,-487r80,9l10323,-470r81,7l10485,-457r81,6l10647,-446r81,4l10810,-438r81,3l10972,-433r81,1l11134,-430r81,l11295,-430r80,-1l11454,-432r786,-38m11244,1745r81,-34l11405,1675r78,-36l11560,1601r75,-39l11708,1523r73,-41l11851,1441r70,-43l11988,1355r67,-44l12120,1266r63,-45l12240,1178t,-1707l11038,-435,9392,-624,8540,-935r-244,-164l8338,-1034r44,64l8426,-907r46,64l8518,-779r48,63l8615,-653r49,62l8715,-529r51,62l8818,-405r53,61l8924,-283r54,60l9033,-163r55,59l9143,-45r56,59l9255,71r57,58l9368,185r57,56l9482,296r57,55l10166,913r546,441l11098,1642r146,103m7833,1743r82,33l7996,1807r82,28l8159,1862r80,26l8319,1911r80,22l8479,1953r79,18l8637,1988r78,15l8793,2017r77,12l8946,2040r76,9l9098,2057r75,7l9247,2069r74,4l9393,2076r73,2l9537,2079r674,-51l10752,1913r361,-116l11244,1745,9243,58,8215,-1225r-380,-815l7781,-2326r-17,75l7749,-2176r-14,77l7721,-2022r-12,77l7697,-1867r-10,78l7677,-1710r-9,80l7660,-1551r-7,80l7646,-1391r-5,80l7636,-1230r-5,80l7628,-1070r-3,81l7622,-909r-1,80l7620,-749r-1,79l7619,-590r1,79l7621,-433r42,836l7735,1096r68,472l7833,1743m5418,-640r34,81l5488,-481r37,77l5563,-328r39,74l5642,-181r42,71l5726,-41r43,69l5813,94r44,66l5903,224r46,62l5996,347r47,60l6091,466r48,57l6188,578r49,55l6286,686r50,52l6386,788r513,434l7364,1519r338,170l7833,1743,7626,-846r190,-1625l8132,-3314r165,-240l8232,-3512r-65,42l8103,-3426r-65,46l7974,-3334r-64,47l7846,-3239r-63,49l7720,-3140r-63,50l7595,-3038r-62,52l7472,-2933r-61,53l7350,-2826r-60,54l7230,-2717r-59,55l7113,-2607r-58,56l6998,-2495r-57,56l6885,-2383r-55,56l6261,-1706r-447,540l5522,-784r-104,144m5417,-4011r-33,81l5353,-3849r-29,80l5297,-3689r-25,80l5248,-3530r-22,79l5206,-3372r-18,78l5171,-3216r-16,77l5142,-3062r-13,77l5119,-2910r-10,76l5101,-2760r-7,74l5089,-2612r-4,72l5082,-2468r-2,72l5079,-2326r52,666l5247,-1125r117,356l5418,-640,7125,-2615,8424,-3631r826,-376l9539,-4061r-76,-16l9387,-4092r-78,-14l9232,-4119r-79,-12l9074,-4143r-79,-10l8915,-4163r-81,-9l8754,-4179r-81,-8l8592,-4193r-81,-6l8429,-4204r-81,-4l8267,-4211r-82,-3l8104,-4217r-81,-1l7942,-4219r-80,-1l7781,-4220r-79,1l7622,-4218r-846,41l6074,-4106r-479,66l5417,-4011e" filled="f" strokecolor="#d9dadc" strokeweight=".5pt">
              <v:stroke joinstyle="round"/>
              <v:formulas/>
              <v:path arrowok="t" o:connecttype="segments"/>
            </v:shape>
            <v:shape id="docshape184" o:spid="_x0000_s3608" style="position:absolute;left:11614;top:-5570;width:626;height:5717" coordorigin="11615,-5570" coordsize="626,5717" path="m12240,-5570r-625,l11615,-80r3,131l11643,118r67,25l11842,146r398,l12240,-5570xe" fillcolor="#00aca1" stroked="f">
              <v:path arrowok="t"/>
            </v:shape>
            <w10:wrap anchorx="page"/>
          </v:group>
        </w:pict>
      </w:r>
      <w:r>
        <w:rPr>
          <w:sz w:val="22"/>
          <w:szCs w:val="22"/>
        </w:rPr>
        <w:pict w14:anchorId="5258D8C7">
          <v:shape id="docshape185" o:spid="_x0000_s3606" type="#_x0000_t202" style="position:absolute;left:0;text-align:left;margin-left:585.65pt;margin-top:-143.4pt;width:17.7pt;height:119.1pt;z-index:251550208;mso-position-horizontal-relative:page" filled="f" stroked="f">
            <v:textbox style="layout-flow:vertical;mso-layout-flow-alt:bottom-to-top;mso-next-textbox:#docshape185" inset="0,0,0,0">
              <w:txbxContent>
                <w:p w14:paraId="1B1D0E43"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v:shape>
        </w:pict>
      </w:r>
      <w:r>
        <w:rPr>
          <w:sz w:val="22"/>
          <w:szCs w:val="22"/>
        </w:rPr>
        <w:pict w14:anchorId="3581251B">
          <v:shape id="docshape186" o:spid="_x0000_s3605" type="#_x0000_t202" style="position:absolute;left:0;text-align:left;margin-left:51.1pt;margin-top:-9.45pt;width:41.55pt;height:81.4pt;z-index:-251605504;mso-position-horizontal-relative:page" filled="f" stroked="f">
            <v:textbox style="mso-next-textbox:#docshape186" inset="0,0,0,0">
              <w:txbxContent>
                <w:p w14:paraId="037A3564" w14:textId="77777777" w:rsidR="0055291C" w:rsidRDefault="00F23C61">
                  <w:pPr>
                    <w:spacing w:line="1628" w:lineRule="exact"/>
                    <w:rPr>
                      <w:rFonts w:ascii="Arial"/>
                      <w:b/>
                      <w:i/>
                      <w:sz w:val="145"/>
                    </w:rPr>
                  </w:pPr>
                  <w:r>
                    <w:rPr>
                      <w:rFonts w:ascii="Arial"/>
                      <w:b/>
                      <w:i/>
                      <w:color w:val="00ACA1"/>
                      <w:w w:val="85"/>
                      <w:sz w:val="145"/>
                    </w:rPr>
                    <w:t>E</w:t>
                  </w:r>
                </w:p>
              </w:txbxContent>
            </v:textbox>
            <w10:wrap anchorx="page"/>
          </v:shape>
        </w:pict>
      </w:r>
      <w:r w:rsidR="00460722" w:rsidRPr="000D211B">
        <w:rPr>
          <w:rFonts w:ascii="ＭＳ 明朝" w:eastAsia="ＭＳ 明朝" w:hAnsi="ＭＳ 明朝" w:cs="ＭＳ 明朝" w:hint="eastAsia"/>
          <w:color w:val="545456"/>
          <w:w w:val="95"/>
          <w:sz w:val="22"/>
          <w:szCs w:val="22"/>
          <w:lang w:eastAsia="ja-JP"/>
        </w:rPr>
        <w:t>世界中で気候変動とその影響を引き起こす人為的な温室効果ガス（</w:t>
      </w:r>
      <w:r w:rsidR="00460722" w:rsidRPr="000D211B">
        <w:rPr>
          <w:color w:val="545456"/>
          <w:w w:val="95"/>
          <w:sz w:val="22"/>
          <w:szCs w:val="22"/>
          <w:lang w:eastAsia="ja-JP"/>
        </w:rPr>
        <w:t>GHG</w:t>
      </w:r>
      <w:r w:rsidR="00460722" w:rsidRPr="000D211B">
        <w:rPr>
          <w:rFonts w:ascii="ＭＳ 明朝" w:eastAsia="ＭＳ 明朝" w:hAnsi="ＭＳ 明朝" w:cs="ＭＳ 明朝" w:hint="eastAsia"/>
          <w:color w:val="545456"/>
          <w:w w:val="95"/>
          <w:sz w:val="22"/>
          <w:szCs w:val="22"/>
          <w:lang w:eastAsia="ja-JP"/>
        </w:rPr>
        <w:t>）の排出量が増加しています。気候科学者によれば、世界の平均気温の上昇を産業革命以前の</w:t>
      </w:r>
      <w:r w:rsidR="00460722" w:rsidRPr="000D211B">
        <w:rPr>
          <w:color w:val="545456"/>
          <w:w w:val="95"/>
          <w:sz w:val="22"/>
          <w:szCs w:val="22"/>
          <w:lang w:eastAsia="ja-JP"/>
        </w:rPr>
        <w:t>2</w:t>
      </w:r>
      <w:r w:rsidR="00460722" w:rsidRPr="000D211B">
        <w:rPr>
          <w:rFonts w:ascii="ＭＳ 明朝" w:eastAsia="ＭＳ 明朝" w:hAnsi="ＭＳ 明朝" w:cs="ＭＳ 明朝" w:hint="eastAsia"/>
          <w:color w:val="545456"/>
          <w:w w:val="95"/>
          <w:sz w:val="22"/>
          <w:szCs w:val="22"/>
          <w:lang w:eastAsia="ja-JP"/>
        </w:rPr>
        <w:t>℃に抑えるためには、</w:t>
      </w:r>
      <w:r w:rsidR="00460722" w:rsidRPr="000D211B">
        <w:rPr>
          <w:color w:val="545456"/>
          <w:w w:val="95"/>
          <w:sz w:val="22"/>
          <w:szCs w:val="22"/>
          <w:lang w:eastAsia="ja-JP"/>
        </w:rPr>
        <w:t>2050</w:t>
      </w:r>
      <w:r w:rsidR="00460722" w:rsidRPr="000D211B">
        <w:rPr>
          <w:rFonts w:ascii="ＭＳ 明朝" w:eastAsia="ＭＳ 明朝" w:hAnsi="ＭＳ 明朝" w:cs="ＭＳ 明朝" w:hint="eastAsia"/>
          <w:color w:val="545456"/>
          <w:w w:val="95"/>
          <w:sz w:val="22"/>
          <w:szCs w:val="22"/>
          <w:lang w:eastAsia="ja-JP"/>
        </w:rPr>
        <w:t>年までに世界の二酸化炭素排出量を</w:t>
      </w:r>
      <w:r w:rsidR="00460722" w:rsidRPr="000D211B">
        <w:rPr>
          <w:color w:val="545456"/>
          <w:w w:val="95"/>
          <w:sz w:val="22"/>
          <w:szCs w:val="22"/>
          <w:lang w:eastAsia="ja-JP"/>
        </w:rPr>
        <w:t>2000</w:t>
      </w:r>
      <w:r w:rsidR="00460722" w:rsidRPr="000D211B">
        <w:rPr>
          <w:rFonts w:ascii="ＭＳ 明朝" w:eastAsia="ＭＳ 明朝" w:hAnsi="ＭＳ 明朝" w:cs="ＭＳ 明朝" w:hint="eastAsia"/>
          <w:color w:val="545456"/>
          <w:w w:val="95"/>
          <w:sz w:val="22"/>
          <w:szCs w:val="22"/>
          <w:lang w:eastAsia="ja-JP"/>
        </w:rPr>
        <w:t>年比で最大</w:t>
      </w:r>
      <w:r w:rsidR="00460722" w:rsidRPr="000D211B">
        <w:rPr>
          <w:color w:val="545456"/>
          <w:w w:val="95"/>
          <w:sz w:val="22"/>
          <w:szCs w:val="22"/>
          <w:lang w:eastAsia="ja-JP"/>
        </w:rPr>
        <w:t>85</w:t>
      </w:r>
      <w:r w:rsidR="00460722" w:rsidRPr="000D211B">
        <w:rPr>
          <w:rFonts w:ascii="ＭＳ 明朝" w:eastAsia="ＭＳ 明朝" w:hAnsi="ＭＳ 明朝" w:cs="ＭＳ 明朝" w:hint="eastAsia"/>
          <w:color w:val="545456"/>
          <w:w w:val="95"/>
          <w:sz w:val="22"/>
          <w:szCs w:val="22"/>
          <w:lang w:eastAsia="ja-JP"/>
        </w:rPr>
        <w:t>％削減する必要があります</w:t>
      </w:r>
      <w:r w:rsidR="007C49B2">
        <w:rPr>
          <w:rFonts w:ascii="ＭＳ 明朝" w:eastAsia="ＭＳ 明朝" w:hAnsi="ＭＳ 明朝" w:cs="ＭＳ 明朝" w:hint="eastAsia"/>
          <w:color w:val="545456"/>
          <w:w w:val="95"/>
          <w:sz w:val="22"/>
          <w:szCs w:val="22"/>
          <w:vertAlign w:val="superscript"/>
          <w:lang w:eastAsia="ja-JP"/>
        </w:rPr>
        <w:t>1</w:t>
      </w:r>
      <w:r w:rsidR="00460722" w:rsidRPr="000D211B">
        <w:rPr>
          <w:rFonts w:ascii="ＭＳ 明朝" w:eastAsia="ＭＳ 明朝" w:hAnsi="ＭＳ 明朝" w:cs="ＭＳ 明朝" w:hint="eastAsia"/>
          <w:color w:val="545456"/>
          <w:w w:val="95"/>
          <w:sz w:val="22"/>
          <w:szCs w:val="22"/>
          <w:lang w:eastAsia="ja-JP"/>
        </w:rPr>
        <w:t>。</w:t>
      </w:r>
    </w:p>
    <w:p w14:paraId="579E1A74" w14:textId="32B18E5C" w:rsidR="0055291C" w:rsidRPr="00D16717" w:rsidRDefault="00460722" w:rsidP="00D16717">
      <w:pPr>
        <w:pStyle w:val="3"/>
        <w:spacing w:line="364" w:lineRule="auto"/>
        <w:ind w:left="2143" w:right="1121"/>
        <w:jc w:val="both"/>
        <w:rPr>
          <w:b w:val="0"/>
          <w:i w:val="0"/>
          <w:sz w:val="18"/>
          <w:szCs w:val="22"/>
          <w:lang w:eastAsia="ja-JP"/>
        </w:rPr>
        <w:sectPr w:rsidR="0055291C" w:rsidRPr="00D16717">
          <w:footerReference w:type="even" r:id="rId54"/>
          <w:footerReference w:type="default" r:id="rId55"/>
          <w:pgSz w:w="12240" w:h="15840"/>
          <w:pgMar w:top="0" w:right="0" w:bottom="840" w:left="0" w:header="0" w:footer="655" w:gutter="0"/>
          <w:cols w:space="720"/>
        </w:sectPr>
      </w:pPr>
      <w:r w:rsidRPr="000D211B">
        <w:rPr>
          <w:rFonts w:ascii="ＭＳ 明朝" w:eastAsia="ＭＳ 明朝" w:hAnsi="ＭＳ 明朝" w:cs="ＭＳ 明朝" w:hint="eastAsia"/>
          <w:color w:val="545456"/>
          <w:w w:val="95"/>
          <w:sz w:val="22"/>
          <w:szCs w:val="22"/>
          <w:lang w:eastAsia="ja-JP"/>
        </w:rPr>
        <w:t>これ以上の気温上昇は、人間と生態系にますます予測不可能で危険な影響を与えることになります。そのため、人為的な温室効果ガスの排出を削減するための取り組みを加速させる必要性がますます高まっています。既存の政府の政策では、この問題を十分に解決することはできません。進展させるためには、企業のリーダーシップとイノベーションが不可欠です</w:t>
      </w:r>
      <w:r w:rsidR="00D16717">
        <w:rPr>
          <w:rFonts w:ascii="ＭＳ 明朝" w:eastAsia="ＭＳ 明朝" w:hAnsi="ＭＳ 明朝" w:cs="ＭＳ 明朝" w:hint="eastAsia"/>
          <w:color w:val="545456"/>
          <w:w w:val="95"/>
          <w:sz w:val="22"/>
          <w:szCs w:val="22"/>
          <w:lang w:eastAsia="ja-JP"/>
        </w:rPr>
        <w:t>。</w:t>
      </w:r>
    </w:p>
    <w:p w14:paraId="01425E0F" w14:textId="6A1F0B70" w:rsidR="000718D8" w:rsidRPr="00A36975" w:rsidRDefault="008E2353" w:rsidP="00D16717">
      <w:pPr>
        <w:pStyle w:val="a3"/>
        <w:ind w:left="720" w:rightChars="130" w:right="286" w:firstLineChars="100" w:firstLine="190"/>
        <w:rPr>
          <w:rFonts w:ascii="ＭＳ ゴシック" w:eastAsia="ＭＳ ゴシック" w:hAnsi="ＭＳ ゴシック" w:cs="ＭＳ ゴシック"/>
          <w:color w:val="000000" w:themeColor="text1"/>
          <w:lang w:eastAsia="ja-JP"/>
        </w:rPr>
      </w:pPr>
      <w:r w:rsidRPr="00A36975">
        <w:rPr>
          <w:rFonts w:ascii="ＭＳ ゴシック" w:eastAsia="ＭＳ ゴシック" w:hAnsi="ＭＳ ゴシック" w:cs="ＭＳ ゴシック" w:hint="eastAsia"/>
          <w:color w:val="000000" w:themeColor="text1"/>
          <w:lang w:eastAsia="ja-JP"/>
        </w:rPr>
        <w:t>また、この分野での企業の取り組みは、ビジネス上も有意義なものです。</w:t>
      </w:r>
      <w:r w:rsidRPr="00A36975">
        <w:rPr>
          <w:rFonts w:ascii="ＭＳ ゴシック" w:eastAsia="ＭＳ ゴシック" w:hAnsi="ＭＳ ゴシック"/>
          <w:color w:val="000000" w:themeColor="text1"/>
          <w:lang w:eastAsia="ja-JP"/>
        </w:rPr>
        <w:t xml:space="preserve">GHG </w:t>
      </w:r>
      <w:r w:rsidRPr="00A36975">
        <w:rPr>
          <w:rFonts w:ascii="ＭＳ ゴシック" w:eastAsia="ＭＳ ゴシック" w:hAnsi="ＭＳ ゴシック" w:cs="ＭＳ ゴシック" w:hint="eastAsia"/>
          <w:color w:val="000000" w:themeColor="text1"/>
          <w:lang w:eastAsia="ja-JP"/>
        </w:rPr>
        <w:t>排出量に取り組むことで、企業は収益を向上させ、リスクを低減し、競争上の優位性を見出す機会を得ることができるようになります。気候変動による影響がより頻繁かつ顕著になるにつれ、政府は新たな政策を打ち出し、市場ベースのインセンティブを追加して、排出量の大幅な削減を推進することが期待されています。これらの新しい政策や市場の推進力は、経済成長を低炭素化の軌道に乗せることになるでしょう</w:t>
      </w:r>
      <w:r w:rsidR="001C11DA" w:rsidRPr="00A36975">
        <w:rPr>
          <w:rFonts w:ascii="ＭＳ ゴシック" w:eastAsia="ＭＳ ゴシック" w:hAnsi="ＭＳ ゴシック" w:cs="ＭＳ ゴシック" w:hint="eastAsia"/>
          <w:color w:val="000000" w:themeColor="text1"/>
          <w:lang w:eastAsia="ja-JP"/>
        </w:rPr>
        <w:t>。</w:t>
      </w:r>
      <w:r w:rsidRPr="00A36975">
        <w:rPr>
          <w:rFonts w:ascii="ＭＳ ゴシック" w:eastAsia="ＭＳ ゴシック" w:hAnsi="ＭＳ ゴシック" w:cs="ＭＳ ゴシック" w:hint="eastAsia"/>
          <w:color w:val="000000" w:themeColor="text1"/>
          <w:lang w:eastAsia="ja-JP"/>
        </w:rPr>
        <w:t>企業は、今後何年にもわたって投資を固定化するような意思決定を行うため、今すぐこの移行に向けた計画を開始する必要があります。</w:t>
      </w:r>
    </w:p>
    <w:p w14:paraId="2EBC346B" w14:textId="062CC2A5" w:rsidR="0055291C" w:rsidRPr="00A36975" w:rsidRDefault="008E2353" w:rsidP="00D16717">
      <w:pPr>
        <w:pStyle w:val="a3"/>
        <w:ind w:left="720" w:rightChars="130" w:right="286" w:firstLineChars="100" w:firstLine="190"/>
        <w:rPr>
          <w:rFonts w:ascii="ＭＳ ゴシック" w:eastAsia="ＭＳ ゴシック" w:hAnsi="ＭＳ ゴシック" w:cs="ＭＳ ゴシック"/>
          <w:color w:val="000000" w:themeColor="text1"/>
          <w:lang w:eastAsia="ja-JP"/>
        </w:rPr>
      </w:pPr>
      <w:r w:rsidRPr="00A36975">
        <w:rPr>
          <w:rFonts w:ascii="ＭＳ ゴシック" w:eastAsia="ＭＳ ゴシック" w:hAnsi="ＭＳ ゴシック" w:cs="ＭＳ ゴシック" w:hint="eastAsia"/>
          <w:color w:val="000000" w:themeColor="text1"/>
          <w:lang w:eastAsia="ja-JP"/>
        </w:rPr>
        <w:t>効果的な企業の気候変動対策には、企業の温室効果ガスへの影響を詳細に把握することが必要です。企業</w:t>
      </w:r>
      <w:r w:rsidR="000718D8" w:rsidRPr="00A36975">
        <w:rPr>
          <w:rFonts w:ascii="ＭＳ ゴシック" w:eastAsia="ＭＳ ゴシック" w:hAnsi="ＭＳ ゴシック" w:cs="ＭＳ ゴシック" w:hint="eastAsia"/>
          <w:color w:val="000000" w:themeColor="text1"/>
          <w:lang w:eastAsia="ja-JP"/>
        </w:rPr>
        <w:t>の</w:t>
      </w:r>
      <w:r w:rsidRPr="00A36975">
        <w:rPr>
          <w:rFonts w:ascii="ＭＳ ゴシック" w:eastAsia="ＭＳ ゴシック" w:hAnsi="ＭＳ ゴシック"/>
          <w:color w:val="000000" w:themeColor="text1"/>
          <w:lang w:eastAsia="ja-JP"/>
        </w:rPr>
        <w:t>GH</w:t>
      </w:r>
      <w:r w:rsidR="00C0288F" w:rsidRPr="00A36975">
        <w:rPr>
          <w:rFonts w:ascii="ＭＳ ゴシック" w:eastAsia="ＭＳ ゴシック" w:hAnsi="ＭＳ ゴシック" w:hint="eastAsia"/>
          <w:color w:val="000000" w:themeColor="text1"/>
          <w:lang w:eastAsia="ja-JP"/>
        </w:rPr>
        <w:t>G</w:t>
      </w:r>
      <w:r w:rsidR="000718D8" w:rsidRPr="00A36975">
        <w:rPr>
          <w:rFonts w:ascii="ＭＳ ゴシック" w:eastAsia="ＭＳ ゴシック" w:hAnsi="ＭＳ ゴシック" w:cs="ＭＳ ゴシック" w:hint="eastAsia"/>
          <w:color w:val="000000" w:themeColor="text1"/>
          <w:lang w:eastAsia="ja-JP"/>
        </w:rPr>
        <w:t>排出量</w:t>
      </w:r>
      <w:r w:rsidRPr="00A36975">
        <w:rPr>
          <w:rFonts w:ascii="ＭＳ ゴシック" w:eastAsia="ＭＳ ゴシック" w:hAnsi="ＭＳ ゴシック" w:cs="ＭＳ ゴシック" w:hint="eastAsia"/>
          <w:color w:val="000000" w:themeColor="text1"/>
          <w:lang w:eastAsia="ja-JP"/>
        </w:rPr>
        <w:t>は、そのような理解を提供するためのツールです。これにより、企業は排出に関連するリスクと機会を考慮し、</w:t>
      </w:r>
      <w:r w:rsidRPr="00A36975">
        <w:rPr>
          <w:rFonts w:ascii="ＭＳ ゴシック" w:eastAsia="ＭＳ ゴシック" w:hAnsi="ＭＳ ゴシック"/>
          <w:color w:val="000000" w:themeColor="text1"/>
          <w:lang w:eastAsia="ja-JP"/>
        </w:rPr>
        <w:t>GHG</w:t>
      </w:r>
      <w:r w:rsidRPr="00A36975">
        <w:rPr>
          <w:rFonts w:ascii="ＭＳ ゴシック" w:eastAsia="ＭＳ ゴシック" w:hAnsi="ＭＳ ゴシック" w:cs="ＭＳ ゴシック" w:hint="eastAsia"/>
          <w:color w:val="000000" w:themeColor="text1"/>
          <w:lang w:eastAsia="ja-JP"/>
        </w:rPr>
        <w:t>の影響が最も大きいところに企業の努力を集中させることができます。最近まで、企業は自社の事業から排出されるものに注目してきました。しかし、</w:t>
      </w:r>
      <w:r w:rsidRPr="00A36975">
        <w:rPr>
          <w:rFonts w:ascii="ＭＳ ゴシック" w:eastAsia="ＭＳ ゴシック" w:hAnsi="ＭＳ ゴシック"/>
          <w:color w:val="000000" w:themeColor="text1"/>
          <w:lang w:eastAsia="ja-JP"/>
        </w:rPr>
        <w:t>GHG</w:t>
      </w:r>
      <w:r w:rsidRPr="00A36975">
        <w:rPr>
          <w:rFonts w:ascii="ＭＳ ゴシック" w:eastAsia="ＭＳ ゴシック" w:hAnsi="ＭＳ ゴシック" w:cs="ＭＳ ゴシック" w:hint="eastAsia"/>
          <w:color w:val="000000" w:themeColor="text1"/>
          <w:lang w:eastAsia="ja-JP"/>
        </w:rPr>
        <w:t>関連のリスクや機会を包括的に管理するために、バリューチェーンや製品ポートフォリオに沿った</w:t>
      </w:r>
      <w:r w:rsidRPr="00A36975">
        <w:rPr>
          <w:rFonts w:ascii="ＭＳ ゴシック" w:eastAsia="ＭＳ ゴシック" w:hAnsi="ＭＳ ゴシック"/>
          <w:color w:val="000000" w:themeColor="text1"/>
          <w:lang w:eastAsia="ja-JP"/>
        </w:rPr>
        <w:t>GHG</w:t>
      </w:r>
      <w:r w:rsidRPr="00A36975">
        <w:rPr>
          <w:rFonts w:ascii="ＭＳ ゴシック" w:eastAsia="ＭＳ ゴシック" w:hAnsi="ＭＳ ゴシック" w:cs="ＭＳ ゴシック" w:hint="eastAsia"/>
          <w:color w:val="000000" w:themeColor="text1"/>
          <w:lang w:eastAsia="ja-JP"/>
        </w:rPr>
        <w:t>排出量も考慮する必要性を理解する企業が増えてきています。</w:t>
      </w:r>
    </w:p>
    <w:p w14:paraId="3C6EE265" w14:textId="77777777" w:rsidR="005D68A2" w:rsidRPr="00A36975" w:rsidRDefault="00B93908" w:rsidP="00EF3658">
      <w:pPr>
        <w:pStyle w:val="a3"/>
        <w:ind w:left="851" w:rightChars="255" w:right="561" w:firstLineChars="150" w:firstLine="285"/>
        <w:rPr>
          <w:rFonts w:ascii="ＭＳ ゴシック" w:eastAsia="ＭＳ ゴシック" w:hAnsi="ＭＳ ゴシック"/>
          <w:color w:val="000000" w:themeColor="text1"/>
          <w:lang w:eastAsia="ja-JP"/>
        </w:rPr>
      </w:pPr>
      <w:r w:rsidRPr="00A36975">
        <w:rPr>
          <w:rFonts w:ascii="ＭＳ ゴシック" w:eastAsia="ＭＳ ゴシック" w:hAnsi="ＭＳ ゴシック"/>
          <w:color w:val="000000" w:themeColor="text1"/>
          <w:lang w:eastAsia="ja-JP"/>
        </w:rPr>
        <w:t xml:space="preserve">GHG </w:t>
      </w:r>
      <w:r w:rsidRPr="00A36975">
        <w:rPr>
          <w:rFonts w:ascii="ＭＳ ゴシック" w:eastAsia="ＭＳ ゴシック" w:hAnsi="ＭＳ ゴシック" w:cs="ＭＳ ゴシック" w:hint="eastAsia"/>
          <w:color w:val="000000" w:themeColor="text1"/>
          <w:lang w:eastAsia="ja-JP"/>
        </w:rPr>
        <w:t>プロトコル製品規格の開発を通じて、</w:t>
      </w:r>
      <w:r w:rsidRPr="00A36975">
        <w:rPr>
          <w:rFonts w:ascii="ＭＳ ゴシック" w:eastAsia="ＭＳ ゴシック" w:hAnsi="ＭＳ ゴシック"/>
          <w:color w:val="000000" w:themeColor="text1"/>
          <w:lang w:eastAsia="ja-JP"/>
        </w:rPr>
        <w:t xml:space="preserve">GHG </w:t>
      </w:r>
      <w:r w:rsidRPr="00A36975">
        <w:rPr>
          <w:rFonts w:ascii="ＭＳ ゴシック" w:eastAsia="ＭＳ ゴシック" w:hAnsi="ＭＳ ゴシック" w:cs="ＭＳ ゴシック" w:hint="eastAsia"/>
          <w:color w:val="000000" w:themeColor="text1"/>
          <w:lang w:eastAsia="ja-JP"/>
        </w:rPr>
        <w:t>プロトコルは、企業の商品やサービスの</w:t>
      </w:r>
      <w:r w:rsidRPr="00A36975">
        <w:rPr>
          <w:rFonts w:ascii="ＭＳ ゴシック" w:eastAsia="ＭＳ ゴシック" w:hAnsi="ＭＳ ゴシック"/>
          <w:color w:val="000000" w:themeColor="text1"/>
          <w:lang w:eastAsia="ja-JP"/>
        </w:rPr>
        <w:t xml:space="preserve"> GHG </w:t>
      </w:r>
      <w:r w:rsidRPr="00A36975">
        <w:rPr>
          <w:rFonts w:ascii="ＭＳ ゴシック" w:eastAsia="ＭＳ ゴシック" w:hAnsi="ＭＳ ゴシック" w:cs="ＭＳ ゴシック" w:hint="eastAsia"/>
          <w:color w:val="000000" w:themeColor="text1"/>
          <w:lang w:eastAsia="ja-JP"/>
        </w:rPr>
        <w:t>管理を可能にするような、国際的に認められた方法を求める声に応えてきました。</w:t>
      </w:r>
    </w:p>
    <w:p w14:paraId="08B9AD43" w14:textId="2410C159" w:rsidR="0055291C" w:rsidRPr="00EF3658" w:rsidRDefault="00B93908" w:rsidP="002048F4">
      <w:pPr>
        <w:pStyle w:val="a3"/>
        <w:ind w:left="851" w:rightChars="255" w:right="561" w:firstLineChars="100" w:firstLine="190"/>
        <w:rPr>
          <w:rFonts w:ascii="ＭＳ ゴシック" w:eastAsia="ＭＳ ゴシック" w:hAnsi="ＭＳ ゴシック" w:cs="ＭＳ ゴシック"/>
          <w:lang w:eastAsia="ja-JP"/>
        </w:rPr>
      </w:pPr>
      <w:r w:rsidRPr="00A36975">
        <w:rPr>
          <w:rFonts w:ascii="ＭＳ ゴシック" w:eastAsia="ＭＳ ゴシック" w:hAnsi="ＭＳ ゴシック"/>
          <w:color w:val="000000" w:themeColor="text1"/>
          <w:lang w:eastAsia="ja-JP"/>
        </w:rPr>
        <w:t xml:space="preserve">GHG </w:t>
      </w:r>
      <w:r w:rsidRPr="00A36975">
        <w:rPr>
          <w:rFonts w:ascii="ＭＳ ゴシック" w:eastAsia="ＭＳ ゴシック" w:hAnsi="ＭＳ ゴシック" w:cs="ＭＳ ゴシック" w:hint="eastAsia"/>
          <w:color w:val="000000" w:themeColor="text1"/>
          <w:lang w:eastAsia="ja-JP"/>
        </w:rPr>
        <w:t>プロトコルとそのパートナーは、この規格の発表後、業界団体や政府と積極的に協力し、</w:t>
      </w:r>
      <w:r w:rsidRPr="00A36975">
        <w:rPr>
          <w:rFonts w:ascii="ＭＳ ゴシック" w:eastAsia="ＭＳ ゴシック" w:hAnsi="ＭＳ ゴシック"/>
          <w:color w:val="000000" w:themeColor="text1"/>
          <w:lang w:eastAsia="ja-JP"/>
        </w:rPr>
        <w:t xml:space="preserve">GHG </w:t>
      </w:r>
      <w:r w:rsidRPr="00A36975">
        <w:rPr>
          <w:rFonts w:ascii="ＭＳ ゴシック" w:eastAsia="ＭＳ ゴシック" w:hAnsi="ＭＳ ゴシック" w:cs="ＭＳ ゴシック" w:hint="eastAsia"/>
          <w:color w:val="000000" w:themeColor="text1"/>
          <w:lang w:eastAsia="ja-JP"/>
        </w:rPr>
        <w:t>プロトコル規格・ツール一式とともに、より効果的な</w:t>
      </w:r>
      <w:r w:rsidRPr="00A36975">
        <w:rPr>
          <w:rFonts w:ascii="ＭＳ ゴシック" w:eastAsia="ＭＳ ゴシック" w:hAnsi="ＭＳ ゴシック"/>
          <w:color w:val="000000" w:themeColor="text1"/>
          <w:lang w:eastAsia="ja-JP"/>
        </w:rPr>
        <w:t xml:space="preserve"> GHG </w:t>
      </w:r>
      <w:r w:rsidRPr="00A36975">
        <w:rPr>
          <w:rFonts w:ascii="ＭＳ ゴシック" w:eastAsia="ＭＳ ゴシック" w:hAnsi="ＭＳ ゴシック" w:cs="ＭＳ ゴシック" w:hint="eastAsia"/>
          <w:color w:val="000000" w:themeColor="text1"/>
          <w:lang w:eastAsia="ja-JP"/>
        </w:rPr>
        <w:t>管理を実現するためにこの規格の普及を促進していく予定です</w:t>
      </w:r>
      <w:r w:rsidRPr="00EF3658">
        <w:rPr>
          <w:rFonts w:ascii="ＭＳ ゴシック" w:eastAsia="ＭＳ ゴシック" w:hAnsi="ＭＳ ゴシック" w:cs="ＭＳ ゴシック" w:hint="eastAsia"/>
          <w:lang w:eastAsia="ja-JP"/>
        </w:rPr>
        <w:t>。</w:t>
      </w:r>
    </w:p>
    <w:p w14:paraId="32556E35" w14:textId="06D16F36" w:rsidR="0055291C" w:rsidRPr="00EF3658" w:rsidRDefault="00462D79" w:rsidP="00EF3658">
      <w:pPr>
        <w:pStyle w:val="3"/>
        <w:tabs>
          <w:tab w:val="left" w:pos="1854"/>
          <w:tab w:val="left" w:pos="1855"/>
        </w:tabs>
        <w:spacing w:before="0"/>
        <w:ind w:left="1133"/>
        <w:rPr>
          <w:rFonts w:ascii="ＭＳ ゴシック" w:eastAsia="ＭＳ ゴシック" w:hAnsi="ＭＳ ゴシック"/>
          <w:bCs w:val="0"/>
          <w:i w:val="0"/>
          <w:sz w:val="21"/>
          <w:szCs w:val="21"/>
          <w:lang w:eastAsia="ja-JP"/>
        </w:rPr>
      </w:pPr>
      <w:r w:rsidRPr="00EF3658">
        <w:rPr>
          <w:rFonts w:ascii="ＭＳ ゴシック" w:eastAsia="ＭＳ ゴシック" w:hAnsi="ＭＳ ゴシック" w:hint="eastAsia"/>
          <w:bCs w:val="0"/>
          <w:i w:val="0"/>
          <w:color w:val="00ACA1"/>
          <w:w w:val="95"/>
          <w:sz w:val="21"/>
          <w:szCs w:val="21"/>
          <w:lang w:eastAsia="ja-JP"/>
        </w:rPr>
        <w:t>1.1</w:t>
      </w:r>
      <w:r w:rsidRPr="00EF3658">
        <w:rPr>
          <w:rFonts w:ascii="ＭＳ ゴシック" w:eastAsia="ＭＳ ゴシック" w:hAnsi="ＭＳ ゴシック" w:cs="ＭＳ 明朝" w:hint="eastAsia"/>
          <w:bCs w:val="0"/>
          <w:i w:val="0"/>
          <w:color w:val="00ACA1"/>
          <w:w w:val="95"/>
          <w:sz w:val="21"/>
          <w:szCs w:val="21"/>
          <w:lang w:eastAsia="ja-JP"/>
        </w:rPr>
        <w:t xml:space="preserve">　</w:t>
      </w:r>
      <w:r w:rsidR="00B93908" w:rsidRPr="00EF3658">
        <w:rPr>
          <w:rFonts w:ascii="ＭＳ ゴシック" w:eastAsia="ＭＳ ゴシック" w:hAnsi="ＭＳ ゴシック"/>
          <w:bCs w:val="0"/>
          <w:i w:val="0"/>
          <w:color w:val="00ACA1"/>
          <w:w w:val="95"/>
          <w:sz w:val="21"/>
          <w:szCs w:val="21"/>
          <w:lang w:eastAsia="ja-JP"/>
        </w:rPr>
        <w:t>GHG</w:t>
      </w:r>
      <w:r w:rsidR="00B93908" w:rsidRPr="00EF3658">
        <w:rPr>
          <w:rFonts w:ascii="ＭＳ ゴシック" w:eastAsia="ＭＳ ゴシック" w:hAnsi="ＭＳ ゴシック" w:cs="ＭＳ 明朝" w:hint="eastAsia"/>
          <w:bCs w:val="0"/>
          <w:i w:val="0"/>
          <w:color w:val="00ACA1"/>
          <w:w w:val="95"/>
          <w:sz w:val="21"/>
          <w:szCs w:val="21"/>
          <w:lang w:eastAsia="ja-JP"/>
        </w:rPr>
        <w:t>プロトコルの概要</w:t>
      </w:r>
    </w:p>
    <w:p w14:paraId="670E8004" w14:textId="3CE5D745" w:rsidR="005D0D16" w:rsidRPr="00A36975" w:rsidRDefault="005D0D16" w:rsidP="00EF3658">
      <w:pPr>
        <w:pStyle w:val="a3"/>
        <w:ind w:left="851" w:right="288" w:firstLineChars="100" w:firstLine="180"/>
        <w:rPr>
          <w:rFonts w:ascii="ＭＳ ゴシック" w:eastAsia="ＭＳ ゴシック" w:hAnsi="ＭＳ ゴシック"/>
          <w:color w:val="000000" w:themeColor="text1"/>
          <w:w w:val="95"/>
          <w:lang w:eastAsia="ja-JP"/>
        </w:rPr>
      </w:pPr>
      <w:r w:rsidRPr="00A36975">
        <w:rPr>
          <w:rFonts w:ascii="ＭＳ ゴシック" w:eastAsia="ＭＳ ゴシック" w:hAnsi="ＭＳ ゴシック" w:cs="ＭＳ ゴシック" w:hint="eastAsia"/>
          <w:color w:val="000000" w:themeColor="text1"/>
          <w:w w:val="95"/>
          <w:lang w:eastAsia="ja-JP"/>
        </w:rPr>
        <w:t>温室効果ガス（</w:t>
      </w:r>
      <w:r w:rsidRPr="00A36975">
        <w:rPr>
          <w:rFonts w:ascii="ＭＳ ゴシック" w:eastAsia="ＭＳ ゴシック" w:hAnsi="ＭＳ ゴシック"/>
          <w:color w:val="000000" w:themeColor="text1"/>
          <w:w w:val="95"/>
          <w:lang w:eastAsia="ja-JP"/>
        </w:rPr>
        <w:t>GHG</w:t>
      </w:r>
      <w:r w:rsidRPr="00A36975">
        <w:rPr>
          <w:rFonts w:ascii="ＭＳ ゴシック" w:eastAsia="ＭＳ ゴシック" w:hAnsi="ＭＳ ゴシック" w:cs="ＭＳ ゴシック" w:hint="eastAsia"/>
          <w:color w:val="000000" w:themeColor="text1"/>
          <w:w w:val="95"/>
          <w:lang w:eastAsia="ja-JP"/>
        </w:rPr>
        <w:t>）プロトコルは、世界資源研究所（</w:t>
      </w:r>
      <w:r w:rsidRPr="00A36975">
        <w:rPr>
          <w:rFonts w:ascii="ＭＳ ゴシック" w:eastAsia="ＭＳ ゴシック" w:hAnsi="ＭＳ ゴシック"/>
          <w:color w:val="000000" w:themeColor="text1"/>
          <w:w w:val="95"/>
          <w:lang w:eastAsia="ja-JP"/>
        </w:rPr>
        <w:t>WRI</w:t>
      </w:r>
      <w:r w:rsidRPr="00A36975">
        <w:rPr>
          <w:rFonts w:ascii="ＭＳ ゴシック" w:eastAsia="ＭＳ ゴシック" w:hAnsi="ＭＳ ゴシック" w:cs="ＭＳ ゴシック" w:hint="eastAsia"/>
          <w:color w:val="000000" w:themeColor="text1"/>
          <w:w w:val="95"/>
          <w:lang w:eastAsia="ja-JP"/>
        </w:rPr>
        <w:t>）と持続可能な発展のための世界経済人会議（</w:t>
      </w:r>
      <w:r w:rsidRPr="00A36975">
        <w:rPr>
          <w:rFonts w:ascii="ＭＳ ゴシック" w:eastAsia="ＭＳ ゴシック" w:hAnsi="ＭＳ ゴシック"/>
          <w:color w:val="000000" w:themeColor="text1"/>
          <w:w w:val="95"/>
          <w:lang w:eastAsia="ja-JP"/>
        </w:rPr>
        <w:t>WBCSD</w:t>
      </w:r>
      <w:r w:rsidRPr="00A36975">
        <w:rPr>
          <w:rFonts w:ascii="ＭＳ ゴシック" w:eastAsia="ＭＳ ゴシック" w:hAnsi="ＭＳ ゴシック" w:cs="ＭＳ ゴシック" w:hint="eastAsia"/>
          <w:color w:val="000000" w:themeColor="text1"/>
          <w:w w:val="95"/>
          <w:lang w:eastAsia="ja-JP"/>
        </w:rPr>
        <w:t>）が招集した、企業、非政府組織（</w:t>
      </w:r>
      <w:r w:rsidRPr="00A36975">
        <w:rPr>
          <w:rFonts w:ascii="ＭＳ ゴシック" w:eastAsia="ＭＳ ゴシック" w:hAnsi="ＭＳ ゴシック"/>
          <w:color w:val="000000" w:themeColor="text1"/>
          <w:w w:val="95"/>
          <w:lang w:eastAsia="ja-JP"/>
        </w:rPr>
        <w:t>NGO</w:t>
      </w:r>
      <w:r w:rsidRPr="00A36975">
        <w:rPr>
          <w:rFonts w:ascii="ＭＳ ゴシック" w:eastAsia="ＭＳ ゴシック" w:hAnsi="ＭＳ ゴシック" w:cs="ＭＳ ゴシック" w:hint="eastAsia"/>
          <w:color w:val="000000" w:themeColor="text1"/>
          <w:w w:val="95"/>
          <w:lang w:eastAsia="ja-JP"/>
        </w:rPr>
        <w:t>）、政府などによるマルチステークホルダー・パートナーシップです。</w:t>
      </w:r>
      <w:r w:rsidR="00611EDE" w:rsidRPr="00A36975">
        <w:rPr>
          <w:rFonts w:ascii="ＭＳ ゴシック" w:eastAsia="ＭＳ ゴシック" w:hAnsi="ＭＳ ゴシック"/>
          <w:color w:val="000000" w:themeColor="text1"/>
          <w:w w:val="95"/>
          <w:lang w:eastAsia="ja-JP"/>
        </w:rPr>
        <w:br/>
      </w:r>
      <w:r w:rsidR="00611EDE" w:rsidRPr="00A36975">
        <w:rPr>
          <w:rFonts w:ascii="ＭＳ ゴシック" w:eastAsia="ＭＳ ゴシック" w:hAnsi="ＭＳ ゴシック" w:hint="eastAsia"/>
          <w:color w:val="000000" w:themeColor="text1"/>
          <w:w w:val="95"/>
          <w:lang w:eastAsia="ja-JP"/>
        </w:rPr>
        <w:t xml:space="preserve">　</w:t>
      </w:r>
      <w:r w:rsidRPr="00A36975">
        <w:rPr>
          <w:rFonts w:ascii="ＭＳ ゴシック" w:eastAsia="ＭＳ ゴシック" w:hAnsi="ＭＳ ゴシック"/>
          <w:color w:val="000000" w:themeColor="text1"/>
          <w:w w:val="95"/>
          <w:lang w:eastAsia="ja-JP"/>
        </w:rPr>
        <w:t>1998</w:t>
      </w:r>
      <w:r w:rsidRPr="00A36975">
        <w:rPr>
          <w:rFonts w:ascii="ＭＳ ゴシック" w:eastAsia="ＭＳ ゴシック" w:hAnsi="ＭＳ ゴシック" w:cs="ＭＳ ゴシック" w:hint="eastAsia"/>
          <w:color w:val="000000" w:themeColor="text1"/>
          <w:w w:val="95"/>
          <w:lang w:eastAsia="ja-JP"/>
        </w:rPr>
        <w:t>年に発足した</w:t>
      </w:r>
      <w:r w:rsidRPr="00A36975">
        <w:rPr>
          <w:rFonts w:ascii="ＭＳ ゴシック" w:eastAsia="ＭＳ ゴシック" w:hAnsi="ＭＳ ゴシック"/>
          <w:color w:val="000000" w:themeColor="text1"/>
          <w:w w:val="95"/>
          <w:lang w:eastAsia="ja-JP"/>
        </w:rPr>
        <w:t>GHG</w:t>
      </w:r>
      <w:r w:rsidRPr="00A36975">
        <w:rPr>
          <w:rFonts w:ascii="ＭＳ ゴシック" w:eastAsia="ＭＳ ゴシック" w:hAnsi="ＭＳ ゴシック" w:cs="ＭＳ ゴシック" w:hint="eastAsia"/>
          <w:color w:val="000000" w:themeColor="text1"/>
          <w:w w:val="95"/>
          <w:lang w:eastAsia="ja-JP"/>
        </w:rPr>
        <w:t>プロトコルの使命は、世界的な低排出経済を実現するために、国際的に認められた温室効果ガス（</w:t>
      </w:r>
      <w:r w:rsidRPr="00A36975">
        <w:rPr>
          <w:rFonts w:ascii="ＭＳ ゴシック" w:eastAsia="ＭＳ ゴシック" w:hAnsi="ＭＳ ゴシック"/>
          <w:color w:val="000000" w:themeColor="text1"/>
          <w:w w:val="95"/>
          <w:lang w:eastAsia="ja-JP"/>
        </w:rPr>
        <w:t>GHG</w:t>
      </w:r>
      <w:r w:rsidRPr="00A36975">
        <w:rPr>
          <w:rFonts w:ascii="ＭＳ ゴシック" w:eastAsia="ＭＳ ゴシック" w:hAnsi="ＭＳ ゴシック" w:cs="ＭＳ ゴシック" w:hint="eastAsia"/>
          <w:color w:val="000000" w:themeColor="text1"/>
          <w:w w:val="95"/>
          <w:lang w:eastAsia="ja-JP"/>
        </w:rPr>
        <w:t>）の算定・報告基準およびツールを開発すること、および国際的に通用する温室効果ガス（</w:t>
      </w:r>
      <w:r w:rsidRPr="00A36975">
        <w:rPr>
          <w:rFonts w:ascii="ＭＳ ゴシック" w:eastAsia="ＭＳ ゴシック" w:hAnsi="ＭＳ ゴシック"/>
          <w:color w:val="000000" w:themeColor="text1"/>
          <w:w w:val="95"/>
          <w:lang w:eastAsia="ja-JP"/>
        </w:rPr>
        <w:t>GHG</w:t>
      </w:r>
      <w:r w:rsidRPr="00A36975">
        <w:rPr>
          <w:rFonts w:ascii="ＭＳ ゴシック" w:eastAsia="ＭＳ ゴシック" w:hAnsi="ＭＳ ゴシック" w:cs="ＭＳ ゴシック" w:hint="eastAsia"/>
          <w:color w:val="000000" w:themeColor="text1"/>
          <w:w w:val="95"/>
          <w:lang w:eastAsia="ja-JP"/>
        </w:rPr>
        <w:t>）算定・報告基準を策定し、その採用を推進することです。</w:t>
      </w:r>
      <w:r w:rsidR="00611EDE" w:rsidRPr="00A36975">
        <w:rPr>
          <w:rFonts w:ascii="ＭＳ ゴシック" w:eastAsia="ＭＳ ゴシック" w:hAnsi="ＭＳ ゴシック"/>
          <w:color w:val="000000" w:themeColor="text1"/>
          <w:w w:val="95"/>
          <w:lang w:eastAsia="ja-JP"/>
        </w:rPr>
        <w:br/>
      </w:r>
      <w:r w:rsidR="00611EDE" w:rsidRPr="00A36975">
        <w:rPr>
          <w:rFonts w:ascii="ＭＳ ゴシック" w:eastAsia="ＭＳ ゴシック" w:hAnsi="ＭＳ ゴシック" w:hint="eastAsia"/>
          <w:color w:val="000000" w:themeColor="text1"/>
          <w:w w:val="95"/>
          <w:lang w:eastAsia="ja-JP"/>
        </w:rPr>
        <w:t xml:space="preserve">　</w:t>
      </w:r>
      <w:r w:rsidRPr="00A36975">
        <w:rPr>
          <w:rFonts w:ascii="ＭＳ ゴシック" w:eastAsia="ＭＳ ゴシック" w:hAnsi="ＭＳ ゴシック"/>
          <w:color w:val="000000" w:themeColor="text1"/>
          <w:w w:val="95"/>
          <w:lang w:eastAsia="ja-JP"/>
        </w:rPr>
        <w:t xml:space="preserve">GHG </w:t>
      </w:r>
      <w:r w:rsidRPr="00A36975">
        <w:rPr>
          <w:rFonts w:ascii="ＭＳ ゴシック" w:eastAsia="ＭＳ ゴシック" w:hAnsi="ＭＳ ゴシック" w:cs="ＭＳ ゴシック" w:hint="eastAsia"/>
          <w:color w:val="000000" w:themeColor="text1"/>
          <w:w w:val="95"/>
          <w:lang w:eastAsia="ja-JP"/>
        </w:rPr>
        <w:t>プロトコルは、世界中の企業、政府機関、非政府組織、学術機関からバランスよく協力を得て、広範かつ包括的な、コンセンサスに基づくマルチステークホルダー・プロセスに従ってこれらの基準を策定しています。基準には、ユーザーの実施を支援する詳細なガイダンスが含まれており、</w:t>
      </w:r>
      <w:r w:rsidRPr="00A36975">
        <w:rPr>
          <w:rFonts w:ascii="ＭＳ ゴシック" w:eastAsia="ＭＳ ゴシック" w:hAnsi="ＭＳ ゴシック"/>
          <w:color w:val="000000" w:themeColor="text1"/>
          <w:w w:val="95"/>
          <w:lang w:eastAsia="ja-JP"/>
        </w:rPr>
        <w:t xml:space="preserve">GHG </w:t>
      </w:r>
      <w:r w:rsidRPr="00A36975">
        <w:rPr>
          <w:rFonts w:ascii="ＭＳ ゴシック" w:eastAsia="ＭＳ ゴシック" w:hAnsi="ＭＳ ゴシック" w:cs="ＭＳ ゴシック" w:hint="eastAsia"/>
          <w:color w:val="000000" w:themeColor="text1"/>
          <w:w w:val="95"/>
          <w:lang w:eastAsia="ja-JP"/>
        </w:rPr>
        <w:t>プロトコルのウェブサイト（</w:t>
      </w:r>
      <w:r w:rsidRPr="00A36975">
        <w:rPr>
          <w:rFonts w:ascii="ＭＳ ゴシック" w:eastAsia="ＭＳ ゴシック" w:hAnsi="ＭＳ ゴシック"/>
          <w:color w:val="000000" w:themeColor="text1"/>
          <w:w w:val="95"/>
          <w:lang w:eastAsia="ja-JP"/>
        </w:rPr>
        <w:t>www.ghgprotocol.org</w:t>
      </w:r>
      <w:r w:rsidRPr="00A36975">
        <w:rPr>
          <w:rFonts w:ascii="ＭＳ ゴシック" w:eastAsia="ＭＳ ゴシック" w:hAnsi="ＭＳ ゴシック" w:cs="ＭＳ ゴシック" w:hint="eastAsia"/>
          <w:color w:val="000000" w:themeColor="text1"/>
          <w:w w:val="95"/>
          <w:lang w:eastAsia="ja-JP"/>
        </w:rPr>
        <w:t>）から自由に入手することができます。</w:t>
      </w:r>
      <w:r w:rsidR="00611EDE" w:rsidRPr="00A36975">
        <w:rPr>
          <w:rFonts w:ascii="ＭＳ ゴシック" w:eastAsia="ＭＳ ゴシック" w:hAnsi="ＭＳ ゴシック"/>
          <w:color w:val="000000" w:themeColor="text1"/>
          <w:w w:val="95"/>
          <w:lang w:eastAsia="ja-JP"/>
        </w:rPr>
        <w:br/>
      </w:r>
      <w:r w:rsidR="00611EDE" w:rsidRPr="00A36975">
        <w:rPr>
          <w:rFonts w:ascii="ＭＳ ゴシック" w:eastAsia="ＭＳ ゴシック" w:hAnsi="ＭＳ ゴシック" w:hint="eastAsia"/>
          <w:color w:val="000000" w:themeColor="text1"/>
          <w:w w:val="95"/>
          <w:lang w:eastAsia="ja-JP"/>
        </w:rPr>
        <w:t xml:space="preserve">　</w:t>
      </w:r>
      <w:r w:rsidRPr="00A36975">
        <w:rPr>
          <w:rFonts w:ascii="ＭＳ ゴシック" w:eastAsia="ＭＳ ゴシック" w:hAnsi="ＭＳ ゴシック"/>
          <w:color w:val="000000" w:themeColor="text1"/>
          <w:lang w:eastAsia="ja-JP"/>
        </w:rPr>
        <w:t xml:space="preserve">GHG </w:t>
      </w:r>
      <w:r w:rsidRPr="00A36975">
        <w:rPr>
          <w:rFonts w:ascii="ＭＳ ゴシック" w:eastAsia="ＭＳ ゴシック" w:hAnsi="ＭＳ ゴシック" w:cs="ＭＳ ゴシック" w:hint="eastAsia"/>
          <w:color w:val="000000" w:themeColor="text1"/>
          <w:lang w:eastAsia="ja-JP"/>
        </w:rPr>
        <w:t>プロトコルでは、以下のような個別の、しかし相互補完的な基準、プロトコル、およびガイドラインを作成しています。</w:t>
      </w:r>
    </w:p>
    <w:p w14:paraId="2662C000" w14:textId="0B44BF22" w:rsidR="00F96345" w:rsidRPr="00A36975" w:rsidRDefault="00F96345">
      <w:pPr>
        <w:pStyle w:val="a5"/>
        <w:numPr>
          <w:ilvl w:val="1"/>
          <w:numId w:val="57"/>
        </w:numPr>
        <w:tabs>
          <w:tab w:val="left" w:pos="1395"/>
        </w:tabs>
        <w:ind w:left="1134" w:right="333"/>
        <w:rPr>
          <w:rFonts w:ascii="ＭＳ ゴシック" w:eastAsia="ＭＳ ゴシック" w:hAnsi="ＭＳ ゴシック"/>
          <w:color w:val="000000" w:themeColor="text1"/>
          <w:w w:val="95"/>
          <w:sz w:val="19"/>
          <w:szCs w:val="19"/>
        </w:rPr>
      </w:pPr>
      <w:proofErr w:type="spellStart"/>
      <w:r w:rsidRPr="00A36975">
        <w:rPr>
          <w:rFonts w:ascii="ＭＳ ゴシック" w:eastAsia="ＭＳ ゴシック" w:hAnsi="ＭＳ ゴシック"/>
          <w:color w:val="000000" w:themeColor="text1"/>
          <w:w w:val="95"/>
          <w:sz w:val="19"/>
          <w:szCs w:val="19"/>
        </w:rPr>
        <w:lastRenderedPageBreak/>
        <w:t>GHG</w:t>
      </w:r>
      <w:r w:rsidRPr="00A36975">
        <w:rPr>
          <w:rFonts w:ascii="ＭＳ ゴシック" w:eastAsia="ＭＳ ゴシック" w:hAnsi="ＭＳ ゴシック" w:cs="ＭＳ ゴシック" w:hint="eastAsia"/>
          <w:color w:val="000000" w:themeColor="text1"/>
          <w:w w:val="95"/>
          <w:sz w:val="19"/>
          <w:szCs w:val="19"/>
        </w:rPr>
        <w:t>プロトコル企業</w:t>
      </w:r>
      <w:proofErr w:type="spellEnd"/>
      <w:r w:rsidR="00737EE5">
        <w:rPr>
          <w:rFonts w:ascii="ＭＳ ゴシック" w:eastAsia="ＭＳ ゴシック" w:hAnsi="ＭＳ ゴシック" w:cs="ＭＳ ゴシック" w:hint="eastAsia"/>
          <w:color w:val="000000" w:themeColor="text1"/>
          <w:w w:val="95"/>
          <w:sz w:val="19"/>
          <w:szCs w:val="19"/>
          <w:lang w:eastAsia="ja-JP"/>
        </w:rPr>
        <w:t>算出</w:t>
      </w:r>
      <w:proofErr w:type="spellStart"/>
      <w:r w:rsidRPr="00A36975">
        <w:rPr>
          <w:rFonts w:ascii="ＭＳ ゴシック" w:eastAsia="ＭＳ ゴシック" w:hAnsi="ＭＳ ゴシック" w:cs="ＭＳ ゴシック" w:hint="eastAsia"/>
          <w:color w:val="000000" w:themeColor="text1"/>
          <w:w w:val="95"/>
          <w:sz w:val="19"/>
          <w:szCs w:val="19"/>
        </w:rPr>
        <w:t>報告基準（</w:t>
      </w:r>
      <w:r w:rsidRPr="00A36975">
        <w:rPr>
          <w:rFonts w:ascii="ＭＳ ゴシック" w:eastAsia="ＭＳ ゴシック" w:hAnsi="ＭＳ ゴシック"/>
          <w:color w:val="000000" w:themeColor="text1"/>
          <w:w w:val="95"/>
          <w:sz w:val="19"/>
          <w:szCs w:val="19"/>
        </w:rPr>
        <w:t>GHG</w:t>
      </w:r>
      <w:proofErr w:type="spellEnd"/>
      <w:r w:rsidRPr="00A36975">
        <w:rPr>
          <w:rFonts w:ascii="ＭＳ ゴシック" w:eastAsia="ＭＳ ゴシック" w:hAnsi="ＭＳ ゴシック"/>
          <w:color w:val="000000" w:themeColor="text1"/>
          <w:w w:val="95"/>
          <w:sz w:val="19"/>
          <w:szCs w:val="19"/>
        </w:rPr>
        <w:t xml:space="preserve"> Protocol Corporate Accounting and Reporting Standard</w:t>
      </w:r>
      <w:r w:rsidRPr="00A36975">
        <w:rPr>
          <w:rFonts w:ascii="ＭＳ ゴシック" w:eastAsia="ＭＳ ゴシック" w:hAnsi="ＭＳ ゴシック" w:cs="ＭＳ ゴシック" w:hint="eastAsia"/>
          <w:color w:val="000000" w:themeColor="text1"/>
          <w:w w:val="95"/>
          <w:sz w:val="19"/>
          <w:szCs w:val="19"/>
        </w:rPr>
        <w:t>）（</w:t>
      </w:r>
      <w:r w:rsidRPr="00A36975">
        <w:rPr>
          <w:rFonts w:ascii="ＭＳ ゴシック" w:eastAsia="ＭＳ ゴシック" w:hAnsi="ＭＳ ゴシック"/>
          <w:color w:val="000000" w:themeColor="text1"/>
          <w:w w:val="95"/>
          <w:sz w:val="19"/>
          <w:szCs w:val="19"/>
        </w:rPr>
        <w:t>2004</w:t>
      </w:r>
      <w:r w:rsidRPr="00A36975">
        <w:rPr>
          <w:rFonts w:ascii="ＭＳ ゴシック" w:eastAsia="ＭＳ ゴシック" w:hAnsi="ＭＳ ゴシック" w:cs="ＭＳ ゴシック" w:hint="eastAsia"/>
          <w:color w:val="000000" w:themeColor="text1"/>
          <w:w w:val="95"/>
          <w:sz w:val="19"/>
          <w:szCs w:val="19"/>
        </w:rPr>
        <w:t>年）：</w:t>
      </w:r>
      <w:r w:rsidRPr="00A36975">
        <w:rPr>
          <w:rFonts w:ascii="ＭＳ ゴシック" w:eastAsia="ＭＳ ゴシック" w:hAnsi="ＭＳ ゴシック" w:cs="ＭＳ ゴシック"/>
          <w:color w:val="000000" w:themeColor="text1"/>
          <w:w w:val="95"/>
          <w:sz w:val="19"/>
          <w:szCs w:val="19"/>
        </w:rPr>
        <w:br/>
      </w:r>
      <w:r w:rsidRPr="00A36975">
        <w:rPr>
          <w:rFonts w:ascii="ＭＳ ゴシック" w:eastAsia="ＭＳ ゴシック" w:hAnsi="ＭＳ ゴシック" w:cs="ＭＳ ゴシック" w:hint="eastAsia"/>
          <w:color w:val="000000" w:themeColor="text1"/>
          <w:w w:val="95"/>
          <w:sz w:val="19"/>
          <w:szCs w:val="19"/>
          <w:lang w:eastAsia="ja-JP"/>
        </w:rPr>
        <w:t>企業が自社の温室効果ガス排出量を定量的に把握し、報告するための標準的な手法。</w:t>
      </w:r>
      <w:r w:rsidR="007020F0" w:rsidRPr="00A36975">
        <w:rPr>
          <w:rFonts w:ascii="ＭＳ ゴシック" w:eastAsia="ＭＳ ゴシック" w:hAnsi="ＭＳ ゴシック" w:cs="ＭＳ ゴシック" w:hint="eastAsia"/>
          <w:color w:val="000000" w:themeColor="text1"/>
          <w:w w:val="95"/>
          <w:sz w:val="19"/>
          <w:szCs w:val="19"/>
          <w:lang w:eastAsia="ja-JP"/>
        </w:rPr>
        <w:t>企業基準</w:t>
      </w:r>
      <w:r w:rsidRPr="00A36975">
        <w:rPr>
          <w:rFonts w:ascii="ＭＳ ゴシック" w:eastAsia="ＭＳ ゴシック" w:hAnsi="ＭＳ ゴシック" w:cs="ＭＳ ゴシック" w:hint="eastAsia"/>
          <w:color w:val="000000" w:themeColor="text1"/>
          <w:w w:val="95"/>
          <w:sz w:val="19"/>
          <w:szCs w:val="19"/>
          <w:lang w:eastAsia="ja-JP"/>
        </w:rPr>
        <w:t>とも呼ばれる。</w:t>
      </w:r>
    </w:p>
    <w:p w14:paraId="2225C0FA" w14:textId="34950A36" w:rsidR="00F96345" w:rsidRPr="00A36975" w:rsidRDefault="00F96345">
      <w:pPr>
        <w:pStyle w:val="a5"/>
        <w:numPr>
          <w:ilvl w:val="1"/>
          <w:numId w:val="57"/>
        </w:numPr>
        <w:tabs>
          <w:tab w:val="left" w:pos="1395"/>
        </w:tabs>
        <w:ind w:left="1134" w:right="333"/>
        <w:rPr>
          <w:rFonts w:ascii="ＭＳ ゴシック" w:eastAsia="ＭＳ ゴシック" w:hAnsi="ＭＳ ゴシック"/>
          <w:color w:val="000000" w:themeColor="text1"/>
          <w:w w:val="95"/>
          <w:sz w:val="19"/>
          <w:szCs w:val="19"/>
        </w:rPr>
      </w:pPr>
      <w:r w:rsidRPr="00A36975">
        <w:rPr>
          <w:rFonts w:ascii="ＭＳ ゴシック" w:eastAsia="ＭＳ ゴシック" w:hAnsi="ＭＳ ゴシック"/>
          <w:color w:val="000000" w:themeColor="text1"/>
          <w:w w:val="95"/>
          <w:sz w:val="19"/>
          <w:szCs w:val="19"/>
        </w:rPr>
        <w:t xml:space="preserve"> GHG</w:t>
      </w:r>
      <w:r w:rsidRPr="00A36975">
        <w:rPr>
          <w:rFonts w:ascii="ＭＳ ゴシック" w:eastAsia="ＭＳ ゴシック" w:hAnsi="ＭＳ ゴシック" w:cs="ＭＳ ゴシック" w:hint="eastAsia"/>
          <w:color w:val="000000" w:themeColor="text1"/>
          <w:w w:val="95"/>
          <w:sz w:val="19"/>
          <w:szCs w:val="19"/>
        </w:rPr>
        <w:t>プロトコル企業価値連鎖（</w:t>
      </w:r>
      <w:r w:rsidRPr="00A36975">
        <w:rPr>
          <w:rFonts w:ascii="ＭＳ ゴシック" w:eastAsia="ＭＳ ゴシック" w:hAnsi="ＭＳ ゴシック"/>
          <w:color w:val="000000" w:themeColor="text1"/>
          <w:w w:val="95"/>
          <w:sz w:val="19"/>
          <w:szCs w:val="19"/>
        </w:rPr>
        <w:t>Scope3</w:t>
      </w:r>
      <w:r w:rsidRPr="00A36975">
        <w:rPr>
          <w:rFonts w:ascii="ＭＳ ゴシック" w:eastAsia="ＭＳ ゴシック" w:hAnsi="ＭＳ ゴシック" w:cs="ＭＳ ゴシック" w:hint="eastAsia"/>
          <w:color w:val="000000" w:themeColor="text1"/>
          <w:w w:val="95"/>
          <w:sz w:val="19"/>
          <w:szCs w:val="19"/>
        </w:rPr>
        <w:t>）</w:t>
      </w:r>
      <w:r w:rsidR="00364979">
        <w:rPr>
          <w:rFonts w:ascii="ＭＳ ゴシック" w:eastAsia="ＭＳ ゴシック" w:hAnsi="ＭＳ ゴシック" w:cs="ＭＳ ゴシック" w:hint="eastAsia"/>
          <w:color w:val="000000" w:themeColor="text1"/>
          <w:w w:val="95"/>
          <w:sz w:val="19"/>
          <w:szCs w:val="19"/>
          <w:lang w:eastAsia="ja-JP"/>
        </w:rPr>
        <w:t>算出</w:t>
      </w:r>
      <w:proofErr w:type="spellStart"/>
      <w:r w:rsidRPr="00A36975">
        <w:rPr>
          <w:rFonts w:ascii="ＭＳ ゴシック" w:eastAsia="ＭＳ ゴシック" w:hAnsi="ＭＳ ゴシック" w:cs="ＭＳ ゴシック" w:hint="eastAsia"/>
          <w:color w:val="000000" w:themeColor="text1"/>
          <w:w w:val="95"/>
          <w:sz w:val="19"/>
          <w:szCs w:val="19"/>
        </w:rPr>
        <w:t>報告基準（</w:t>
      </w:r>
      <w:r w:rsidRPr="00A36975">
        <w:rPr>
          <w:rFonts w:ascii="ＭＳ ゴシック" w:eastAsia="ＭＳ ゴシック" w:hAnsi="ＭＳ ゴシック"/>
          <w:color w:val="000000" w:themeColor="text1"/>
          <w:w w:val="95"/>
          <w:sz w:val="19"/>
          <w:szCs w:val="19"/>
        </w:rPr>
        <w:t>GHG</w:t>
      </w:r>
      <w:proofErr w:type="spellEnd"/>
      <w:r w:rsidRPr="00A36975">
        <w:rPr>
          <w:rFonts w:ascii="ＭＳ ゴシック" w:eastAsia="ＭＳ ゴシック" w:hAnsi="ＭＳ ゴシック"/>
          <w:color w:val="000000" w:themeColor="text1"/>
          <w:w w:val="95"/>
          <w:sz w:val="19"/>
          <w:szCs w:val="19"/>
        </w:rPr>
        <w:t xml:space="preserve"> Protocol Corporate Value Chain (Scope 3) Accounting and Reporting Standard</w:t>
      </w:r>
      <w:r w:rsidRPr="00A36975">
        <w:rPr>
          <w:rFonts w:ascii="ＭＳ ゴシック" w:eastAsia="ＭＳ ゴシック" w:hAnsi="ＭＳ ゴシック" w:cs="ＭＳ ゴシック" w:hint="eastAsia"/>
          <w:color w:val="000000" w:themeColor="text1"/>
          <w:w w:val="95"/>
          <w:sz w:val="19"/>
          <w:szCs w:val="19"/>
        </w:rPr>
        <w:t>）（</w:t>
      </w:r>
      <w:r w:rsidRPr="00A36975">
        <w:rPr>
          <w:rFonts w:ascii="ＭＳ ゴシック" w:eastAsia="ＭＳ ゴシック" w:hAnsi="ＭＳ ゴシック"/>
          <w:color w:val="000000" w:themeColor="text1"/>
          <w:w w:val="95"/>
          <w:sz w:val="19"/>
          <w:szCs w:val="19"/>
        </w:rPr>
        <w:t>2011</w:t>
      </w:r>
      <w:r w:rsidRPr="00A36975">
        <w:rPr>
          <w:rFonts w:ascii="ＭＳ ゴシック" w:eastAsia="ＭＳ ゴシック" w:hAnsi="ＭＳ ゴシック" w:cs="ＭＳ ゴシック" w:hint="eastAsia"/>
          <w:color w:val="000000" w:themeColor="text1"/>
          <w:w w:val="95"/>
          <w:sz w:val="19"/>
          <w:szCs w:val="19"/>
        </w:rPr>
        <w:t>年）：</w:t>
      </w:r>
      <w:r w:rsidRPr="00A36975">
        <w:rPr>
          <w:rFonts w:ascii="ＭＳ ゴシック" w:eastAsia="ＭＳ ゴシック" w:hAnsi="ＭＳ ゴシック" w:cs="ＭＳ ゴシック"/>
          <w:color w:val="000000" w:themeColor="text1"/>
          <w:w w:val="95"/>
          <w:sz w:val="19"/>
          <w:szCs w:val="19"/>
        </w:rPr>
        <w:br/>
      </w:r>
      <w:r w:rsidRPr="00A36975">
        <w:rPr>
          <w:rFonts w:ascii="ＭＳ ゴシック" w:eastAsia="ＭＳ ゴシック" w:hAnsi="ＭＳ ゴシック" w:cs="ＭＳ ゴシック" w:hint="eastAsia"/>
          <w:color w:val="000000" w:themeColor="text1"/>
          <w:w w:val="95"/>
          <w:sz w:val="19"/>
          <w:szCs w:val="19"/>
          <w:lang w:eastAsia="ja-JP"/>
        </w:rPr>
        <w:t>企業価値連鎖（</w:t>
      </w:r>
      <w:r w:rsidRPr="00A36975">
        <w:rPr>
          <w:rFonts w:ascii="ＭＳ ゴシック" w:eastAsia="ＭＳ ゴシック" w:hAnsi="ＭＳ ゴシック"/>
          <w:color w:val="000000" w:themeColor="text1"/>
          <w:w w:val="95"/>
          <w:sz w:val="19"/>
          <w:szCs w:val="19"/>
          <w:lang w:eastAsia="ja-JP"/>
        </w:rPr>
        <w:t>Scope3</w:t>
      </w:r>
      <w:r w:rsidRPr="00A36975">
        <w:rPr>
          <w:rFonts w:ascii="ＭＳ ゴシック" w:eastAsia="ＭＳ ゴシック" w:hAnsi="ＭＳ ゴシック" w:cs="ＭＳ ゴシック" w:hint="eastAsia"/>
          <w:color w:val="000000" w:themeColor="text1"/>
          <w:w w:val="95"/>
          <w:sz w:val="19"/>
          <w:szCs w:val="19"/>
          <w:lang w:eastAsia="ja-JP"/>
        </w:rPr>
        <w:t>）の</w:t>
      </w:r>
      <w:r w:rsidRPr="00A36975">
        <w:rPr>
          <w:rFonts w:ascii="ＭＳ ゴシック" w:eastAsia="ＭＳ ゴシック" w:hAnsi="ＭＳ ゴシック"/>
          <w:color w:val="000000" w:themeColor="text1"/>
          <w:w w:val="95"/>
          <w:sz w:val="19"/>
          <w:szCs w:val="19"/>
          <w:lang w:eastAsia="ja-JP"/>
        </w:rPr>
        <w:t>GHG</w:t>
      </w:r>
      <w:r w:rsidRPr="00A36975">
        <w:rPr>
          <w:rFonts w:ascii="ＭＳ ゴシック" w:eastAsia="ＭＳ ゴシック" w:hAnsi="ＭＳ ゴシック" w:cs="ＭＳ ゴシック" w:hint="eastAsia"/>
          <w:color w:val="000000" w:themeColor="text1"/>
          <w:w w:val="95"/>
          <w:sz w:val="19"/>
          <w:szCs w:val="19"/>
          <w:lang w:eastAsia="ja-JP"/>
        </w:rPr>
        <w:t>排出量を定量化し、報告するための企業のための標準的な方法で、</w:t>
      </w:r>
      <w:r w:rsidR="007020F0" w:rsidRPr="00A36975">
        <w:rPr>
          <w:rFonts w:ascii="ＭＳ ゴシック" w:eastAsia="ＭＳ ゴシック" w:hAnsi="ＭＳ ゴシック" w:cs="ＭＳ ゴシック" w:hint="eastAsia"/>
          <w:color w:val="000000" w:themeColor="text1"/>
          <w:w w:val="95"/>
          <w:sz w:val="19"/>
          <w:szCs w:val="19"/>
          <w:lang w:eastAsia="ja-JP"/>
        </w:rPr>
        <w:t>企業基準</w:t>
      </w:r>
      <w:r w:rsidRPr="00A36975">
        <w:rPr>
          <w:rFonts w:ascii="ＭＳ ゴシック" w:eastAsia="ＭＳ ゴシック" w:hAnsi="ＭＳ ゴシック" w:cs="ＭＳ ゴシック" w:hint="eastAsia"/>
          <w:color w:val="000000" w:themeColor="text1"/>
          <w:w w:val="95"/>
          <w:sz w:val="19"/>
          <w:szCs w:val="19"/>
          <w:lang w:eastAsia="ja-JP"/>
        </w:rPr>
        <w:t>と合わせて使用される。</w:t>
      </w:r>
      <w:r w:rsidRPr="00A36975">
        <w:rPr>
          <w:rFonts w:ascii="ＭＳ ゴシック" w:eastAsia="ＭＳ ゴシック" w:hAnsi="ＭＳ ゴシック"/>
          <w:color w:val="000000" w:themeColor="text1"/>
          <w:w w:val="95"/>
          <w:sz w:val="19"/>
          <w:szCs w:val="19"/>
        </w:rPr>
        <w:t>Scope3</w:t>
      </w:r>
      <w:r w:rsidRPr="00A36975">
        <w:rPr>
          <w:rFonts w:ascii="ＭＳ ゴシック" w:eastAsia="ＭＳ ゴシック" w:hAnsi="ＭＳ ゴシック" w:cs="ＭＳ ゴシック" w:hint="eastAsia"/>
          <w:color w:val="000000" w:themeColor="text1"/>
          <w:w w:val="95"/>
          <w:sz w:val="19"/>
          <w:szCs w:val="19"/>
        </w:rPr>
        <w:t>基準とも呼ばれる。</w:t>
      </w:r>
    </w:p>
    <w:p w14:paraId="48E67F67" w14:textId="2701F860" w:rsidR="00611EDE" w:rsidRPr="00A36975" w:rsidRDefault="00F96345">
      <w:pPr>
        <w:pStyle w:val="a5"/>
        <w:numPr>
          <w:ilvl w:val="1"/>
          <w:numId w:val="57"/>
        </w:numPr>
        <w:tabs>
          <w:tab w:val="left" w:pos="1395"/>
        </w:tabs>
        <w:ind w:left="1134" w:right="333"/>
        <w:rPr>
          <w:rFonts w:ascii="ＭＳ ゴシック" w:eastAsia="ＭＳ ゴシック" w:hAnsi="ＭＳ ゴシック"/>
          <w:color w:val="000000" w:themeColor="text1"/>
          <w:w w:val="95"/>
          <w:sz w:val="19"/>
          <w:szCs w:val="19"/>
        </w:rPr>
      </w:pPr>
      <w:r w:rsidRPr="00A36975">
        <w:rPr>
          <w:rFonts w:ascii="ＭＳ ゴシック" w:eastAsia="ＭＳ ゴシック" w:hAnsi="ＭＳ ゴシック"/>
          <w:color w:val="000000" w:themeColor="text1"/>
          <w:w w:val="95"/>
          <w:sz w:val="19"/>
          <w:szCs w:val="19"/>
          <w:lang w:eastAsia="ja-JP"/>
        </w:rPr>
        <w:t xml:space="preserve"> </w:t>
      </w:r>
      <w:r w:rsidRPr="00A36975">
        <w:rPr>
          <w:rFonts w:ascii="ＭＳ ゴシック" w:eastAsia="ＭＳ ゴシック" w:hAnsi="ＭＳ ゴシック" w:cs="ＭＳ ゴシック" w:hint="eastAsia"/>
          <w:color w:val="000000" w:themeColor="text1"/>
          <w:w w:val="95"/>
          <w:sz w:val="19"/>
          <w:szCs w:val="19"/>
          <w:lang w:eastAsia="ja-JP"/>
        </w:rPr>
        <w:t>プロジェクト</w:t>
      </w:r>
      <w:r w:rsidR="00364979">
        <w:rPr>
          <w:rFonts w:ascii="ＭＳ ゴシック" w:eastAsia="ＭＳ ゴシック" w:hAnsi="ＭＳ ゴシック" w:cs="ＭＳ ゴシック" w:hint="eastAsia"/>
          <w:color w:val="000000" w:themeColor="text1"/>
          <w:w w:val="95"/>
          <w:sz w:val="19"/>
          <w:szCs w:val="19"/>
          <w:lang w:eastAsia="ja-JP"/>
        </w:rPr>
        <w:t>算出</w:t>
      </w:r>
      <w:r w:rsidRPr="00A36975">
        <w:rPr>
          <w:rFonts w:ascii="ＭＳ ゴシック" w:eastAsia="ＭＳ ゴシック" w:hAnsi="ＭＳ ゴシック" w:cs="ＭＳ ゴシック" w:hint="eastAsia"/>
          <w:color w:val="000000" w:themeColor="text1"/>
          <w:w w:val="95"/>
          <w:sz w:val="19"/>
          <w:szCs w:val="19"/>
          <w:lang w:eastAsia="ja-JP"/>
        </w:rPr>
        <w:t>のための</w:t>
      </w:r>
      <w:r w:rsidRPr="00A36975">
        <w:rPr>
          <w:rFonts w:ascii="ＭＳ ゴシック" w:eastAsia="ＭＳ ゴシック" w:hAnsi="ＭＳ ゴシック"/>
          <w:color w:val="000000" w:themeColor="text1"/>
          <w:w w:val="95"/>
          <w:sz w:val="19"/>
          <w:szCs w:val="19"/>
          <w:lang w:eastAsia="ja-JP"/>
        </w:rPr>
        <w:t>GHG</w:t>
      </w:r>
      <w:r w:rsidRPr="00A36975">
        <w:rPr>
          <w:rFonts w:ascii="ＭＳ ゴシック" w:eastAsia="ＭＳ ゴシック" w:hAnsi="ＭＳ ゴシック" w:cs="ＭＳ ゴシック" w:hint="eastAsia"/>
          <w:color w:val="000000" w:themeColor="text1"/>
          <w:w w:val="95"/>
          <w:sz w:val="19"/>
          <w:szCs w:val="19"/>
          <w:lang w:eastAsia="ja-JP"/>
        </w:rPr>
        <w:t>プロトコル（</w:t>
      </w:r>
      <w:r w:rsidRPr="00A36975">
        <w:rPr>
          <w:rFonts w:ascii="ＭＳ ゴシック" w:eastAsia="ＭＳ ゴシック" w:hAnsi="ＭＳ ゴシック"/>
          <w:color w:val="000000" w:themeColor="text1"/>
          <w:w w:val="95"/>
          <w:sz w:val="19"/>
          <w:szCs w:val="19"/>
          <w:lang w:eastAsia="ja-JP"/>
        </w:rPr>
        <w:t>GHG Protocol for Project Accounting</w:t>
      </w:r>
      <w:r w:rsidRPr="00A36975">
        <w:rPr>
          <w:rFonts w:ascii="ＭＳ ゴシック" w:eastAsia="ＭＳ ゴシック" w:hAnsi="ＭＳ ゴシック" w:cs="ＭＳ ゴシック" w:hint="eastAsia"/>
          <w:color w:val="000000" w:themeColor="text1"/>
          <w:w w:val="95"/>
          <w:sz w:val="19"/>
          <w:szCs w:val="19"/>
          <w:lang w:eastAsia="ja-JP"/>
        </w:rPr>
        <w:t>）</w:t>
      </w:r>
      <w:r w:rsidRPr="00A36975">
        <w:rPr>
          <w:rFonts w:ascii="ＭＳ ゴシック" w:eastAsia="ＭＳ ゴシック" w:hAnsi="ＭＳ ゴシック"/>
          <w:color w:val="000000" w:themeColor="text1"/>
          <w:w w:val="95"/>
          <w:sz w:val="19"/>
          <w:szCs w:val="19"/>
          <w:lang w:eastAsia="ja-JP"/>
        </w:rPr>
        <w:t xml:space="preserve"> (2005)</w:t>
      </w:r>
      <w:r w:rsidRPr="00A36975">
        <w:rPr>
          <w:rFonts w:ascii="ＭＳ ゴシック" w:eastAsia="ＭＳ ゴシック" w:hAnsi="ＭＳ ゴシック" w:cs="ＭＳ ゴシック" w:hint="eastAsia"/>
          <w:color w:val="000000" w:themeColor="text1"/>
          <w:w w:val="95"/>
          <w:sz w:val="19"/>
          <w:szCs w:val="19"/>
          <w:lang w:eastAsia="ja-JP"/>
        </w:rPr>
        <w:t>：</w:t>
      </w:r>
      <w:r w:rsidRPr="00A36975">
        <w:rPr>
          <w:rFonts w:ascii="ＭＳ ゴシック" w:eastAsia="ＭＳ ゴシック" w:hAnsi="ＭＳ ゴシック" w:cs="ＭＳ ゴシック"/>
          <w:color w:val="000000" w:themeColor="text1"/>
          <w:w w:val="95"/>
          <w:sz w:val="19"/>
          <w:szCs w:val="19"/>
          <w:lang w:eastAsia="ja-JP"/>
        </w:rPr>
        <w:br/>
      </w:r>
      <w:r w:rsidRPr="00A36975">
        <w:rPr>
          <w:rFonts w:ascii="ＭＳ ゴシック" w:eastAsia="ＭＳ ゴシック" w:hAnsi="ＭＳ ゴシック"/>
          <w:color w:val="000000" w:themeColor="text1"/>
          <w:w w:val="95"/>
          <w:sz w:val="19"/>
          <w:szCs w:val="19"/>
          <w:lang w:eastAsia="ja-JP"/>
        </w:rPr>
        <w:t>GHG</w:t>
      </w:r>
      <w:r w:rsidRPr="00A36975">
        <w:rPr>
          <w:rFonts w:ascii="ＭＳ ゴシック" w:eastAsia="ＭＳ ゴシック" w:hAnsi="ＭＳ ゴシック" w:cs="ＭＳ ゴシック" w:hint="eastAsia"/>
          <w:color w:val="000000" w:themeColor="text1"/>
          <w:w w:val="95"/>
          <w:sz w:val="19"/>
          <w:szCs w:val="19"/>
          <w:lang w:eastAsia="ja-JP"/>
        </w:rPr>
        <w:t>削減プロジェクトによる削減量を定量化するためのガイド。プロジェクトプロトコルとも呼ばれる。</w:t>
      </w:r>
    </w:p>
    <w:p w14:paraId="3973056D" w14:textId="1EB43B44" w:rsidR="00611EDE" w:rsidRPr="00A36975" w:rsidRDefault="00F96345">
      <w:pPr>
        <w:pStyle w:val="a5"/>
        <w:numPr>
          <w:ilvl w:val="1"/>
          <w:numId w:val="57"/>
        </w:numPr>
        <w:tabs>
          <w:tab w:val="left" w:pos="1395"/>
        </w:tabs>
        <w:ind w:left="1134" w:right="333"/>
        <w:rPr>
          <w:rFonts w:ascii="ＭＳ ゴシック" w:eastAsia="ＭＳ ゴシック" w:hAnsi="ＭＳ ゴシック"/>
          <w:color w:val="000000" w:themeColor="text1"/>
          <w:w w:val="95"/>
          <w:sz w:val="19"/>
          <w:szCs w:val="19"/>
          <w:lang w:eastAsia="ja-JP"/>
        </w:rPr>
      </w:pPr>
      <w:r w:rsidRPr="00A36975">
        <w:rPr>
          <w:rFonts w:ascii="ＭＳ ゴシック" w:eastAsia="ＭＳ ゴシック" w:hAnsi="ＭＳ ゴシック" w:cs="ＭＳ ゴシック" w:hint="eastAsia"/>
          <w:color w:val="000000" w:themeColor="text1"/>
          <w:w w:val="95"/>
          <w:sz w:val="19"/>
          <w:szCs w:val="19"/>
          <w:lang w:eastAsia="ja-JP"/>
        </w:rPr>
        <w:t>米国公共部門向け</w:t>
      </w:r>
      <w:r w:rsidRPr="00A36975">
        <w:rPr>
          <w:rFonts w:ascii="ＭＳ ゴシック" w:eastAsia="ＭＳ ゴシック" w:hAnsi="ＭＳ ゴシック"/>
          <w:color w:val="000000" w:themeColor="text1"/>
          <w:w w:val="95"/>
          <w:sz w:val="19"/>
          <w:szCs w:val="19"/>
          <w:lang w:eastAsia="ja-JP"/>
        </w:rPr>
        <w:t>GHG</w:t>
      </w:r>
      <w:r w:rsidRPr="00A36975">
        <w:rPr>
          <w:rFonts w:ascii="ＭＳ ゴシック" w:eastAsia="ＭＳ ゴシック" w:hAnsi="ＭＳ ゴシック" w:cs="ＭＳ ゴシック" w:hint="eastAsia"/>
          <w:color w:val="000000" w:themeColor="text1"/>
          <w:w w:val="95"/>
          <w:sz w:val="19"/>
          <w:szCs w:val="19"/>
          <w:lang w:eastAsia="ja-JP"/>
        </w:rPr>
        <w:t>プロトコル（</w:t>
      </w:r>
      <w:r w:rsidRPr="00A36975">
        <w:rPr>
          <w:rFonts w:ascii="ＭＳ ゴシック" w:eastAsia="ＭＳ ゴシック" w:hAnsi="ＭＳ ゴシック"/>
          <w:color w:val="000000" w:themeColor="text1"/>
          <w:w w:val="95"/>
          <w:sz w:val="19"/>
          <w:szCs w:val="19"/>
          <w:lang w:eastAsia="ja-JP"/>
        </w:rPr>
        <w:t>GHG Protocol for the U.S. Public Sector</w:t>
      </w:r>
      <w:r w:rsidRPr="00A36975">
        <w:rPr>
          <w:rFonts w:ascii="ＭＳ ゴシック" w:eastAsia="ＭＳ ゴシック" w:hAnsi="ＭＳ ゴシック" w:cs="ＭＳ ゴシック" w:hint="eastAsia"/>
          <w:color w:val="000000" w:themeColor="text1"/>
          <w:w w:val="95"/>
          <w:sz w:val="19"/>
          <w:szCs w:val="19"/>
          <w:lang w:eastAsia="ja-JP"/>
        </w:rPr>
        <w:t>）（</w:t>
      </w:r>
      <w:r w:rsidRPr="00A36975">
        <w:rPr>
          <w:rFonts w:ascii="ＭＳ ゴシック" w:eastAsia="ＭＳ ゴシック" w:hAnsi="ＭＳ ゴシック"/>
          <w:color w:val="000000" w:themeColor="text1"/>
          <w:w w:val="95"/>
          <w:sz w:val="19"/>
          <w:szCs w:val="19"/>
          <w:lang w:eastAsia="ja-JP"/>
        </w:rPr>
        <w:t>2010</w:t>
      </w:r>
      <w:r w:rsidRPr="00A36975">
        <w:rPr>
          <w:rFonts w:ascii="ＭＳ ゴシック" w:eastAsia="ＭＳ ゴシック" w:hAnsi="ＭＳ ゴシック" w:cs="ＭＳ ゴシック" w:hint="eastAsia"/>
          <w:color w:val="000000" w:themeColor="text1"/>
          <w:w w:val="95"/>
          <w:sz w:val="19"/>
          <w:szCs w:val="19"/>
          <w:lang w:eastAsia="ja-JP"/>
        </w:rPr>
        <w:t>）：</w:t>
      </w:r>
      <w:r w:rsidR="007020F0" w:rsidRPr="00A36975">
        <w:rPr>
          <w:rFonts w:ascii="ＭＳ ゴシック" w:eastAsia="ＭＳ ゴシック" w:hAnsi="ＭＳ ゴシック" w:cs="ＭＳ ゴシック" w:hint="eastAsia"/>
          <w:color w:val="000000" w:themeColor="text1"/>
          <w:w w:val="95"/>
          <w:sz w:val="19"/>
          <w:szCs w:val="19"/>
          <w:lang w:eastAsia="ja-JP"/>
        </w:rPr>
        <w:t>企業基準</w:t>
      </w:r>
      <w:r w:rsidRPr="00A36975">
        <w:rPr>
          <w:rFonts w:ascii="ＭＳ ゴシック" w:eastAsia="ＭＳ ゴシック" w:hAnsi="ＭＳ ゴシック" w:cs="ＭＳ ゴシック" w:hint="eastAsia"/>
          <w:color w:val="000000" w:themeColor="text1"/>
          <w:w w:val="95"/>
          <w:sz w:val="19"/>
          <w:szCs w:val="19"/>
          <w:lang w:eastAsia="ja-JP"/>
        </w:rPr>
        <w:t>を補完する、公共部門における排出量の測定と報告のための段階的なアプローチ。</w:t>
      </w:r>
    </w:p>
    <w:p w14:paraId="34BEFB9E" w14:textId="43D92DD8" w:rsidR="00F96345" w:rsidRPr="00A36975" w:rsidRDefault="00F96345">
      <w:pPr>
        <w:pStyle w:val="a5"/>
        <w:numPr>
          <w:ilvl w:val="1"/>
          <w:numId w:val="57"/>
        </w:numPr>
        <w:tabs>
          <w:tab w:val="left" w:pos="1134"/>
        </w:tabs>
        <w:ind w:left="993" w:right="333"/>
        <w:rPr>
          <w:rFonts w:ascii="ＭＳ ゴシック" w:eastAsia="ＭＳ ゴシック" w:hAnsi="ＭＳ ゴシック"/>
          <w:color w:val="000000" w:themeColor="text1"/>
          <w:w w:val="95"/>
          <w:sz w:val="19"/>
          <w:szCs w:val="19"/>
        </w:rPr>
      </w:pPr>
      <w:r w:rsidRPr="00A36975">
        <w:rPr>
          <w:rFonts w:ascii="ＭＳ ゴシック" w:eastAsia="ＭＳ ゴシック" w:hAnsi="ＭＳ ゴシック"/>
          <w:color w:val="000000" w:themeColor="text1"/>
          <w:w w:val="95"/>
          <w:sz w:val="19"/>
          <w:szCs w:val="19"/>
        </w:rPr>
        <w:t xml:space="preserve">GHG </w:t>
      </w:r>
      <w:proofErr w:type="spellStart"/>
      <w:r w:rsidRPr="00A36975">
        <w:rPr>
          <w:rFonts w:ascii="ＭＳ ゴシック" w:eastAsia="ＭＳ ゴシック" w:hAnsi="ＭＳ ゴシック" w:cs="ＭＳ ゴシック" w:hint="eastAsia"/>
          <w:color w:val="000000" w:themeColor="text1"/>
          <w:w w:val="95"/>
          <w:sz w:val="19"/>
          <w:szCs w:val="19"/>
        </w:rPr>
        <w:t>プロトコル</w:t>
      </w:r>
      <w:proofErr w:type="spellEnd"/>
      <w:r w:rsidRPr="00A36975">
        <w:rPr>
          <w:rFonts w:ascii="ＭＳ ゴシック" w:eastAsia="ＭＳ ゴシック" w:hAnsi="ＭＳ ゴシック"/>
          <w:color w:val="000000" w:themeColor="text1"/>
          <w:w w:val="95"/>
          <w:sz w:val="19"/>
          <w:szCs w:val="19"/>
        </w:rPr>
        <w:t xml:space="preserve"> </w:t>
      </w:r>
      <w:proofErr w:type="spellStart"/>
      <w:r w:rsidRPr="00A36975">
        <w:rPr>
          <w:rFonts w:ascii="ＭＳ ゴシック" w:eastAsia="ＭＳ ゴシック" w:hAnsi="ＭＳ ゴシック" w:cs="ＭＳ ゴシック" w:hint="eastAsia"/>
          <w:color w:val="000000" w:themeColor="text1"/>
          <w:w w:val="95"/>
          <w:sz w:val="19"/>
          <w:szCs w:val="19"/>
        </w:rPr>
        <w:t>ガイドライン（</w:t>
      </w:r>
      <w:r w:rsidRPr="00A36975">
        <w:rPr>
          <w:rFonts w:ascii="ＭＳ ゴシック" w:eastAsia="ＭＳ ゴシック" w:hAnsi="ＭＳ ゴシック"/>
          <w:color w:val="000000" w:themeColor="text1"/>
          <w:w w:val="95"/>
          <w:sz w:val="19"/>
          <w:szCs w:val="19"/>
        </w:rPr>
        <w:t>GHG</w:t>
      </w:r>
      <w:proofErr w:type="spellEnd"/>
      <w:r w:rsidRPr="00A36975">
        <w:rPr>
          <w:rFonts w:ascii="ＭＳ ゴシック" w:eastAsia="ＭＳ ゴシック" w:hAnsi="ＭＳ ゴシック"/>
          <w:color w:val="000000" w:themeColor="text1"/>
          <w:w w:val="95"/>
          <w:sz w:val="19"/>
          <w:szCs w:val="19"/>
        </w:rPr>
        <w:t xml:space="preserve"> Protocol Guidelines for Quantifying GHG Reductions from Grid-Connected Electricity Projects</w:t>
      </w:r>
      <w:r w:rsidRPr="00A36975">
        <w:rPr>
          <w:rFonts w:ascii="ＭＳ ゴシック" w:eastAsia="ＭＳ ゴシック" w:hAnsi="ＭＳ ゴシック" w:cs="ＭＳ ゴシック" w:hint="eastAsia"/>
          <w:color w:val="000000" w:themeColor="text1"/>
          <w:w w:val="95"/>
          <w:sz w:val="19"/>
          <w:szCs w:val="19"/>
        </w:rPr>
        <w:t>）</w:t>
      </w:r>
      <w:r w:rsidRPr="00A36975">
        <w:rPr>
          <w:rFonts w:ascii="ＭＳ ゴシック" w:eastAsia="ＭＳ ゴシック" w:hAnsi="ＭＳ ゴシック"/>
          <w:color w:val="000000" w:themeColor="text1"/>
          <w:w w:val="95"/>
          <w:sz w:val="19"/>
          <w:szCs w:val="19"/>
        </w:rPr>
        <w:t xml:space="preserve"> (2007)</w:t>
      </w:r>
      <w:r w:rsidRPr="00A36975">
        <w:rPr>
          <w:rFonts w:ascii="ＭＳ ゴシック" w:eastAsia="ＭＳ ゴシック" w:hAnsi="ＭＳ ゴシック" w:cs="ＭＳ ゴシック" w:hint="eastAsia"/>
          <w:color w:val="000000" w:themeColor="text1"/>
          <w:w w:val="95"/>
          <w:sz w:val="19"/>
          <w:szCs w:val="19"/>
        </w:rPr>
        <w:t>：</w:t>
      </w:r>
    </w:p>
    <w:p w14:paraId="4100A0E2" w14:textId="77777777" w:rsidR="00A314D9" w:rsidRPr="00A36975" w:rsidRDefault="00F96345" w:rsidP="00EF3658">
      <w:pPr>
        <w:pStyle w:val="a5"/>
        <w:tabs>
          <w:tab w:val="left" w:pos="1134"/>
        </w:tabs>
        <w:ind w:left="851" w:right="333" w:firstLine="0"/>
        <w:rPr>
          <w:rFonts w:ascii="ＭＳ ゴシック" w:eastAsia="ＭＳ ゴシック" w:hAnsi="ＭＳ ゴシック" w:cs="ＭＳ ゴシック"/>
          <w:color w:val="000000" w:themeColor="text1"/>
          <w:w w:val="95"/>
          <w:sz w:val="19"/>
          <w:szCs w:val="19"/>
          <w:lang w:eastAsia="ja-JP"/>
        </w:rPr>
      </w:pPr>
      <w:r w:rsidRPr="00A36975">
        <w:rPr>
          <w:rFonts w:ascii="ＭＳ ゴシック" w:eastAsia="ＭＳ ゴシック" w:hAnsi="ＭＳ ゴシック" w:cs="ＭＳ ゴシック" w:hint="eastAsia"/>
          <w:color w:val="000000" w:themeColor="text1"/>
          <w:w w:val="95"/>
          <w:sz w:val="19"/>
          <w:szCs w:val="19"/>
          <w:lang w:eastAsia="ja-JP"/>
        </w:rPr>
        <w:t>プロジェクト・プロトコルと合わせて使用される、電力網を介した発電や電力消費の削減による排出削減量を定量化するための指針。</w:t>
      </w:r>
    </w:p>
    <w:p w14:paraId="0FB8AA14" w14:textId="298B2326" w:rsidR="00F96345" w:rsidRPr="00A36975" w:rsidRDefault="00F96345">
      <w:pPr>
        <w:pStyle w:val="a5"/>
        <w:numPr>
          <w:ilvl w:val="0"/>
          <w:numId w:val="60"/>
        </w:numPr>
        <w:tabs>
          <w:tab w:val="left" w:pos="1134"/>
        </w:tabs>
        <w:ind w:left="993" w:right="333"/>
        <w:rPr>
          <w:rFonts w:ascii="ＭＳ ゴシック" w:eastAsia="ＭＳ ゴシック" w:hAnsi="ＭＳ ゴシック"/>
          <w:color w:val="000000" w:themeColor="text1"/>
          <w:w w:val="95"/>
          <w:sz w:val="19"/>
          <w:szCs w:val="19"/>
          <w:lang w:eastAsia="ja-JP"/>
        </w:rPr>
      </w:pPr>
      <w:proofErr w:type="spellStart"/>
      <w:r w:rsidRPr="00A36975">
        <w:rPr>
          <w:rFonts w:ascii="ＭＳ ゴシック" w:eastAsia="ＭＳ ゴシック" w:hAnsi="ＭＳ ゴシック"/>
          <w:color w:val="000000" w:themeColor="text1"/>
          <w:w w:val="95"/>
          <w:sz w:val="19"/>
          <w:szCs w:val="19"/>
        </w:rPr>
        <w:t>GHG</w:t>
      </w:r>
      <w:r w:rsidRPr="00A36975">
        <w:rPr>
          <w:rFonts w:ascii="ＭＳ ゴシック" w:eastAsia="ＭＳ ゴシック" w:hAnsi="ＭＳ ゴシック" w:cs="ＭＳ ゴシック" w:hint="eastAsia"/>
          <w:color w:val="000000" w:themeColor="text1"/>
          <w:w w:val="95"/>
          <w:sz w:val="19"/>
          <w:szCs w:val="19"/>
        </w:rPr>
        <w:t>プロジェクト</w:t>
      </w:r>
      <w:proofErr w:type="spellEnd"/>
      <w:r w:rsidR="00364979">
        <w:rPr>
          <w:rFonts w:ascii="ＭＳ ゴシック" w:eastAsia="ＭＳ ゴシック" w:hAnsi="ＭＳ ゴシック" w:cs="ＭＳ ゴシック" w:hint="eastAsia"/>
          <w:color w:val="000000" w:themeColor="text1"/>
          <w:w w:val="95"/>
          <w:sz w:val="19"/>
          <w:szCs w:val="19"/>
          <w:lang w:eastAsia="ja-JP"/>
        </w:rPr>
        <w:t>算出</w:t>
      </w:r>
      <w:proofErr w:type="spellStart"/>
      <w:r w:rsidRPr="00A36975">
        <w:rPr>
          <w:rFonts w:ascii="ＭＳ ゴシック" w:eastAsia="ＭＳ ゴシック" w:hAnsi="ＭＳ ゴシック" w:cs="ＭＳ ゴシック" w:hint="eastAsia"/>
          <w:color w:val="000000" w:themeColor="text1"/>
          <w:w w:val="95"/>
          <w:sz w:val="19"/>
          <w:szCs w:val="19"/>
        </w:rPr>
        <w:t>のための土地利用、土地利用変化及び林業ガイダンス（</w:t>
      </w:r>
      <w:r w:rsidRPr="00A36975">
        <w:rPr>
          <w:rFonts w:ascii="ＭＳ ゴシック" w:eastAsia="ＭＳ ゴシック" w:hAnsi="ＭＳ ゴシック"/>
          <w:color w:val="000000" w:themeColor="text1"/>
          <w:w w:val="95"/>
          <w:sz w:val="19"/>
          <w:szCs w:val="19"/>
        </w:rPr>
        <w:t>GHG</w:t>
      </w:r>
      <w:proofErr w:type="spellEnd"/>
      <w:r w:rsidRPr="00A36975">
        <w:rPr>
          <w:rFonts w:ascii="ＭＳ ゴシック" w:eastAsia="ＭＳ ゴシック" w:hAnsi="ＭＳ ゴシック"/>
          <w:color w:val="000000" w:themeColor="text1"/>
          <w:w w:val="95"/>
          <w:sz w:val="19"/>
          <w:szCs w:val="19"/>
        </w:rPr>
        <w:t xml:space="preserve"> Protocol Land Use, Land-Use Change, and Forestry Guidance for GHG Project Accounting</w:t>
      </w:r>
      <w:r w:rsidRPr="00A36975">
        <w:rPr>
          <w:rFonts w:ascii="ＭＳ ゴシック" w:eastAsia="ＭＳ ゴシック" w:hAnsi="ＭＳ ゴシック" w:cs="ＭＳ ゴシック" w:hint="eastAsia"/>
          <w:color w:val="000000" w:themeColor="text1"/>
          <w:w w:val="95"/>
          <w:sz w:val="19"/>
          <w:szCs w:val="19"/>
        </w:rPr>
        <w:t>）（</w:t>
      </w:r>
      <w:r w:rsidRPr="00A36975">
        <w:rPr>
          <w:rFonts w:ascii="ＭＳ ゴシック" w:eastAsia="ＭＳ ゴシック" w:hAnsi="ＭＳ ゴシック"/>
          <w:color w:val="000000" w:themeColor="text1"/>
          <w:w w:val="95"/>
          <w:sz w:val="19"/>
          <w:szCs w:val="19"/>
        </w:rPr>
        <w:t>2006</w:t>
      </w:r>
      <w:r w:rsidRPr="00A36975">
        <w:rPr>
          <w:rFonts w:ascii="ＭＳ ゴシック" w:eastAsia="ＭＳ ゴシック" w:hAnsi="ＭＳ ゴシック" w:cs="ＭＳ ゴシック" w:hint="eastAsia"/>
          <w:color w:val="000000" w:themeColor="text1"/>
          <w:w w:val="95"/>
          <w:sz w:val="19"/>
          <w:szCs w:val="19"/>
        </w:rPr>
        <w:t>）：</w:t>
      </w:r>
    </w:p>
    <w:p w14:paraId="3A618693" w14:textId="77777777" w:rsidR="00F96345" w:rsidRPr="00A36975" w:rsidRDefault="00F96345" w:rsidP="00EF3658">
      <w:pPr>
        <w:pStyle w:val="a5"/>
        <w:tabs>
          <w:tab w:val="left" w:pos="1134"/>
        </w:tabs>
        <w:ind w:left="851" w:right="430" w:firstLine="0"/>
        <w:rPr>
          <w:rFonts w:ascii="ＭＳ ゴシック" w:eastAsia="ＭＳ ゴシック" w:hAnsi="ＭＳ ゴシック"/>
          <w:color w:val="000000" w:themeColor="text1"/>
          <w:w w:val="95"/>
          <w:sz w:val="19"/>
          <w:szCs w:val="19"/>
          <w:lang w:eastAsia="ja-JP"/>
        </w:rPr>
      </w:pPr>
      <w:r w:rsidRPr="00A36975">
        <w:rPr>
          <w:rFonts w:ascii="ＭＳ ゴシック" w:eastAsia="ＭＳ ゴシック" w:hAnsi="ＭＳ ゴシック" w:cs="ＭＳ ゴシック" w:hint="eastAsia"/>
          <w:color w:val="000000" w:themeColor="text1"/>
          <w:w w:val="95"/>
          <w:sz w:val="19"/>
          <w:szCs w:val="19"/>
          <w:lang w:eastAsia="ja-JP"/>
        </w:rPr>
        <w:t>プロジェクトプロトコルと合わせて使用する、土地利用、土地利用変化、林業による削減量を定量化し、報告するためのガイド。</w:t>
      </w:r>
    </w:p>
    <w:p w14:paraId="4A748FEA" w14:textId="5CEA2B06" w:rsidR="00F96345" w:rsidRPr="00A36975" w:rsidRDefault="00F96345">
      <w:pPr>
        <w:pStyle w:val="a5"/>
        <w:numPr>
          <w:ilvl w:val="1"/>
          <w:numId w:val="57"/>
        </w:numPr>
        <w:tabs>
          <w:tab w:val="left" w:pos="1134"/>
        </w:tabs>
        <w:ind w:left="851" w:right="333"/>
        <w:rPr>
          <w:rFonts w:ascii="ＭＳ ゴシック" w:eastAsia="ＭＳ ゴシック" w:hAnsi="ＭＳ ゴシック"/>
          <w:color w:val="000000" w:themeColor="text1"/>
          <w:w w:val="95"/>
          <w:sz w:val="19"/>
          <w:szCs w:val="19"/>
        </w:rPr>
      </w:pPr>
      <w:r w:rsidRPr="00A36975">
        <w:rPr>
          <w:rFonts w:ascii="ＭＳ ゴシック" w:eastAsia="ＭＳ ゴシック" w:hAnsi="ＭＳ ゴシック"/>
          <w:color w:val="000000" w:themeColor="text1"/>
          <w:w w:val="95"/>
          <w:sz w:val="19"/>
          <w:szCs w:val="19"/>
          <w:lang w:eastAsia="ja-JP"/>
        </w:rPr>
        <w:t xml:space="preserve"> </w:t>
      </w:r>
      <w:proofErr w:type="spellStart"/>
      <w:r w:rsidRPr="00A36975">
        <w:rPr>
          <w:rFonts w:ascii="ＭＳ ゴシック" w:eastAsia="ＭＳ ゴシック" w:hAnsi="ＭＳ ゴシック" w:cs="ＭＳ ゴシック" w:hint="eastAsia"/>
          <w:color w:val="000000" w:themeColor="text1"/>
          <w:w w:val="95"/>
          <w:sz w:val="19"/>
          <w:szCs w:val="19"/>
        </w:rPr>
        <w:t>計測と管理</w:t>
      </w:r>
      <w:proofErr w:type="spellEnd"/>
      <w:r w:rsidRPr="00A36975">
        <w:rPr>
          <w:rFonts w:ascii="ＭＳ ゴシック" w:eastAsia="ＭＳ ゴシック" w:hAnsi="ＭＳ ゴシック"/>
          <w:color w:val="000000" w:themeColor="text1"/>
          <w:w w:val="95"/>
          <w:sz w:val="19"/>
          <w:szCs w:val="19"/>
        </w:rPr>
        <w:t xml:space="preserve">: </w:t>
      </w:r>
      <w:proofErr w:type="spellStart"/>
      <w:r w:rsidRPr="00A36975">
        <w:rPr>
          <w:rFonts w:ascii="ＭＳ ゴシック" w:eastAsia="ＭＳ ゴシック" w:hAnsi="ＭＳ ゴシック"/>
          <w:color w:val="000000" w:themeColor="text1"/>
          <w:w w:val="95"/>
          <w:sz w:val="19"/>
          <w:szCs w:val="19"/>
        </w:rPr>
        <w:t>GHG</w:t>
      </w:r>
      <w:r w:rsidRPr="00A36975">
        <w:rPr>
          <w:rFonts w:ascii="ＭＳ ゴシック" w:eastAsia="ＭＳ ゴシック" w:hAnsi="ＭＳ ゴシック" w:cs="ＭＳ ゴシック" w:hint="eastAsia"/>
          <w:color w:val="000000" w:themeColor="text1"/>
          <w:w w:val="95"/>
          <w:sz w:val="19"/>
          <w:szCs w:val="19"/>
        </w:rPr>
        <w:t>排出量算定・報告プログラム設計のためのガイド（</w:t>
      </w:r>
      <w:r w:rsidRPr="00A36975">
        <w:rPr>
          <w:rFonts w:ascii="ＭＳ ゴシック" w:eastAsia="ＭＳ ゴシック" w:hAnsi="ＭＳ ゴシック"/>
          <w:color w:val="000000" w:themeColor="text1"/>
          <w:w w:val="95"/>
          <w:sz w:val="19"/>
          <w:szCs w:val="19"/>
        </w:rPr>
        <w:t>Measuring</w:t>
      </w:r>
      <w:proofErr w:type="spellEnd"/>
      <w:r w:rsidRPr="00A36975">
        <w:rPr>
          <w:rFonts w:ascii="ＭＳ ゴシック" w:eastAsia="ＭＳ ゴシック" w:hAnsi="ＭＳ ゴシック"/>
          <w:color w:val="000000" w:themeColor="text1"/>
          <w:w w:val="95"/>
          <w:sz w:val="19"/>
          <w:szCs w:val="19"/>
        </w:rPr>
        <w:t xml:space="preserve"> to Manage: A Guide to Designing GHG Accounting and Reporting Programs</w:t>
      </w:r>
      <w:r w:rsidRPr="00A36975">
        <w:rPr>
          <w:rFonts w:ascii="ＭＳ ゴシック" w:eastAsia="ＭＳ ゴシック" w:hAnsi="ＭＳ ゴシック" w:cs="ＭＳ ゴシック" w:hint="eastAsia"/>
          <w:color w:val="000000" w:themeColor="text1"/>
          <w:w w:val="95"/>
          <w:sz w:val="19"/>
          <w:szCs w:val="19"/>
        </w:rPr>
        <w:t>）（</w:t>
      </w:r>
      <w:r w:rsidRPr="00A36975">
        <w:rPr>
          <w:rFonts w:ascii="ＭＳ ゴシック" w:eastAsia="ＭＳ ゴシック" w:hAnsi="ＭＳ ゴシック"/>
          <w:color w:val="000000" w:themeColor="text1"/>
          <w:w w:val="95"/>
          <w:sz w:val="19"/>
          <w:szCs w:val="19"/>
        </w:rPr>
        <w:t>2007</w:t>
      </w:r>
      <w:r w:rsidRPr="00A36975">
        <w:rPr>
          <w:rFonts w:ascii="ＭＳ ゴシック" w:eastAsia="ＭＳ ゴシック" w:hAnsi="ＭＳ ゴシック" w:cs="ＭＳ ゴシック" w:hint="eastAsia"/>
          <w:color w:val="000000" w:themeColor="text1"/>
          <w:w w:val="95"/>
          <w:sz w:val="19"/>
          <w:szCs w:val="19"/>
        </w:rPr>
        <w:t>年）：</w:t>
      </w:r>
    </w:p>
    <w:p w14:paraId="6171864B" w14:textId="77777777" w:rsidR="00611EDE" w:rsidRPr="00EF3658" w:rsidRDefault="00F96345" w:rsidP="00EF3658">
      <w:pPr>
        <w:pStyle w:val="a5"/>
        <w:tabs>
          <w:tab w:val="left" w:pos="1134"/>
        </w:tabs>
        <w:ind w:left="851" w:right="333" w:firstLine="0"/>
        <w:rPr>
          <w:rFonts w:ascii="ＭＳ ゴシック" w:eastAsia="ＭＳ ゴシック" w:hAnsi="ＭＳ ゴシック" w:cs="ＭＳ ゴシック"/>
          <w:color w:val="545456"/>
          <w:w w:val="95"/>
          <w:sz w:val="19"/>
          <w:szCs w:val="19"/>
          <w:lang w:eastAsia="ja-JP"/>
        </w:rPr>
      </w:pPr>
      <w:r w:rsidRPr="00A36975">
        <w:rPr>
          <w:rFonts w:ascii="ＭＳ ゴシック" w:eastAsia="ＭＳ ゴシック" w:hAnsi="ＭＳ ゴシック" w:cs="ＭＳ ゴシック" w:hint="eastAsia"/>
          <w:color w:val="000000" w:themeColor="text1"/>
          <w:w w:val="95"/>
          <w:sz w:val="19"/>
          <w:szCs w:val="19"/>
          <w:lang w:eastAsia="ja-JP"/>
        </w:rPr>
        <w:t>プログラム開発者が、受け入れられている基準や方法論に基づいて効果的な</w:t>
      </w:r>
      <w:r w:rsidRPr="00A36975">
        <w:rPr>
          <w:rFonts w:ascii="ＭＳ ゴシック" w:eastAsia="ＭＳ ゴシック" w:hAnsi="ＭＳ ゴシック"/>
          <w:color w:val="000000" w:themeColor="text1"/>
          <w:w w:val="95"/>
          <w:sz w:val="19"/>
          <w:szCs w:val="19"/>
          <w:lang w:eastAsia="ja-JP"/>
        </w:rPr>
        <w:t>GHG</w:t>
      </w:r>
      <w:r w:rsidRPr="00A36975">
        <w:rPr>
          <w:rFonts w:ascii="ＭＳ ゴシック" w:eastAsia="ＭＳ ゴシック" w:hAnsi="ＭＳ ゴシック" w:cs="ＭＳ ゴシック" w:hint="eastAsia"/>
          <w:color w:val="000000" w:themeColor="text1"/>
          <w:w w:val="95"/>
          <w:sz w:val="19"/>
          <w:szCs w:val="19"/>
          <w:lang w:eastAsia="ja-JP"/>
        </w:rPr>
        <w:t>プログラムを設計し、実施するためのガイド。</w:t>
      </w:r>
    </w:p>
    <w:p w14:paraId="332D2DF7" w14:textId="7A93ABA0" w:rsidR="007E0AF2" w:rsidRPr="00EF3658" w:rsidRDefault="00462D79" w:rsidP="00EF3658">
      <w:pPr>
        <w:pStyle w:val="3"/>
        <w:spacing w:before="0"/>
        <w:ind w:left="1134"/>
        <w:rPr>
          <w:rFonts w:ascii="ＭＳ ゴシック" w:eastAsia="ＭＳ ゴシック" w:hAnsi="ＭＳ ゴシック" w:cs="Microsoft Sans Serif"/>
          <w:bCs w:val="0"/>
          <w:i w:val="0"/>
          <w:color w:val="545456"/>
          <w:w w:val="95"/>
          <w:sz w:val="21"/>
          <w:szCs w:val="21"/>
          <w:lang w:eastAsia="ja-JP"/>
        </w:rPr>
      </w:pPr>
      <w:bookmarkStart w:id="1" w:name="_1.2_GHG_プロトコル製品ライフサイクル会計・報告基準の目的"/>
      <w:bookmarkEnd w:id="1"/>
      <w:r w:rsidRPr="00EF3658">
        <w:rPr>
          <w:rFonts w:ascii="ＭＳ ゴシック" w:eastAsia="ＭＳ ゴシック" w:hAnsi="ＭＳ ゴシック" w:hint="eastAsia"/>
          <w:bCs w:val="0"/>
          <w:i w:val="0"/>
          <w:color w:val="00ACA1"/>
          <w:sz w:val="21"/>
          <w:szCs w:val="21"/>
          <w:lang w:eastAsia="ja-JP"/>
        </w:rPr>
        <w:t>1.2</w:t>
      </w:r>
      <w:r w:rsidR="00DB5EEC" w:rsidRPr="00EF3658">
        <w:rPr>
          <w:rFonts w:ascii="ＭＳ ゴシック" w:eastAsia="ＭＳ ゴシック" w:hAnsi="ＭＳ ゴシック" w:cs="ＭＳ 明朝" w:hint="eastAsia"/>
          <w:bCs w:val="0"/>
          <w:i w:val="0"/>
          <w:sz w:val="21"/>
          <w:szCs w:val="21"/>
          <w:lang w:eastAsia="ja-JP"/>
        </w:rPr>
        <w:t xml:space="preserve">　</w:t>
      </w:r>
      <w:r w:rsidR="007E0AF2" w:rsidRPr="00EF3658">
        <w:rPr>
          <w:rFonts w:ascii="ＭＳ ゴシック" w:eastAsia="ＭＳ ゴシック" w:hAnsi="ＭＳ ゴシック"/>
          <w:bCs w:val="0"/>
          <w:i w:val="0"/>
          <w:color w:val="00ACA1"/>
          <w:sz w:val="21"/>
          <w:szCs w:val="21"/>
          <w:lang w:eastAsia="ja-JP"/>
        </w:rPr>
        <w:t xml:space="preserve">GHG </w:t>
      </w:r>
      <w:r w:rsidR="007E0AF2" w:rsidRPr="00EF3658">
        <w:rPr>
          <w:rFonts w:ascii="ＭＳ ゴシック" w:eastAsia="ＭＳ ゴシック" w:hAnsi="ＭＳ ゴシック" w:cs="ＭＳ 明朝" w:hint="eastAsia"/>
          <w:bCs w:val="0"/>
          <w:i w:val="0"/>
          <w:color w:val="00ACA1"/>
          <w:sz w:val="21"/>
          <w:szCs w:val="21"/>
          <w:lang w:eastAsia="ja-JP"/>
        </w:rPr>
        <w:t>プロトコル製品ライフサイクル</w:t>
      </w:r>
      <w:r w:rsidR="00364979">
        <w:rPr>
          <w:rFonts w:ascii="ＭＳ ゴシック" w:eastAsia="ＭＳ ゴシック" w:hAnsi="ＭＳ ゴシック" w:cs="ＭＳ 明朝" w:hint="eastAsia"/>
          <w:bCs w:val="0"/>
          <w:i w:val="0"/>
          <w:color w:val="00ACA1"/>
          <w:sz w:val="21"/>
          <w:szCs w:val="21"/>
          <w:lang w:eastAsia="ja-JP"/>
        </w:rPr>
        <w:t>算出</w:t>
      </w:r>
      <w:r w:rsidR="007E0AF2" w:rsidRPr="00EF3658">
        <w:rPr>
          <w:rFonts w:ascii="ＭＳ ゴシック" w:eastAsia="ＭＳ ゴシック" w:hAnsi="ＭＳ ゴシック" w:cs="ＭＳ 明朝" w:hint="eastAsia"/>
          <w:bCs w:val="0"/>
          <w:i w:val="0"/>
          <w:color w:val="00ACA1"/>
          <w:sz w:val="21"/>
          <w:szCs w:val="21"/>
          <w:lang w:eastAsia="ja-JP"/>
        </w:rPr>
        <w:t>・報告基準の目的</w:t>
      </w:r>
    </w:p>
    <w:p w14:paraId="02770352" w14:textId="48356C39" w:rsidR="0055291C" w:rsidRPr="00EF3658" w:rsidRDefault="003865B1" w:rsidP="00EF3658">
      <w:pPr>
        <w:pStyle w:val="a3"/>
        <w:tabs>
          <w:tab w:val="left" w:pos="1134"/>
        </w:tabs>
        <w:ind w:left="851" w:right="430" w:firstLineChars="100" w:firstLine="180"/>
        <w:rPr>
          <w:rFonts w:ascii="ＭＳ ゴシック" w:eastAsia="ＭＳ ゴシック" w:hAnsi="ＭＳ ゴシック" w:cs="ＭＳ ゴシック"/>
          <w:color w:val="545456"/>
          <w:w w:val="95"/>
          <w:lang w:eastAsia="ja-JP"/>
        </w:rPr>
      </w:pPr>
      <w:r w:rsidRPr="00EF3658">
        <w:rPr>
          <w:rFonts w:ascii="ＭＳ ゴシック" w:eastAsia="ＭＳ ゴシック" w:hAnsi="ＭＳ ゴシック"/>
          <w:color w:val="545456"/>
          <w:w w:val="95"/>
          <w:lang w:eastAsia="ja-JP"/>
        </w:rPr>
        <w:t>GHG</w:t>
      </w:r>
      <w:r w:rsidRPr="00EF3658">
        <w:rPr>
          <w:rFonts w:ascii="ＭＳ ゴシック" w:eastAsia="ＭＳ ゴシック" w:hAnsi="ＭＳ ゴシック" w:cs="ＭＳ ゴシック" w:hint="eastAsia"/>
          <w:color w:val="545456"/>
          <w:w w:val="95"/>
          <w:lang w:eastAsia="ja-JP"/>
        </w:rPr>
        <w:t>プロトコル製品ライフサイクル</w:t>
      </w:r>
      <w:r w:rsidR="00364979">
        <w:rPr>
          <w:rFonts w:ascii="ＭＳ ゴシック" w:eastAsia="ＭＳ ゴシック" w:hAnsi="ＭＳ ゴシック" w:cs="ＭＳ ゴシック" w:hint="eastAsia"/>
          <w:color w:val="545456"/>
          <w:w w:val="95"/>
          <w:lang w:eastAsia="ja-JP"/>
        </w:rPr>
        <w:t>算出</w:t>
      </w:r>
      <w:r w:rsidRPr="00EF3658">
        <w:rPr>
          <w:rFonts w:ascii="ＭＳ ゴシック" w:eastAsia="ＭＳ ゴシック" w:hAnsi="ＭＳ ゴシック" w:cs="ＭＳ ゴシック" w:hint="eastAsia"/>
          <w:color w:val="545456"/>
          <w:w w:val="95"/>
          <w:lang w:eastAsia="ja-JP"/>
        </w:rPr>
        <w:t>報告基準（製品基準</w:t>
      </w:r>
      <w:r w:rsidRPr="00EF3658">
        <w:rPr>
          <w:rFonts w:ascii="ＭＳ ゴシック" w:eastAsia="ＭＳ ゴシック" w:hAnsi="ＭＳ ゴシック"/>
          <w:color w:val="545456"/>
          <w:w w:val="95"/>
          <w:lang w:eastAsia="ja-JP"/>
        </w:rPr>
        <w:t xml:space="preserve"> </w:t>
      </w:r>
      <w:r w:rsidRPr="00EF3658">
        <w:rPr>
          <w:rFonts w:ascii="ＭＳ ゴシック" w:eastAsia="ＭＳ ゴシック" w:hAnsi="ＭＳ ゴシック" w:cs="ＭＳ ゴシック" w:hint="eastAsia"/>
          <w:color w:val="545456"/>
          <w:w w:val="95"/>
          <w:lang w:eastAsia="ja-JP"/>
        </w:rPr>
        <w:t>と呼ぶ）は、企業</w:t>
      </w:r>
      <w:r w:rsidR="007C49B2">
        <w:rPr>
          <w:rFonts w:ascii="ＭＳ ゴシック" w:eastAsia="ＭＳ ゴシック" w:hAnsi="ＭＳ ゴシック" w:cs="ＭＳ ゴシック" w:hint="eastAsia"/>
          <w:color w:val="545456"/>
          <w:w w:val="95"/>
          <w:vertAlign w:val="superscript"/>
          <w:lang w:eastAsia="ja-JP"/>
        </w:rPr>
        <w:t>２</w:t>
      </w:r>
      <w:r w:rsidRPr="00EF3658">
        <w:rPr>
          <w:rFonts w:ascii="ＭＳ ゴシック" w:eastAsia="ＭＳ ゴシック" w:hAnsi="ＭＳ ゴシック" w:cs="ＭＳ ゴシック" w:hint="eastAsia"/>
          <w:color w:val="545456"/>
          <w:w w:val="95"/>
          <w:lang w:eastAsia="ja-JP"/>
        </w:rPr>
        <w:t>などが特定の製品に関連する温室効果ガスの排出</w:t>
      </w:r>
      <w:r w:rsidR="000471E3" w:rsidRPr="00EF3658">
        <w:rPr>
          <w:rFonts w:ascii="ＭＳ ゴシック" w:eastAsia="ＭＳ ゴシック" w:hAnsi="ＭＳ ゴシック" w:cs="ＭＳ ゴシック" w:hint="eastAsia"/>
          <w:color w:val="545456"/>
          <w:w w:val="95"/>
          <w:lang w:eastAsia="ja-JP"/>
        </w:rPr>
        <w:t>量、</w:t>
      </w:r>
      <w:r w:rsidRPr="00EF3658">
        <w:rPr>
          <w:rFonts w:ascii="ＭＳ ゴシック" w:eastAsia="ＭＳ ゴシック" w:hAnsi="ＭＳ ゴシック" w:cs="ＭＳ ゴシック" w:hint="eastAsia"/>
          <w:color w:val="545456"/>
          <w:w w:val="95"/>
          <w:lang w:eastAsia="ja-JP"/>
        </w:rPr>
        <w:t>削減</w:t>
      </w:r>
      <w:r w:rsidR="000471E3" w:rsidRPr="00EF3658">
        <w:rPr>
          <w:rFonts w:ascii="ＭＳ ゴシック" w:eastAsia="ＭＳ ゴシック" w:hAnsi="ＭＳ ゴシック" w:cs="ＭＳ ゴシック" w:hint="eastAsia"/>
          <w:color w:val="545456"/>
          <w:w w:val="95"/>
          <w:lang w:eastAsia="ja-JP"/>
        </w:rPr>
        <w:t>量を</w:t>
      </w:r>
      <w:r w:rsidRPr="00EF3658">
        <w:rPr>
          <w:rFonts w:ascii="ＭＳ ゴシック" w:eastAsia="ＭＳ ゴシック" w:hAnsi="ＭＳ ゴシック" w:cs="ＭＳ ゴシック" w:hint="eastAsia"/>
          <w:color w:val="545456"/>
          <w:w w:val="95"/>
          <w:lang w:eastAsia="ja-JP"/>
        </w:rPr>
        <w:t>定量化し、公表するための要件とガイダンスを提供するもので</w:t>
      </w:r>
      <w:r w:rsidR="00B538D7" w:rsidRPr="00EF3658">
        <w:rPr>
          <w:rFonts w:ascii="ＭＳ ゴシック" w:eastAsia="ＭＳ ゴシック" w:hAnsi="ＭＳ ゴシック" w:cs="ＭＳ ゴシック" w:hint="eastAsia"/>
          <w:color w:val="545456"/>
          <w:w w:val="95"/>
          <w:lang w:eastAsia="ja-JP"/>
        </w:rPr>
        <w:t>す</w:t>
      </w:r>
      <w:r w:rsidRPr="00EF3658">
        <w:rPr>
          <w:rFonts w:ascii="ＭＳ ゴシック" w:eastAsia="ＭＳ ゴシック" w:hAnsi="ＭＳ ゴシック" w:cs="ＭＳ ゴシック" w:hint="eastAsia"/>
          <w:color w:val="545456"/>
          <w:w w:val="95"/>
          <w:lang w:eastAsia="ja-JP"/>
        </w:rPr>
        <w:t>。この基準の主な目的は、企業が設計、製造、販売、購入、または使用する製品（商品またはサービス）からの温室効果ガス排出を削減するために、情報に基づいた選択を行うための一般的な枠組みを提供することで</w:t>
      </w:r>
      <w:r w:rsidR="00B538D7" w:rsidRPr="00EF3658">
        <w:rPr>
          <w:rFonts w:ascii="ＭＳ ゴシック" w:eastAsia="ＭＳ ゴシック" w:hAnsi="ＭＳ ゴシック" w:cs="ＭＳ ゴシック" w:hint="eastAsia"/>
          <w:color w:val="545456"/>
          <w:w w:val="95"/>
          <w:lang w:eastAsia="ja-JP"/>
        </w:rPr>
        <w:t>す</w:t>
      </w:r>
      <w:r w:rsidRPr="00EF3658">
        <w:rPr>
          <w:rFonts w:ascii="ＭＳ ゴシック" w:eastAsia="ＭＳ ゴシック" w:hAnsi="ＭＳ ゴシック" w:cs="ＭＳ ゴシック" w:hint="eastAsia"/>
          <w:color w:val="545456"/>
          <w:w w:val="95"/>
          <w:lang w:eastAsia="ja-JP"/>
        </w:rPr>
        <w:t>。この規格において、公開報告とは、この規格で規定された要求事項に従って公に報告された製品の</w:t>
      </w:r>
      <w:r w:rsidRPr="00EF3658">
        <w:rPr>
          <w:rFonts w:ascii="ＭＳ ゴシック" w:eastAsia="ＭＳ ゴシック" w:hAnsi="ＭＳ ゴシック"/>
          <w:color w:val="545456"/>
          <w:w w:val="95"/>
          <w:lang w:eastAsia="ja-JP"/>
        </w:rPr>
        <w:t>GHG</w:t>
      </w:r>
      <w:r w:rsidRPr="00EF3658">
        <w:rPr>
          <w:rFonts w:ascii="ＭＳ ゴシック" w:eastAsia="ＭＳ ゴシック" w:hAnsi="ＭＳ ゴシック" w:cs="ＭＳ ゴシック" w:hint="eastAsia"/>
          <w:color w:val="545456"/>
          <w:w w:val="95"/>
          <w:lang w:eastAsia="ja-JP"/>
        </w:rPr>
        <w:t>関連情報を指</w:t>
      </w:r>
      <w:r w:rsidR="00B538D7" w:rsidRPr="00EF3658">
        <w:rPr>
          <w:rFonts w:ascii="ＭＳ ゴシック" w:eastAsia="ＭＳ ゴシック" w:hAnsi="ＭＳ ゴシック" w:cs="ＭＳ ゴシック" w:hint="eastAsia"/>
          <w:color w:val="545456"/>
          <w:w w:val="95"/>
          <w:lang w:eastAsia="ja-JP"/>
        </w:rPr>
        <w:t>します</w:t>
      </w:r>
      <w:r w:rsidRPr="00EF3658">
        <w:rPr>
          <w:rFonts w:ascii="ＭＳ ゴシック" w:eastAsia="ＭＳ ゴシック" w:hAnsi="ＭＳ ゴシック" w:cs="ＭＳ ゴシック" w:hint="eastAsia"/>
          <w:color w:val="545456"/>
          <w:w w:val="95"/>
          <w:lang w:eastAsia="ja-JP"/>
        </w:rPr>
        <w:t>。</w:t>
      </w:r>
    </w:p>
    <w:p w14:paraId="2FE8F8BE" w14:textId="44031824" w:rsidR="00611EDE" w:rsidRPr="00EF3658" w:rsidRDefault="0084497A" w:rsidP="00EF3658">
      <w:pPr>
        <w:pStyle w:val="a3"/>
        <w:ind w:left="851" w:right="498" w:firstLineChars="100" w:firstLine="180"/>
        <w:rPr>
          <w:rFonts w:ascii="ＭＳ ゴシック" w:eastAsia="ＭＳ ゴシック" w:hAnsi="ＭＳ ゴシック" w:cs="ＭＳ ゴシック"/>
          <w:color w:val="545456"/>
          <w:w w:val="95"/>
          <w:lang w:eastAsia="ja-JP"/>
        </w:rPr>
      </w:pPr>
      <w:r w:rsidRPr="00EF3658">
        <w:rPr>
          <w:rFonts w:ascii="ＭＳ ゴシック" w:eastAsia="ＭＳ ゴシック" w:hAnsi="ＭＳ ゴシック" w:cs="ＭＳ ゴシック" w:hint="eastAsia"/>
          <w:color w:val="545456"/>
          <w:w w:val="95"/>
          <w:lang w:eastAsia="ja-JP"/>
        </w:rPr>
        <w:t>気候変動に対する認識が高まり、懸念が高まるにつれ、投資家はより透明性の高い情報を求め、消費者はより明確な環境説明責任を求めています。企業は、ステークホルダーから企業の</w:t>
      </w:r>
      <w:r w:rsidRPr="00EF3658">
        <w:rPr>
          <w:rFonts w:ascii="ＭＳ ゴシック" w:eastAsia="ＭＳ ゴシック" w:hAnsi="ＭＳ ゴシック"/>
          <w:color w:val="545456"/>
          <w:w w:val="95"/>
          <w:lang w:eastAsia="ja-JP"/>
        </w:rPr>
        <w:t>GHG</w:t>
      </w:r>
      <w:r w:rsidR="000471E3" w:rsidRPr="00EF3658">
        <w:rPr>
          <w:rFonts w:ascii="ＭＳ ゴシック" w:eastAsia="ＭＳ ゴシック" w:hAnsi="ＭＳ ゴシック" w:cs="ＭＳ ゴシック" w:hint="eastAsia"/>
          <w:color w:val="545456"/>
          <w:w w:val="95"/>
          <w:lang w:eastAsia="ja-JP"/>
        </w:rPr>
        <w:t>排出量</w:t>
      </w:r>
      <w:r w:rsidRPr="00EF3658">
        <w:rPr>
          <w:rFonts w:ascii="ＭＳ ゴシック" w:eastAsia="ＭＳ ゴシック" w:hAnsi="ＭＳ ゴシック" w:cs="ＭＳ ゴシック" w:hint="eastAsia"/>
          <w:color w:val="545456"/>
          <w:w w:val="95"/>
          <w:lang w:eastAsia="ja-JP"/>
        </w:rPr>
        <w:t>を測定・開示するよう求められることが多くなっており、こうした要請には、企業の製品やサプライチェーンの排出量も含まれることも多いです。企業は、競争の激しいビジネス環境において長期的な成功を</w:t>
      </w:r>
      <w:r w:rsidRPr="00EF3658">
        <w:rPr>
          <w:rFonts w:ascii="ＭＳ ゴシック" w:eastAsia="ＭＳ ゴシック" w:hAnsi="ＭＳ ゴシック" w:cs="ＭＳ ゴシック" w:hint="eastAsia"/>
          <w:color w:val="545456"/>
          <w:w w:val="95"/>
          <w:lang w:eastAsia="ja-JP"/>
        </w:rPr>
        <w:t>収め、将来の製品関連のプログラムや政策に備えるために、製品関連の</w:t>
      </w:r>
      <w:r w:rsidRPr="00EF3658">
        <w:rPr>
          <w:rFonts w:ascii="ＭＳ ゴシック" w:eastAsia="ＭＳ ゴシック" w:hAnsi="ＭＳ ゴシック"/>
          <w:color w:val="545456"/>
          <w:w w:val="95"/>
          <w:lang w:eastAsia="ja-JP"/>
        </w:rPr>
        <w:t>GHG</w:t>
      </w:r>
      <w:r w:rsidRPr="00EF3658">
        <w:rPr>
          <w:rFonts w:ascii="ＭＳ ゴシック" w:eastAsia="ＭＳ ゴシック" w:hAnsi="ＭＳ ゴシック" w:cs="ＭＳ ゴシック" w:hint="eastAsia"/>
          <w:color w:val="545456"/>
          <w:w w:val="95"/>
          <w:lang w:eastAsia="ja-JP"/>
        </w:rPr>
        <w:t>リスクを理解し管理できるようにならなければなりません。</w:t>
      </w:r>
      <w:r w:rsidR="00EA0C8E" w:rsidRPr="00EF3658">
        <w:rPr>
          <w:rFonts w:ascii="ＭＳ ゴシック" w:eastAsia="ＭＳ ゴシック" w:hAnsi="ＭＳ ゴシック" w:cs="ＭＳ ゴシック" w:hint="eastAsia"/>
          <w:color w:val="545456"/>
          <w:w w:val="95"/>
          <w:lang w:eastAsia="ja-JP"/>
        </w:rPr>
        <w:t>この規格は、製品のライフサイクルで発生する</w:t>
      </w:r>
      <w:r w:rsidR="00EA0C8E" w:rsidRPr="00EF3658">
        <w:rPr>
          <w:rFonts w:ascii="ＭＳ ゴシック" w:eastAsia="ＭＳ ゴシック" w:hAnsi="ＭＳ ゴシック" w:cs="ＭＳ ゴシック"/>
          <w:color w:val="545456"/>
          <w:w w:val="95"/>
          <w:lang w:eastAsia="ja-JP"/>
        </w:rPr>
        <w:t>GHG</w:t>
      </w:r>
      <w:r w:rsidR="00EA0C8E" w:rsidRPr="00EF3658">
        <w:rPr>
          <w:rFonts w:ascii="ＭＳ ゴシック" w:eastAsia="ＭＳ ゴシック" w:hAnsi="ＭＳ ゴシック" w:cs="ＭＳ ゴシック" w:hint="eastAsia"/>
          <w:color w:val="545456"/>
          <w:w w:val="95"/>
          <w:lang w:eastAsia="ja-JP"/>
        </w:rPr>
        <w:t>排出と削減に焦点を当てたものであり、回避された排出や、既に排出された</w:t>
      </w:r>
      <w:r w:rsidR="00EA0C8E" w:rsidRPr="00EF3658">
        <w:rPr>
          <w:rFonts w:ascii="ＭＳ ゴシック" w:eastAsia="ＭＳ ゴシック" w:hAnsi="ＭＳ ゴシック" w:cs="ＭＳ ゴシック"/>
          <w:color w:val="545456"/>
          <w:w w:val="95"/>
          <w:lang w:eastAsia="ja-JP"/>
        </w:rPr>
        <w:t>GHG</w:t>
      </w:r>
      <w:r w:rsidR="00EA0C8E" w:rsidRPr="00EF3658">
        <w:rPr>
          <w:rFonts w:ascii="ＭＳ ゴシック" w:eastAsia="ＭＳ ゴシック" w:hAnsi="ＭＳ ゴシック" w:cs="ＭＳ ゴシック" w:hint="eastAsia"/>
          <w:color w:val="545456"/>
          <w:w w:val="95"/>
          <w:lang w:eastAsia="ja-JP"/>
        </w:rPr>
        <w:t>を軽減するために取られた行動については言及していません。また、この基準はオフセットや</w:t>
      </w:r>
      <w:r w:rsidR="00EA0C8E" w:rsidRPr="00EF3658">
        <w:rPr>
          <w:rFonts w:ascii="ＭＳ ゴシック" w:eastAsia="ＭＳ ゴシック" w:hAnsi="ＭＳ ゴシック" w:cs="ＭＳ ゴシック"/>
          <w:color w:val="545456"/>
          <w:w w:val="95"/>
          <w:lang w:eastAsia="ja-JP"/>
        </w:rPr>
        <w:t xml:space="preserve"> </w:t>
      </w:r>
      <w:r w:rsidR="00EA0C8E" w:rsidRPr="00EF3658">
        <w:rPr>
          <w:rFonts w:ascii="ＭＳ ゴシック" w:eastAsia="ＭＳ ゴシック" w:hAnsi="ＭＳ ゴシック" w:cs="ＭＳ ゴシック" w:hint="eastAsia"/>
          <w:color w:val="545456"/>
          <w:w w:val="95"/>
          <w:lang w:eastAsia="ja-JP"/>
        </w:rPr>
        <w:t>カーボンニュートラル化から</w:t>
      </w:r>
      <w:r w:rsidR="00EA0C8E" w:rsidRPr="00EF3658">
        <w:rPr>
          <w:rFonts w:ascii="ＭＳ ゴシック" w:eastAsia="ＭＳ ゴシック" w:hAnsi="ＭＳ ゴシック" w:cs="ＭＳ ゴシック"/>
          <w:color w:val="545456"/>
          <w:w w:val="95"/>
          <w:lang w:eastAsia="ja-JP"/>
        </w:rPr>
        <w:t xml:space="preserve"> GHG </w:t>
      </w:r>
      <w:r w:rsidR="00EA0C8E" w:rsidRPr="00EF3658">
        <w:rPr>
          <w:rFonts w:ascii="ＭＳ ゴシック" w:eastAsia="ＭＳ ゴシック" w:hAnsi="ＭＳ ゴシック" w:cs="ＭＳ ゴシック" w:hint="eastAsia"/>
          <w:color w:val="545456"/>
          <w:w w:val="95"/>
          <w:lang w:eastAsia="ja-JP"/>
        </w:rPr>
        <w:t>削減を定量化するためにも使用されないように設計されています。</w:t>
      </w:r>
    </w:p>
    <w:p w14:paraId="571B3AB7" w14:textId="142D362D" w:rsidR="00611EDE" w:rsidRPr="00EF3658" w:rsidRDefault="00EA0C8E" w:rsidP="00EF3658">
      <w:pPr>
        <w:pStyle w:val="a3"/>
        <w:ind w:left="851" w:right="498" w:firstLineChars="100" w:firstLine="180"/>
        <w:rPr>
          <w:rFonts w:ascii="ＭＳ ゴシック" w:eastAsia="ＭＳ ゴシック" w:hAnsi="ＭＳ ゴシック" w:cs="ＭＳ ゴシック"/>
          <w:color w:val="545456"/>
          <w:w w:val="95"/>
          <w:lang w:eastAsia="ja-JP"/>
        </w:rPr>
      </w:pPr>
      <w:r w:rsidRPr="00EF3658">
        <w:rPr>
          <w:rFonts w:ascii="ＭＳ ゴシック" w:eastAsia="ＭＳ ゴシック" w:hAnsi="ＭＳ ゴシック" w:cs="ＭＳ ゴシック" w:hint="eastAsia"/>
          <w:color w:val="545456"/>
          <w:w w:val="95"/>
          <w:lang w:eastAsia="ja-JP"/>
        </w:rPr>
        <w:t>最終的に、これは技術的な</w:t>
      </w:r>
      <w:r w:rsidR="00364979">
        <w:rPr>
          <w:rFonts w:ascii="ＭＳ ゴシック" w:eastAsia="ＭＳ ゴシック" w:hAnsi="ＭＳ ゴシック" w:cs="ＭＳ ゴシック" w:hint="eastAsia"/>
          <w:color w:val="545456"/>
          <w:w w:val="95"/>
          <w:lang w:eastAsia="ja-JP"/>
        </w:rPr>
        <w:t>算出</w:t>
      </w:r>
      <w:r w:rsidRPr="00EF3658">
        <w:rPr>
          <w:rFonts w:ascii="ＭＳ ゴシック" w:eastAsia="ＭＳ ゴシック" w:hAnsi="ＭＳ ゴシック" w:cs="ＭＳ ゴシック" w:hint="eastAsia"/>
          <w:color w:val="545456"/>
          <w:w w:val="95"/>
          <w:lang w:eastAsia="ja-JP"/>
        </w:rPr>
        <w:t>基準以上のものとなります。これはビジネスの現実に合わせ、複数のビジネス目標に対応できるように意図されています。企業は、</w:t>
      </w:r>
      <w:r w:rsidRPr="00EF3658">
        <w:rPr>
          <w:rFonts w:ascii="ＭＳ ゴシック" w:eastAsia="ＭＳ ゴシック" w:hAnsi="ＭＳ ゴシック" w:cs="ＭＳ ゴシック"/>
          <w:color w:val="545456"/>
          <w:w w:val="95"/>
          <w:lang w:eastAsia="ja-JP"/>
        </w:rPr>
        <w:t>GHG</w:t>
      </w:r>
      <w:r w:rsidR="000471E3" w:rsidRPr="00EF3658">
        <w:rPr>
          <w:rFonts w:ascii="ＭＳ ゴシック" w:eastAsia="ＭＳ ゴシック" w:hAnsi="ＭＳ ゴシック" w:cs="ＭＳ ゴシック" w:hint="eastAsia"/>
          <w:color w:val="545456"/>
          <w:w w:val="95"/>
          <w:lang w:eastAsia="ja-JP"/>
        </w:rPr>
        <w:t>排出</w:t>
      </w:r>
      <w:r w:rsidRPr="00EF3658">
        <w:rPr>
          <w:rFonts w:ascii="ＭＳ ゴシック" w:eastAsia="ＭＳ ゴシック" w:hAnsi="ＭＳ ゴシック" w:cs="ＭＳ ゴシック" w:hint="eastAsia"/>
          <w:color w:val="545456"/>
          <w:w w:val="95"/>
          <w:lang w:eastAsia="ja-JP"/>
        </w:rPr>
        <w:t>の質を時間をかけて向上させることに重点を置き、段階的なアプローチでこの基準を実施することに最も価値を見出すことができるでしょう</w:t>
      </w:r>
      <w:r w:rsidR="00611EDE" w:rsidRPr="00EF3658">
        <w:rPr>
          <w:rFonts w:ascii="ＭＳ ゴシック" w:eastAsia="ＭＳ ゴシック" w:hAnsi="ＭＳ ゴシック" w:cs="ＭＳ ゴシック" w:hint="eastAsia"/>
          <w:color w:val="545456"/>
          <w:w w:val="95"/>
          <w:lang w:eastAsia="ja-JP"/>
        </w:rPr>
        <w:t>。</w:t>
      </w:r>
    </w:p>
    <w:p w14:paraId="433FA7EA" w14:textId="03CDCC43" w:rsidR="0055291C" w:rsidRPr="00EF3658" w:rsidRDefault="00DB5EEC" w:rsidP="00EF3658">
      <w:pPr>
        <w:pStyle w:val="3"/>
        <w:tabs>
          <w:tab w:val="left" w:pos="974"/>
          <w:tab w:val="left" w:pos="975"/>
        </w:tabs>
        <w:spacing w:before="0"/>
        <w:ind w:left="1134"/>
        <w:rPr>
          <w:rFonts w:ascii="ＭＳ ゴシック" w:eastAsia="ＭＳ ゴシック" w:hAnsi="ＭＳ ゴシック"/>
          <w:bCs w:val="0"/>
          <w:i w:val="0"/>
          <w:sz w:val="21"/>
          <w:szCs w:val="21"/>
          <w:lang w:eastAsia="ja-JP"/>
        </w:rPr>
      </w:pPr>
      <w:r w:rsidRPr="00EF3658">
        <w:rPr>
          <w:rFonts w:ascii="ＭＳ ゴシック" w:eastAsia="ＭＳ ゴシック" w:hAnsi="ＭＳ ゴシック" w:cs="ＭＳ 明朝" w:hint="eastAsia"/>
          <w:bCs w:val="0"/>
          <w:i w:val="0"/>
          <w:color w:val="00ACA1"/>
          <w:w w:val="95"/>
          <w:sz w:val="21"/>
          <w:szCs w:val="21"/>
          <w:lang w:eastAsia="ja-JP"/>
        </w:rPr>
        <w:t xml:space="preserve">1.3　</w:t>
      </w:r>
      <w:r w:rsidR="00093C4E" w:rsidRPr="00EF3658">
        <w:rPr>
          <w:rFonts w:ascii="ＭＳ ゴシック" w:eastAsia="ＭＳ ゴシック" w:hAnsi="ＭＳ ゴシック" w:cs="ＭＳ 明朝" w:hint="eastAsia"/>
          <w:bCs w:val="0"/>
          <w:i w:val="0"/>
          <w:color w:val="00ACA1"/>
          <w:w w:val="95"/>
          <w:sz w:val="21"/>
          <w:szCs w:val="21"/>
          <w:lang w:eastAsia="ja-JP"/>
        </w:rPr>
        <w:t>規格策定の経緯</w:t>
      </w:r>
    </w:p>
    <w:p w14:paraId="11B8CA5B" w14:textId="6F5D6110" w:rsidR="0055291C" w:rsidRPr="00EF3658" w:rsidRDefault="00DE0378" w:rsidP="00EF3658">
      <w:pPr>
        <w:pStyle w:val="a3"/>
        <w:ind w:left="851" w:right="571" w:firstLineChars="100" w:firstLine="180"/>
        <w:rPr>
          <w:rFonts w:ascii="ＭＳ ゴシック" w:eastAsia="ＭＳ ゴシック" w:hAnsi="ＭＳ ゴシック"/>
          <w:lang w:eastAsia="ja-JP"/>
        </w:rPr>
      </w:pPr>
      <w:r w:rsidRPr="00EF3658">
        <w:rPr>
          <w:rFonts w:ascii="ＭＳ ゴシック" w:eastAsia="ＭＳ ゴシック" w:hAnsi="ＭＳ ゴシック"/>
          <w:color w:val="545456"/>
          <w:w w:val="95"/>
          <w:lang w:eastAsia="ja-JP"/>
        </w:rPr>
        <w:t xml:space="preserve">2008 </w:t>
      </w:r>
      <w:r w:rsidRPr="00EF3658">
        <w:rPr>
          <w:rFonts w:ascii="ＭＳ ゴシック" w:eastAsia="ＭＳ ゴシック" w:hAnsi="ＭＳ ゴシック" w:cs="ＭＳ ゴシック" w:hint="eastAsia"/>
          <w:color w:val="545456"/>
          <w:w w:val="95"/>
          <w:lang w:eastAsia="ja-JP"/>
        </w:rPr>
        <w:t>年、</w:t>
      </w:r>
      <w:r w:rsidRPr="00EF3658">
        <w:rPr>
          <w:rFonts w:ascii="ＭＳ ゴシック" w:eastAsia="ＭＳ ゴシック" w:hAnsi="ＭＳ ゴシック"/>
          <w:color w:val="545456"/>
          <w:w w:val="95"/>
          <w:lang w:eastAsia="ja-JP"/>
        </w:rPr>
        <w:t xml:space="preserve">WRI </w:t>
      </w:r>
      <w:r w:rsidRPr="00EF3658">
        <w:rPr>
          <w:rFonts w:ascii="ＭＳ ゴシック" w:eastAsia="ＭＳ ゴシック" w:hAnsi="ＭＳ ゴシック" w:cs="ＭＳ ゴシック" w:hint="eastAsia"/>
          <w:color w:val="545456"/>
          <w:w w:val="95"/>
          <w:lang w:eastAsia="ja-JP"/>
        </w:rPr>
        <w:t>と</w:t>
      </w:r>
      <w:r w:rsidRPr="00EF3658">
        <w:rPr>
          <w:rFonts w:ascii="ＭＳ ゴシック" w:eastAsia="ＭＳ ゴシック" w:hAnsi="ＭＳ ゴシック"/>
          <w:color w:val="545456"/>
          <w:w w:val="95"/>
          <w:lang w:eastAsia="ja-JP"/>
        </w:rPr>
        <w:t xml:space="preserve"> WBCSD </w:t>
      </w:r>
      <w:r w:rsidRPr="00EF3658">
        <w:rPr>
          <w:rFonts w:ascii="ＭＳ ゴシック" w:eastAsia="ＭＳ ゴシック" w:hAnsi="ＭＳ ゴシック" w:cs="ＭＳ ゴシック" w:hint="eastAsia"/>
          <w:color w:val="545456"/>
          <w:w w:val="95"/>
          <w:lang w:eastAsia="ja-JP"/>
        </w:rPr>
        <w:t>は、製品基準を開発するための</w:t>
      </w:r>
      <w:r w:rsidRPr="00EF3658">
        <w:rPr>
          <w:rFonts w:ascii="ＭＳ ゴシック" w:eastAsia="ＭＳ ゴシック" w:hAnsi="ＭＳ ゴシック"/>
          <w:color w:val="545456"/>
          <w:w w:val="95"/>
          <w:lang w:eastAsia="ja-JP"/>
        </w:rPr>
        <w:t xml:space="preserve"> 3 </w:t>
      </w:r>
      <w:r w:rsidRPr="00EF3658">
        <w:rPr>
          <w:rFonts w:ascii="ＭＳ ゴシック" w:eastAsia="ＭＳ ゴシック" w:hAnsi="ＭＳ ゴシック" w:cs="ＭＳ ゴシック" w:hint="eastAsia"/>
          <w:color w:val="545456"/>
          <w:w w:val="95"/>
          <w:lang w:eastAsia="ja-JP"/>
        </w:rPr>
        <w:t>年間のプロセスを開始しました。</w:t>
      </w:r>
      <w:r w:rsidRPr="00EF3658">
        <w:rPr>
          <w:rFonts w:ascii="ＭＳ ゴシック" w:eastAsia="ＭＳ ゴシック" w:hAnsi="ＭＳ ゴシック"/>
          <w:color w:val="545456"/>
          <w:w w:val="95"/>
          <w:lang w:eastAsia="ja-JP"/>
        </w:rPr>
        <w:t xml:space="preserve">25 </w:t>
      </w:r>
      <w:r w:rsidRPr="00EF3658">
        <w:rPr>
          <w:rFonts w:ascii="ＭＳ ゴシック" w:eastAsia="ＭＳ ゴシック" w:hAnsi="ＭＳ ゴシック" w:cs="ＭＳ ゴシック" w:hint="eastAsia"/>
          <w:color w:val="545456"/>
          <w:w w:val="95"/>
          <w:lang w:eastAsia="ja-JP"/>
        </w:rPr>
        <w:t>名の専門家からなる運営委員会が、このプロセス全体の戦略的な方向性を示しました。</w:t>
      </w:r>
      <w:r w:rsidRPr="00EF3658">
        <w:rPr>
          <w:rFonts w:ascii="ＭＳ ゴシック" w:eastAsia="ＭＳ ゴシック" w:hAnsi="ＭＳ ゴシック"/>
          <w:color w:val="545456"/>
          <w:w w:val="95"/>
          <w:lang w:eastAsia="ja-JP"/>
        </w:rPr>
        <w:t xml:space="preserve">2009 </w:t>
      </w:r>
      <w:r w:rsidRPr="00EF3658">
        <w:rPr>
          <w:rFonts w:ascii="ＭＳ ゴシック" w:eastAsia="ＭＳ ゴシック" w:hAnsi="ＭＳ ゴシック" w:cs="ＭＳ ゴシック" w:hint="eastAsia"/>
          <w:color w:val="545456"/>
          <w:w w:val="95"/>
          <w:lang w:eastAsia="ja-JP"/>
        </w:rPr>
        <w:t>年には、世界中の多様な産業、政府機関、学界、および非営利団体を代表する</w:t>
      </w:r>
      <w:r w:rsidRPr="00EF3658">
        <w:rPr>
          <w:rFonts w:ascii="ＭＳ ゴシック" w:eastAsia="ＭＳ ゴシック" w:hAnsi="ＭＳ ゴシック"/>
          <w:color w:val="545456"/>
          <w:w w:val="95"/>
          <w:lang w:eastAsia="ja-JP"/>
        </w:rPr>
        <w:t xml:space="preserve"> 112 </w:t>
      </w:r>
      <w:r w:rsidRPr="00EF3658">
        <w:rPr>
          <w:rFonts w:ascii="ＭＳ ゴシック" w:eastAsia="ＭＳ ゴシック" w:hAnsi="ＭＳ ゴシック" w:cs="ＭＳ ゴシック" w:hint="eastAsia"/>
          <w:color w:val="545456"/>
          <w:w w:val="95"/>
          <w:lang w:eastAsia="ja-JP"/>
        </w:rPr>
        <w:t>名のメンバーで構成される技術作業部会によって、製品基準の最初のドラフトが作成されました。</w:t>
      </w:r>
      <w:r w:rsidRPr="00EF3658">
        <w:rPr>
          <w:rFonts w:ascii="ＭＳ ゴシック" w:eastAsia="ＭＳ ゴシック" w:hAnsi="ＭＳ ゴシック"/>
          <w:color w:val="545456"/>
          <w:w w:val="95"/>
          <w:lang w:eastAsia="ja-JP"/>
        </w:rPr>
        <w:t>2010</w:t>
      </w:r>
      <w:r w:rsidRPr="00EF3658">
        <w:rPr>
          <w:rFonts w:ascii="ＭＳ ゴシック" w:eastAsia="ＭＳ ゴシック" w:hAnsi="ＭＳ ゴシック" w:cs="ＭＳ ゴシック" w:hint="eastAsia"/>
          <w:color w:val="545456"/>
          <w:w w:val="95"/>
          <w:lang w:eastAsia="ja-JP"/>
        </w:rPr>
        <w:t>年には、さまざまな業種から</w:t>
      </w:r>
      <w:r w:rsidRPr="00EF3658">
        <w:rPr>
          <w:rFonts w:ascii="ＭＳ ゴシック" w:eastAsia="ＭＳ ゴシック" w:hAnsi="ＭＳ ゴシック"/>
          <w:color w:val="545456"/>
          <w:w w:val="95"/>
          <w:lang w:eastAsia="ja-JP"/>
        </w:rPr>
        <w:t>38</w:t>
      </w:r>
      <w:r w:rsidRPr="00EF3658">
        <w:rPr>
          <w:rFonts w:ascii="ＭＳ ゴシック" w:eastAsia="ＭＳ ゴシック" w:hAnsi="ＭＳ ゴシック" w:cs="ＭＳ ゴシック" w:hint="eastAsia"/>
          <w:color w:val="545456"/>
          <w:w w:val="95"/>
          <w:lang w:eastAsia="ja-JP"/>
        </w:rPr>
        <w:t>社が第</w:t>
      </w:r>
      <w:r w:rsidRPr="00EF3658">
        <w:rPr>
          <w:rFonts w:ascii="ＭＳ ゴシック" w:eastAsia="ＭＳ ゴシック" w:hAnsi="ＭＳ ゴシック"/>
          <w:color w:val="545456"/>
          <w:w w:val="95"/>
          <w:lang w:eastAsia="ja-JP"/>
        </w:rPr>
        <w:t>1</w:t>
      </w:r>
      <w:r w:rsidRPr="00EF3658">
        <w:rPr>
          <w:rFonts w:ascii="ＭＳ ゴシック" w:eastAsia="ＭＳ ゴシック" w:hAnsi="ＭＳ ゴシック" w:cs="ＭＳ ゴシック" w:hint="eastAsia"/>
          <w:color w:val="545456"/>
          <w:w w:val="95"/>
          <w:lang w:eastAsia="ja-JP"/>
        </w:rPr>
        <w:t>次草案のロードテストを行い、実用性や利便性についてフィードバックを行い、第</w:t>
      </w:r>
      <w:r w:rsidRPr="00EF3658">
        <w:rPr>
          <w:rFonts w:ascii="ＭＳ ゴシック" w:eastAsia="ＭＳ ゴシック" w:hAnsi="ＭＳ ゴシック"/>
          <w:color w:val="545456"/>
          <w:w w:val="95"/>
          <w:lang w:eastAsia="ja-JP"/>
        </w:rPr>
        <w:t>2</w:t>
      </w:r>
      <w:r w:rsidRPr="00EF3658">
        <w:rPr>
          <w:rFonts w:ascii="ＭＳ ゴシック" w:eastAsia="ＭＳ ゴシック" w:hAnsi="ＭＳ ゴシック" w:cs="ＭＳ ゴシック" w:hint="eastAsia"/>
          <w:color w:val="545456"/>
          <w:w w:val="95"/>
          <w:lang w:eastAsia="ja-JP"/>
        </w:rPr>
        <w:t>次草案が作成されました。また、ステークホルダーアドバイザリーグループ（</w:t>
      </w:r>
      <w:r w:rsidRPr="00EF3658">
        <w:rPr>
          <w:rFonts w:ascii="ＭＳ ゴシック" w:eastAsia="ＭＳ ゴシック" w:hAnsi="ＭＳ ゴシック"/>
          <w:color w:val="545456"/>
          <w:w w:val="95"/>
          <w:lang w:eastAsia="ja-JP"/>
        </w:rPr>
        <w:t>1,600</w:t>
      </w:r>
      <w:r w:rsidRPr="00EF3658">
        <w:rPr>
          <w:rFonts w:ascii="ＭＳ ゴシック" w:eastAsia="ＭＳ ゴシック" w:hAnsi="ＭＳ ゴシック" w:cs="ＭＳ ゴシック" w:hint="eastAsia"/>
          <w:color w:val="545456"/>
          <w:w w:val="95"/>
          <w:lang w:eastAsia="ja-JP"/>
        </w:rPr>
        <w:t>名以上が参加）のメンバーからも、両規格のドラフトに対してフィードバックが寄せられました。</w:t>
      </w:r>
    </w:p>
    <w:p w14:paraId="3EA63823" w14:textId="77777777" w:rsidR="006F26C8" w:rsidRPr="00EF3658" w:rsidRDefault="00805DE6" w:rsidP="00EF3658">
      <w:pPr>
        <w:pStyle w:val="3"/>
        <w:spacing w:before="0"/>
        <w:ind w:left="1134" w:firstLine="57"/>
        <w:rPr>
          <w:rFonts w:ascii="ＭＳ ゴシック" w:eastAsia="ＭＳ ゴシック" w:hAnsi="ＭＳ ゴシック" w:cs="ＭＳ 明朝"/>
          <w:bCs w:val="0"/>
          <w:i w:val="0"/>
          <w:color w:val="00ACA1"/>
          <w:sz w:val="21"/>
          <w:szCs w:val="21"/>
          <w:lang w:eastAsia="ja-JP"/>
        </w:rPr>
      </w:pPr>
      <w:r w:rsidRPr="00EF3658">
        <w:rPr>
          <w:rFonts w:ascii="ＭＳ ゴシック" w:eastAsia="ＭＳ ゴシック" w:hAnsi="ＭＳ ゴシック" w:cs="ＭＳ 明朝" w:hint="eastAsia"/>
          <w:bCs w:val="0"/>
          <w:i w:val="0"/>
          <w:color w:val="00ACA1"/>
          <w:sz w:val="21"/>
          <w:szCs w:val="21"/>
          <w:lang w:eastAsia="ja-JP"/>
        </w:rPr>
        <w:t xml:space="preserve">1.4　</w:t>
      </w:r>
      <w:r w:rsidR="00DE0378" w:rsidRPr="00EF3658">
        <w:rPr>
          <w:rFonts w:ascii="ＭＳ ゴシック" w:eastAsia="ＭＳ ゴシック" w:hAnsi="ＭＳ ゴシック" w:cs="ＭＳ 明朝" w:hint="eastAsia"/>
          <w:bCs w:val="0"/>
          <w:i w:val="0"/>
          <w:color w:val="00ACA1"/>
          <w:sz w:val="21"/>
          <w:szCs w:val="21"/>
          <w:lang w:eastAsia="ja-JP"/>
        </w:rPr>
        <w:t>規格の対象</w:t>
      </w:r>
    </w:p>
    <w:p w14:paraId="1490AC8B" w14:textId="5A721007" w:rsidR="009C7BF7" w:rsidRPr="00EF3658" w:rsidRDefault="00DE51E6" w:rsidP="00EF3658">
      <w:pPr>
        <w:ind w:left="720" w:rightChars="195" w:right="429" w:firstLineChars="100" w:firstLine="190"/>
        <w:rPr>
          <w:rFonts w:ascii="ＭＳ ゴシック" w:eastAsia="ＭＳ ゴシック" w:hAnsi="ＭＳ ゴシック" w:cs="ＭＳ ゴシック"/>
          <w:color w:val="545456"/>
          <w:sz w:val="19"/>
          <w:szCs w:val="19"/>
          <w:lang w:eastAsia="ja-JP"/>
        </w:rPr>
      </w:pPr>
      <w:r w:rsidRPr="00EF3658">
        <w:rPr>
          <w:rFonts w:ascii="ＭＳ ゴシック" w:eastAsia="ＭＳ ゴシック" w:hAnsi="ＭＳ ゴシック" w:cs="ＭＳ ゴシック" w:hint="eastAsia"/>
          <w:sz w:val="19"/>
          <w:szCs w:val="19"/>
          <w:lang w:eastAsia="ja-JP"/>
        </w:rPr>
        <w:t>この規格は、あらゆる経済分野、あらゆる国の、あらゆる規模の企業や組織</w:t>
      </w:r>
      <w:r w:rsidR="00217FB1">
        <w:rPr>
          <w:rFonts w:ascii="ＭＳ ゴシック" w:eastAsia="ＭＳ ゴシック" w:hAnsi="ＭＳ ゴシック" w:cs="ＭＳ ゴシック" w:hint="eastAsia"/>
          <w:color w:val="545456"/>
          <w:sz w:val="19"/>
          <w:szCs w:val="19"/>
          <w:vertAlign w:val="superscript"/>
          <w:lang w:eastAsia="ja-JP"/>
        </w:rPr>
        <w:t>３</w:t>
      </w:r>
      <w:r w:rsidRPr="00EF3658">
        <w:rPr>
          <w:rFonts w:ascii="ＭＳ ゴシック" w:eastAsia="ＭＳ ゴシック" w:hAnsi="ＭＳ ゴシック" w:cs="ＭＳ ゴシック" w:hint="eastAsia"/>
          <w:sz w:val="19"/>
          <w:szCs w:val="19"/>
          <w:lang w:eastAsia="ja-JP"/>
        </w:rPr>
        <w:t>を対象としています。</w:t>
      </w:r>
      <w:r w:rsidRPr="00EF3658">
        <w:rPr>
          <w:rFonts w:ascii="ＭＳ ゴシック" w:eastAsia="ＭＳ ゴシック" w:hAnsi="ＭＳ ゴシック" w:cs="ＭＳ ゴシック" w:hint="eastAsia"/>
          <w:color w:val="545456"/>
          <w:sz w:val="19"/>
          <w:szCs w:val="19"/>
          <w:lang w:eastAsia="ja-JP"/>
        </w:rPr>
        <w:t>設計、製造、販売、購入、または使用する製品の</w:t>
      </w:r>
      <w:r w:rsidRPr="00EF3658">
        <w:rPr>
          <w:rFonts w:ascii="ＭＳ ゴシック" w:eastAsia="ＭＳ ゴシック" w:hAnsi="ＭＳ ゴシック"/>
          <w:color w:val="545456"/>
          <w:sz w:val="19"/>
          <w:szCs w:val="19"/>
          <w:lang w:eastAsia="ja-JP"/>
        </w:rPr>
        <w:t>GHG</w:t>
      </w:r>
      <w:r w:rsidR="008D4E84" w:rsidRPr="00EF3658">
        <w:rPr>
          <w:rFonts w:ascii="ＭＳ ゴシック" w:eastAsia="ＭＳ ゴシック" w:hAnsi="ＭＳ ゴシック" w:cs="ＭＳ ゴシック" w:hint="eastAsia"/>
          <w:color w:val="545456"/>
          <w:sz w:val="19"/>
          <w:szCs w:val="19"/>
          <w:lang w:eastAsia="ja-JP"/>
        </w:rPr>
        <w:t>排出量</w:t>
      </w:r>
      <w:r w:rsidRPr="00EF3658">
        <w:rPr>
          <w:rFonts w:ascii="ＭＳ ゴシック" w:eastAsia="ＭＳ ゴシック" w:hAnsi="ＭＳ ゴシック" w:cs="ＭＳ ゴシック" w:hint="eastAsia"/>
          <w:color w:val="545456"/>
          <w:sz w:val="19"/>
          <w:szCs w:val="19"/>
          <w:lang w:eastAsia="ja-JP"/>
        </w:rPr>
        <w:t>について理解を深めたい企業は、この規格を使用することで利益を得ることができます。製品設計、調達、研究開発、マーケティング、エネルギー、環境、物流、企業の持続可能性部門などのスタッフは、特にこの規格に関心を持つかもしれません。また、政策立案者や</w:t>
      </w:r>
      <w:r w:rsidRPr="00EF3658">
        <w:rPr>
          <w:rFonts w:ascii="ＭＳ ゴシック" w:eastAsia="ＭＳ ゴシック" w:hAnsi="ＭＳ ゴシック"/>
          <w:color w:val="545456"/>
          <w:sz w:val="19"/>
          <w:szCs w:val="19"/>
          <w:lang w:eastAsia="ja-JP"/>
        </w:rPr>
        <w:t>GHG</w:t>
      </w:r>
      <w:r w:rsidRPr="00EF3658">
        <w:rPr>
          <w:rFonts w:ascii="ＭＳ ゴシック" w:eastAsia="ＭＳ ゴシック" w:hAnsi="ＭＳ ゴシック" w:cs="ＭＳ ゴシック" w:hint="eastAsia"/>
          <w:color w:val="545456"/>
          <w:sz w:val="19"/>
          <w:szCs w:val="19"/>
          <w:lang w:eastAsia="ja-JP"/>
        </w:rPr>
        <w:t>プログラム担当者も、この規格を政策やプログラム設計に取り入れることに関心を持つかもしれませ</w:t>
      </w:r>
      <w:r w:rsidR="00805DE6" w:rsidRPr="00EF3658">
        <w:rPr>
          <w:rFonts w:ascii="ＭＳ ゴシック" w:eastAsia="ＭＳ ゴシック" w:hAnsi="ＭＳ ゴシック" w:cs="ＭＳ ゴシック" w:hint="eastAsia"/>
          <w:color w:val="545456"/>
          <w:sz w:val="19"/>
          <w:szCs w:val="19"/>
          <w:lang w:eastAsia="ja-JP"/>
        </w:rPr>
        <w:t>ん。</w:t>
      </w:r>
    </w:p>
    <w:p w14:paraId="5BB2B001" w14:textId="6C36FCE4" w:rsidR="0059535D" w:rsidRPr="00EF3658" w:rsidRDefault="0059535D" w:rsidP="00EF3658">
      <w:pPr>
        <w:pStyle w:val="3"/>
        <w:spacing w:before="0"/>
        <w:ind w:left="426" w:firstLine="720"/>
        <w:rPr>
          <w:rFonts w:ascii="ＭＳ ゴシック" w:eastAsia="ＭＳ ゴシック" w:hAnsi="ＭＳ ゴシック" w:cs="ＭＳ ゴシック"/>
          <w:bCs w:val="0"/>
          <w:i w:val="0"/>
          <w:color w:val="00ACA1"/>
          <w:sz w:val="21"/>
          <w:szCs w:val="21"/>
          <w:lang w:eastAsia="ja-JP"/>
        </w:rPr>
      </w:pPr>
      <w:r w:rsidRPr="00EF3658">
        <w:rPr>
          <w:rFonts w:ascii="ＭＳ ゴシック" w:eastAsia="ＭＳ ゴシック" w:hAnsi="ＭＳ ゴシック" w:hint="eastAsia"/>
          <w:bCs w:val="0"/>
          <w:i w:val="0"/>
          <w:color w:val="00ACA1"/>
          <w:w w:val="95"/>
          <w:sz w:val="21"/>
          <w:szCs w:val="21"/>
          <w:lang w:eastAsia="ja-JP"/>
        </w:rPr>
        <w:t>1.5</w:t>
      </w:r>
      <w:r w:rsidRPr="00EF3658">
        <w:rPr>
          <w:rFonts w:ascii="ＭＳ ゴシック" w:eastAsia="ＭＳ ゴシック" w:hAnsi="ＭＳ ゴシック" w:cs="ＭＳ 明朝" w:hint="eastAsia"/>
          <w:bCs w:val="0"/>
          <w:i w:val="0"/>
          <w:color w:val="00ACA1"/>
          <w:w w:val="95"/>
          <w:sz w:val="21"/>
          <w:szCs w:val="21"/>
          <w:lang w:eastAsia="ja-JP"/>
        </w:rPr>
        <w:t xml:space="preserve">　製品規格の製品比較への活用</w:t>
      </w:r>
    </w:p>
    <w:p w14:paraId="03DFC36B" w14:textId="496C3C11" w:rsidR="007A0E94" w:rsidRDefault="0059535D" w:rsidP="00EF3658">
      <w:pPr>
        <w:pStyle w:val="a3"/>
        <w:ind w:left="720" w:right="430" w:firstLine="190"/>
        <w:rPr>
          <w:rFonts w:ascii="ＭＳ ゴシック" w:eastAsia="ＭＳ ゴシック" w:hAnsi="ＭＳ ゴシック" w:cs="ＭＳ ゴシック"/>
          <w:color w:val="545456"/>
          <w:lang w:eastAsia="ja-JP"/>
        </w:rPr>
      </w:pPr>
      <w:r w:rsidRPr="00EF3658">
        <w:rPr>
          <w:rFonts w:ascii="ＭＳ ゴシック" w:eastAsia="ＭＳ ゴシック" w:hAnsi="ＭＳ ゴシック" w:cs="ＭＳ ゴシック" w:hint="eastAsia"/>
          <w:color w:val="545456"/>
          <w:lang w:eastAsia="ja-JP"/>
        </w:rPr>
        <w:t>製品基準は、製品の</w:t>
      </w:r>
      <w:r w:rsidRPr="00EF3658">
        <w:rPr>
          <w:rFonts w:ascii="ＭＳ ゴシック" w:eastAsia="ＭＳ ゴシック" w:hAnsi="ＭＳ ゴシック" w:cs="ＭＳ ゴシック"/>
          <w:color w:val="545456"/>
          <w:lang w:eastAsia="ja-JP"/>
        </w:rPr>
        <w:t>GHG</w:t>
      </w:r>
      <w:r w:rsidR="008D4E84" w:rsidRPr="00EF3658">
        <w:rPr>
          <w:rFonts w:ascii="ＭＳ ゴシック" w:eastAsia="ＭＳ ゴシック" w:hAnsi="ＭＳ ゴシック" w:cs="ＭＳ ゴシック" w:hint="eastAsia"/>
          <w:color w:val="545456"/>
          <w:lang w:eastAsia="ja-JP"/>
        </w:rPr>
        <w:t>排出量</w:t>
      </w:r>
      <w:r w:rsidRPr="00EF3658">
        <w:rPr>
          <w:rFonts w:ascii="ＭＳ ゴシック" w:eastAsia="ＭＳ ゴシック" w:hAnsi="ＭＳ ゴシック" w:cs="ＭＳ ゴシック" w:hint="eastAsia"/>
          <w:color w:val="545456"/>
          <w:lang w:eastAsia="ja-JP"/>
        </w:rPr>
        <w:t>や排出削減量の長期的なパフォーマンス追跡をサポートすることを意図しています。製品表示、性能表示、2つ以上の製品の比較に基づく消費者・事業者の比較判断のために、配分の選択やデータソースなどの</w:t>
      </w:r>
      <w:r w:rsidR="00364979">
        <w:rPr>
          <w:rFonts w:ascii="ＭＳ ゴシック" w:eastAsia="ＭＳ ゴシック" w:hAnsi="ＭＳ ゴシック" w:cs="ＭＳ ゴシック" w:hint="eastAsia"/>
          <w:color w:val="545456"/>
          <w:lang w:eastAsia="ja-JP"/>
        </w:rPr>
        <w:t>算出</w:t>
      </w:r>
      <w:r w:rsidRPr="00EF3658">
        <w:rPr>
          <w:rFonts w:ascii="ＭＳ ゴシック" w:eastAsia="ＭＳ ゴシック" w:hAnsi="ＭＳ ゴシック" w:cs="ＭＳ ゴシック" w:hint="eastAsia"/>
          <w:color w:val="545456"/>
          <w:lang w:eastAsia="ja-JP"/>
        </w:rPr>
        <w:t>処理方法のさらなる規定が必要です。比較に必要な追加的な指針については、</w:t>
      </w:r>
      <w:r w:rsidRPr="00EF3658">
        <w:rPr>
          <w:rFonts w:ascii="ＭＳ ゴシック" w:eastAsia="ＭＳ ゴシック" w:hAnsi="ＭＳ ゴシック" w:cs="ＭＳ ゴシック"/>
          <w:color w:val="545456"/>
          <w:lang w:eastAsia="ja-JP"/>
        </w:rPr>
        <w:t>5.3.2</w:t>
      </w:r>
      <w:r w:rsidRPr="00EF3658">
        <w:rPr>
          <w:rFonts w:ascii="ＭＳ ゴシック" w:eastAsia="ＭＳ ゴシック" w:hAnsi="ＭＳ ゴシック" w:cs="ＭＳ ゴシック" w:hint="eastAsia"/>
          <w:color w:val="545456"/>
          <w:lang w:eastAsia="ja-JP"/>
        </w:rPr>
        <w:t>節および付属書</w:t>
      </w:r>
      <w:r w:rsidRPr="00EF3658">
        <w:rPr>
          <w:rFonts w:ascii="ＭＳ ゴシック" w:eastAsia="ＭＳ ゴシック" w:hAnsi="ＭＳ ゴシック" w:cs="ＭＳ ゴシック"/>
          <w:color w:val="545456"/>
          <w:lang w:eastAsia="ja-JP"/>
        </w:rPr>
        <w:t>A</w:t>
      </w:r>
      <w:r w:rsidRPr="00EF3658">
        <w:rPr>
          <w:rFonts w:ascii="ＭＳ ゴシック" w:eastAsia="ＭＳ ゴシック" w:hAnsi="ＭＳ ゴシック" w:cs="ＭＳ ゴシック" w:hint="eastAsia"/>
          <w:color w:val="545456"/>
          <w:lang w:eastAsia="ja-JP"/>
        </w:rPr>
        <w:t>を参照してください。</w:t>
      </w:r>
      <w:r w:rsidR="009C7BF7" w:rsidRPr="00EF3658">
        <w:rPr>
          <w:rFonts w:ascii="ＭＳ ゴシック" w:eastAsia="ＭＳ ゴシック" w:hAnsi="ＭＳ ゴシック"/>
          <w:color w:val="545456"/>
          <w:lang w:eastAsia="ja-JP"/>
        </w:rPr>
        <w:t xml:space="preserve">ISO14044 </w:t>
      </w:r>
      <w:r w:rsidR="009C7BF7" w:rsidRPr="00EF3658">
        <w:rPr>
          <w:rFonts w:ascii="ＭＳ ゴシック" w:eastAsia="ＭＳ ゴシック" w:hAnsi="ＭＳ ゴシック" w:cs="ＭＳ ゴシック" w:hint="eastAsia"/>
          <w:color w:val="545456"/>
          <w:lang w:eastAsia="ja-JP"/>
        </w:rPr>
        <w:t>において比較主張と呼ばれる、ある製品と競合製品との総合的な環境面での優劣に関する主張は、本製品基準ではサポートされません。</w:t>
      </w:r>
      <w:r w:rsidR="007A0E94">
        <w:rPr>
          <w:rFonts w:ascii="ＭＳ ゴシック" w:eastAsia="ＭＳ ゴシック" w:hAnsi="ＭＳ ゴシック" w:cs="ＭＳ ゴシック"/>
          <w:color w:val="545456"/>
          <w:lang w:eastAsia="ja-JP"/>
        </w:rPr>
        <w:br w:type="page"/>
      </w:r>
    </w:p>
    <w:p w14:paraId="4973A62D" w14:textId="77777777" w:rsidR="0037093F" w:rsidRPr="00EF3658" w:rsidRDefault="0037093F" w:rsidP="00EF3658">
      <w:pPr>
        <w:pStyle w:val="a3"/>
        <w:ind w:left="720" w:right="430" w:firstLine="190"/>
        <w:rPr>
          <w:rFonts w:ascii="ＭＳ ゴシック" w:eastAsia="ＭＳ ゴシック" w:hAnsi="ＭＳ ゴシック"/>
          <w:lang w:eastAsia="ja-JP"/>
        </w:rPr>
      </w:pPr>
    </w:p>
    <w:p w14:paraId="23A9BADA" w14:textId="19F0AE69" w:rsidR="0037093F" w:rsidRPr="00EF3658" w:rsidRDefault="0037093F" w:rsidP="00EF3658">
      <w:pPr>
        <w:pStyle w:val="3"/>
        <w:spacing w:before="0"/>
        <w:ind w:left="426" w:firstLine="720"/>
        <w:rPr>
          <w:rFonts w:ascii="ＭＳ ゴシック" w:eastAsia="ＭＳ ゴシック" w:hAnsi="ＭＳ ゴシック"/>
          <w:bCs w:val="0"/>
          <w:i w:val="0"/>
          <w:color w:val="00ACA1"/>
          <w:sz w:val="21"/>
          <w:szCs w:val="21"/>
          <w:lang w:eastAsia="ja-JP"/>
        </w:rPr>
      </w:pPr>
      <w:r w:rsidRPr="00EF3658">
        <w:rPr>
          <w:rFonts w:ascii="ＭＳ ゴシック" w:eastAsia="ＭＳ ゴシック" w:hAnsi="ＭＳ ゴシック" w:hint="eastAsia"/>
          <w:bCs w:val="0"/>
          <w:i w:val="0"/>
          <w:color w:val="00ACA1"/>
          <w:sz w:val="21"/>
          <w:szCs w:val="21"/>
          <w:lang w:eastAsia="ja-JP"/>
        </w:rPr>
        <w:t>1.6</w:t>
      </w:r>
      <w:r w:rsidRPr="00EF3658">
        <w:rPr>
          <w:rFonts w:ascii="ＭＳ ゴシック" w:eastAsia="ＭＳ ゴシック" w:hAnsi="ＭＳ ゴシック" w:cs="ＭＳ 明朝" w:hint="eastAsia"/>
          <w:bCs w:val="0"/>
          <w:i w:val="0"/>
          <w:color w:val="00ACA1"/>
          <w:sz w:val="21"/>
          <w:szCs w:val="21"/>
          <w:lang w:eastAsia="ja-JP"/>
        </w:rPr>
        <w:t xml:space="preserve">　企業と</w:t>
      </w:r>
      <w:r w:rsidRPr="00EF3658">
        <w:rPr>
          <w:rFonts w:ascii="ＭＳ ゴシック" w:eastAsia="ＭＳ ゴシック" w:hAnsi="ＭＳ ゴシック"/>
          <w:bCs w:val="0"/>
          <w:i w:val="0"/>
          <w:color w:val="00ACA1"/>
          <w:sz w:val="21"/>
          <w:szCs w:val="21"/>
          <w:lang w:eastAsia="ja-JP"/>
        </w:rPr>
        <w:t>Scope3</w:t>
      </w:r>
      <w:r w:rsidRPr="00EF3658">
        <w:rPr>
          <w:rFonts w:ascii="ＭＳ ゴシック" w:eastAsia="ＭＳ ゴシック" w:hAnsi="ＭＳ ゴシック" w:cs="ＭＳ 明朝" w:hint="eastAsia"/>
          <w:bCs w:val="0"/>
          <w:i w:val="0"/>
          <w:color w:val="00ACA1"/>
          <w:sz w:val="21"/>
          <w:szCs w:val="21"/>
          <w:lang w:eastAsia="ja-JP"/>
        </w:rPr>
        <w:t>の基準との関係</w:t>
      </w:r>
    </w:p>
    <w:p w14:paraId="69ACE218" w14:textId="34777DA2" w:rsidR="00A36975" w:rsidRDefault="00C64E75" w:rsidP="00EF3658">
      <w:pPr>
        <w:pStyle w:val="a3"/>
        <w:ind w:leftChars="322" w:left="708" w:right="430" w:firstLineChars="100" w:firstLine="180"/>
        <w:rPr>
          <w:rFonts w:ascii="ＭＳ ゴシック" w:eastAsia="ＭＳ ゴシック" w:hAnsi="ＭＳ ゴシック" w:cs="ＭＳ ゴシック"/>
          <w:color w:val="545456"/>
          <w:lang w:eastAsia="ja-JP"/>
        </w:rPr>
      </w:pPr>
      <w:r w:rsidRPr="00EF3658">
        <w:rPr>
          <w:rFonts w:ascii="ＭＳ ゴシック" w:eastAsia="ＭＳ ゴシック" w:hAnsi="ＭＳ ゴシック"/>
          <w:color w:val="545456"/>
          <w:w w:val="95"/>
          <w:lang w:eastAsia="ja-JP"/>
        </w:rPr>
        <w:t>GHG</w:t>
      </w:r>
      <w:r w:rsidRPr="00EF3658">
        <w:rPr>
          <w:rFonts w:ascii="ＭＳ ゴシック" w:eastAsia="ＭＳ ゴシック" w:hAnsi="ＭＳ ゴシック" w:cs="ＭＳ ゴシック" w:hint="eastAsia"/>
          <w:color w:val="545456"/>
          <w:w w:val="95"/>
          <w:lang w:eastAsia="ja-JP"/>
        </w:rPr>
        <w:t>プロトコル・</w:t>
      </w:r>
      <w:r w:rsidRPr="00EF3658">
        <w:rPr>
          <w:rFonts w:ascii="ＭＳ ゴシック" w:eastAsia="ＭＳ ゴシック" w:hAnsi="ＭＳ ゴシック"/>
          <w:color w:val="545456"/>
          <w:w w:val="95"/>
          <w:lang w:eastAsia="ja-JP"/>
        </w:rPr>
        <w:t>Scope3</w:t>
      </w:r>
      <w:r w:rsidRPr="00EF3658">
        <w:rPr>
          <w:rFonts w:ascii="ＭＳ ゴシック" w:eastAsia="ＭＳ ゴシック" w:hAnsi="ＭＳ ゴシック" w:cs="ＭＳ ゴシック" w:hint="eastAsia"/>
          <w:color w:val="545456"/>
          <w:w w:val="95"/>
          <w:lang w:eastAsia="ja-JP"/>
        </w:rPr>
        <w:t>基準と</w:t>
      </w:r>
      <w:r w:rsidRPr="00EF3658">
        <w:rPr>
          <w:rFonts w:ascii="ＭＳ ゴシック" w:eastAsia="ＭＳ ゴシック" w:hAnsi="ＭＳ ゴシック"/>
          <w:color w:val="545456"/>
          <w:w w:val="95"/>
          <w:lang w:eastAsia="ja-JP"/>
        </w:rPr>
        <w:t>GHG</w:t>
      </w:r>
      <w:r w:rsidRPr="00EF3658">
        <w:rPr>
          <w:rFonts w:ascii="ＭＳ ゴシック" w:eastAsia="ＭＳ ゴシック" w:hAnsi="ＭＳ ゴシック" w:cs="ＭＳ ゴシック" w:hint="eastAsia"/>
          <w:color w:val="545456"/>
          <w:w w:val="95"/>
          <w:lang w:eastAsia="ja-JP"/>
        </w:rPr>
        <w:t>プロトコル製品基準は、ともにバリューチェーンまたはライフサイクルを考慮した</w:t>
      </w:r>
      <w:r w:rsidRPr="00EF3658">
        <w:rPr>
          <w:rFonts w:ascii="ＭＳ ゴシック" w:eastAsia="ＭＳ ゴシック" w:hAnsi="ＭＳ ゴシック"/>
          <w:color w:val="545456"/>
          <w:w w:val="95"/>
          <w:lang w:eastAsia="ja-JP"/>
        </w:rPr>
        <w:t>GHG</w:t>
      </w:r>
      <w:r w:rsidR="00364979">
        <w:rPr>
          <w:rFonts w:ascii="ＭＳ ゴシック" w:eastAsia="ＭＳ ゴシック" w:hAnsi="ＭＳ ゴシック" w:cs="ＭＳ ゴシック" w:hint="eastAsia"/>
          <w:color w:val="545456"/>
          <w:w w:val="95"/>
          <w:lang w:eastAsia="ja-JP"/>
        </w:rPr>
        <w:t>算出</w:t>
      </w:r>
      <w:r w:rsidRPr="00EF3658">
        <w:rPr>
          <w:rFonts w:ascii="ＭＳ ゴシック" w:eastAsia="ＭＳ ゴシック" w:hAnsi="ＭＳ ゴシック" w:cs="ＭＳ ゴシック" w:hint="eastAsia"/>
          <w:color w:val="545456"/>
          <w:w w:val="95"/>
          <w:lang w:eastAsia="ja-JP"/>
        </w:rPr>
        <w:t>を採用しており、同時に開発されました。製品基準では、個々の製品レベルでのライフサイクル排出量を集計しているのに対し、</w:t>
      </w:r>
      <w:r w:rsidRPr="00EF3658">
        <w:rPr>
          <w:rFonts w:ascii="ＭＳ ゴシック" w:eastAsia="ＭＳ ゴシック" w:hAnsi="ＭＳ ゴシック"/>
          <w:color w:val="545456"/>
          <w:w w:val="95"/>
          <w:lang w:eastAsia="ja-JP"/>
        </w:rPr>
        <w:t>Scope3</w:t>
      </w:r>
      <w:r w:rsidRPr="00EF3658">
        <w:rPr>
          <w:rFonts w:ascii="ＭＳ ゴシック" w:eastAsia="ＭＳ ゴシック" w:hAnsi="ＭＳ ゴシック" w:cs="ＭＳ ゴシック" w:hint="eastAsia"/>
          <w:color w:val="545456"/>
          <w:w w:val="95"/>
          <w:lang w:eastAsia="ja-JP"/>
        </w:rPr>
        <w:t>規格は、</w:t>
      </w:r>
      <w:r w:rsidRPr="00EF3658">
        <w:rPr>
          <w:rFonts w:ascii="ＭＳ ゴシック" w:eastAsia="ＭＳ ゴシック" w:hAnsi="ＭＳ ゴシック"/>
          <w:color w:val="545456"/>
          <w:w w:val="95"/>
          <w:lang w:eastAsia="ja-JP"/>
        </w:rPr>
        <w:t>GHG</w:t>
      </w:r>
      <w:r w:rsidRPr="00EF3658">
        <w:rPr>
          <w:rFonts w:ascii="ＭＳ ゴシック" w:eastAsia="ＭＳ ゴシック" w:hAnsi="ＭＳ ゴシック" w:cs="ＭＳ ゴシック" w:hint="eastAsia"/>
          <w:color w:val="545456"/>
          <w:w w:val="95"/>
          <w:lang w:eastAsia="ja-JP"/>
        </w:rPr>
        <w:t>プロトコル</w:t>
      </w:r>
      <w:r w:rsidR="00FF09C1" w:rsidRPr="00EF3658">
        <w:rPr>
          <w:rFonts w:ascii="ＭＳ ゴシック" w:eastAsia="ＭＳ ゴシック" w:hAnsi="ＭＳ ゴシック" w:cs="ＭＳ ゴシック" w:hint="eastAsia"/>
          <w:color w:val="545456"/>
          <w:w w:val="95"/>
          <w:lang w:eastAsia="ja-JP"/>
        </w:rPr>
        <w:t>・</w:t>
      </w:r>
      <w:r w:rsidR="007020F0" w:rsidRPr="00EF3658">
        <w:rPr>
          <w:rFonts w:ascii="ＭＳ ゴシック" w:eastAsia="ＭＳ ゴシック" w:hAnsi="ＭＳ ゴシック" w:cs="ＭＳ ゴシック" w:hint="eastAsia"/>
          <w:color w:val="545456"/>
          <w:w w:val="95"/>
          <w:lang w:eastAsia="ja-JP"/>
        </w:rPr>
        <w:t>企業基準</w:t>
      </w:r>
      <w:r w:rsidRPr="00EF3658">
        <w:rPr>
          <w:rFonts w:ascii="ＭＳ ゴシック" w:eastAsia="ＭＳ ゴシック" w:hAnsi="ＭＳ ゴシック" w:cs="ＭＳ ゴシック" w:hint="eastAsia"/>
          <w:color w:val="545456"/>
          <w:w w:val="95"/>
          <w:lang w:eastAsia="ja-JP"/>
        </w:rPr>
        <w:t>を基礎とし、企業レベルでのバリューチェーン排出量を算定しています。この</w:t>
      </w:r>
      <w:r w:rsidRPr="00EF3658">
        <w:rPr>
          <w:rFonts w:ascii="ＭＳ ゴシック" w:eastAsia="ＭＳ ゴシック" w:hAnsi="ＭＳ ゴシック"/>
          <w:color w:val="545456"/>
          <w:w w:val="95"/>
          <w:lang w:eastAsia="ja-JP"/>
        </w:rPr>
        <w:t>3</w:t>
      </w:r>
      <w:r w:rsidRPr="00EF3658">
        <w:rPr>
          <w:rFonts w:ascii="ＭＳ ゴシック" w:eastAsia="ＭＳ ゴシック" w:hAnsi="ＭＳ ゴシック" w:cs="ＭＳ ゴシック" w:hint="eastAsia"/>
          <w:color w:val="545456"/>
          <w:w w:val="95"/>
          <w:lang w:eastAsia="ja-JP"/>
        </w:rPr>
        <w:t>つの基準を合わせることで、バリューチェーンにおける</w:t>
      </w:r>
      <w:r w:rsidRPr="00EF3658">
        <w:rPr>
          <w:rFonts w:ascii="ＭＳ ゴシック" w:eastAsia="ＭＳ ゴシック" w:hAnsi="ＭＳ ゴシック"/>
          <w:color w:val="545456"/>
          <w:w w:val="95"/>
          <w:lang w:eastAsia="ja-JP"/>
        </w:rPr>
        <w:t>GHG</w:t>
      </w:r>
      <w:r w:rsidRPr="00EF3658">
        <w:rPr>
          <w:rFonts w:ascii="ＭＳ ゴシック" w:eastAsia="ＭＳ ゴシック" w:hAnsi="ＭＳ ゴシック" w:cs="ＭＳ ゴシック" w:hint="eastAsia"/>
          <w:color w:val="545456"/>
          <w:w w:val="95"/>
          <w:lang w:eastAsia="ja-JP"/>
        </w:rPr>
        <w:t>の測定と管理に対する包括的なアプローチを提供します。</w:t>
      </w:r>
      <w:r w:rsidRPr="00EF3658">
        <w:rPr>
          <w:rFonts w:ascii="ＭＳ ゴシック" w:eastAsia="ＭＳ ゴシック" w:hAnsi="ＭＳ ゴシック" w:cs="ＭＳ ゴシック" w:hint="eastAsia"/>
          <w:color w:val="545456"/>
          <w:lang w:eastAsia="ja-JP"/>
        </w:rPr>
        <w:t>報告企業の事業目標が、特定の</w:t>
      </w:r>
      <w:r w:rsidRPr="00EF3658">
        <w:rPr>
          <w:rFonts w:ascii="ＭＳ ゴシック" w:eastAsia="ＭＳ ゴシック" w:hAnsi="ＭＳ ゴシック"/>
          <w:color w:val="545456"/>
          <w:lang w:eastAsia="ja-JP"/>
        </w:rPr>
        <w:t>GHG</w:t>
      </w:r>
      <w:r w:rsidRPr="00EF3658">
        <w:rPr>
          <w:rFonts w:ascii="ＭＳ ゴシック" w:eastAsia="ＭＳ ゴシック" w:hAnsi="ＭＳ ゴシック" w:cs="ＭＳ ゴシック" w:hint="eastAsia"/>
          <w:color w:val="545456"/>
          <w:lang w:eastAsia="ja-JP"/>
        </w:rPr>
        <w:t>プロトコル</w:t>
      </w:r>
      <w:r w:rsidR="00364979">
        <w:rPr>
          <w:rFonts w:ascii="ＭＳ ゴシック" w:eastAsia="ＭＳ ゴシック" w:hAnsi="ＭＳ ゴシック" w:cs="ＭＳ ゴシック" w:hint="eastAsia"/>
          <w:color w:val="545456"/>
          <w:lang w:eastAsia="ja-JP"/>
        </w:rPr>
        <w:t>算出</w:t>
      </w:r>
      <w:r w:rsidRPr="00EF3658">
        <w:rPr>
          <w:rFonts w:ascii="ＭＳ ゴシック" w:eastAsia="ＭＳ ゴシック" w:hAnsi="ＭＳ ゴシック" w:cs="ＭＳ ゴシック" w:hint="eastAsia"/>
          <w:color w:val="545456"/>
          <w:lang w:eastAsia="ja-JP"/>
        </w:rPr>
        <w:t>基準の使用を推進する必要があります。</w:t>
      </w:r>
      <w:r w:rsidR="00287FA6" w:rsidRPr="00EF3658">
        <w:rPr>
          <w:rFonts w:ascii="ＭＳ ゴシック" w:eastAsia="ＭＳ ゴシック" w:hAnsi="ＭＳ ゴシック" w:cs="ＭＳ ゴシック" w:hint="eastAsia"/>
          <w:color w:val="545456"/>
          <w:lang w:eastAsia="ja-JP"/>
        </w:rPr>
        <w:t>製品基準では削減の可能性が最も高い個々の製品を対象とすることができる一方、</w:t>
      </w:r>
      <w:r w:rsidR="00287FA6" w:rsidRPr="00EF3658">
        <w:rPr>
          <w:rFonts w:ascii="ＭＳ ゴシック" w:eastAsia="ＭＳ ゴシック" w:hAnsi="ＭＳ ゴシック" w:cs="ＭＳ ゴシック"/>
          <w:color w:val="545456"/>
          <w:lang w:eastAsia="ja-JP"/>
        </w:rPr>
        <w:t>Scope3</w:t>
      </w:r>
      <w:r w:rsidR="00287FA6" w:rsidRPr="00EF3658">
        <w:rPr>
          <w:rFonts w:ascii="ＭＳ ゴシック" w:eastAsia="ＭＳ ゴシック" w:hAnsi="ＭＳ ゴシック" w:cs="ＭＳ ゴシック" w:hint="eastAsia"/>
          <w:color w:val="545456"/>
          <w:lang w:eastAsia="ja-JP"/>
        </w:rPr>
        <w:t>基準では企業のバリューチェーン全体で最大の</w:t>
      </w:r>
      <w:r w:rsidR="00287FA6" w:rsidRPr="00EF3658">
        <w:rPr>
          <w:rFonts w:ascii="ＭＳ ゴシック" w:eastAsia="ＭＳ ゴシック" w:hAnsi="ＭＳ ゴシック" w:cs="ＭＳ ゴシック"/>
          <w:color w:val="545456"/>
          <w:lang w:eastAsia="ja-JP"/>
        </w:rPr>
        <w:t>GHG</w:t>
      </w:r>
      <w:r w:rsidR="00287FA6" w:rsidRPr="00EF3658">
        <w:rPr>
          <w:rFonts w:ascii="ＭＳ ゴシック" w:eastAsia="ＭＳ ゴシック" w:hAnsi="ＭＳ ゴシック" w:cs="ＭＳ ゴシック" w:hint="eastAsia"/>
          <w:color w:val="545456"/>
          <w:lang w:eastAsia="ja-JP"/>
        </w:rPr>
        <w:t>削減の機会を特定することができるようになります。また、製品基準は企業が製品レベルで同じ目標を達成することを支援しますが、</w:t>
      </w:r>
      <w:r w:rsidR="00287FA6" w:rsidRPr="00EF3658">
        <w:rPr>
          <w:rFonts w:ascii="ＭＳ ゴシック" w:eastAsia="ＭＳ ゴシック" w:hAnsi="ＭＳ ゴシック" w:cs="ＭＳ ゴシック"/>
          <w:color w:val="545456"/>
          <w:lang w:eastAsia="ja-JP"/>
        </w:rPr>
        <w:t xml:space="preserve"> Scope3</w:t>
      </w:r>
      <w:r w:rsidR="00287FA6" w:rsidRPr="00EF3658">
        <w:rPr>
          <w:rFonts w:ascii="ＭＳ ゴシック" w:eastAsia="ＭＳ ゴシック" w:hAnsi="ＭＳ ゴシック" w:cs="ＭＳ ゴシック" w:hint="eastAsia"/>
          <w:color w:val="545456"/>
          <w:lang w:eastAsia="ja-JP"/>
        </w:rPr>
        <w:t>基準は、企業が企業レベルで</w:t>
      </w:r>
      <w:r w:rsidR="00287FA6" w:rsidRPr="00EF3658">
        <w:rPr>
          <w:rFonts w:ascii="ＭＳ ゴシック" w:eastAsia="ＭＳ ゴシック" w:hAnsi="ＭＳ ゴシック" w:cs="ＭＳ ゴシック"/>
          <w:color w:val="545456"/>
          <w:lang w:eastAsia="ja-JP"/>
        </w:rPr>
        <w:t>GHG</w:t>
      </w:r>
      <w:r w:rsidR="00287FA6" w:rsidRPr="00EF3658">
        <w:rPr>
          <w:rFonts w:ascii="ＭＳ ゴシック" w:eastAsia="ＭＳ ゴシック" w:hAnsi="ＭＳ ゴシック" w:cs="ＭＳ ゴシック" w:hint="eastAsia"/>
          <w:color w:val="545456"/>
          <w:lang w:eastAsia="ja-JP"/>
        </w:rPr>
        <w:t>削減の機会を特定し、その性能を追跡し、納入業者までを巻き込むことを支援します。</w:t>
      </w:r>
      <w:r w:rsidR="000F12E4" w:rsidRPr="00EF3658">
        <w:rPr>
          <w:rFonts w:ascii="ＭＳ ゴシック" w:eastAsia="ＭＳ ゴシック" w:hAnsi="ＭＳ ゴシック" w:cs="ＭＳ ゴシック"/>
          <w:color w:val="545456"/>
          <w:lang w:eastAsia="ja-JP"/>
        </w:rPr>
        <w:t>Scope3</w:t>
      </w:r>
      <w:r w:rsidR="008D4E84" w:rsidRPr="00EF3658">
        <w:rPr>
          <w:rFonts w:ascii="ＭＳ ゴシック" w:eastAsia="ＭＳ ゴシック" w:hAnsi="ＭＳ ゴシック" w:cs="ＭＳ ゴシック" w:hint="eastAsia"/>
          <w:color w:val="545456"/>
          <w:lang w:eastAsia="ja-JP"/>
        </w:rPr>
        <w:t>の排出量</w:t>
      </w:r>
      <w:r w:rsidR="000F12E4" w:rsidRPr="00EF3658">
        <w:rPr>
          <w:rFonts w:ascii="ＭＳ ゴシック" w:eastAsia="ＭＳ ゴシック" w:hAnsi="ＭＳ ゴシック" w:cs="ＭＳ ゴシック" w:hint="eastAsia"/>
          <w:color w:val="545456"/>
          <w:lang w:eastAsia="ja-JP"/>
        </w:rPr>
        <w:t>や製品</w:t>
      </w:r>
      <w:r w:rsidR="008D4E84" w:rsidRPr="00EF3658">
        <w:rPr>
          <w:rFonts w:ascii="ＭＳ ゴシック" w:eastAsia="ＭＳ ゴシック" w:hAnsi="ＭＳ ゴシック" w:cs="ＭＳ ゴシック" w:hint="eastAsia"/>
          <w:color w:val="545456"/>
          <w:lang w:eastAsia="ja-JP"/>
        </w:rPr>
        <w:t>の排出量</w:t>
      </w:r>
      <w:r w:rsidR="000F12E4" w:rsidRPr="00EF3658">
        <w:rPr>
          <w:rFonts w:ascii="ＭＳ ゴシック" w:eastAsia="ＭＳ ゴシック" w:hAnsi="ＭＳ ゴシック" w:cs="ＭＳ ゴシック" w:hint="eastAsia"/>
          <w:color w:val="545456"/>
          <w:lang w:eastAsia="ja-JP"/>
        </w:rPr>
        <w:t>の</w:t>
      </w:r>
      <w:r w:rsidR="008D4E84" w:rsidRPr="00EF3658">
        <w:rPr>
          <w:rFonts w:ascii="ＭＳ ゴシック" w:eastAsia="ＭＳ ゴシック" w:hAnsi="ＭＳ ゴシック" w:cs="ＭＳ ゴシック" w:hint="eastAsia"/>
          <w:color w:val="545456"/>
          <w:lang w:eastAsia="ja-JP"/>
        </w:rPr>
        <w:t>決定</w:t>
      </w:r>
      <w:r w:rsidR="000F12E4" w:rsidRPr="00EF3658">
        <w:rPr>
          <w:rFonts w:ascii="ＭＳ ゴシック" w:eastAsia="ＭＳ ゴシック" w:hAnsi="ＭＳ ゴシック" w:cs="ＭＳ ゴシック" w:hint="eastAsia"/>
          <w:color w:val="545456"/>
          <w:lang w:eastAsia="ja-JP"/>
        </w:rPr>
        <w:t>は、納入業者やバリューチェーン内の他の企業から収集したデータなどの共通のデータが使用されます。重複して収集される可能性があるため、企業は</w:t>
      </w:r>
      <w:r w:rsidR="000F12E4" w:rsidRPr="00EF3658">
        <w:rPr>
          <w:rFonts w:ascii="ＭＳ ゴシック" w:eastAsia="ＭＳ ゴシック" w:hAnsi="ＭＳ ゴシック" w:cs="ＭＳ ゴシック"/>
          <w:color w:val="545456"/>
          <w:lang w:eastAsia="ja-JP"/>
        </w:rPr>
        <w:t>Scope3</w:t>
      </w:r>
      <w:r w:rsidR="008D4E84" w:rsidRPr="00EF3658">
        <w:rPr>
          <w:rFonts w:ascii="ＭＳ ゴシック" w:eastAsia="ＭＳ ゴシック" w:hAnsi="ＭＳ ゴシック" w:cs="ＭＳ ゴシック" w:hint="eastAsia"/>
          <w:color w:val="545456"/>
          <w:lang w:eastAsia="ja-JP"/>
        </w:rPr>
        <w:t>での排出量</w:t>
      </w:r>
      <w:r w:rsidR="000F12E4" w:rsidRPr="00EF3658">
        <w:rPr>
          <w:rFonts w:ascii="ＭＳ ゴシック" w:eastAsia="ＭＳ ゴシック" w:hAnsi="ＭＳ ゴシック" w:cs="ＭＳ ゴシック" w:hint="eastAsia"/>
          <w:color w:val="545456"/>
          <w:lang w:eastAsia="ja-JP"/>
        </w:rPr>
        <w:t>と製品</w:t>
      </w:r>
      <w:r w:rsidR="008D4E84" w:rsidRPr="00EF3658">
        <w:rPr>
          <w:rFonts w:ascii="ＭＳ ゴシック" w:eastAsia="ＭＳ ゴシック" w:hAnsi="ＭＳ ゴシック" w:cs="ＭＳ ゴシック" w:hint="eastAsia"/>
          <w:color w:val="545456"/>
          <w:lang w:eastAsia="ja-JP"/>
        </w:rPr>
        <w:t>の排出量</w:t>
      </w:r>
      <w:r w:rsidR="000F12E4" w:rsidRPr="00EF3658">
        <w:rPr>
          <w:rFonts w:ascii="ＭＳ ゴシック" w:eastAsia="ＭＳ ゴシック" w:hAnsi="ＭＳ ゴシック" w:cs="ＭＳ ゴシック" w:hint="eastAsia"/>
          <w:color w:val="545456"/>
          <w:lang w:eastAsia="ja-JP"/>
        </w:rPr>
        <w:t>を並行して</w:t>
      </w:r>
      <w:r w:rsidR="007B0C63" w:rsidRPr="00EF3658">
        <w:rPr>
          <w:rFonts w:ascii="ＭＳ ゴシック" w:eastAsia="ＭＳ ゴシック" w:hAnsi="ＭＳ ゴシック" w:cs="ＭＳ ゴシック" w:hint="eastAsia"/>
          <w:color w:val="545456"/>
          <w:lang w:eastAsia="ja-JP"/>
        </w:rPr>
        <w:t>決定</w:t>
      </w:r>
      <w:r w:rsidR="000F12E4" w:rsidRPr="00EF3658">
        <w:rPr>
          <w:rFonts w:ascii="ＭＳ ゴシック" w:eastAsia="ＭＳ ゴシック" w:hAnsi="ＭＳ ゴシック" w:cs="ＭＳ ゴシック" w:hint="eastAsia"/>
          <w:color w:val="545456"/>
          <w:lang w:eastAsia="ja-JP"/>
        </w:rPr>
        <w:t>することで、ビジネス上の付加価値と効率性を見出すことができるかもしれませ</w:t>
      </w:r>
      <w:r w:rsidR="00FF09C1" w:rsidRPr="00EF3658">
        <w:rPr>
          <w:rFonts w:ascii="ＭＳ ゴシック" w:eastAsia="ＭＳ ゴシック" w:hAnsi="ＭＳ ゴシック" w:cs="ＭＳ ゴシック" w:hint="eastAsia"/>
          <w:color w:val="545456"/>
          <w:lang w:eastAsia="ja-JP"/>
        </w:rPr>
        <w:t>ん。それぞれの規格は独立して実施することが可能ですが、両規格は相互に支援できるものです。統合的な利用法には以下のようなものが考えられます</w:t>
      </w:r>
      <w:r w:rsidR="00A36975">
        <w:rPr>
          <w:rFonts w:ascii="ＭＳ ゴシック" w:eastAsia="ＭＳ ゴシック" w:hAnsi="ＭＳ ゴシック" w:cs="ＭＳ ゴシック" w:hint="eastAsia"/>
          <w:color w:val="545456"/>
          <w:lang w:eastAsia="ja-JP"/>
        </w:rPr>
        <w:t>。</w:t>
      </w:r>
    </w:p>
    <w:p w14:paraId="1B6E1250" w14:textId="77777777" w:rsidR="00A36975" w:rsidRDefault="00A36975" w:rsidP="00EF3658">
      <w:pPr>
        <w:pStyle w:val="a3"/>
        <w:ind w:leftChars="322" w:left="708" w:right="430" w:firstLineChars="100" w:firstLine="190"/>
        <w:rPr>
          <w:rFonts w:ascii="ＭＳ ゴシック" w:eastAsia="ＭＳ ゴシック" w:hAnsi="ＭＳ ゴシック" w:cs="ＭＳ ゴシック"/>
          <w:color w:val="545456"/>
          <w:lang w:eastAsia="ja-JP"/>
        </w:rPr>
      </w:pPr>
    </w:p>
    <w:p w14:paraId="1C7B2B04" w14:textId="77777777" w:rsidR="00A36975" w:rsidRPr="00EF3658" w:rsidRDefault="00A36975">
      <w:pPr>
        <w:pStyle w:val="a5"/>
        <w:numPr>
          <w:ilvl w:val="0"/>
          <w:numId w:val="57"/>
        </w:numPr>
        <w:tabs>
          <w:tab w:val="left" w:pos="709"/>
        </w:tabs>
        <w:ind w:left="709" w:right="266"/>
        <w:rPr>
          <w:rFonts w:ascii="ＭＳ ゴシック" w:eastAsia="ＭＳ ゴシック" w:hAnsi="ＭＳ ゴシック"/>
          <w:sz w:val="19"/>
          <w:szCs w:val="19"/>
          <w:lang w:eastAsia="ja-JP"/>
        </w:rPr>
      </w:pPr>
      <w:r w:rsidRPr="00EF3658">
        <w:rPr>
          <w:rFonts w:ascii="ＭＳ ゴシック" w:eastAsia="ＭＳ ゴシック" w:hAnsi="ＭＳ ゴシック" w:cs="ＭＳ ゴシック" w:hint="eastAsia"/>
          <w:sz w:val="19"/>
          <w:szCs w:val="19"/>
          <w:lang w:eastAsia="ja-JP"/>
        </w:rPr>
        <w:t>企業基準と</w:t>
      </w:r>
      <w:r w:rsidRPr="00EF3658">
        <w:rPr>
          <w:rFonts w:ascii="ＭＳ ゴシック" w:eastAsia="ＭＳ ゴシック" w:hAnsi="ＭＳ ゴシック"/>
          <w:sz w:val="19"/>
          <w:szCs w:val="19"/>
          <w:lang w:eastAsia="ja-JP"/>
        </w:rPr>
        <w:t>Scope3</w:t>
      </w:r>
      <w:r w:rsidRPr="00EF3658">
        <w:rPr>
          <w:rFonts w:ascii="ＭＳ ゴシック" w:eastAsia="ＭＳ ゴシック" w:hAnsi="ＭＳ ゴシック" w:cs="ＭＳ ゴシック" w:hint="eastAsia"/>
          <w:sz w:val="19"/>
          <w:szCs w:val="19"/>
          <w:lang w:eastAsia="ja-JP"/>
        </w:rPr>
        <w:t>スタンダードを適用し（会社の</w:t>
      </w:r>
      <w:r w:rsidRPr="00EF3658">
        <w:rPr>
          <w:rFonts w:ascii="ＭＳ ゴシック" w:eastAsia="ＭＳ ゴシック" w:hAnsi="ＭＳ ゴシック"/>
          <w:sz w:val="19"/>
          <w:szCs w:val="19"/>
          <w:lang w:eastAsia="ja-JP"/>
        </w:rPr>
        <w:t>Scope1</w:t>
      </w:r>
      <w:r w:rsidRPr="00EF3658">
        <w:rPr>
          <w:rFonts w:ascii="ＭＳ ゴシック" w:eastAsia="ＭＳ ゴシック" w:hAnsi="ＭＳ ゴシック" w:cs="ＭＳ ゴシック" w:hint="eastAsia"/>
          <w:sz w:val="19"/>
          <w:szCs w:val="19"/>
          <w:lang w:eastAsia="ja-JP"/>
        </w:rPr>
        <w:t>、</w:t>
      </w:r>
      <w:r w:rsidRPr="00EF3658">
        <w:rPr>
          <w:rFonts w:ascii="ＭＳ ゴシック" w:eastAsia="ＭＳ ゴシック" w:hAnsi="ＭＳ ゴシック"/>
          <w:sz w:val="19"/>
          <w:szCs w:val="19"/>
          <w:lang w:eastAsia="ja-JP"/>
        </w:rPr>
        <w:t>Scope2</w:t>
      </w:r>
      <w:r w:rsidRPr="00EF3658">
        <w:rPr>
          <w:rFonts w:ascii="ＭＳ ゴシック" w:eastAsia="ＭＳ ゴシック" w:hAnsi="ＭＳ ゴシック" w:cs="ＭＳ ゴシック" w:hint="eastAsia"/>
          <w:sz w:val="19"/>
          <w:szCs w:val="19"/>
          <w:lang w:eastAsia="ja-JP"/>
        </w:rPr>
        <w:t>、</w:t>
      </w:r>
      <w:r w:rsidRPr="00EF3658">
        <w:rPr>
          <w:rFonts w:ascii="ＭＳ ゴシック" w:eastAsia="ＭＳ ゴシック" w:hAnsi="ＭＳ ゴシック"/>
          <w:sz w:val="19"/>
          <w:szCs w:val="19"/>
          <w:lang w:eastAsia="ja-JP"/>
        </w:rPr>
        <w:t>Scope3</w:t>
      </w:r>
      <w:r w:rsidRPr="00EF3658">
        <w:rPr>
          <w:rFonts w:ascii="ＭＳ ゴシック" w:eastAsia="ＭＳ ゴシック" w:hAnsi="ＭＳ ゴシック" w:cs="ＭＳ ゴシック" w:hint="eastAsia"/>
          <w:sz w:val="19"/>
          <w:szCs w:val="19"/>
          <w:lang w:eastAsia="ja-JP"/>
        </w:rPr>
        <w:t>総排出量を決定）、その結果を用いて最も排出量の多い製品を特定し、製品基準を用いて、選択した製品のライフサイクルにおける軽減の機会を特定する。</w:t>
      </w:r>
    </w:p>
    <w:p w14:paraId="3C2DEAA8" w14:textId="631E95A8" w:rsidR="00A36975" w:rsidRPr="00EF3658" w:rsidRDefault="00A36975">
      <w:pPr>
        <w:pStyle w:val="a5"/>
        <w:numPr>
          <w:ilvl w:val="0"/>
          <w:numId w:val="57"/>
        </w:numPr>
        <w:tabs>
          <w:tab w:val="left" w:pos="709"/>
        </w:tabs>
        <w:ind w:left="709" w:right="266"/>
        <w:rPr>
          <w:rFonts w:ascii="ＭＳ ゴシック" w:eastAsia="ＭＳ ゴシック" w:hAnsi="ＭＳ ゴシック"/>
          <w:sz w:val="19"/>
          <w:szCs w:val="19"/>
          <w:lang w:eastAsia="ja-JP"/>
        </w:rPr>
      </w:pPr>
      <w:r w:rsidRPr="00EF3658">
        <w:rPr>
          <w:rFonts w:ascii="ＭＳ ゴシック" w:eastAsia="ＭＳ ゴシック" w:hAnsi="ＭＳ ゴシック" w:cs="ＭＳ ゴシック" w:hint="eastAsia"/>
          <w:color w:val="545456"/>
          <w:sz w:val="19"/>
          <w:szCs w:val="19"/>
          <w:lang w:eastAsia="ja-JP"/>
        </w:rPr>
        <w:t>特定の製品タイプに関連する</w:t>
      </w:r>
      <w:r w:rsidRPr="00EF3658">
        <w:rPr>
          <w:rFonts w:ascii="ＭＳ ゴシック" w:eastAsia="ＭＳ ゴシック" w:hAnsi="ＭＳ ゴシック"/>
          <w:color w:val="545456"/>
          <w:sz w:val="19"/>
          <w:szCs w:val="19"/>
          <w:lang w:eastAsia="ja-JP"/>
        </w:rPr>
        <w:t>Scope3</w:t>
      </w:r>
      <w:r w:rsidRPr="00EF3658">
        <w:rPr>
          <w:rFonts w:ascii="ＭＳ ゴシック" w:eastAsia="ＭＳ ゴシック" w:hAnsi="ＭＳ ゴシック" w:cs="ＭＳ ゴシック" w:hint="eastAsia"/>
          <w:color w:val="545456"/>
          <w:sz w:val="19"/>
          <w:szCs w:val="19"/>
          <w:lang w:eastAsia="ja-JP"/>
        </w:rPr>
        <w:t>排出量を計算するためのデータ源として、製品規格に基づく製品レベルの</w:t>
      </w:r>
      <w:r w:rsidRPr="00EF3658">
        <w:rPr>
          <w:rFonts w:ascii="ＭＳ ゴシック" w:eastAsia="ＭＳ ゴシック" w:hAnsi="ＭＳ ゴシック"/>
          <w:color w:val="545456"/>
          <w:sz w:val="19"/>
          <w:szCs w:val="19"/>
          <w:lang w:eastAsia="ja-JP"/>
        </w:rPr>
        <w:t>GHG</w:t>
      </w:r>
      <w:r w:rsidRPr="00EF3658">
        <w:rPr>
          <w:rFonts w:ascii="ＭＳ ゴシック" w:eastAsia="ＭＳ ゴシック" w:hAnsi="ＭＳ ゴシック" w:cs="ＭＳ ゴシック" w:hint="eastAsia"/>
          <w:color w:val="545456"/>
          <w:sz w:val="19"/>
          <w:szCs w:val="19"/>
          <w:lang w:eastAsia="ja-JP"/>
        </w:rPr>
        <w:t>データを使用する。</w:t>
      </w:r>
    </w:p>
    <w:p w14:paraId="596540FE" w14:textId="27604325" w:rsidR="00A36975" w:rsidRDefault="007A0E94">
      <w:pPr>
        <w:pStyle w:val="a3"/>
        <w:numPr>
          <w:ilvl w:val="0"/>
          <w:numId w:val="57"/>
        </w:numPr>
        <w:ind w:left="709" w:right="430"/>
        <w:rPr>
          <w:rFonts w:ascii="ＭＳ ゴシック" w:eastAsia="ＭＳ ゴシック" w:hAnsi="ＭＳ ゴシック" w:cs="ＭＳ ゴシック"/>
          <w:color w:val="545456"/>
          <w:lang w:eastAsia="ja-JP"/>
        </w:rPr>
      </w:pPr>
      <w:r w:rsidRPr="00EF3658">
        <w:rPr>
          <w:rFonts w:ascii="ＭＳ ゴシック" w:eastAsia="ＭＳ ゴシック" w:hAnsi="ＭＳ ゴシック"/>
          <w:noProof/>
          <w:lang w:eastAsia="ja-JP"/>
        </w:rPr>
        <w:drawing>
          <wp:anchor distT="0" distB="0" distL="114300" distR="114300" simplePos="0" relativeHeight="251426304" behindDoc="0" locked="0" layoutInCell="1" allowOverlap="1" wp14:anchorId="69FFD124" wp14:editId="31F3E19E">
            <wp:simplePos x="0" y="0"/>
            <wp:positionH relativeFrom="column">
              <wp:posOffset>1104900</wp:posOffset>
            </wp:positionH>
            <wp:positionV relativeFrom="paragraph">
              <wp:posOffset>222250</wp:posOffset>
            </wp:positionV>
            <wp:extent cx="5295265" cy="3213100"/>
            <wp:effectExtent l="0" t="0" r="635" b="6350"/>
            <wp:wrapTopAndBottom/>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95265" cy="3213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6975" w:rsidRPr="00EF3658">
        <w:rPr>
          <w:rFonts w:ascii="ＭＳ ゴシック" w:eastAsia="ＭＳ ゴシック" w:hAnsi="ＭＳ ゴシック" w:cs="ＭＳ ゴシック" w:hint="eastAsia"/>
          <w:color w:val="545456"/>
          <w:lang w:eastAsia="ja-JP"/>
        </w:rPr>
        <w:t>企業基準、</w:t>
      </w:r>
      <w:r w:rsidR="00A36975" w:rsidRPr="00EF3658">
        <w:rPr>
          <w:rFonts w:ascii="ＭＳ ゴシック" w:eastAsia="ＭＳ ゴシック" w:hAnsi="ＭＳ ゴシック"/>
          <w:color w:val="545456"/>
          <w:lang w:eastAsia="ja-JP"/>
        </w:rPr>
        <w:t>Scope3</w:t>
      </w:r>
      <w:r w:rsidR="00A36975" w:rsidRPr="00EF3658">
        <w:rPr>
          <w:rFonts w:ascii="ＭＳ ゴシック" w:eastAsia="ＭＳ ゴシック" w:hAnsi="ＭＳ ゴシック" w:cs="ＭＳ ゴシック" w:hint="eastAsia"/>
          <w:color w:val="545456"/>
          <w:lang w:eastAsia="ja-JP"/>
        </w:rPr>
        <w:t>基準、製品基準を適用し、その結果を製</w:t>
      </w:r>
      <w:r w:rsidR="00A36975" w:rsidRPr="00EF3658">
        <w:rPr>
          <w:rFonts w:ascii="ＭＳ ゴシック" w:eastAsia="ＭＳ ゴシック" w:hAnsi="ＭＳ ゴシック" w:cs="ＭＳ ゴシック" w:hint="eastAsia"/>
          <w:color w:val="545456"/>
          <w:lang w:eastAsia="ja-JP"/>
        </w:rPr>
        <w:t>品および企業レベルでの</w:t>
      </w:r>
      <w:r w:rsidR="00A36975" w:rsidRPr="00EF3658">
        <w:rPr>
          <w:rFonts w:ascii="ＭＳ ゴシック" w:eastAsia="ＭＳ ゴシック" w:hAnsi="ＭＳ ゴシック"/>
          <w:color w:val="545456"/>
          <w:lang w:eastAsia="ja-JP"/>
        </w:rPr>
        <w:t>GHG</w:t>
      </w:r>
      <w:r w:rsidR="00A36975" w:rsidRPr="00EF3658">
        <w:rPr>
          <w:rFonts w:ascii="ＭＳ ゴシック" w:eastAsia="ＭＳ ゴシック" w:hAnsi="ＭＳ ゴシック" w:cs="ＭＳ ゴシック" w:hint="eastAsia"/>
          <w:color w:val="545456"/>
          <w:lang w:eastAsia="ja-JP"/>
        </w:rPr>
        <w:t>削減戦略に活用する。</w:t>
      </w:r>
    </w:p>
    <w:p w14:paraId="481BB6EE" w14:textId="0EA3DADF" w:rsidR="00A36975" w:rsidRDefault="00A36975" w:rsidP="00A36975">
      <w:pPr>
        <w:pStyle w:val="a3"/>
        <w:ind w:leftChars="322" w:left="708" w:right="430" w:firstLineChars="100" w:firstLine="190"/>
        <w:rPr>
          <w:rFonts w:ascii="ＭＳ ゴシック" w:eastAsia="ＭＳ ゴシック" w:hAnsi="ＭＳ ゴシック" w:cs="ＭＳ ゴシック"/>
          <w:color w:val="545456"/>
          <w:lang w:eastAsia="ja-JP"/>
        </w:rPr>
      </w:pPr>
    </w:p>
    <w:p w14:paraId="5C01A33C" w14:textId="1C5EF469" w:rsidR="00FF09C1" w:rsidRDefault="00A36975" w:rsidP="00A36975">
      <w:pPr>
        <w:pStyle w:val="a3"/>
        <w:tabs>
          <w:tab w:val="left" w:pos="709"/>
        </w:tabs>
        <w:ind w:left="709" w:right="266"/>
        <w:rPr>
          <w:rFonts w:ascii="ＭＳ ゴシック" w:eastAsia="ＭＳ ゴシック" w:hAnsi="ＭＳ ゴシック" w:cs="ＭＳ ゴシック"/>
          <w:color w:val="545456"/>
          <w:lang w:eastAsia="ja-JP"/>
        </w:rPr>
      </w:pPr>
      <w:r w:rsidRPr="00EF3658">
        <w:rPr>
          <w:rFonts w:ascii="ＭＳ ゴシック" w:eastAsia="ＭＳ ゴシック" w:hAnsi="ＭＳ ゴシック" w:cs="ＭＳ ゴシック" w:hint="eastAsia"/>
          <w:color w:val="545456"/>
          <w:lang w:eastAsia="ja-JP"/>
        </w:rPr>
        <w:t>企業の各製品のライフサイクル排出量と、</w:t>
      </w:r>
      <w:r w:rsidRPr="00EF3658">
        <w:rPr>
          <w:rFonts w:ascii="ＭＳ ゴシック" w:eastAsia="ＭＳ ゴシック" w:hAnsi="ＭＳ ゴシック"/>
          <w:color w:val="545456"/>
          <w:lang w:eastAsia="ja-JP"/>
        </w:rPr>
        <w:t xml:space="preserve">Scope3 </w:t>
      </w:r>
      <w:r w:rsidRPr="00EF3658">
        <w:rPr>
          <w:rFonts w:ascii="ＭＳ ゴシック" w:eastAsia="ＭＳ ゴシック" w:hAnsi="ＭＳ ゴシック" w:cs="ＭＳ ゴシック" w:hint="eastAsia"/>
          <w:color w:val="545456"/>
          <w:lang w:eastAsia="ja-JP"/>
        </w:rPr>
        <w:t>の追加的なカテゴリー</w:t>
      </w:r>
      <w:r w:rsidR="00217FB1" w:rsidRPr="00217FB1">
        <w:rPr>
          <w:rFonts w:ascii="ＭＳ ゴシック" w:eastAsia="ＭＳ ゴシック" w:hAnsi="ＭＳ ゴシック" w:cs="ＭＳ ゴシック" w:hint="eastAsia"/>
          <w:vertAlign w:val="superscript"/>
          <w:lang w:eastAsia="ja-JP"/>
        </w:rPr>
        <w:t>４</w:t>
      </w:r>
      <w:r w:rsidRPr="00EF3658">
        <w:rPr>
          <w:rFonts w:ascii="ＭＳ ゴシック" w:eastAsia="ＭＳ ゴシック" w:hAnsi="ＭＳ ゴシック" w:cs="ＭＳ ゴシック" w:hint="eastAsia"/>
          <w:color w:val="545456"/>
          <w:lang w:eastAsia="ja-JP"/>
        </w:rPr>
        <w:t>（従業員の通勤、出張、投資など）の合計が、企業の総</w:t>
      </w:r>
      <w:r w:rsidRPr="00EF3658">
        <w:rPr>
          <w:rFonts w:ascii="ＭＳ ゴシック" w:eastAsia="ＭＳ ゴシック" w:hAnsi="ＭＳ ゴシック"/>
          <w:color w:val="545456"/>
          <w:lang w:eastAsia="ja-JP"/>
        </w:rPr>
        <w:t xml:space="preserve">GHG </w:t>
      </w:r>
      <w:r w:rsidRPr="00EF3658">
        <w:rPr>
          <w:rFonts w:ascii="ＭＳ ゴシック" w:eastAsia="ＭＳ ゴシック" w:hAnsi="ＭＳ ゴシック" w:cs="ＭＳ ゴシック" w:hint="eastAsia"/>
          <w:color w:val="545456"/>
          <w:lang w:eastAsia="ja-JP"/>
        </w:rPr>
        <w:t>排出量（すなわち、</w:t>
      </w:r>
      <w:r w:rsidRPr="00EF3658">
        <w:rPr>
          <w:rFonts w:ascii="ＭＳ ゴシック" w:eastAsia="ＭＳ ゴシック" w:hAnsi="ＭＳ ゴシック"/>
          <w:color w:val="545456"/>
          <w:lang w:eastAsia="ja-JP"/>
        </w:rPr>
        <w:t>Scope1 + scope2 + scope3</w:t>
      </w:r>
      <w:r w:rsidRPr="00EF3658">
        <w:rPr>
          <w:rFonts w:ascii="ＭＳ ゴシック" w:eastAsia="ＭＳ ゴシック" w:hAnsi="ＭＳ ゴシック" w:cs="ＭＳ ゴシック" w:hint="eastAsia"/>
          <w:color w:val="545456"/>
          <w:lang w:eastAsia="ja-JP"/>
        </w:rPr>
        <w:t>）に近似している必要があります。実際には、</w:t>
      </w:r>
      <w:r w:rsidRPr="00EF3658">
        <w:rPr>
          <w:rFonts w:ascii="ＭＳ ゴシック" w:eastAsia="ＭＳ ゴシック" w:hAnsi="ＭＳ ゴシック"/>
          <w:color w:val="545456"/>
          <w:lang w:eastAsia="ja-JP"/>
        </w:rPr>
        <w:t>Scope3</w:t>
      </w:r>
      <w:r w:rsidRPr="00EF3658">
        <w:rPr>
          <w:rFonts w:ascii="ＭＳ ゴシック" w:eastAsia="ＭＳ ゴシック" w:hAnsi="ＭＳ ゴシック" w:cs="ＭＳ ゴシック" w:hint="eastAsia"/>
          <w:color w:val="545456"/>
          <w:lang w:eastAsia="ja-JP"/>
        </w:rPr>
        <w:t>排出量を計算する際に、個々の製品</w:t>
      </w:r>
      <w:r w:rsidRPr="00EF3658">
        <w:rPr>
          <w:rFonts w:ascii="ＭＳ ゴシック" w:eastAsia="ＭＳ ゴシック" w:hAnsi="ＭＳ ゴシック"/>
          <w:color w:val="545456"/>
          <w:lang w:eastAsia="ja-JP"/>
        </w:rPr>
        <w:t xml:space="preserve"> </w:t>
      </w:r>
      <w:r w:rsidRPr="00EF3658">
        <w:rPr>
          <w:rFonts w:ascii="ＭＳ ゴシック" w:eastAsia="ＭＳ ゴシック" w:hAnsi="ＭＳ ゴシック" w:cs="ＭＳ ゴシック" w:hint="eastAsia"/>
          <w:color w:val="545456"/>
          <w:lang w:eastAsia="ja-JP"/>
        </w:rPr>
        <w:t>のライフサイクル内での排出量を計算することは、</w:t>
      </w:r>
      <w:r w:rsidRPr="00EF3658">
        <w:rPr>
          <w:rFonts w:ascii="ＭＳ ゴシック" w:eastAsia="ＭＳ ゴシック" w:hAnsi="ＭＳ ゴシック"/>
          <w:color w:val="545456"/>
          <w:lang w:eastAsia="ja-JP"/>
        </w:rPr>
        <w:t xml:space="preserve"> </w:t>
      </w:r>
      <w:r w:rsidRPr="00EF3658">
        <w:rPr>
          <w:rFonts w:ascii="ＭＳ ゴシック" w:eastAsia="ＭＳ ゴシック" w:hAnsi="ＭＳ ゴシック" w:cs="ＭＳ ゴシック" w:hint="eastAsia"/>
          <w:color w:val="545456"/>
          <w:lang w:eastAsia="ja-JP"/>
        </w:rPr>
        <w:t>企業には要求されていません。図</w:t>
      </w:r>
      <w:r w:rsidRPr="00EF3658">
        <w:rPr>
          <w:rFonts w:ascii="ＭＳ ゴシック" w:eastAsia="ＭＳ ゴシック" w:hAnsi="ＭＳ ゴシック"/>
          <w:color w:val="545456"/>
          <w:lang w:eastAsia="ja-JP"/>
        </w:rPr>
        <w:t xml:space="preserve"> 1.1 </w:t>
      </w:r>
      <w:r w:rsidRPr="00EF3658">
        <w:rPr>
          <w:rFonts w:ascii="ＭＳ ゴシック" w:eastAsia="ＭＳ ゴシック" w:hAnsi="ＭＳ ゴシック" w:cs="ＭＳ ゴシック" w:hint="eastAsia"/>
          <w:color w:val="545456"/>
          <w:lang w:eastAsia="ja-JP"/>
        </w:rPr>
        <w:t>は、企業基準、製品基準、</w:t>
      </w:r>
      <w:r w:rsidRPr="00EF3658">
        <w:rPr>
          <w:rFonts w:ascii="ＭＳ ゴシック" w:eastAsia="ＭＳ ゴシック" w:hAnsi="ＭＳ ゴシック"/>
          <w:color w:val="545456"/>
          <w:lang w:eastAsia="ja-JP"/>
        </w:rPr>
        <w:t xml:space="preserve">Scope3 </w:t>
      </w:r>
      <w:r w:rsidRPr="00EF3658">
        <w:rPr>
          <w:rFonts w:ascii="ＭＳ ゴシック" w:eastAsia="ＭＳ ゴシック" w:hAnsi="ＭＳ ゴシック" w:cs="ＭＳ ゴシック" w:hint="eastAsia"/>
          <w:color w:val="545456"/>
          <w:lang w:eastAsia="ja-JP"/>
        </w:rPr>
        <w:t>基準の関係を示しています。この単純化された例では、ある企業が</w:t>
      </w:r>
      <w:r w:rsidRPr="00EF3658">
        <w:rPr>
          <w:rFonts w:ascii="ＭＳ ゴシック" w:eastAsia="ＭＳ ゴシック" w:hAnsi="ＭＳ ゴシック"/>
          <w:color w:val="545456"/>
          <w:lang w:eastAsia="ja-JP"/>
        </w:rPr>
        <w:t>1</w:t>
      </w:r>
      <w:r w:rsidRPr="00EF3658">
        <w:rPr>
          <w:rFonts w:ascii="ＭＳ ゴシック" w:eastAsia="ＭＳ ゴシック" w:hAnsi="ＭＳ ゴシック" w:cs="ＭＳ ゴシック" w:hint="eastAsia"/>
          <w:color w:val="545456"/>
          <w:lang w:eastAsia="ja-JP"/>
        </w:rPr>
        <w:t>つの製品（製品</w:t>
      </w:r>
      <w:r w:rsidRPr="00EF3658">
        <w:rPr>
          <w:rFonts w:ascii="ＭＳ ゴシック" w:eastAsia="ＭＳ ゴシック" w:hAnsi="ＭＳ ゴシック"/>
          <w:color w:val="545456"/>
          <w:lang w:eastAsia="ja-JP"/>
        </w:rPr>
        <w:t>A</w:t>
      </w:r>
      <w:r w:rsidRPr="00EF3658">
        <w:rPr>
          <w:rFonts w:ascii="ＭＳ ゴシック" w:eastAsia="ＭＳ ゴシック" w:hAnsi="ＭＳ ゴシック" w:cs="ＭＳ ゴシック" w:hint="eastAsia"/>
          <w:color w:val="545456"/>
          <w:lang w:eastAsia="ja-JP"/>
        </w:rPr>
        <w:t>）を製造しています。この例は、企業レベルの排出範囲と製品レベルのライフサイクルステージがどのように対応しているかを示しています</w:t>
      </w:r>
      <w:r>
        <w:rPr>
          <w:rFonts w:ascii="ＭＳ ゴシック" w:eastAsia="ＭＳ ゴシック" w:hAnsi="ＭＳ ゴシック" w:cs="ＭＳ ゴシック" w:hint="eastAsia"/>
          <w:color w:val="545456"/>
          <w:lang w:eastAsia="ja-JP"/>
        </w:rPr>
        <w:t>。</w:t>
      </w:r>
    </w:p>
    <w:p w14:paraId="733A5807" w14:textId="204FED25" w:rsidR="007A0E94" w:rsidRDefault="007A0E94" w:rsidP="00A36975">
      <w:pPr>
        <w:pStyle w:val="a3"/>
        <w:tabs>
          <w:tab w:val="left" w:pos="709"/>
        </w:tabs>
        <w:ind w:left="709" w:right="266"/>
        <w:rPr>
          <w:rFonts w:ascii="ＭＳ ゴシック" w:eastAsia="ＭＳ ゴシック" w:hAnsi="ＭＳ ゴシック" w:cs="ＭＳ ゴシック"/>
          <w:color w:val="545456"/>
          <w:lang w:eastAsia="ja-JP"/>
        </w:rPr>
      </w:pPr>
    </w:p>
    <w:p w14:paraId="5D05FE47" w14:textId="77777777" w:rsidR="007A0E94" w:rsidRPr="00EF3658" w:rsidRDefault="007A0E94" w:rsidP="007A0E94">
      <w:pPr>
        <w:pStyle w:val="3"/>
        <w:spacing w:before="0"/>
        <w:ind w:left="179" w:firstLine="720"/>
        <w:rPr>
          <w:rFonts w:ascii="ＭＳ ゴシック" w:eastAsia="ＭＳ ゴシック" w:hAnsi="ＭＳ ゴシック"/>
          <w:b w:val="0"/>
          <w:i w:val="0"/>
          <w:color w:val="00ACA1"/>
          <w:sz w:val="19"/>
          <w:szCs w:val="19"/>
          <w:lang w:eastAsia="ja-JP"/>
        </w:rPr>
      </w:pPr>
      <w:r w:rsidRPr="00EF3658">
        <w:rPr>
          <w:rFonts w:ascii="ＭＳ ゴシック" w:eastAsia="ＭＳ ゴシック" w:hAnsi="ＭＳ ゴシック" w:hint="eastAsia"/>
          <w:b w:val="0"/>
          <w:i w:val="0"/>
          <w:color w:val="00ACA1"/>
          <w:sz w:val="19"/>
          <w:szCs w:val="19"/>
          <w:lang w:eastAsia="ja-JP"/>
        </w:rPr>
        <w:t>1.7</w:t>
      </w:r>
      <w:r w:rsidRPr="00EF3658">
        <w:rPr>
          <w:rFonts w:ascii="ＭＳ ゴシック" w:eastAsia="ＭＳ ゴシック" w:hAnsi="ＭＳ ゴシック" w:cs="ＭＳ 明朝" w:hint="eastAsia"/>
          <w:b w:val="0"/>
          <w:i w:val="0"/>
          <w:color w:val="00ACA1"/>
          <w:sz w:val="19"/>
          <w:szCs w:val="19"/>
          <w:lang w:eastAsia="ja-JP"/>
        </w:rPr>
        <w:t xml:space="preserve">　製品の</w:t>
      </w:r>
      <w:r w:rsidRPr="00EF3658">
        <w:rPr>
          <w:rFonts w:ascii="ＭＳ ゴシック" w:eastAsia="ＭＳ ゴシック" w:hAnsi="ＭＳ ゴシック"/>
          <w:b w:val="0"/>
          <w:i w:val="0"/>
          <w:color w:val="00ACA1"/>
          <w:sz w:val="19"/>
          <w:szCs w:val="19"/>
          <w:lang w:eastAsia="ja-JP"/>
        </w:rPr>
        <w:t>GHG</w:t>
      </w:r>
      <w:r w:rsidRPr="00EF3658">
        <w:rPr>
          <w:rFonts w:ascii="ＭＳ ゴシック" w:eastAsia="ＭＳ ゴシック" w:hAnsi="ＭＳ ゴシック" w:cs="ＭＳ 明朝" w:hint="eastAsia"/>
          <w:b w:val="0"/>
          <w:i w:val="0"/>
          <w:color w:val="00ACA1"/>
          <w:sz w:val="19"/>
          <w:szCs w:val="19"/>
          <w:lang w:eastAsia="ja-JP"/>
        </w:rPr>
        <w:t>排出量の限界</w:t>
      </w:r>
    </w:p>
    <w:p w14:paraId="49F8DB75" w14:textId="78630A95" w:rsidR="007A0E94" w:rsidRPr="00EF3658" w:rsidRDefault="007A0E94" w:rsidP="007A0E94">
      <w:pPr>
        <w:ind w:left="709" w:rightChars="195" w:right="429" w:firstLineChars="100" w:firstLine="190"/>
        <w:rPr>
          <w:rFonts w:ascii="ＭＳ ゴシック" w:eastAsia="ＭＳ ゴシック" w:hAnsi="ＭＳ ゴシック" w:cs="Arial"/>
          <w:sz w:val="19"/>
          <w:szCs w:val="19"/>
          <w:lang w:eastAsia="ja-JP"/>
        </w:rPr>
      </w:pPr>
      <w:r w:rsidRPr="00EF3658">
        <w:rPr>
          <w:rFonts w:ascii="ＭＳ ゴシック" w:eastAsia="ＭＳ ゴシック" w:hAnsi="ＭＳ ゴシック" w:cs="ＭＳ ゴシック" w:hint="eastAsia"/>
          <w:sz w:val="19"/>
          <w:szCs w:val="19"/>
          <w:lang w:eastAsia="ja-JP"/>
        </w:rPr>
        <w:t>製品基準では、製品のライフサイクルで発生する</w:t>
      </w:r>
      <w:r w:rsidRPr="00EF3658">
        <w:rPr>
          <w:rFonts w:ascii="ＭＳ ゴシック" w:eastAsia="ＭＳ ゴシック" w:hAnsi="ＭＳ ゴシック"/>
          <w:sz w:val="19"/>
          <w:szCs w:val="19"/>
          <w:lang w:eastAsia="ja-JP"/>
        </w:rPr>
        <w:t>GHG</w:t>
      </w:r>
      <w:r w:rsidRPr="00EF3658">
        <w:rPr>
          <w:rFonts w:ascii="ＭＳ ゴシック" w:eastAsia="ＭＳ ゴシック" w:hAnsi="ＭＳ ゴシック" w:cs="ＭＳ ゴシック" w:hint="eastAsia"/>
          <w:sz w:val="19"/>
          <w:szCs w:val="19"/>
          <w:lang w:eastAsia="ja-JP"/>
        </w:rPr>
        <w:t>の排出と削減を考慮しています。</w:t>
      </w:r>
      <w:r w:rsidRPr="00EF3658">
        <w:rPr>
          <w:rFonts w:ascii="ＭＳ ゴシック" w:eastAsia="ＭＳ ゴシック" w:hAnsi="ＭＳ ゴシック"/>
          <w:sz w:val="19"/>
          <w:szCs w:val="19"/>
          <w:lang w:eastAsia="ja-JP"/>
        </w:rPr>
        <w:t>GHG</w:t>
      </w:r>
      <w:r w:rsidRPr="00EF3658">
        <w:rPr>
          <w:rFonts w:ascii="ＭＳ ゴシック" w:eastAsia="ＭＳ ゴシック" w:hAnsi="ＭＳ ゴシック" w:cs="ＭＳ ゴシック" w:hint="eastAsia"/>
          <w:sz w:val="19"/>
          <w:szCs w:val="19"/>
          <w:lang w:eastAsia="ja-JP"/>
        </w:rPr>
        <w:t>のみに限定した製品評価には、分析を単純化し、利害関係者に明確に伝えることができる結果を生み出すという利点があります。</w:t>
      </w:r>
      <w:r w:rsidRPr="00EF3658">
        <w:rPr>
          <w:rFonts w:ascii="ＭＳ ゴシック" w:eastAsia="ＭＳ ゴシック" w:hAnsi="ＭＳ ゴシック"/>
          <w:sz w:val="19"/>
          <w:szCs w:val="19"/>
          <w:lang w:eastAsia="ja-JP"/>
        </w:rPr>
        <w:t>GHG</w:t>
      </w:r>
      <w:r w:rsidRPr="00EF3658">
        <w:rPr>
          <w:rFonts w:ascii="ＭＳ ゴシック" w:eastAsia="ＭＳ ゴシック" w:hAnsi="ＭＳ ゴシック" w:cs="ＭＳ ゴシック" w:hint="eastAsia"/>
          <w:sz w:val="19"/>
          <w:szCs w:val="19"/>
          <w:lang w:eastAsia="ja-JP"/>
        </w:rPr>
        <w:t>のみの排出量算出の限界としては、環境負荷の中で起きる潜在的な相互作用または共同利益を見落とす可能性があることが挙げられます。したがって、</w:t>
      </w:r>
      <w:r w:rsidRPr="00EF3658">
        <w:rPr>
          <w:rFonts w:ascii="ＭＳ ゴシック" w:eastAsia="ＭＳ ゴシック" w:hAnsi="ＭＳ ゴシック"/>
          <w:sz w:val="19"/>
          <w:szCs w:val="19"/>
          <w:lang w:eastAsia="ja-JP"/>
        </w:rPr>
        <w:t>GHG</w:t>
      </w:r>
      <w:r w:rsidRPr="00EF3658">
        <w:rPr>
          <w:rFonts w:ascii="ＭＳ ゴシック" w:eastAsia="ＭＳ ゴシック" w:hAnsi="ＭＳ ゴシック" w:cs="ＭＳ ゴシック" w:hint="eastAsia"/>
          <w:sz w:val="19"/>
          <w:szCs w:val="19"/>
          <w:lang w:eastAsia="ja-JP"/>
        </w:rPr>
        <w:t>のみの排出量算出の結果を、</w:t>
      </w:r>
      <w:r w:rsidRPr="00EF3658">
        <w:rPr>
          <w:rFonts w:ascii="ＭＳ ゴシック" w:eastAsia="ＭＳ ゴシック" w:hAnsi="ＭＳ ゴシック"/>
          <w:sz w:val="19"/>
          <w:szCs w:val="19"/>
          <w:lang w:eastAsia="ja-JP"/>
        </w:rPr>
        <w:t xml:space="preserve"> </w:t>
      </w:r>
      <w:r w:rsidRPr="00EF3658">
        <w:rPr>
          <w:rFonts w:ascii="ＭＳ ゴシック" w:eastAsia="ＭＳ ゴシック" w:hAnsi="ＭＳ ゴシック" w:cs="ＭＳ ゴシック" w:hint="eastAsia"/>
          <w:sz w:val="19"/>
          <w:szCs w:val="19"/>
          <w:lang w:eastAsia="ja-JP"/>
        </w:rPr>
        <w:t>製品の全体的な環境性能を伝えるために使用すべきではありません。排出量算出の結果に基づいて</w:t>
      </w:r>
      <w:r w:rsidRPr="00EF3658">
        <w:rPr>
          <w:rFonts w:ascii="ＭＳ ゴシック" w:eastAsia="ＭＳ ゴシック" w:hAnsi="ＭＳ ゴシック"/>
          <w:sz w:val="19"/>
          <w:szCs w:val="19"/>
          <w:lang w:eastAsia="ja-JP"/>
        </w:rPr>
        <w:t>GHG</w:t>
      </w:r>
      <w:r w:rsidRPr="00EF3658">
        <w:rPr>
          <w:rFonts w:ascii="ＭＳ ゴシック" w:eastAsia="ＭＳ ゴシック" w:hAnsi="ＭＳ ゴシック" w:cs="ＭＳ ゴシック" w:hint="eastAsia"/>
          <w:sz w:val="19"/>
          <w:szCs w:val="19"/>
          <w:lang w:eastAsia="ja-JP"/>
        </w:rPr>
        <w:t>排出量の削減量を決定する際には、製品のライフサイクルで発生する</w:t>
      </w:r>
      <w:r w:rsidRPr="00EF3658">
        <w:rPr>
          <w:rFonts w:ascii="ＭＳ ゴシック" w:eastAsia="ＭＳ ゴシック" w:hAnsi="ＭＳ ゴシック"/>
          <w:sz w:val="19"/>
          <w:szCs w:val="19"/>
          <w:lang w:eastAsia="ja-JP"/>
        </w:rPr>
        <w:t>GHG</w:t>
      </w:r>
      <w:r w:rsidRPr="00EF3658">
        <w:rPr>
          <w:rFonts w:ascii="ＭＳ ゴシック" w:eastAsia="ＭＳ ゴシック" w:hAnsi="ＭＳ ゴシック" w:cs="ＭＳ ゴシック" w:hint="eastAsia"/>
          <w:sz w:val="19"/>
          <w:szCs w:val="19"/>
          <w:lang w:eastAsia="ja-JP"/>
        </w:rPr>
        <w:t>以外の環境影響も考慮する必要があります。潜在的に重大な非</w:t>
      </w:r>
      <w:r w:rsidRPr="00EF3658">
        <w:rPr>
          <w:rFonts w:ascii="ＭＳ ゴシック" w:eastAsia="ＭＳ ゴシック" w:hAnsi="ＭＳ ゴシック"/>
          <w:sz w:val="19"/>
          <w:szCs w:val="19"/>
          <w:lang w:eastAsia="ja-JP"/>
        </w:rPr>
        <w:t>GHG</w:t>
      </w:r>
      <w:r w:rsidRPr="00EF3658">
        <w:rPr>
          <w:rFonts w:ascii="ＭＳ ゴシック" w:eastAsia="ＭＳ ゴシック" w:hAnsi="ＭＳ ゴシック" w:cs="ＭＳ ゴシック" w:hint="eastAsia"/>
          <w:sz w:val="19"/>
          <w:szCs w:val="19"/>
          <w:lang w:eastAsia="ja-JP"/>
        </w:rPr>
        <w:t>による影響の例として、生態系の劣化、資源の枯渇、オゾン層破壊、</w:t>
      </w:r>
      <w:r w:rsidRPr="00EF3658">
        <w:rPr>
          <w:rFonts w:ascii="ＭＳ ゴシック" w:eastAsia="ＭＳ ゴシック" w:hAnsi="ＭＳ ゴシック"/>
          <w:sz w:val="19"/>
          <w:szCs w:val="19"/>
          <w:lang w:eastAsia="ja-JP"/>
        </w:rPr>
        <w:t xml:space="preserve"> </w:t>
      </w:r>
      <w:r w:rsidRPr="00EF3658">
        <w:rPr>
          <w:rFonts w:ascii="ＭＳ ゴシック" w:eastAsia="ＭＳ ゴシック" w:hAnsi="ＭＳ ゴシック" w:cs="ＭＳ ゴシック" w:hint="eastAsia"/>
          <w:sz w:val="19"/>
          <w:szCs w:val="19"/>
          <w:lang w:eastAsia="ja-JP"/>
        </w:rPr>
        <w:t>人間の健康への悪影響などが挙げられます。</w:t>
      </w:r>
    </w:p>
    <w:p w14:paraId="6B080665" w14:textId="4AA61247" w:rsidR="007A0E94" w:rsidRDefault="007A0E94" w:rsidP="00EB7758">
      <w:pPr>
        <w:pStyle w:val="a3"/>
        <w:ind w:left="709" w:right="430" w:firstLineChars="100" w:firstLine="190"/>
        <w:rPr>
          <w:rFonts w:ascii="ＭＳ ゴシック" w:eastAsia="ＭＳ ゴシック" w:hAnsi="ＭＳ ゴシック" w:cs="ＭＳ ゴシック"/>
          <w:color w:val="545456"/>
          <w:lang w:eastAsia="ja-JP"/>
        </w:rPr>
      </w:pPr>
      <w:r w:rsidRPr="00EF3658">
        <w:rPr>
          <w:rFonts w:ascii="ＭＳ ゴシック" w:eastAsia="ＭＳ ゴシック" w:hAnsi="ＭＳ ゴシック" w:cs="ＭＳ ゴシック" w:hint="eastAsia"/>
          <w:color w:val="545456"/>
          <w:lang w:eastAsia="ja-JP"/>
        </w:rPr>
        <w:t>さらに、本基準は</w:t>
      </w:r>
      <w:r w:rsidRPr="00EF3658">
        <w:rPr>
          <w:rFonts w:ascii="ＭＳ ゴシック" w:eastAsia="ＭＳ ゴシック" w:hAnsi="ＭＳ ゴシック"/>
          <w:color w:val="545456"/>
          <w:lang w:eastAsia="ja-JP"/>
        </w:rPr>
        <w:t>GHG</w:t>
      </w:r>
      <w:r w:rsidRPr="00EF3658">
        <w:rPr>
          <w:rFonts w:ascii="ＭＳ ゴシック" w:eastAsia="ＭＳ ゴシック" w:hAnsi="ＭＳ ゴシック" w:cs="ＭＳ ゴシック" w:hint="eastAsia"/>
          <w:color w:val="545456"/>
          <w:lang w:eastAsia="ja-JP"/>
        </w:rPr>
        <w:t>排出と削減のみに焦点を当てていますが、提供される</w:t>
      </w:r>
      <w:r w:rsidR="00364979">
        <w:rPr>
          <w:rFonts w:ascii="ＭＳ ゴシック" w:eastAsia="ＭＳ ゴシック" w:hAnsi="ＭＳ ゴシック" w:cs="ＭＳ ゴシック" w:hint="eastAsia"/>
          <w:color w:val="545456"/>
          <w:lang w:eastAsia="ja-JP"/>
        </w:rPr>
        <w:t>算出</w:t>
      </w:r>
      <w:r w:rsidRPr="00EF3658">
        <w:rPr>
          <w:rFonts w:ascii="ＭＳ ゴシック" w:eastAsia="ＭＳ ゴシック" w:hAnsi="ＭＳ ゴシック" w:cs="ＭＳ ゴシック" w:hint="eastAsia"/>
          <w:color w:val="545456"/>
          <w:lang w:eastAsia="ja-JP"/>
        </w:rPr>
        <w:t>要件と指針は、他の環境影響のデータ収集にも使用することができます。</w:t>
      </w:r>
      <w:r w:rsidRPr="00EF3658">
        <w:rPr>
          <w:rFonts w:ascii="ＭＳ ゴシック" w:eastAsia="ＭＳ ゴシック" w:hAnsi="ＭＳ ゴシック"/>
          <w:color w:val="545456"/>
          <w:lang w:eastAsia="ja-JP"/>
        </w:rPr>
        <w:t>GHG</w:t>
      </w:r>
      <w:r w:rsidRPr="00EF3658">
        <w:rPr>
          <w:rFonts w:ascii="ＭＳ ゴシック" w:eastAsia="ＭＳ ゴシック" w:hAnsi="ＭＳ ゴシック" w:cs="ＭＳ ゴシック" w:hint="eastAsia"/>
          <w:color w:val="545456"/>
          <w:lang w:eastAsia="ja-JP"/>
        </w:rPr>
        <w:t>以外の環境影響を</w:t>
      </w:r>
      <w:r w:rsidRPr="00EF3658">
        <w:rPr>
          <w:rFonts w:ascii="ＭＳ ゴシック" w:eastAsia="ＭＳ ゴシック" w:hAnsi="ＭＳ ゴシック"/>
          <w:color w:val="545456"/>
          <w:lang w:eastAsia="ja-JP"/>
        </w:rPr>
        <w:t>GHG</w:t>
      </w:r>
      <w:r w:rsidRPr="00EF3658">
        <w:rPr>
          <w:rFonts w:ascii="ＭＳ ゴシック" w:eastAsia="ＭＳ ゴシック" w:hAnsi="ＭＳ ゴシック" w:cs="ＭＳ ゴシック" w:hint="eastAsia"/>
          <w:color w:val="545456"/>
          <w:lang w:eastAsia="ja-JP"/>
        </w:rPr>
        <w:t>排出量に含めたい企業は、この基準で提供される同じ手順と方法を使用することでそうすることができます。</w:t>
      </w:r>
    </w:p>
    <w:p w14:paraId="35496DCC" w14:textId="77777777" w:rsidR="007A0E94" w:rsidRPr="007A0E94" w:rsidRDefault="007A0E94" w:rsidP="00A36975">
      <w:pPr>
        <w:pStyle w:val="a3"/>
        <w:tabs>
          <w:tab w:val="left" w:pos="709"/>
        </w:tabs>
        <w:ind w:left="709" w:right="266"/>
        <w:rPr>
          <w:rFonts w:ascii="ＭＳ ゴシック" w:eastAsia="ＭＳ ゴシック" w:hAnsi="ＭＳ ゴシック" w:cs="ＭＳ ゴシック"/>
          <w:color w:val="545456"/>
          <w:lang w:eastAsia="ja-JP"/>
        </w:rPr>
      </w:pPr>
    </w:p>
    <w:p w14:paraId="11A16CDF" w14:textId="140FABC6" w:rsidR="007A0E94" w:rsidRDefault="007A0E94" w:rsidP="00A36975">
      <w:pPr>
        <w:pStyle w:val="a3"/>
        <w:tabs>
          <w:tab w:val="left" w:pos="709"/>
        </w:tabs>
        <w:ind w:right="266"/>
        <w:rPr>
          <w:rFonts w:ascii="ＭＳ ゴシック" w:eastAsia="ＭＳ ゴシック" w:hAnsi="ＭＳ ゴシック"/>
          <w:lang w:eastAsia="ja-JP"/>
        </w:rPr>
      </w:pPr>
      <w:r>
        <w:rPr>
          <w:rFonts w:ascii="ＭＳ ゴシック" w:eastAsia="ＭＳ ゴシック" w:hAnsi="ＭＳ ゴシック"/>
          <w:lang w:eastAsia="ja-JP"/>
        </w:rPr>
        <w:br w:type="page"/>
      </w:r>
    </w:p>
    <w:p w14:paraId="383D7C02" w14:textId="3A96E5B4" w:rsidR="007A0E94" w:rsidRDefault="007A0E94" w:rsidP="00A36975">
      <w:pPr>
        <w:pStyle w:val="a3"/>
        <w:tabs>
          <w:tab w:val="left" w:pos="709"/>
        </w:tabs>
        <w:ind w:right="266"/>
        <w:rPr>
          <w:rFonts w:ascii="ＭＳ ゴシック" w:eastAsia="ＭＳ ゴシック" w:hAnsi="ＭＳ ゴシック"/>
          <w:lang w:eastAsia="ja-JP"/>
        </w:rPr>
      </w:pPr>
    </w:p>
    <w:p w14:paraId="638C25A5" w14:textId="59D43241" w:rsidR="00A36975" w:rsidRDefault="00A36975" w:rsidP="00A36975">
      <w:pPr>
        <w:pStyle w:val="a3"/>
        <w:tabs>
          <w:tab w:val="left" w:pos="709"/>
        </w:tabs>
        <w:ind w:right="266"/>
        <w:rPr>
          <w:rFonts w:ascii="ＭＳ ゴシック" w:eastAsia="ＭＳ ゴシック" w:hAnsi="ＭＳ ゴシック"/>
          <w:lang w:eastAsia="ja-JP"/>
        </w:rPr>
      </w:pPr>
    </w:p>
    <w:p w14:paraId="3C28C4AE" w14:textId="77777777" w:rsidR="00A36975" w:rsidRPr="00520AC7" w:rsidRDefault="00A36975" w:rsidP="00A36975">
      <w:pPr>
        <w:pStyle w:val="3"/>
        <w:spacing w:before="1"/>
        <w:ind w:left="258"/>
        <w:rPr>
          <w:color w:val="00ACA1"/>
          <w:sz w:val="21"/>
          <w:szCs w:val="21"/>
        </w:rPr>
      </w:pPr>
      <w:r w:rsidRPr="002048F4">
        <w:rPr>
          <w:rFonts w:ascii="ＭＳ 明朝" w:eastAsia="ＭＳ 明朝" w:hAnsi="ＭＳ 明朝" w:cs="ＭＳ 明朝" w:hint="eastAsia"/>
          <w:color w:val="00ACA1"/>
          <w:sz w:val="21"/>
          <w:szCs w:val="21"/>
          <w:lang w:eastAsia="ja-JP"/>
        </w:rPr>
        <w:t>注釈</w:t>
      </w:r>
    </w:p>
    <w:p w14:paraId="030E1C09" w14:textId="77777777" w:rsidR="00A36975" w:rsidRPr="00520AC7" w:rsidRDefault="00A36975">
      <w:pPr>
        <w:pStyle w:val="a5"/>
        <w:numPr>
          <w:ilvl w:val="0"/>
          <w:numId w:val="61"/>
        </w:numPr>
        <w:tabs>
          <w:tab w:val="left" w:pos="709"/>
        </w:tabs>
        <w:spacing w:before="61" w:line="340" w:lineRule="auto"/>
        <w:ind w:left="709" w:right="1431"/>
        <w:rPr>
          <w:sz w:val="16"/>
        </w:rPr>
      </w:pPr>
      <w:r w:rsidRPr="00520AC7">
        <w:rPr>
          <w:color w:val="545456"/>
          <w:w w:val="95"/>
          <w:sz w:val="16"/>
        </w:rPr>
        <w:t>IPCC, Summary for Policymakers (Table SPM.5: Characteristics</w:t>
      </w:r>
      <w:r w:rsidRPr="00520AC7">
        <w:rPr>
          <w:color w:val="545456"/>
          <w:spacing w:val="-38"/>
          <w:w w:val="95"/>
          <w:sz w:val="16"/>
        </w:rPr>
        <w:t xml:space="preserve"> </w:t>
      </w:r>
      <w:r w:rsidRPr="00520AC7">
        <w:rPr>
          <w:color w:val="545456"/>
          <w:w w:val="95"/>
          <w:sz w:val="16"/>
        </w:rPr>
        <w:t xml:space="preserve">of post-TAR stabilization scenarios), in </w:t>
      </w:r>
      <w:r w:rsidRPr="00520AC7">
        <w:rPr>
          <w:rFonts w:ascii="Arial"/>
          <w:i/>
          <w:color w:val="545456"/>
          <w:w w:val="95"/>
          <w:sz w:val="16"/>
        </w:rPr>
        <w:t>Climate Change 2007:</w:t>
      </w:r>
      <w:r w:rsidRPr="00520AC7">
        <w:rPr>
          <w:rFonts w:ascii="Arial"/>
          <w:i/>
          <w:color w:val="545456"/>
          <w:spacing w:val="1"/>
          <w:w w:val="95"/>
          <w:sz w:val="16"/>
        </w:rPr>
        <w:t xml:space="preserve"> </w:t>
      </w:r>
      <w:r w:rsidRPr="00520AC7">
        <w:rPr>
          <w:rFonts w:ascii="Arial"/>
          <w:i/>
          <w:color w:val="545456"/>
          <w:w w:val="95"/>
          <w:sz w:val="16"/>
        </w:rPr>
        <w:t>Mitigation. Contribution of Working Group III to the Fourth</w:t>
      </w:r>
      <w:r w:rsidRPr="00520AC7">
        <w:rPr>
          <w:rFonts w:ascii="Arial"/>
          <w:i/>
          <w:color w:val="545456"/>
          <w:spacing w:val="1"/>
          <w:w w:val="95"/>
          <w:sz w:val="16"/>
        </w:rPr>
        <w:t xml:space="preserve"> </w:t>
      </w:r>
      <w:r w:rsidRPr="00520AC7">
        <w:rPr>
          <w:rFonts w:ascii="Arial"/>
          <w:i/>
          <w:color w:val="545456"/>
          <w:w w:val="95"/>
          <w:sz w:val="16"/>
        </w:rPr>
        <w:t>Assessment Report of the Intergovernmental Panel on Climate</w:t>
      </w:r>
      <w:r w:rsidRPr="00520AC7">
        <w:rPr>
          <w:rFonts w:ascii="Arial"/>
          <w:i/>
          <w:color w:val="545456"/>
          <w:spacing w:val="1"/>
          <w:w w:val="95"/>
          <w:sz w:val="16"/>
        </w:rPr>
        <w:t xml:space="preserve"> </w:t>
      </w:r>
      <w:r w:rsidRPr="00520AC7">
        <w:rPr>
          <w:rFonts w:ascii="Arial"/>
          <w:i/>
          <w:color w:val="545456"/>
          <w:w w:val="90"/>
          <w:sz w:val="16"/>
        </w:rPr>
        <w:t>Change,</w:t>
      </w:r>
      <w:r w:rsidRPr="00520AC7">
        <w:rPr>
          <w:rFonts w:ascii="Arial"/>
          <w:i/>
          <w:color w:val="545456"/>
          <w:spacing w:val="3"/>
          <w:w w:val="90"/>
          <w:sz w:val="16"/>
        </w:rPr>
        <w:t xml:space="preserve"> </w:t>
      </w:r>
      <w:r w:rsidRPr="00520AC7">
        <w:rPr>
          <w:color w:val="545456"/>
          <w:w w:val="90"/>
          <w:sz w:val="16"/>
        </w:rPr>
        <w:t>ed.</w:t>
      </w:r>
      <w:r w:rsidRPr="00520AC7">
        <w:rPr>
          <w:color w:val="545456"/>
          <w:spacing w:val="6"/>
          <w:w w:val="90"/>
          <w:sz w:val="16"/>
        </w:rPr>
        <w:t xml:space="preserve"> </w:t>
      </w:r>
      <w:r w:rsidRPr="00520AC7">
        <w:rPr>
          <w:color w:val="545456"/>
          <w:w w:val="90"/>
          <w:sz w:val="16"/>
        </w:rPr>
        <w:t>B.</w:t>
      </w:r>
      <w:r w:rsidRPr="00520AC7">
        <w:rPr>
          <w:color w:val="545456"/>
          <w:spacing w:val="6"/>
          <w:w w:val="90"/>
          <w:sz w:val="16"/>
        </w:rPr>
        <w:t xml:space="preserve"> </w:t>
      </w:r>
      <w:r w:rsidRPr="00520AC7">
        <w:rPr>
          <w:color w:val="545456"/>
          <w:w w:val="90"/>
          <w:sz w:val="16"/>
        </w:rPr>
        <w:t>Metz,</w:t>
      </w:r>
      <w:r w:rsidRPr="00520AC7">
        <w:rPr>
          <w:color w:val="545456"/>
          <w:spacing w:val="6"/>
          <w:w w:val="90"/>
          <w:sz w:val="16"/>
        </w:rPr>
        <w:t xml:space="preserve"> </w:t>
      </w:r>
      <w:r w:rsidRPr="00520AC7">
        <w:rPr>
          <w:color w:val="545456"/>
          <w:w w:val="90"/>
          <w:sz w:val="16"/>
        </w:rPr>
        <w:t>O.R.</w:t>
      </w:r>
      <w:r w:rsidRPr="00520AC7">
        <w:rPr>
          <w:color w:val="545456"/>
          <w:spacing w:val="5"/>
          <w:w w:val="90"/>
          <w:sz w:val="16"/>
        </w:rPr>
        <w:t xml:space="preserve"> </w:t>
      </w:r>
      <w:r w:rsidRPr="00520AC7">
        <w:rPr>
          <w:color w:val="545456"/>
          <w:w w:val="90"/>
          <w:sz w:val="16"/>
        </w:rPr>
        <w:t>Davidson,</w:t>
      </w:r>
      <w:r w:rsidRPr="00520AC7">
        <w:rPr>
          <w:color w:val="545456"/>
          <w:spacing w:val="6"/>
          <w:w w:val="90"/>
          <w:sz w:val="16"/>
        </w:rPr>
        <w:t xml:space="preserve"> </w:t>
      </w:r>
      <w:r w:rsidRPr="00520AC7">
        <w:rPr>
          <w:color w:val="545456"/>
          <w:w w:val="90"/>
          <w:sz w:val="16"/>
        </w:rPr>
        <w:t>P.R.</w:t>
      </w:r>
      <w:r w:rsidRPr="00520AC7">
        <w:rPr>
          <w:color w:val="545456"/>
          <w:spacing w:val="6"/>
          <w:w w:val="90"/>
          <w:sz w:val="16"/>
        </w:rPr>
        <w:t xml:space="preserve"> </w:t>
      </w:r>
      <w:r w:rsidRPr="00520AC7">
        <w:rPr>
          <w:color w:val="545456"/>
          <w:w w:val="90"/>
          <w:sz w:val="16"/>
        </w:rPr>
        <w:t>Bosch,</w:t>
      </w:r>
      <w:r w:rsidRPr="00520AC7">
        <w:rPr>
          <w:color w:val="545456"/>
          <w:spacing w:val="6"/>
          <w:w w:val="90"/>
          <w:sz w:val="16"/>
        </w:rPr>
        <w:t xml:space="preserve"> </w:t>
      </w:r>
      <w:r w:rsidRPr="00520AC7">
        <w:rPr>
          <w:color w:val="545456"/>
          <w:w w:val="90"/>
          <w:sz w:val="16"/>
        </w:rPr>
        <w:t>R.</w:t>
      </w:r>
      <w:r w:rsidRPr="00520AC7">
        <w:rPr>
          <w:color w:val="545456"/>
          <w:spacing w:val="5"/>
          <w:w w:val="90"/>
          <w:sz w:val="16"/>
        </w:rPr>
        <w:t xml:space="preserve"> </w:t>
      </w:r>
      <w:r w:rsidRPr="00520AC7">
        <w:rPr>
          <w:color w:val="545456"/>
          <w:w w:val="90"/>
          <w:sz w:val="16"/>
        </w:rPr>
        <w:t>Dave,</w:t>
      </w:r>
      <w:r w:rsidRPr="00520AC7">
        <w:rPr>
          <w:color w:val="545456"/>
          <w:spacing w:val="6"/>
          <w:w w:val="90"/>
          <w:sz w:val="16"/>
        </w:rPr>
        <w:t xml:space="preserve"> </w:t>
      </w:r>
      <w:r w:rsidRPr="00520AC7">
        <w:rPr>
          <w:color w:val="545456"/>
          <w:w w:val="90"/>
          <w:sz w:val="16"/>
        </w:rPr>
        <w:t>L.A.</w:t>
      </w:r>
      <w:r w:rsidRPr="00520AC7">
        <w:rPr>
          <w:color w:val="545456"/>
          <w:spacing w:val="1"/>
          <w:w w:val="90"/>
          <w:sz w:val="16"/>
        </w:rPr>
        <w:t xml:space="preserve"> </w:t>
      </w:r>
      <w:r w:rsidRPr="00520AC7">
        <w:rPr>
          <w:color w:val="545456"/>
          <w:w w:val="95"/>
          <w:sz w:val="16"/>
        </w:rPr>
        <w:t>Meyer</w:t>
      </w:r>
      <w:r w:rsidRPr="00520AC7">
        <w:rPr>
          <w:color w:val="545456"/>
          <w:spacing w:val="2"/>
          <w:w w:val="95"/>
          <w:sz w:val="16"/>
        </w:rPr>
        <w:t xml:space="preserve"> </w:t>
      </w:r>
      <w:r w:rsidRPr="00520AC7">
        <w:rPr>
          <w:color w:val="545456"/>
          <w:w w:val="95"/>
          <w:sz w:val="16"/>
        </w:rPr>
        <w:t>(Cambridge,</w:t>
      </w:r>
      <w:r w:rsidRPr="00520AC7">
        <w:rPr>
          <w:color w:val="545456"/>
          <w:spacing w:val="2"/>
          <w:w w:val="95"/>
          <w:sz w:val="16"/>
        </w:rPr>
        <w:t xml:space="preserve"> </w:t>
      </w:r>
      <w:r w:rsidRPr="00520AC7">
        <w:rPr>
          <w:color w:val="545456"/>
          <w:w w:val="95"/>
          <w:sz w:val="16"/>
        </w:rPr>
        <w:t>United</w:t>
      </w:r>
      <w:r w:rsidRPr="00520AC7">
        <w:rPr>
          <w:color w:val="545456"/>
          <w:spacing w:val="3"/>
          <w:w w:val="95"/>
          <w:sz w:val="16"/>
        </w:rPr>
        <w:t xml:space="preserve"> </w:t>
      </w:r>
      <w:r w:rsidRPr="00520AC7">
        <w:rPr>
          <w:color w:val="545456"/>
          <w:w w:val="95"/>
          <w:sz w:val="16"/>
        </w:rPr>
        <w:t>Kingdom</w:t>
      </w:r>
      <w:r w:rsidRPr="00520AC7">
        <w:rPr>
          <w:color w:val="545456"/>
          <w:spacing w:val="2"/>
          <w:w w:val="95"/>
          <w:sz w:val="16"/>
        </w:rPr>
        <w:t xml:space="preserve"> </w:t>
      </w:r>
      <w:r w:rsidRPr="00520AC7">
        <w:rPr>
          <w:color w:val="545456"/>
          <w:w w:val="95"/>
          <w:sz w:val="16"/>
        </w:rPr>
        <w:t>and</w:t>
      </w:r>
      <w:r w:rsidRPr="00520AC7">
        <w:rPr>
          <w:color w:val="545456"/>
          <w:spacing w:val="2"/>
          <w:w w:val="95"/>
          <w:sz w:val="16"/>
        </w:rPr>
        <w:t xml:space="preserve"> </w:t>
      </w:r>
      <w:r w:rsidRPr="00520AC7">
        <w:rPr>
          <w:color w:val="545456"/>
          <w:w w:val="95"/>
          <w:sz w:val="16"/>
        </w:rPr>
        <w:t>New</w:t>
      </w:r>
      <w:r w:rsidRPr="00520AC7">
        <w:rPr>
          <w:color w:val="545456"/>
          <w:spacing w:val="3"/>
          <w:w w:val="95"/>
          <w:sz w:val="16"/>
        </w:rPr>
        <w:t xml:space="preserve"> </w:t>
      </w:r>
      <w:r w:rsidRPr="00520AC7">
        <w:rPr>
          <w:color w:val="545456"/>
          <w:w w:val="95"/>
          <w:sz w:val="16"/>
        </w:rPr>
        <w:t>York,</w:t>
      </w:r>
      <w:r w:rsidRPr="00520AC7">
        <w:rPr>
          <w:color w:val="545456"/>
          <w:spacing w:val="2"/>
          <w:w w:val="95"/>
          <w:sz w:val="16"/>
        </w:rPr>
        <w:t xml:space="preserve"> </w:t>
      </w:r>
      <w:r w:rsidRPr="00520AC7">
        <w:rPr>
          <w:color w:val="545456"/>
          <w:w w:val="95"/>
          <w:sz w:val="16"/>
        </w:rPr>
        <w:t>NY,</w:t>
      </w:r>
      <w:r w:rsidRPr="00520AC7">
        <w:rPr>
          <w:color w:val="545456"/>
          <w:spacing w:val="2"/>
          <w:w w:val="95"/>
          <w:sz w:val="16"/>
        </w:rPr>
        <w:t xml:space="preserve"> </w:t>
      </w:r>
      <w:r w:rsidRPr="00520AC7">
        <w:rPr>
          <w:color w:val="545456"/>
          <w:w w:val="95"/>
          <w:sz w:val="16"/>
        </w:rPr>
        <w:t>USA:</w:t>
      </w:r>
      <w:r w:rsidRPr="00520AC7">
        <w:rPr>
          <w:color w:val="545456"/>
          <w:spacing w:val="1"/>
          <w:w w:val="95"/>
          <w:sz w:val="16"/>
        </w:rPr>
        <w:t xml:space="preserve"> </w:t>
      </w:r>
      <w:r w:rsidRPr="00520AC7">
        <w:rPr>
          <w:color w:val="545456"/>
          <w:sz w:val="16"/>
        </w:rPr>
        <w:t>Cambridge</w:t>
      </w:r>
      <w:r w:rsidRPr="00520AC7">
        <w:rPr>
          <w:color w:val="545456"/>
          <w:spacing w:val="-10"/>
          <w:sz w:val="16"/>
        </w:rPr>
        <w:t xml:space="preserve"> </w:t>
      </w:r>
      <w:r w:rsidRPr="00520AC7">
        <w:rPr>
          <w:color w:val="545456"/>
          <w:sz w:val="16"/>
        </w:rPr>
        <w:t>University</w:t>
      </w:r>
      <w:r w:rsidRPr="00520AC7">
        <w:rPr>
          <w:color w:val="545456"/>
          <w:spacing w:val="-9"/>
          <w:sz w:val="16"/>
        </w:rPr>
        <w:t xml:space="preserve"> </w:t>
      </w:r>
      <w:r w:rsidRPr="00520AC7">
        <w:rPr>
          <w:color w:val="545456"/>
          <w:sz w:val="16"/>
        </w:rPr>
        <w:t>Press,</w:t>
      </w:r>
      <w:r w:rsidRPr="00520AC7">
        <w:rPr>
          <w:color w:val="545456"/>
          <w:spacing w:val="-9"/>
          <w:sz w:val="16"/>
        </w:rPr>
        <w:t xml:space="preserve"> </w:t>
      </w:r>
      <w:r w:rsidRPr="00520AC7">
        <w:rPr>
          <w:color w:val="545456"/>
          <w:sz w:val="16"/>
        </w:rPr>
        <w:t>2007).</w:t>
      </w:r>
    </w:p>
    <w:p w14:paraId="4F562A0F" w14:textId="77777777" w:rsidR="00A36975" w:rsidRPr="00112B4F" w:rsidRDefault="00A36975">
      <w:pPr>
        <w:pStyle w:val="a5"/>
        <w:numPr>
          <w:ilvl w:val="0"/>
          <w:numId w:val="61"/>
        </w:numPr>
        <w:tabs>
          <w:tab w:val="left" w:pos="709"/>
        </w:tabs>
        <w:spacing w:before="61" w:line="340" w:lineRule="auto"/>
        <w:ind w:left="709" w:right="1431" w:hanging="283"/>
        <w:rPr>
          <w:sz w:val="16"/>
          <w:lang w:eastAsia="ja-JP"/>
        </w:rPr>
      </w:pPr>
      <w:r w:rsidRPr="00112B4F">
        <w:rPr>
          <w:rFonts w:ascii="ＭＳ ゴシック" w:eastAsia="ＭＳ ゴシック" w:hAnsi="ＭＳ ゴシック" w:cs="ＭＳ ゴシック" w:hint="eastAsia"/>
          <w:color w:val="545456"/>
          <w:sz w:val="16"/>
          <w:lang w:eastAsia="ja-JP"/>
        </w:rPr>
        <w:t>本基準では、製品の総</w:t>
      </w:r>
      <w:r w:rsidRPr="00112B4F">
        <w:rPr>
          <w:color w:val="545456"/>
          <w:sz w:val="16"/>
          <w:lang w:eastAsia="ja-JP"/>
        </w:rPr>
        <w:t>GHG</w:t>
      </w:r>
      <w:r w:rsidRPr="00112B4F">
        <w:rPr>
          <w:rFonts w:ascii="ＭＳ ゴシック" w:eastAsia="ＭＳ ゴシック" w:hAnsi="ＭＳ ゴシック" w:cs="ＭＳ ゴシック" w:hint="eastAsia"/>
          <w:color w:val="545456"/>
          <w:sz w:val="16"/>
          <w:lang w:eastAsia="ja-JP"/>
        </w:rPr>
        <w:t>排出量を計算するために、大気への排出と大気からの削減の両方を考慮します。</w:t>
      </w:r>
      <w:r w:rsidRPr="00112B4F">
        <w:rPr>
          <w:color w:val="545456"/>
          <w:sz w:val="16"/>
          <w:lang w:eastAsia="ja-JP"/>
        </w:rPr>
        <w:t>CO2</w:t>
      </w:r>
      <w:r w:rsidRPr="00112B4F">
        <w:rPr>
          <w:rFonts w:ascii="ＭＳ ゴシック" w:eastAsia="ＭＳ ゴシック" w:hAnsi="ＭＳ ゴシック" w:cs="ＭＳ ゴシック" w:hint="eastAsia"/>
          <w:color w:val="545456"/>
          <w:sz w:val="16"/>
          <w:lang w:eastAsia="ja-JP"/>
        </w:rPr>
        <w:t>の除去は、一般的に光合成の際に行われます。</w:t>
      </w:r>
    </w:p>
    <w:p w14:paraId="37986269" w14:textId="77777777" w:rsidR="00A36975" w:rsidRPr="00112B4F" w:rsidRDefault="00A36975">
      <w:pPr>
        <w:pStyle w:val="a5"/>
        <w:numPr>
          <w:ilvl w:val="0"/>
          <w:numId w:val="61"/>
        </w:numPr>
        <w:tabs>
          <w:tab w:val="left" w:pos="709"/>
        </w:tabs>
        <w:spacing w:before="61" w:line="340" w:lineRule="auto"/>
        <w:ind w:left="709" w:right="1431" w:hanging="283"/>
        <w:rPr>
          <w:sz w:val="16"/>
          <w:lang w:eastAsia="ja-JP"/>
        </w:rPr>
      </w:pPr>
      <w:r w:rsidRPr="00112B4F">
        <w:rPr>
          <w:rFonts w:ascii="ＭＳ ゴシック" w:eastAsia="ＭＳ ゴシック" w:hAnsi="ＭＳ ゴシック" w:cs="ＭＳ ゴシック" w:hint="eastAsia"/>
          <w:color w:val="545456"/>
          <w:sz w:val="16"/>
          <w:lang w:eastAsia="ja-JP"/>
        </w:rPr>
        <w:t>規格全体を通して、この規格を使用する可能性のある企業または組織を表すために、「企業」という用語が使用されています。</w:t>
      </w:r>
    </w:p>
    <w:p w14:paraId="43CCFF27" w14:textId="18F627A3" w:rsidR="00A36975" w:rsidRPr="009E0868" w:rsidRDefault="00A36975">
      <w:pPr>
        <w:pStyle w:val="a5"/>
        <w:numPr>
          <w:ilvl w:val="0"/>
          <w:numId w:val="61"/>
        </w:numPr>
        <w:tabs>
          <w:tab w:val="left" w:pos="709"/>
        </w:tabs>
        <w:spacing w:before="61" w:line="340" w:lineRule="auto"/>
        <w:ind w:left="709" w:right="1431" w:hanging="283"/>
        <w:rPr>
          <w:sz w:val="16"/>
          <w:lang w:eastAsia="ja-JP"/>
        </w:rPr>
        <w:sectPr w:rsidR="00A36975" w:rsidRPr="009E0868" w:rsidSect="005D68A2">
          <w:headerReference w:type="default" r:id="rId57"/>
          <w:footerReference w:type="even" r:id="rId58"/>
          <w:footerReference w:type="default" r:id="rId59"/>
          <w:type w:val="continuous"/>
          <w:pgSz w:w="12240" w:h="15840"/>
          <w:pgMar w:top="740" w:right="0" w:bottom="280" w:left="0" w:header="0" w:footer="859" w:gutter="0"/>
          <w:cols w:num="2" w:space="40"/>
        </w:sectPr>
      </w:pPr>
      <w:r w:rsidRPr="00112B4F">
        <w:rPr>
          <w:color w:val="545456"/>
          <w:sz w:val="16"/>
          <w:lang w:eastAsia="ja-JP"/>
        </w:rPr>
        <w:t>Scope3</w:t>
      </w:r>
      <w:r w:rsidRPr="00112B4F">
        <w:rPr>
          <w:rFonts w:ascii="ＭＳ ゴシック" w:eastAsia="ＭＳ ゴシック" w:hAnsi="ＭＳ ゴシック" w:cs="ＭＳ ゴシック" w:hint="eastAsia"/>
          <w:color w:val="545456"/>
          <w:sz w:val="16"/>
          <w:lang w:eastAsia="ja-JP"/>
        </w:rPr>
        <w:t>カテゴリーとは、企業の所有</w:t>
      </w:r>
      <w:r>
        <w:rPr>
          <w:rFonts w:ascii="ＭＳ ゴシック" w:eastAsia="ＭＳ ゴシック" w:hAnsi="ＭＳ ゴシック" w:cs="ＭＳ ゴシック" w:hint="eastAsia"/>
          <w:color w:val="545456"/>
          <w:sz w:val="16"/>
          <w:lang w:eastAsia="ja-JP"/>
        </w:rPr>
        <w:t>、</w:t>
      </w:r>
      <w:r w:rsidRPr="00520AC7">
        <w:rPr>
          <w:rFonts w:ascii="ＭＳ ゴシック" w:eastAsia="ＭＳ ゴシック" w:hAnsi="ＭＳ ゴシック" w:cs="ＭＳ ゴシック" w:hint="eastAsia"/>
          <w:color w:val="545456"/>
          <w:sz w:val="16"/>
          <w:lang w:eastAsia="ja-JP"/>
        </w:rPr>
        <w:t>支配</w:t>
      </w:r>
      <w:r>
        <w:rPr>
          <w:rFonts w:ascii="ＭＳ ゴシック" w:eastAsia="ＭＳ ゴシック" w:hAnsi="ＭＳ ゴシック" w:cs="ＭＳ ゴシック" w:hint="eastAsia"/>
          <w:color w:val="545456"/>
          <w:sz w:val="16"/>
          <w:lang w:eastAsia="ja-JP"/>
        </w:rPr>
        <w:t>の及ぶ範囲</w:t>
      </w:r>
      <w:r w:rsidRPr="00520AC7">
        <w:rPr>
          <w:rFonts w:ascii="ＭＳ ゴシック" w:eastAsia="ＭＳ ゴシック" w:hAnsi="ＭＳ ゴシック" w:cs="ＭＳ ゴシック" w:hint="eastAsia"/>
          <w:color w:val="545456"/>
          <w:sz w:val="16"/>
          <w:lang w:eastAsia="ja-JP"/>
        </w:rPr>
        <w:t>より上流や下流で発生する活動によって</w:t>
      </w:r>
      <w:r>
        <w:rPr>
          <w:rFonts w:ascii="ＭＳ ゴシック" w:eastAsia="ＭＳ ゴシック" w:hAnsi="ＭＳ ゴシック" w:cs="ＭＳ ゴシック" w:hint="eastAsia"/>
          <w:color w:val="545456"/>
          <w:sz w:val="16"/>
          <w:lang w:eastAsia="ja-JP"/>
        </w:rPr>
        <w:t>定められた</w:t>
      </w:r>
      <w:r w:rsidRPr="00520AC7">
        <w:rPr>
          <w:rFonts w:ascii="ＭＳ ゴシック" w:eastAsia="ＭＳ ゴシック" w:hAnsi="ＭＳ ゴシック" w:cs="ＭＳ ゴシック" w:hint="eastAsia"/>
          <w:color w:val="545456"/>
          <w:sz w:val="16"/>
          <w:lang w:eastAsia="ja-JP"/>
        </w:rPr>
        <w:t>、</w:t>
      </w:r>
      <w:r w:rsidRPr="00520AC7">
        <w:rPr>
          <w:color w:val="545456"/>
          <w:sz w:val="16"/>
          <w:lang w:eastAsia="ja-JP"/>
        </w:rPr>
        <w:t>15</w:t>
      </w:r>
      <w:r w:rsidRPr="00520AC7">
        <w:rPr>
          <w:rFonts w:ascii="ＭＳ ゴシック" w:eastAsia="ＭＳ ゴシック" w:hAnsi="ＭＳ ゴシック" w:cs="ＭＳ ゴシック" w:hint="eastAsia"/>
          <w:color w:val="545456"/>
          <w:sz w:val="16"/>
          <w:lang w:eastAsia="ja-JP"/>
        </w:rPr>
        <w:t>種類の</w:t>
      </w:r>
      <w:r w:rsidRPr="00520AC7">
        <w:rPr>
          <w:color w:val="545456"/>
          <w:sz w:val="16"/>
          <w:lang w:eastAsia="ja-JP"/>
        </w:rPr>
        <w:t>Scope3</w:t>
      </w:r>
      <w:r w:rsidRPr="00520AC7">
        <w:rPr>
          <w:rFonts w:ascii="ＭＳ ゴシック" w:eastAsia="ＭＳ ゴシック" w:hAnsi="ＭＳ ゴシック" w:cs="ＭＳ ゴシック" w:hint="eastAsia"/>
          <w:color w:val="545456"/>
          <w:sz w:val="16"/>
          <w:lang w:eastAsia="ja-JP"/>
        </w:rPr>
        <w:t>排出量のうちの</w:t>
      </w:r>
      <w:r w:rsidRPr="00520AC7">
        <w:rPr>
          <w:color w:val="545456"/>
          <w:sz w:val="16"/>
          <w:lang w:eastAsia="ja-JP"/>
        </w:rPr>
        <w:t>1</w:t>
      </w:r>
      <w:r w:rsidRPr="00520AC7">
        <w:rPr>
          <w:rFonts w:ascii="ＭＳ ゴシック" w:eastAsia="ＭＳ ゴシック" w:hAnsi="ＭＳ ゴシック" w:cs="ＭＳ ゴシック" w:hint="eastAsia"/>
          <w:color w:val="545456"/>
          <w:sz w:val="16"/>
          <w:lang w:eastAsia="ja-JP"/>
        </w:rPr>
        <w:t>つ。</w:t>
      </w:r>
    </w:p>
    <w:p w14:paraId="10C94E3E" w14:textId="0E0773B6" w:rsidR="0055291C" w:rsidRPr="00EF3658" w:rsidRDefault="0055291C" w:rsidP="00EF3658">
      <w:pPr>
        <w:rPr>
          <w:rFonts w:ascii="ＭＳ ゴシック" w:eastAsia="ＭＳ ゴシック" w:hAnsi="ＭＳ ゴシック"/>
          <w:sz w:val="19"/>
          <w:szCs w:val="19"/>
          <w:lang w:eastAsia="ja-JP"/>
        </w:rPr>
        <w:sectPr w:rsidR="0055291C" w:rsidRPr="00EF3658">
          <w:headerReference w:type="even" r:id="rId60"/>
          <w:pgSz w:w="12240" w:h="15840"/>
          <w:pgMar w:top="620" w:right="0" w:bottom="1040" w:left="0" w:header="0" w:footer="859" w:gutter="0"/>
          <w:cols w:space="720"/>
        </w:sectPr>
      </w:pPr>
    </w:p>
    <w:p w14:paraId="0C188158" w14:textId="05ED72F0" w:rsidR="00E73EA7" w:rsidRPr="00EF3658" w:rsidRDefault="00E73EA7" w:rsidP="00EF3658">
      <w:pPr>
        <w:rPr>
          <w:rFonts w:ascii="ＭＳ ゴシック" w:eastAsia="ＭＳ ゴシック" w:hAnsi="ＭＳ ゴシック"/>
          <w:sz w:val="19"/>
          <w:szCs w:val="19"/>
          <w:lang w:eastAsia="ja-JP"/>
        </w:rPr>
        <w:sectPr w:rsidR="00E73EA7" w:rsidRPr="00EF3658">
          <w:type w:val="continuous"/>
          <w:pgSz w:w="12240" w:h="15840"/>
          <w:pgMar w:top="740" w:right="0" w:bottom="280" w:left="0" w:header="0" w:footer="859" w:gutter="0"/>
          <w:cols w:num="2" w:space="720" w:equalWidth="0">
            <w:col w:w="5936" w:space="40"/>
            <w:col w:w="6264"/>
          </w:cols>
        </w:sectPr>
      </w:pPr>
    </w:p>
    <w:p w14:paraId="51F02E45" w14:textId="77777777" w:rsidR="0055291C" w:rsidRPr="00EF3658" w:rsidRDefault="0055291C" w:rsidP="00EF3658">
      <w:pPr>
        <w:pStyle w:val="a3"/>
        <w:rPr>
          <w:rFonts w:ascii="ＭＳ ゴシック" w:eastAsia="ＭＳ ゴシック" w:hAnsi="ＭＳ ゴシック"/>
          <w:lang w:eastAsia="ja-JP"/>
        </w:rPr>
      </w:pPr>
    </w:p>
    <w:p w14:paraId="402AAB1D" w14:textId="4626F528" w:rsidR="0055291C" w:rsidRPr="00EF3658" w:rsidRDefault="00000000" w:rsidP="007A0E94">
      <w:pPr>
        <w:ind w:right="6821"/>
        <w:jc w:val="right"/>
        <w:rPr>
          <w:rFonts w:ascii="ＭＳ ゴシック" w:eastAsia="ＭＳ ゴシック" w:hAnsi="ＭＳ ゴシック"/>
          <w:sz w:val="19"/>
          <w:szCs w:val="19"/>
          <w:lang w:eastAsia="ja-JP"/>
        </w:rPr>
        <w:sectPr w:rsidR="0055291C" w:rsidRPr="00EF3658">
          <w:headerReference w:type="default" r:id="rId61"/>
          <w:footerReference w:type="default" r:id="rId62"/>
          <w:pgSz w:w="12240" w:h="15840"/>
          <w:pgMar w:top="0" w:right="0" w:bottom="1040" w:left="0" w:header="0" w:footer="859" w:gutter="0"/>
          <w:cols w:space="720"/>
        </w:sectPr>
      </w:pPr>
      <w:r>
        <w:rPr>
          <w:rFonts w:ascii="ＭＳ ゴシック" w:eastAsia="ＭＳ ゴシック" w:hAnsi="ＭＳ ゴシック"/>
          <w:sz w:val="19"/>
          <w:szCs w:val="19"/>
        </w:rPr>
        <w:pict w14:anchorId="06C36B55">
          <v:shape id="docshape201" o:spid="_x0000_s3596" style="position:absolute;left:0;text-align:left;margin-left:580.75pt;margin-top:-47.75pt;width:31.3pt;height:285.85pt;z-index:251551232;mso-position-horizontal-relative:page" coordorigin="11615,-955" coordsize="626,5717" path="m12240,-955r-625,l11615,4535r3,131l11643,4733r67,25l11842,4761r398,l12240,-955xe" fillcolor="#00aca1" stroked="f">
            <v:path arrowok="t"/>
            <w10:wrap anchorx="page"/>
          </v:shape>
        </w:pict>
      </w:r>
    </w:p>
    <w:p w14:paraId="15137092" w14:textId="77777777" w:rsidR="0055291C" w:rsidRPr="007A0E94" w:rsidRDefault="0055291C">
      <w:pPr>
        <w:spacing w:line="345" w:lineRule="auto"/>
        <w:rPr>
          <w:rFonts w:eastAsiaTheme="minorEastAsia"/>
          <w:sz w:val="16"/>
          <w:lang w:eastAsia="ja-JP"/>
        </w:rPr>
        <w:sectPr w:rsidR="0055291C" w:rsidRPr="007A0E94">
          <w:type w:val="continuous"/>
          <w:pgSz w:w="12240" w:h="15840"/>
          <w:pgMar w:top="740" w:right="0" w:bottom="280" w:left="0" w:header="0" w:footer="859" w:gutter="0"/>
          <w:cols w:num="2" w:space="720" w:equalWidth="0">
            <w:col w:w="5964" w:space="40"/>
            <w:col w:w="6236"/>
          </w:cols>
        </w:sectPr>
      </w:pPr>
    </w:p>
    <w:p w14:paraId="25D25886" w14:textId="6D3200EA" w:rsidR="0055291C" w:rsidRDefault="00000000">
      <w:pPr>
        <w:pStyle w:val="1"/>
        <w:numPr>
          <w:ilvl w:val="0"/>
          <w:numId w:val="58"/>
        </w:numPr>
        <w:tabs>
          <w:tab w:val="left" w:pos="2415"/>
          <w:tab w:val="left" w:pos="2416"/>
        </w:tabs>
        <w:ind w:left="2415"/>
      </w:pPr>
      <w:r>
        <w:lastRenderedPageBreak/>
        <w:pict w14:anchorId="17B92B8D">
          <v:group id="docshapegroup229" o:spid="_x0000_s3565" style="position:absolute;left:0;text-align:left;margin-left:0;margin-top:0;width:612pt;height:11in;z-index:-251604480;mso-position-horizontal-relative:page;mso-position-vertical-relative:page" coordsize="12240,15840">
            <v:shape id="docshape230" o:spid="_x0000_s3568" type="#_x0000_t75" style="position:absolute;width:12240;height:15840">
              <v:imagedata r:id="rId63" o:title=""/>
            </v:shape>
            <v:rect id="docshape231" o:spid="_x0000_s3567" style="position:absolute;width:12240;height:2015" fillcolor="#f3f4f4" stroked="f">
              <v:fill opacity="45875f"/>
            </v:rect>
            <v:shape id="docshape232" o:spid="_x0000_s3566" style="position:absolute;width:2133;height:2015" coordsize="2133,2015" path="m2132,l,,,2014r1892,l2031,2011r71,-27l2129,1913r3,-139l2132,xe" fillcolor="#00aca1" stroked="f">
              <v:path arrowok="t"/>
            </v:shape>
            <w10:wrap anchorx="page" anchory="page"/>
          </v:group>
        </w:pict>
      </w:r>
      <w:r w:rsidR="00B66709">
        <w:rPr>
          <w:rFonts w:ascii="ＭＳ 明朝" w:eastAsia="ＭＳ 明朝" w:hAnsi="ＭＳ 明朝" w:cs="ＭＳ 明朝" w:hint="eastAsia"/>
          <w:color w:val="545456"/>
          <w:w w:val="95"/>
          <w:lang w:eastAsia="ja-JP"/>
        </w:rPr>
        <w:t>事業目標の設定</w:t>
      </w:r>
    </w:p>
    <w:p w14:paraId="119ACB19" w14:textId="77777777" w:rsidR="0055291C" w:rsidRDefault="0055291C">
      <w:pPr>
        <w:sectPr w:rsidR="0055291C">
          <w:headerReference w:type="even" r:id="rId64"/>
          <w:footerReference w:type="even" r:id="rId65"/>
          <w:pgSz w:w="12240" w:h="15840"/>
          <w:pgMar w:top="1020" w:right="0" w:bottom="280" w:left="0" w:header="0" w:footer="0" w:gutter="0"/>
          <w:cols w:space="720"/>
        </w:sectPr>
      </w:pPr>
    </w:p>
    <w:p w14:paraId="7A6E3D51" w14:textId="77777777" w:rsidR="0055291C" w:rsidRDefault="0055291C">
      <w:pPr>
        <w:pStyle w:val="a3"/>
        <w:rPr>
          <w:rFonts w:ascii="Arial"/>
          <w:b/>
          <w:i/>
          <w:sz w:val="20"/>
        </w:rPr>
      </w:pPr>
    </w:p>
    <w:p w14:paraId="72335850" w14:textId="77777777" w:rsidR="0055291C" w:rsidRDefault="0055291C">
      <w:pPr>
        <w:pStyle w:val="a3"/>
        <w:rPr>
          <w:rFonts w:ascii="Arial"/>
          <w:b/>
          <w:i/>
          <w:sz w:val="20"/>
        </w:rPr>
      </w:pPr>
    </w:p>
    <w:p w14:paraId="36CFFA10" w14:textId="77777777" w:rsidR="0055291C" w:rsidRDefault="0055291C">
      <w:pPr>
        <w:pStyle w:val="a3"/>
        <w:rPr>
          <w:rFonts w:ascii="Arial"/>
          <w:b/>
          <w:i/>
          <w:sz w:val="20"/>
        </w:rPr>
      </w:pPr>
    </w:p>
    <w:p w14:paraId="63B8FB2C" w14:textId="77777777" w:rsidR="0055291C" w:rsidRDefault="0055291C">
      <w:pPr>
        <w:pStyle w:val="a3"/>
        <w:rPr>
          <w:rFonts w:ascii="Arial"/>
          <w:b/>
          <w:i/>
          <w:sz w:val="20"/>
        </w:rPr>
      </w:pPr>
    </w:p>
    <w:p w14:paraId="4A88AC23" w14:textId="77777777" w:rsidR="0055291C" w:rsidRDefault="0055291C">
      <w:pPr>
        <w:pStyle w:val="a3"/>
        <w:rPr>
          <w:rFonts w:ascii="Arial"/>
          <w:b/>
          <w:i/>
          <w:sz w:val="20"/>
        </w:rPr>
      </w:pPr>
    </w:p>
    <w:p w14:paraId="78409CCB" w14:textId="77777777" w:rsidR="0055291C" w:rsidRDefault="0055291C">
      <w:pPr>
        <w:pStyle w:val="a3"/>
        <w:rPr>
          <w:rFonts w:ascii="Arial"/>
          <w:b/>
          <w:i/>
          <w:sz w:val="20"/>
        </w:rPr>
      </w:pPr>
    </w:p>
    <w:p w14:paraId="61CC0F08" w14:textId="77777777" w:rsidR="0055291C" w:rsidRDefault="0055291C">
      <w:pPr>
        <w:pStyle w:val="a3"/>
        <w:rPr>
          <w:rFonts w:ascii="Arial"/>
          <w:b/>
          <w:i/>
          <w:sz w:val="20"/>
        </w:rPr>
      </w:pPr>
    </w:p>
    <w:p w14:paraId="6C698656" w14:textId="77777777" w:rsidR="0055291C" w:rsidRDefault="0055291C">
      <w:pPr>
        <w:pStyle w:val="a3"/>
        <w:rPr>
          <w:rFonts w:ascii="Arial"/>
          <w:b/>
          <w:i/>
          <w:sz w:val="20"/>
        </w:rPr>
      </w:pPr>
    </w:p>
    <w:p w14:paraId="275388AE" w14:textId="77777777" w:rsidR="0055291C" w:rsidRDefault="0055291C">
      <w:pPr>
        <w:pStyle w:val="a3"/>
        <w:rPr>
          <w:rFonts w:ascii="Arial"/>
          <w:b/>
          <w:i/>
          <w:sz w:val="20"/>
        </w:rPr>
      </w:pPr>
    </w:p>
    <w:p w14:paraId="4AAF435E" w14:textId="77777777" w:rsidR="0055291C" w:rsidRDefault="0055291C">
      <w:pPr>
        <w:pStyle w:val="a3"/>
        <w:rPr>
          <w:rFonts w:ascii="Arial"/>
          <w:b/>
          <w:i/>
          <w:sz w:val="20"/>
        </w:rPr>
      </w:pPr>
    </w:p>
    <w:p w14:paraId="40B843EA" w14:textId="77777777" w:rsidR="0055291C" w:rsidRDefault="0055291C">
      <w:pPr>
        <w:pStyle w:val="a3"/>
        <w:rPr>
          <w:rFonts w:ascii="Arial"/>
          <w:b/>
          <w:i/>
          <w:sz w:val="20"/>
        </w:rPr>
      </w:pPr>
    </w:p>
    <w:p w14:paraId="78124EE2" w14:textId="77777777" w:rsidR="0055291C" w:rsidRDefault="0055291C">
      <w:pPr>
        <w:pStyle w:val="a3"/>
        <w:rPr>
          <w:rFonts w:ascii="Arial"/>
          <w:b/>
          <w:i/>
          <w:sz w:val="20"/>
        </w:rPr>
      </w:pPr>
    </w:p>
    <w:p w14:paraId="71691D00" w14:textId="77777777" w:rsidR="0055291C" w:rsidRDefault="0055291C">
      <w:pPr>
        <w:pStyle w:val="a3"/>
        <w:rPr>
          <w:rFonts w:ascii="Arial"/>
          <w:b/>
          <w:i/>
          <w:sz w:val="20"/>
        </w:rPr>
      </w:pPr>
    </w:p>
    <w:p w14:paraId="21B39032" w14:textId="77777777" w:rsidR="0055291C" w:rsidRDefault="0055291C">
      <w:pPr>
        <w:pStyle w:val="a3"/>
        <w:rPr>
          <w:rFonts w:ascii="Arial"/>
          <w:b/>
          <w:i/>
          <w:sz w:val="20"/>
        </w:rPr>
      </w:pPr>
    </w:p>
    <w:p w14:paraId="00AFA1F0" w14:textId="77777777" w:rsidR="0055291C" w:rsidRDefault="0055291C">
      <w:pPr>
        <w:pStyle w:val="a3"/>
        <w:rPr>
          <w:rFonts w:ascii="Arial"/>
          <w:b/>
          <w:i/>
          <w:sz w:val="20"/>
        </w:rPr>
      </w:pPr>
    </w:p>
    <w:p w14:paraId="6CE42A82" w14:textId="77777777" w:rsidR="0055291C" w:rsidRDefault="0055291C">
      <w:pPr>
        <w:pStyle w:val="a3"/>
        <w:rPr>
          <w:rFonts w:ascii="Arial"/>
          <w:b/>
          <w:i/>
          <w:sz w:val="20"/>
        </w:rPr>
      </w:pPr>
    </w:p>
    <w:p w14:paraId="083FB185" w14:textId="77777777" w:rsidR="0055291C" w:rsidRDefault="0055291C">
      <w:pPr>
        <w:pStyle w:val="a3"/>
        <w:rPr>
          <w:rFonts w:ascii="Arial"/>
          <w:b/>
          <w:i/>
          <w:sz w:val="20"/>
        </w:rPr>
      </w:pPr>
    </w:p>
    <w:p w14:paraId="0E89F6BD" w14:textId="77777777" w:rsidR="0055291C" w:rsidRDefault="0055291C">
      <w:pPr>
        <w:pStyle w:val="a3"/>
        <w:rPr>
          <w:rFonts w:ascii="Arial"/>
          <w:b/>
          <w:i/>
          <w:sz w:val="20"/>
        </w:rPr>
      </w:pPr>
    </w:p>
    <w:p w14:paraId="1457B310" w14:textId="77777777" w:rsidR="0055291C" w:rsidRDefault="0055291C">
      <w:pPr>
        <w:pStyle w:val="a3"/>
        <w:rPr>
          <w:rFonts w:ascii="Arial"/>
          <w:b/>
          <w:i/>
          <w:sz w:val="20"/>
        </w:rPr>
      </w:pPr>
    </w:p>
    <w:p w14:paraId="037D1C8C" w14:textId="26B2A212" w:rsidR="0055291C" w:rsidRDefault="00000000">
      <w:pPr>
        <w:pStyle w:val="a3"/>
        <w:rPr>
          <w:rFonts w:ascii="Arial"/>
          <w:b/>
          <w:i/>
          <w:sz w:val="20"/>
        </w:rPr>
      </w:pPr>
      <w:r>
        <w:pict w14:anchorId="74D606C2">
          <v:shape id="docshape239" o:spid="_x0000_s3559" type="#_x0000_t202" style="position:absolute;margin-left:48.65pt;margin-top:4.45pt;width:53.35pt;height:1in;z-index:251553280;mso-position-horizontal-relative:page" filled="f" stroked="f">
            <v:textbox style="mso-next-textbox:#docshape239" inset="0,0,0,0">
              <w:txbxContent>
                <w:p w14:paraId="19BBD890" w14:textId="46C1C9D5" w:rsidR="0055291C" w:rsidRPr="009B4065" w:rsidRDefault="009B4065">
                  <w:pPr>
                    <w:spacing w:line="1628" w:lineRule="exact"/>
                    <w:rPr>
                      <w:rFonts w:ascii="Arial"/>
                      <w:b/>
                      <w:i/>
                      <w:sz w:val="72"/>
                      <w:szCs w:val="18"/>
                    </w:rPr>
                  </w:pPr>
                  <w:r w:rsidRPr="009B4065">
                    <w:rPr>
                      <w:rFonts w:ascii="ＭＳ ゴシック" w:eastAsia="ＭＳ ゴシック" w:hAnsi="ＭＳ ゴシック" w:cs="ＭＳ ゴシック" w:hint="eastAsia"/>
                      <w:b/>
                      <w:i/>
                      <w:color w:val="00ACA1"/>
                      <w:w w:val="84"/>
                      <w:sz w:val="96"/>
                      <w:szCs w:val="20"/>
                      <w:lang w:eastAsia="ja-JP"/>
                    </w:rPr>
                    <w:t>企</w:t>
                  </w:r>
                </w:p>
              </w:txbxContent>
            </v:textbox>
            <w10:wrap anchorx="page"/>
          </v:shape>
        </w:pict>
      </w:r>
    </w:p>
    <w:p w14:paraId="71BCCF05" w14:textId="770F72C3" w:rsidR="0055291C" w:rsidRDefault="0055291C">
      <w:pPr>
        <w:pStyle w:val="a3"/>
        <w:spacing w:before="4"/>
        <w:rPr>
          <w:rFonts w:ascii="Arial"/>
          <w:b/>
          <w:i/>
          <w:sz w:val="24"/>
        </w:rPr>
      </w:pPr>
    </w:p>
    <w:p w14:paraId="735EDA70" w14:textId="7605B654" w:rsidR="0055291C" w:rsidRDefault="00000000">
      <w:pPr>
        <w:pStyle w:val="3"/>
        <w:spacing w:line="364" w:lineRule="auto"/>
        <w:ind w:left="2056" w:right="1112"/>
        <w:jc w:val="both"/>
        <w:rPr>
          <w:lang w:eastAsia="ja-JP"/>
        </w:rPr>
      </w:pPr>
      <w:r>
        <w:pict w14:anchorId="35C87426">
          <v:group id="docshapegroup234" o:spid="_x0000_s3561" style="position:absolute;left:0;text-align:left;margin-left:253.7pt;margin-top:-278.75pt;width:358.55pt;height:382.95pt;z-index:-251603456;mso-position-horizontal-relative:page" coordorigin="5074,-5575" coordsize="7171,7659">
            <v:shape id="docshape235" o:spid="_x0000_s3564" style="position:absolute;left:11614;top:-5570;width:626;height:5717" coordorigin="11615,-5570" coordsize="626,5717" path="m12240,-5570r-625,l11615,-80r3,131l11643,118r67,25l11842,146r398,l12240,-5570xe" fillcolor="#00aca1" stroked="f">
              <v:path arrowok="t"/>
            </v:shape>
            <v:shape id="docshape236" o:spid="_x0000_s3563" style="position:absolute;left:5079;top:-5570;width:7161;height:7649" coordorigin="5079,-5570" coordsize="7161,7649" o:spt="100" adj="0,,0" path="m6524,-5570r-36,32l6436,-5488r-51,49l5945,-4933r-301,460l5472,-4139r-55,128l8039,-4215r1645,189l10536,-3715r244,164l10738,-3615r-44,-64l10650,-3743r-46,-64l10558,-3870r-48,-64l10462,-3997r-50,-62l10362,-4121r-52,-62l10258,-4245r-52,-61l10152,-4367r-54,-60l10044,-4487r-55,-59l9933,-4605r-56,-58l9821,-4721r-56,-57l9708,-4835r-57,-56l9595,-4946r-57,-55l8910,-5563r-9,-7m8810,-5570r1022,862l10860,-3426r380,816l11295,-2324r16,-75l11327,-2474r14,-76l11354,-2627r13,-78l11378,-2783r11,-78l11398,-2940r9,-79l11415,-3099r8,-80l11429,-3259r6,-80l11440,-3420r4,-80l11448,-3580r3,-81l11453,-3741r1,-80l11456,-3901r,-79l11456,-4059r-1,-79l11454,-4217r-42,-835l11360,-5570t-49,l11452,-3804r-191,1625l10946,-1337r-166,241l10845,-1138r65,-43l10975,-1225r64,-45l11103,-1316r64,-47l11231,-1411r63,-49l11358,-1510r62,-50l11483,-1612r62,-52l11606,-1717r61,-53l11728,-1824r60,-54l11847,-1933r59,-55l11965,-2043r58,-56l12080,-2155r56,-56l12192,-2267r48,-49m12240,-2369r-289,334l10653,-1019r-826,375l9538,-589r75,16l9690,-558r77,14l9845,-531r78,12l10002,-507r80,10l10162,-487r80,9l10323,-470r81,7l10485,-457r81,6l10647,-446r81,4l10810,-438r81,3l10972,-433r81,1l11134,-430r81,l11295,-430r80,-1l11454,-432r786,-38m11244,1745r81,-34l11405,1675r78,-36l11560,1601r75,-39l11708,1523r73,-41l11851,1441r70,-43l11988,1355r67,-44l12120,1266r63,-45l12240,1178t,-1707l11038,-435,9392,-624,8540,-935r-244,-164l8338,-1034r44,64l8426,-907r46,64l8518,-779r48,63l8615,-653r49,62l8715,-529r51,62l8818,-405r53,61l8924,-283r54,60l9033,-163r55,59l9143,-45r56,59l9255,71r57,58l9368,185r57,56l9482,296r57,55l10166,913r546,441l11098,1642r146,103m7833,1743r82,33l7996,1807r82,28l8159,1862r80,26l8319,1911r80,22l8479,1953r79,18l8637,1988r78,15l8793,2017r77,12l8946,2040r76,9l9098,2057r75,7l9247,2069r74,4l9393,2076r73,2l9537,2079r674,-51l10752,1913r361,-116l11244,1745,9243,58,8215,-1225r-380,-815l7781,-2326r-17,75l7749,-2176r-14,77l7721,-2022r-12,77l7697,-1867r-10,78l7677,-1710r-9,80l7660,-1551r-7,80l7646,-1391r-5,80l7636,-1230r-5,80l7628,-1070r-3,81l7622,-909r-1,80l7620,-749r-1,79l7619,-590r1,79l7621,-433r42,836l7735,1096r68,472l7833,1743m5418,-640r34,81l5488,-481r37,77l5563,-328r39,74l5642,-181r42,71l5726,-41r43,69l5813,94r44,66l5903,224r46,62l5996,347r47,60l6091,466r48,57l6188,578r49,55l6286,686r50,52l6386,788r513,434l7364,1519r338,170l7833,1743,7626,-846r190,-1625l8132,-3314r165,-240l8232,-3512r-65,42l8103,-3426r-65,46l7974,-3334r-64,47l7846,-3239r-63,49l7720,-3140r-63,50l7595,-3038r-62,52l7472,-2933r-61,53l7350,-2826r-60,54l7230,-2717r-59,55l7113,-2607r-58,56l6998,-2495r-57,56l6885,-2383r-55,56l6261,-1706r-447,540l5522,-784r-104,144m5417,-4011r-33,81l5353,-3849r-29,80l5297,-3689r-25,80l5248,-3530r-22,79l5206,-3372r-18,78l5171,-3216r-16,77l5142,-3062r-13,77l5119,-2910r-10,76l5101,-2760r-7,74l5089,-2612r-4,72l5082,-2468r-2,72l5079,-2326r52,666l5247,-1125r117,356l5418,-640,7125,-2615,8424,-3631r826,-376l9539,-4061r-76,-16l9387,-4092r-78,-14l9232,-4119r-79,-12l9074,-4143r-79,-10l8915,-4163r-81,-9l8754,-4179r-81,-8l8592,-4193r-81,-6l8429,-4204r-81,-4l8267,-4211r-82,-3l8104,-4217r-81,-1l7942,-4219r-80,-1l7781,-4220r-79,1l7622,-4218r-846,41l6074,-4106r-479,66l5417,-4011e" filled="f" strokecolor="#d9dadc" strokeweight=".5pt">
              <v:stroke joinstyle="round"/>
              <v:formulas/>
              <v:path arrowok="t" o:connecttype="segments"/>
            </v:shape>
            <v:shape id="docshape237" o:spid="_x0000_s3562" style="position:absolute;left:11614;top:-5570;width:626;height:5717" coordorigin="11615,-5570" coordsize="626,5717" path="m12240,-5570r-625,l11615,-80r3,131l11643,118r67,25l11842,146r398,l12240,-5570xe" fillcolor="#00aca1" stroked="f">
              <v:path arrowok="t"/>
            </v:shape>
            <w10:wrap anchorx="page"/>
          </v:group>
        </w:pict>
      </w:r>
      <w:r>
        <w:pict w14:anchorId="661CAAEC">
          <v:shape id="docshape238" o:spid="_x0000_s3560" type="#_x0000_t202" style="position:absolute;left:0;text-align:left;margin-left:585.65pt;margin-top:-143.4pt;width:17.7pt;height:119.1pt;z-index:251552256;mso-position-horizontal-relative:page" filled="f" stroked="f">
            <v:textbox style="layout-flow:vertical;mso-layout-flow-alt:bottom-to-top;mso-next-textbox:#docshape238" inset="0,0,0,0">
              <w:txbxContent>
                <w:p w14:paraId="3ECEAFEC"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v:shape>
        </w:pict>
      </w:r>
      <w:r w:rsidR="009B4065" w:rsidRPr="009B4065">
        <w:rPr>
          <w:rFonts w:ascii="ＭＳ 明朝" w:eastAsia="ＭＳ 明朝" w:hAnsi="ＭＳ 明朝" w:cs="ＭＳ 明朝" w:hint="eastAsia"/>
          <w:color w:val="545456"/>
          <w:w w:val="95"/>
          <w:lang w:eastAsia="ja-JP"/>
        </w:rPr>
        <w:t>業は、製品</w:t>
      </w:r>
      <w:r w:rsidR="009B4065" w:rsidRPr="009B4065">
        <w:rPr>
          <w:color w:val="545456"/>
          <w:w w:val="95"/>
          <w:lang w:eastAsia="ja-JP"/>
        </w:rPr>
        <w:t>GHG</w:t>
      </w:r>
      <w:r w:rsidR="009B4065" w:rsidRPr="009B4065">
        <w:rPr>
          <w:rFonts w:ascii="ＭＳ 明朝" w:eastAsia="ＭＳ 明朝" w:hAnsi="ＭＳ 明朝" w:cs="ＭＳ 明朝" w:hint="eastAsia"/>
          <w:color w:val="545456"/>
          <w:w w:val="95"/>
          <w:lang w:eastAsia="ja-JP"/>
        </w:rPr>
        <w:t>排出量算出を実施する前に、まず事業目標を明らかにする必要があります。そうすることで、排出量を算出するために必要な方法とデータが明確に選択できるようになり、算出の手助けとなります。</w:t>
      </w:r>
    </w:p>
    <w:p w14:paraId="18EF02FC" w14:textId="77777777" w:rsidR="0055291C" w:rsidRDefault="0055291C">
      <w:pPr>
        <w:pStyle w:val="a3"/>
        <w:rPr>
          <w:rFonts w:ascii="Arial"/>
          <w:b/>
          <w:i/>
          <w:sz w:val="20"/>
          <w:lang w:eastAsia="ja-JP"/>
        </w:rPr>
      </w:pPr>
    </w:p>
    <w:p w14:paraId="2452409C" w14:textId="77777777" w:rsidR="0055291C" w:rsidRDefault="0055291C">
      <w:pPr>
        <w:rPr>
          <w:rFonts w:ascii="Arial"/>
          <w:sz w:val="20"/>
          <w:lang w:eastAsia="ja-JP"/>
        </w:rPr>
        <w:sectPr w:rsidR="0055291C">
          <w:headerReference w:type="default" r:id="rId66"/>
          <w:footerReference w:type="default" r:id="rId67"/>
          <w:pgSz w:w="12240" w:h="15840"/>
          <w:pgMar w:top="0" w:right="0" w:bottom="1040" w:left="0" w:header="0" w:footer="859" w:gutter="0"/>
          <w:cols w:space="720"/>
        </w:sectPr>
      </w:pPr>
    </w:p>
    <w:p w14:paraId="028569F5" w14:textId="77777777" w:rsidR="0055291C" w:rsidRDefault="0055291C">
      <w:pPr>
        <w:pStyle w:val="a3"/>
        <w:rPr>
          <w:rFonts w:ascii="Arial"/>
          <w:b/>
          <w:i/>
          <w:sz w:val="21"/>
          <w:lang w:eastAsia="ja-JP"/>
        </w:rPr>
      </w:pPr>
    </w:p>
    <w:p w14:paraId="20080AE6" w14:textId="0E11C408" w:rsidR="0055291C" w:rsidRPr="00AF2D90" w:rsidRDefault="00AF2D90" w:rsidP="00AF2D90">
      <w:pPr>
        <w:pStyle w:val="a3"/>
        <w:spacing w:line="312" w:lineRule="auto"/>
        <w:ind w:left="1148" w:right="176" w:firstLineChars="100" w:firstLine="180"/>
        <w:rPr>
          <w:lang w:eastAsia="ja-JP"/>
        </w:rPr>
      </w:pPr>
      <w:r w:rsidRPr="00AF2D90">
        <w:rPr>
          <w:rFonts w:ascii="ＭＳ ゴシック" w:eastAsia="ＭＳ ゴシック" w:hAnsi="ＭＳ ゴシック" w:cs="ＭＳ ゴシック" w:hint="eastAsia"/>
          <w:color w:val="545456"/>
          <w:w w:val="95"/>
          <w:lang w:eastAsia="ja-JP"/>
        </w:rPr>
        <w:t>この基準は、企業が以下に定義され、表</w:t>
      </w:r>
      <w:r w:rsidRPr="00AF2D90">
        <w:rPr>
          <w:color w:val="545456"/>
          <w:w w:val="95"/>
          <w:lang w:eastAsia="ja-JP"/>
        </w:rPr>
        <w:t>2.1</w:t>
      </w:r>
      <w:r w:rsidRPr="00AF2D90">
        <w:rPr>
          <w:rFonts w:ascii="ＭＳ ゴシック" w:eastAsia="ＭＳ ゴシック" w:hAnsi="ＭＳ ゴシック" w:cs="ＭＳ ゴシック" w:hint="eastAsia"/>
          <w:color w:val="545456"/>
          <w:w w:val="95"/>
          <w:lang w:eastAsia="ja-JP"/>
        </w:rPr>
        <w:t>に示されるすべての経営目標に資する情報を収集できるような、包括的な</w:t>
      </w:r>
      <w:r w:rsidR="00364979">
        <w:rPr>
          <w:rFonts w:ascii="ＭＳ ゴシック" w:eastAsia="ＭＳ ゴシック" w:hAnsi="ＭＳ ゴシック" w:cs="ＭＳ ゴシック" w:hint="eastAsia"/>
          <w:color w:val="545456"/>
          <w:w w:val="95"/>
          <w:lang w:eastAsia="ja-JP"/>
        </w:rPr>
        <w:t>算出</w:t>
      </w:r>
      <w:r w:rsidRPr="00AF2D90">
        <w:rPr>
          <w:rFonts w:ascii="ＭＳ ゴシック" w:eastAsia="ＭＳ ゴシック" w:hAnsi="ＭＳ ゴシック" w:cs="ＭＳ ゴシック" w:hint="eastAsia"/>
          <w:color w:val="545456"/>
          <w:w w:val="95"/>
          <w:lang w:eastAsia="ja-JP"/>
        </w:rPr>
        <w:t>および報告の枠組みとして設計されています。</w:t>
      </w:r>
    </w:p>
    <w:p w14:paraId="1520B790" w14:textId="77777777" w:rsidR="000A5DCF" w:rsidRDefault="000A5DCF" w:rsidP="000A5DCF">
      <w:pPr>
        <w:pStyle w:val="3"/>
        <w:tabs>
          <w:tab w:val="left" w:pos="1868"/>
          <w:tab w:val="left" w:pos="1869"/>
        </w:tabs>
        <w:spacing w:before="0"/>
        <w:ind w:left="0"/>
        <w:rPr>
          <w:rFonts w:ascii="ＭＳ 明朝" w:eastAsia="ＭＳ 明朝" w:hAnsi="ＭＳ 明朝" w:cs="ＭＳ 明朝"/>
          <w:color w:val="00ACA1"/>
          <w:lang w:eastAsia="ja-JP"/>
        </w:rPr>
      </w:pPr>
    </w:p>
    <w:p w14:paraId="08109466" w14:textId="75A4B9C3" w:rsidR="0055291C" w:rsidRPr="000A5DCF" w:rsidRDefault="000A5DCF" w:rsidP="000A5DCF">
      <w:pPr>
        <w:pStyle w:val="3"/>
        <w:ind w:left="1440"/>
        <w:rPr>
          <w:color w:val="00ACA1"/>
          <w:lang w:eastAsia="ja-JP"/>
        </w:rPr>
      </w:pPr>
      <w:r w:rsidRPr="000A5DCF">
        <w:rPr>
          <w:rFonts w:ascii="ＭＳ 明朝" w:eastAsia="ＭＳ 明朝" w:hAnsi="ＭＳ 明朝" w:cs="ＭＳ 明朝" w:hint="eastAsia"/>
          <w:color w:val="00ACA1"/>
          <w:lang w:eastAsia="ja-JP"/>
        </w:rPr>
        <w:t xml:space="preserve">2.1　</w:t>
      </w:r>
      <w:r w:rsidR="00AF2D90" w:rsidRPr="000A5DCF">
        <w:rPr>
          <w:rFonts w:ascii="ＭＳ 明朝" w:eastAsia="ＭＳ 明朝" w:hAnsi="ＭＳ 明朝" w:cs="ＭＳ 明朝" w:hint="eastAsia"/>
          <w:color w:val="00ACA1"/>
          <w:lang w:eastAsia="ja-JP"/>
        </w:rPr>
        <w:t>気候変動対策</w:t>
      </w:r>
    </w:p>
    <w:p w14:paraId="7F19CE77" w14:textId="6A3F0AD2" w:rsidR="0055291C" w:rsidRDefault="00C9093A" w:rsidP="00C9093A">
      <w:pPr>
        <w:pStyle w:val="a3"/>
        <w:spacing w:before="54" w:line="312" w:lineRule="auto"/>
        <w:ind w:left="709" w:right="-7" w:firstLineChars="100" w:firstLine="187"/>
        <w:rPr>
          <w:lang w:eastAsia="ja-JP"/>
        </w:rPr>
      </w:pPr>
      <w:r w:rsidRPr="00C9093A">
        <w:rPr>
          <w:rFonts w:ascii="ＭＳ ゴシック" w:eastAsia="ＭＳ ゴシック" w:hAnsi="ＭＳ ゴシック" w:cs="ＭＳ ゴシック" w:hint="eastAsia"/>
          <w:color w:val="545456"/>
          <w:spacing w:val="-3"/>
          <w:lang w:eastAsia="ja-JP"/>
        </w:rPr>
        <w:t>一貫した枠組みに従って実施される製品</w:t>
      </w:r>
      <w:r w:rsidRPr="00C9093A">
        <w:rPr>
          <w:color w:val="545456"/>
          <w:spacing w:val="-3"/>
          <w:lang w:eastAsia="ja-JP"/>
        </w:rPr>
        <w:t>GHG</w:t>
      </w:r>
      <w:r>
        <w:rPr>
          <w:rFonts w:ascii="ＭＳ ゴシック" w:eastAsia="ＭＳ ゴシック" w:hAnsi="ＭＳ ゴシック" w:cs="ＭＳ ゴシック" w:hint="eastAsia"/>
          <w:color w:val="545456"/>
          <w:spacing w:val="-3"/>
          <w:lang w:eastAsia="ja-JP"/>
        </w:rPr>
        <w:t>収支</w:t>
      </w:r>
      <w:r w:rsidRPr="00C9093A">
        <w:rPr>
          <w:rFonts w:ascii="ＭＳ ゴシック" w:eastAsia="ＭＳ ゴシック" w:hAnsi="ＭＳ ゴシック" w:cs="ＭＳ ゴシック" w:hint="eastAsia"/>
          <w:color w:val="545456"/>
          <w:spacing w:val="-3"/>
          <w:lang w:eastAsia="ja-JP"/>
        </w:rPr>
        <w:t>表は、製品のライフサイクルでの</w:t>
      </w:r>
      <w:r w:rsidRPr="00C9093A">
        <w:rPr>
          <w:color w:val="545456"/>
          <w:spacing w:val="-3"/>
          <w:lang w:eastAsia="ja-JP"/>
        </w:rPr>
        <w:t>GHG</w:t>
      </w:r>
      <w:r w:rsidRPr="00C9093A">
        <w:rPr>
          <w:rFonts w:ascii="ＭＳ ゴシック" w:eastAsia="ＭＳ ゴシック" w:hAnsi="ＭＳ ゴシック" w:cs="ＭＳ ゴシック" w:hint="eastAsia"/>
          <w:color w:val="545456"/>
          <w:spacing w:val="-3"/>
          <w:lang w:eastAsia="ja-JP"/>
        </w:rPr>
        <w:t>リスクを理解するのに役立つ定量的なツールを提供します。また、</w:t>
      </w:r>
      <w:r w:rsidRPr="00C9093A">
        <w:rPr>
          <w:color w:val="545456"/>
          <w:spacing w:val="-3"/>
          <w:lang w:eastAsia="ja-JP"/>
        </w:rPr>
        <w:t>GHG</w:t>
      </w:r>
      <w:r w:rsidRPr="00C9093A">
        <w:rPr>
          <w:rFonts w:ascii="ＭＳ ゴシック" w:eastAsia="ＭＳ ゴシック" w:hAnsi="ＭＳ ゴシック" w:cs="ＭＳ ゴシック" w:hint="eastAsia"/>
          <w:color w:val="545456"/>
          <w:spacing w:val="-3"/>
          <w:lang w:eastAsia="ja-JP"/>
        </w:rPr>
        <w:t>排出量は一般的にエネルギー使用量に関連し、製品システムにおける非効率性の象徴となるため、</w:t>
      </w:r>
      <w:r w:rsidRPr="00C9093A">
        <w:rPr>
          <w:color w:val="545456"/>
          <w:spacing w:val="-3"/>
          <w:lang w:eastAsia="ja-JP"/>
        </w:rPr>
        <w:t>GHG</w:t>
      </w:r>
      <w:r>
        <w:rPr>
          <w:rFonts w:ascii="ＭＳ ゴシック" w:eastAsia="ＭＳ ゴシック" w:hAnsi="ＭＳ ゴシック" w:cs="ＭＳ ゴシック" w:hint="eastAsia"/>
          <w:color w:val="545456"/>
          <w:spacing w:val="-3"/>
          <w:lang w:eastAsia="ja-JP"/>
        </w:rPr>
        <w:t>収支</w:t>
      </w:r>
      <w:r w:rsidRPr="00C9093A">
        <w:rPr>
          <w:rFonts w:ascii="ＭＳ ゴシック" w:eastAsia="ＭＳ ゴシック" w:hAnsi="ＭＳ ゴシック" w:cs="ＭＳ ゴシック" w:hint="eastAsia"/>
          <w:color w:val="545456"/>
          <w:spacing w:val="-3"/>
          <w:lang w:eastAsia="ja-JP"/>
        </w:rPr>
        <w:t>表は排出量削減やコスト削減の機会を把握するために利用することも可能です。製品の</w:t>
      </w:r>
      <w:r w:rsidRPr="00C9093A">
        <w:rPr>
          <w:color w:val="545456"/>
          <w:spacing w:val="-3"/>
          <w:lang w:eastAsia="ja-JP"/>
        </w:rPr>
        <w:t>GHG</w:t>
      </w:r>
      <w:r>
        <w:rPr>
          <w:rFonts w:ascii="ＭＳ ゴシック" w:eastAsia="ＭＳ ゴシック" w:hAnsi="ＭＳ ゴシック" w:cs="ＭＳ ゴシック" w:hint="eastAsia"/>
          <w:color w:val="545456"/>
          <w:spacing w:val="-3"/>
          <w:lang w:eastAsia="ja-JP"/>
        </w:rPr>
        <w:t>収支</w:t>
      </w:r>
      <w:r w:rsidRPr="00C9093A">
        <w:rPr>
          <w:rFonts w:ascii="ＭＳ ゴシック" w:eastAsia="ＭＳ ゴシック" w:hAnsi="ＭＳ ゴシック" w:cs="ＭＳ ゴシック" w:hint="eastAsia"/>
          <w:color w:val="545456"/>
          <w:spacing w:val="-3"/>
          <w:lang w:eastAsia="ja-JP"/>
        </w:rPr>
        <w:t>表の利用は、製品メーカーが製品の生産に関して最も近い、あるいは明白な排出源に重点を置きすぎて、ライフサイクルの他の場所における主要な排出削減やコスト削減の機会を見逃してしまうという落とし穴を回避するのに役立ちます。</w:t>
      </w:r>
    </w:p>
    <w:p w14:paraId="10D20F52" w14:textId="53207EE3" w:rsidR="0055291C" w:rsidRDefault="00A41DD8" w:rsidP="00A41DD8">
      <w:pPr>
        <w:pStyle w:val="a3"/>
        <w:spacing w:before="1" w:line="312" w:lineRule="auto"/>
        <w:ind w:left="709" w:right="173" w:firstLineChars="100" w:firstLine="190"/>
        <w:rPr>
          <w:lang w:eastAsia="ja-JP"/>
        </w:rPr>
      </w:pPr>
      <w:r>
        <w:rPr>
          <w:rFonts w:ascii="ＭＳ ゴシック" w:eastAsia="ＭＳ ゴシック" w:hAnsi="ＭＳ ゴシック" w:cs="ＭＳ ゴシック" w:hint="eastAsia"/>
          <w:lang w:eastAsia="ja-JP"/>
        </w:rPr>
        <w:t>製品排出量を算出することは、ライフサイクル内の</w:t>
      </w:r>
      <w:r>
        <w:rPr>
          <w:lang w:eastAsia="ja-JP"/>
        </w:rPr>
        <w:t>GHG</w:t>
      </w:r>
      <w:r>
        <w:rPr>
          <w:rFonts w:ascii="ＭＳ ゴシック" w:eastAsia="ＭＳ ゴシック" w:hAnsi="ＭＳ ゴシック" w:cs="ＭＳ ゴシック" w:hint="eastAsia"/>
          <w:lang w:eastAsia="ja-JP"/>
        </w:rPr>
        <w:t>排出に関連する将来のリスクを評価するための積極的なアプローチにもなります。</w:t>
      </w:r>
      <w:r>
        <w:rPr>
          <w:lang w:eastAsia="ja-JP"/>
        </w:rPr>
        <w:t>GHG</w:t>
      </w:r>
      <w:r>
        <w:rPr>
          <w:rFonts w:ascii="ＭＳ ゴシック" w:eastAsia="ＭＳ ゴシック" w:hAnsi="ＭＳ ゴシック" w:cs="ＭＳ ゴシック" w:hint="eastAsia"/>
          <w:lang w:eastAsia="ja-JP"/>
        </w:rPr>
        <w:t>規制はすでに多くの国で実施されており、今後さらに多くの国で制定される可能性があります。エネルギーは年々希少資源となり、価格変動や信頼性の低下を招いています。</w:t>
      </w:r>
    </w:p>
    <w:p w14:paraId="65A283F8" w14:textId="6F93148A" w:rsidR="0055291C" w:rsidRDefault="0055291C">
      <w:pPr>
        <w:spacing w:before="4"/>
        <w:rPr>
          <w:sz w:val="21"/>
          <w:lang w:eastAsia="ja-JP"/>
        </w:rPr>
      </w:pPr>
    </w:p>
    <w:p w14:paraId="26ADB05D" w14:textId="78FD61A9" w:rsidR="0055291C" w:rsidRDefault="00A41DD8" w:rsidP="005347A7">
      <w:pPr>
        <w:pStyle w:val="a3"/>
        <w:spacing w:line="312" w:lineRule="auto"/>
        <w:ind w:left="709" w:right="288" w:firstLineChars="100" w:firstLine="190"/>
        <w:rPr>
          <w:lang w:eastAsia="ja-JP"/>
        </w:rPr>
      </w:pPr>
      <w:r w:rsidRPr="00A41DD8">
        <w:rPr>
          <w:rFonts w:ascii="ＭＳ ゴシック" w:eastAsia="ＭＳ ゴシック" w:hAnsi="ＭＳ ゴシック" w:cs="ＭＳ ゴシック" w:hint="eastAsia"/>
          <w:color w:val="545456"/>
          <w:lang w:eastAsia="ja-JP"/>
        </w:rPr>
        <w:t>製品のライフサイクルにおける温室効果ガスの発生場所や量を把握することは、その製品に起因する企業のリスク</w:t>
      </w:r>
      <w:r w:rsidRPr="00A41DD8">
        <w:rPr>
          <w:rFonts w:ascii="ＭＳ ゴシック" w:eastAsia="ＭＳ ゴシック" w:hAnsi="ＭＳ ゴシック" w:cs="ＭＳ ゴシック" w:hint="eastAsia"/>
          <w:color w:val="545456"/>
          <w:lang w:eastAsia="ja-JP"/>
        </w:rPr>
        <w:t>の露呈を評価する上で貴重な情報です。投資家は、このような</w:t>
      </w:r>
      <w:r w:rsidRPr="00A41DD8">
        <w:rPr>
          <w:color w:val="545456"/>
          <w:lang w:eastAsia="ja-JP"/>
        </w:rPr>
        <w:t>GHG</w:t>
      </w:r>
      <w:r w:rsidRPr="00A41DD8">
        <w:rPr>
          <w:rFonts w:ascii="ＭＳ ゴシック" w:eastAsia="ＭＳ ゴシック" w:hAnsi="ＭＳ ゴシック" w:cs="ＭＳ ゴシック" w:hint="eastAsia"/>
          <w:color w:val="545456"/>
          <w:lang w:eastAsia="ja-JP"/>
        </w:rPr>
        <w:t>関連リスクを評価・管理していない企業への警戒を徐々に強めています。</w:t>
      </w:r>
    </w:p>
    <w:p w14:paraId="7053AF82" w14:textId="6F99B8F8" w:rsidR="0055291C" w:rsidRDefault="000A5DCF" w:rsidP="005347A7">
      <w:pPr>
        <w:pStyle w:val="a3"/>
        <w:spacing w:before="142" w:line="312" w:lineRule="auto"/>
        <w:ind w:left="709" w:right="430" w:firstLineChars="100" w:firstLine="190"/>
        <w:rPr>
          <w:lang w:eastAsia="ja-JP"/>
        </w:rPr>
      </w:pPr>
      <w:r w:rsidRPr="000A5DCF">
        <w:rPr>
          <w:rFonts w:ascii="ＭＳ ゴシック" w:eastAsia="ＭＳ ゴシック" w:hAnsi="ＭＳ ゴシック" w:cs="ＭＳ ゴシック" w:hint="eastAsia"/>
          <w:color w:val="545456"/>
          <w:lang w:eastAsia="ja-JP"/>
        </w:rPr>
        <w:t>企業は、収支表を使用して製品のライフサイクル内の</w:t>
      </w:r>
      <w:r w:rsidRPr="000A5DCF">
        <w:rPr>
          <w:color w:val="545456"/>
          <w:lang w:eastAsia="ja-JP"/>
        </w:rPr>
        <w:t>GHG</w:t>
      </w:r>
      <w:r w:rsidRPr="000A5DCF">
        <w:rPr>
          <w:rFonts w:ascii="ＭＳ ゴシック" w:eastAsia="ＭＳ ゴシック" w:hAnsi="ＭＳ ゴシック" w:cs="ＭＳ ゴシック" w:hint="eastAsia"/>
          <w:color w:val="545456"/>
          <w:lang w:eastAsia="ja-JP"/>
        </w:rPr>
        <w:t>リスクを評価することで、将来起こりうる規制のコストをより適切にモデル化することができます。例えば、収支表を完成させることで、ライフサイクルのどこにエネルギー集約型の事業があるのかについての理解を深めることができます。企業は、この理解をもとに、エネルギー集約度の低い製品材料への切り替えや、製品流通における複合輸送の利用拡大など、化石燃料への依存度を減らすための戦略を立てることができます。また、投資家などのステークホルダーはこのリスク評価の公表を希望する場合もあり、国によっては</w:t>
      </w:r>
      <w:r w:rsidRPr="000A5DCF">
        <w:rPr>
          <w:color w:val="545456"/>
          <w:lang w:eastAsia="ja-JP"/>
        </w:rPr>
        <w:t>GHG</w:t>
      </w:r>
      <w:r w:rsidRPr="000A5DCF">
        <w:rPr>
          <w:rFonts w:ascii="ＭＳ ゴシック" w:eastAsia="ＭＳ ゴシック" w:hAnsi="ＭＳ ゴシック" w:cs="ＭＳ ゴシック" w:hint="eastAsia"/>
          <w:color w:val="545456"/>
          <w:lang w:eastAsia="ja-JP"/>
        </w:rPr>
        <w:t>リスクの開示を義務付けるよう求める声が高まっています。</w:t>
      </w:r>
    </w:p>
    <w:p w14:paraId="4EDA9455" w14:textId="77777777" w:rsidR="0055291C" w:rsidRDefault="0055291C">
      <w:pPr>
        <w:pStyle w:val="a3"/>
        <w:spacing w:before="6"/>
        <w:rPr>
          <w:sz w:val="25"/>
          <w:lang w:eastAsia="ja-JP"/>
        </w:rPr>
      </w:pPr>
    </w:p>
    <w:p w14:paraId="32797039" w14:textId="5FBD7324" w:rsidR="0055291C" w:rsidRPr="000A5DCF" w:rsidRDefault="000A5DCF" w:rsidP="000A5DCF">
      <w:pPr>
        <w:pStyle w:val="3"/>
        <w:tabs>
          <w:tab w:val="left" w:pos="970"/>
          <w:tab w:val="left" w:pos="972"/>
        </w:tabs>
        <w:spacing w:before="0"/>
        <w:ind w:left="0"/>
        <w:rPr>
          <w:rFonts w:ascii="ＭＳ 明朝" w:eastAsia="ＭＳ 明朝" w:hAnsi="ＭＳ 明朝"/>
          <w:lang w:eastAsia="ja-JP"/>
        </w:rPr>
      </w:pPr>
      <w:r>
        <w:rPr>
          <w:rFonts w:asciiTheme="minorEastAsia" w:eastAsiaTheme="minorEastAsia" w:hAnsiTheme="minorEastAsia"/>
          <w:color w:val="00ACA1"/>
          <w:lang w:eastAsia="ja-JP"/>
        </w:rPr>
        <w:tab/>
      </w:r>
      <w:r w:rsidRPr="000A5DCF">
        <w:rPr>
          <w:rFonts w:ascii="ＭＳ 明朝" w:eastAsia="ＭＳ 明朝" w:hAnsi="ＭＳ 明朝" w:hint="eastAsia"/>
          <w:color w:val="00ACA1"/>
          <w:lang w:eastAsia="ja-JP"/>
        </w:rPr>
        <w:t>2.2</w:t>
      </w:r>
      <w:r w:rsidRPr="000A5DCF">
        <w:rPr>
          <w:rFonts w:ascii="ＭＳ 明朝" w:eastAsia="ＭＳ 明朝" w:hAnsi="ＭＳ 明朝" w:cs="ＭＳ 明朝" w:hint="eastAsia"/>
          <w:color w:val="00ACA1"/>
          <w:lang w:eastAsia="ja-JP"/>
        </w:rPr>
        <w:t xml:space="preserve">　</w:t>
      </w:r>
      <w:r w:rsidR="007A3DD0">
        <w:rPr>
          <w:rFonts w:ascii="ＭＳ 明朝" w:eastAsia="ＭＳ 明朝" w:hAnsi="ＭＳ 明朝" w:cs="ＭＳ 明朝" w:hint="eastAsia"/>
          <w:color w:val="00ACA1"/>
          <w:lang w:eastAsia="ja-JP"/>
        </w:rPr>
        <w:t>排出量の</w:t>
      </w:r>
      <w:r>
        <w:rPr>
          <w:rFonts w:ascii="ＭＳ 明朝" w:eastAsia="ＭＳ 明朝" w:hAnsi="ＭＳ 明朝" w:cs="ＭＳ 明朝" w:hint="eastAsia"/>
          <w:color w:val="00ACA1"/>
          <w:lang w:eastAsia="ja-JP"/>
        </w:rPr>
        <w:t>追跡</w:t>
      </w:r>
    </w:p>
    <w:p w14:paraId="39A1AB63" w14:textId="29CDF6F8" w:rsidR="0055291C" w:rsidRPr="005347A7" w:rsidRDefault="004C5215" w:rsidP="00844F7E">
      <w:pPr>
        <w:pStyle w:val="a3"/>
        <w:spacing w:before="54" w:line="312" w:lineRule="auto"/>
        <w:ind w:left="709" w:right="430" w:firstLineChars="100" w:firstLine="190"/>
        <w:rPr>
          <w:lang w:eastAsia="ja-JP"/>
        </w:rPr>
        <w:sectPr w:rsidR="0055291C" w:rsidRPr="005347A7" w:rsidSect="005347A7">
          <w:type w:val="continuous"/>
          <w:pgSz w:w="12240" w:h="15840"/>
          <w:pgMar w:top="740" w:right="0" w:bottom="280" w:left="0" w:header="0" w:footer="0" w:gutter="0"/>
          <w:cols w:num="2" w:space="40"/>
        </w:sectPr>
      </w:pPr>
      <w:r w:rsidRPr="004C5215">
        <w:rPr>
          <w:rFonts w:ascii="ＭＳ ゴシック" w:eastAsia="ＭＳ ゴシック" w:hAnsi="ＭＳ ゴシック" w:cs="ＭＳ ゴシック" w:hint="eastAsia"/>
          <w:color w:val="545456"/>
          <w:lang w:eastAsia="ja-JP"/>
        </w:rPr>
        <w:t>収支表は、ライフサイクルステージ内および製品システム全体における排出源の相対的な大きさと規模について詳細な情報を提供します。</w:t>
      </w:r>
      <w:r w:rsidR="00AA7C93" w:rsidRPr="00AA7C93">
        <w:rPr>
          <w:rFonts w:ascii="ＭＳ ゴシック" w:eastAsia="ＭＳ ゴシック" w:hAnsi="ＭＳ ゴシック" w:cs="ＭＳ ゴシック" w:hint="eastAsia"/>
          <w:color w:val="545456"/>
          <w:lang w:eastAsia="ja-JP"/>
        </w:rPr>
        <w:t>この情報は、ライフサイクルにおける最大の排出源、すなわち「ホットスポット」を特定し、最も費用対効果の高い排出削減活動に焦点を当てるために利用することができます</w:t>
      </w:r>
      <w:r w:rsidR="00844F7E">
        <w:rPr>
          <w:rFonts w:ascii="ＭＳ ゴシック" w:eastAsia="ＭＳ ゴシック" w:hAnsi="ＭＳ ゴシック" w:cs="ＭＳ ゴシック" w:hint="eastAsia"/>
          <w:color w:val="545456"/>
          <w:lang w:eastAsia="ja-JP"/>
        </w:rPr>
        <w:t>。</w:t>
      </w:r>
    </w:p>
    <w:p w14:paraId="72DA46F7" w14:textId="77777777" w:rsidR="0055291C" w:rsidRDefault="0055291C">
      <w:pPr>
        <w:spacing w:line="243" w:lineRule="exact"/>
        <w:rPr>
          <w:sz w:val="19"/>
          <w:lang w:eastAsia="ja-JP"/>
        </w:rPr>
        <w:sectPr w:rsidR="0055291C">
          <w:headerReference w:type="even" r:id="rId68"/>
          <w:footerReference w:type="even" r:id="rId69"/>
          <w:type w:val="continuous"/>
          <w:pgSz w:w="12240" w:h="15840"/>
          <w:pgMar w:top="740" w:right="0" w:bottom="280" w:left="0" w:header="0" w:footer="0" w:gutter="0"/>
          <w:cols w:num="2" w:space="720" w:equalWidth="0">
            <w:col w:w="2696" w:space="40"/>
            <w:col w:w="9504"/>
          </w:cols>
        </w:sectPr>
      </w:pPr>
    </w:p>
    <w:p w14:paraId="720E3B56" w14:textId="77777777" w:rsidR="0055291C" w:rsidRDefault="0055291C">
      <w:pPr>
        <w:rPr>
          <w:sz w:val="21"/>
          <w:lang w:eastAsia="ja-JP"/>
        </w:rPr>
        <w:sectPr w:rsidR="0055291C">
          <w:type w:val="continuous"/>
          <w:pgSz w:w="12240" w:h="15840"/>
          <w:pgMar w:top="740" w:right="0" w:bottom="280" w:left="0" w:header="0" w:footer="0" w:gutter="0"/>
          <w:cols w:space="720"/>
        </w:sectPr>
      </w:pPr>
    </w:p>
    <w:p w14:paraId="3DA20979" w14:textId="33FF262C" w:rsidR="0055291C" w:rsidRPr="003850E3" w:rsidRDefault="00844F7E" w:rsidP="003850E3">
      <w:pPr>
        <w:pStyle w:val="a3"/>
        <w:spacing w:before="141" w:line="312" w:lineRule="auto"/>
        <w:ind w:left="709" w:right="266" w:firstLineChars="100" w:firstLine="190"/>
        <w:rPr>
          <w:rFonts w:ascii="ＭＳ ゴシック" w:eastAsia="ＭＳ ゴシック" w:hAnsi="ＭＳ ゴシック" w:cs="ＭＳ ゴシック"/>
          <w:color w:val="545456"/>
          <w:lang w:eastAsia="ja-JP"/>
        </w:rPr>
      </w:pPr>
      <w:r>
        <w:rPr>
          <w:noProof/>
        </w:rPr>
        <w:lastRenderedPageBreak/>
        <mc:AlternateContent>
          <mc:Choice Requires="wpg">
            <w:drawing>
              <wp:anchor distT="0" distB="0" distL="114300" distR="114300" simplePos="0" relativeHeight="251427328" behindDoc="0" locked="0" layoutInCell="1" allowOverlap="1" wp14:anchorId="5650FBE9" wp14:editId="742329B6">
                <wp:simplePos x="0" y="0"/>
                <wp:positionH relativeFrom="column">
                  <wp:posOffset>0</wp:posOffset>
                </wp:positionH>
                <wp:positionV relativeFrom="paragraph">
                  <wp:posOffset>0</wp:posOffset>
                </wp:positionV>
                <wp:extent cx="6645910" cy="5351145"/>
                <wp:effectExtent l="0" t="0" r="2540" b="0"/>
                <wp:wrapTopAndBottom/>
                <wp:docPr id="30" name="グループ化 30"/>
                <wp:cNvGraphicFramePr/>
                <a:graphic xmlns:a="http://schemas.openxmlformats.org/drawingml/2006/main">
                  <a:graphicData uri="http://schemas.microsoft.com/office/word/2010/wordprocessingGroup">
                    <wpg:wgp>
                      <wpg:cNvGrpSpPr/>
                      <wpg:grpSpPr>
                        <a:xfrm>
                          <a:off x="0" y="0"/>
                          <a:ext cx="6645910" cy="5351145"/>
                          <a:chOff x="0" y="0"/>
                          <a:chExt cx="6645910" cy="5351145"/>
                        </a:xfrm>
                      </wpg:grpSpPr>
                      <wpg:grpSp>
                        <wpg:cNvPr id="32" name="グループ化 32"/>
                        <wpg:cNvGrpSpPr/>
                        <wpg:grpSpPr>
                          <a:xfrm>
                            <a:off x="107950" y="0"/>
                            <a:ext cx="6534150" cy="683260"/>
                            <a:chOff x="0" y="0"/>
                            <a:chExt cx="6534150" cy="683260"/>
                          </a:xfrm>
                        </wpg:grpSpPr>
                        <wps:wsp>
                          <wps:cNvPr id="34" name="テキスト ボックス 34"/>
                          <wps:cNvSpPr txBox="1"/>
                          <wps:spPr>
                            <a:xfrm>
                              <a:off x="0" y="0"/>
                              <a:ext cx="6534150" cy="425450"/>
                            </a:xfrm>
                            <a:prstGeom prst="rect">
                              <a:avLst/>
                            </a:prstGeom>
                            <a:solidFill>
                              <a:schemeClr val="lt1"/>
                            </a:solidFill>
                            <a:ln w="6350">
                              <a:noFill/>
                            </a:ln>
                          </wps:spPr>
                          <wps:txbx>
                            <w:txbxContent>
                              <w:p w14:paraId="3089A654" w14:textId="77777777" w:rsidR="00844F7E" w:rsidRPr="004F28DF" w:rsidRDefault="00844F7E" w:rsidP="00844F7E">
                                <w:pPr>
                                  <w:jc w:val="center"/>
                                  <w:rPr>
                                    <w:lang w:eastAsia="ja-JP"/>
                                  </w:rPr>
                                </w:pPr>
                                <w:r w:rsidRPr="00BB08C9">
                                  <w:rPr>
                                    <w:rFonts w:ascii="Arial" w:hint="eastAsia"/>
                                    <w:b/>
                                    <w:color w:val="00ACA1"/>
                                    <w:w w:val="95"/>
                                    <w:sz w:val="20"/>
                                    <w:lang w:eastAsia="ja-JP"/>
                                  </w:rPr>
                                  <w:t>表</w:t>
                                </w:r>
                                <w:r>
                                  <w:rPr>
                                    <w:rFonts w:ascii="Arial" w:hint="eastAsia"/>
                                    <w:b/>
                                    <w:color w:val="00ACA1"/>
                                    <w:w w:val="95"/>
                                    <w:sz w:val="20"/>
                                    <w:lang w:eastAsia="ja-JP"/>
                                  </w:rPr>
                                  <w:t>[2.1]</w:t>
                                </w:r>
                                <w:r w:rsidRPr="00BB08C9">
                                  <w:rPr>
                                    <w:rFonts w:ascii="Arial"/>
                                    <w:b/>
                                    <w:color w:val="000000" w:themeColor="text1"/>
                                    <w:w w:val="95"/>
                                    <w:sz w:val="20"/>
                                    <w:lang w:eastAsia="ja-JP"/>
                                  </w:rPr>
                                  <w:t>製品</w:t>
                                </w:r>
                                <w:r w:rsidRPr="00BB08C9">
                                  <w:rPr>
                                    <w:rFonts w:ascii="Arial"/>
                                    <w:b/>
                                    <w:color w:val="000000" w:themeColor="text1"/>
                                    <w:w w:val="95"/>
                                    <w:sz w:val="20"/>
                                    <w:lang w:eastAsia="ja-JP"/>
                                  </w:rPr>
                                  <w:t>GHG</w:t>
                                </w:r>
                                <w:r w:rsidRPr="00BB08C9">
                                  <w:rPr>
                                    <w:rFonts w:ascii="Arial"/>
                                    <w:b/>
                                    <w:color w:val="000000" w:themeColor="text1"/>
                                    <w:w w:val="95"/>
                                    <w:sz w:val="20"/>
                                    <w:lang w:eastAsia="ja-JP"/>
                                  </w:rPr>
                                  <w:t>収支表が提供するビジネス目標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 name="docshape244"/>
                          <wps:cNvSpPr>
                            <a:spLocks/>
                          </wps:cNvSpPr>
                          <wps:spPr bwMode="auto">
                            <a:xfrm>
                              <a:off x="0" y="368300"/>
                              <a:ext cx="889000" cy="314960"/>
                            </a:xfrm>
                            <a:custGeom>
                              <a:avLst/>
                              <a:gdLst>
                                <a:gd name="T0" fmla="+- 0 3244 1134"/>
                                <a:gd name="T1" fmla="*/ T0 w 2281"/>
                                <a:gd name="T2" fmla="+- 0 -5 -5"/>
                                <a:gd name="T3" fmla="*/ -5 h 496"/>
                                <a:gd name="T4" fmla="+- 0 1304 1134"/>
                                <a:gd name="T5" fmla="*/ T4 w 2281"/>
                                <a:gd name="T6" fmla="+- 0 -5 -5"/>
                                <a:gd name="T7" fmla="*/ -5 h 496"/>
                                <a:gd name="T8" fmla="+- 0 1206 1134"/>
                                <a:gd name="T9" fmla="*/ T8 w 2281"/>
                                <a:gd name="T10" fmla="+- 0 -2 -5"/>
                                <a:gd name="T11" fmla="*/ -2 h 496"/>
                                <a:gd name="T12" fmla="+- 0 1155 1134"/>
                                <a:gd name="T13" fmla="*/ T12 w 2281"/>
                                <a:gd name="T14" fmla="+- 0 16 -5"/>
                                <a:gd name="T15" fmla="*/ 16 h 496"/>
                                <a:gd name="T16" fmla="+- 0 1137 1134"/>
                                <a:gd name="T17" fmla="*/ T16 w 2281"/>
                                <a:gd name="T18" fmla="+- 0 67 -5"/>
                                <a:gd name="T19" fmla="*/ 67 h 496"/>
                                <a:gd name="T20" fmla="+- 0 1134 1134"/>
                                <a:gd name="T21" fmla="*/ T20 w 2281"/>
                                <a:gd name="T22" fmla="+- 0 165 -5"/>
                                <a:gd name="T23" fmla="*/ 165 h 496"/>
                                <a:gd name="T24" fmla="+- 0 1134 1134"/>
                                <a:gd name="T25" fmla="*/ T24 w 2281"/>
                                <a:gd name="T26" fmla="+- 0 490 -5"/>
                                <a:gd name="T27" fmla="*/ 490 h 496"/>
                                <a:gd name="T28" fmla="+- 0 3414 1134"/>
                                <a:gd name="T29" fmla="*/ T28 w 2281"/>
                                <a:gd name="T30" fmla="+- 0 490 -5"/>
                                <a:gd name="T31" fmla="*/ 490 h 496"/>
                                <a:gd name="T32" fmla="+- 0 3414 1134"/>
                                <a:gd name="T33" fmla="*/ T32 w 2281"/>
                                <a:gd name="T34" fmla="+- 0 165 -5"/>
                                <a:gd name="T35" fmla="*/ 165 h 496"/>
                                <a:gd name="T36" fmla="+- 0 3412 1134"/>
                                <a:gd name="T37" fmla="*/ T36 w 2281"/>
                                <a:gd name="T38" fmla="+- 0 67 -5"/>
                                <a:gd name="T39" fmla="*/ 67 h 496"/>
                                <a:gd name="T40" fmla="+- 0 3393 1134"/>
                                <a:gd name="T41" fmla="*/ T40 w 2281"/>
                                <a:gd name="T42" fmla="+- 0 16 -5"/>
                                <a:gd name="T43" fmla="*/ 16 h 496"/>
                                <a:gd name="T44" fmla="+- 0 3343 1134"/>
                                <a:gd name="T45" fmla="*/ T44 w 2281"/>
                                <a:gd name="T46" fmla="+- 0 -2 -5"/>
                                <a:gd name="T47" fmla="*/ -2 h 496"/>
                                <a:gd name="T48" fmla="+- 0 3244 1134"/>
                                <a:gd name="T49" fmla="*/ T48 w 2281"/>
                                <a:gd name="T50" fmla="+- 0 -5 -5"/>
                                <a:gd name="T51" fmla="*/ -5 h 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281" h="496">
                                  <a:moveTo>
                                    <a:pt x="2110" y="0"/>
                                  </a:moveTo>
                                  <a:lnTo>
                                    <a:pt x="170" y="0"/>
                                  </a:lnTo>
                                  <a:lnTo>
                                    <a:pt x="72" y="3"/>
                                  </a:lnTo>
                                  <a:lnTo>
                                    <a:pt x="21" y="21"/>
                                  </a:lnTo>
                                  <a:lnTo>
                                    <a:pt x="3" y="72"/>
                                  </a:lnTo>
                                  <a:lnTo>
                                    <a:pt x="0" y="170"/>
                                  </a:lnTo>
                                  <a:lnTo>
                                    <a:pt x="0" y="495"/>
                                  </a:lnTo>
                                  <a:lnTo>
                                    <a:pt x="2280" y="495"/>
                                  </a:lnTo>
                                  <a:lnTo>
                                    <a:pt x="2280" y="170"/>
                                  </a:lnTo>
                                  <a:lnTo>
                                    <a:pt x="2278" y="72"/>
                                  </a:lnTo>
                                  <a:lnTo>
                                    <a:pt x="2259" y="21"/>
                                  </a:lnTo>
                                  <a:lnTo>
                                    <a:pt x="2209" y="3"/>
                                  </a:lnTo>
                                  <a:lnTo>
                                    <a:pt x="2110" y="0"/>
                                  </a:lnTo>
                                  <a:close/>
                                </a:path>
                              </a:pathLst>
                            </a:custGeom>
                            <a:solidFill>
                              <a:srgbClr val="00ACA1"/>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BBEA6E7" w14:textId="77777777" w:rsidR="00844F7E" w:rsidRPr="004F28DF" w:rsidRDefault="00844F7E" w:rsidP="00844F7E">
                                <w:pPr>
                                  <w:jc w:val="center"/>
                                  <w:rPr>
                                    <w:b/>
                                    <w:bCs/>
                                    <w:i/>
                                    <w:iCs/>
                                    <w:color w:val="FFFFFF" w:themeColor="background1"/>
                                  </w:rPr>
                                </w:pPr>
                                <w:proofErr w:type="spellStart"/>
                                <w:r w:rsidRPr="004F28DF">
                                  <w:rPr>
                                    <w:rFonts w:hint="eastAsia"/>
                                    <w:b/>
                                    <w:bCs/>
                                    <w:i/>
                                    <w:iCs/>
                                    <w:color w:val="FFFFFF" w:themeColor="background1"/>
                                  </w:rPr>
                                  <w:t>事業目標</w:t>
                                </w:r>
                                <w:proofErr w:type="spellEnd"/>
                              </w:p>
                            </w:txbxContent>
                          </wps:txbx>
                          <wps:bodyPr rot="0" vert="horz" wrap="square" lIns="91440" tIns="45720" rIns="91440" bIns="45720" anchor="t" anchorCtr="0" upright="1">
                            <a:noAutofit/>
                          </wps:bodyPr>
                        </wps:wsp>
                        <wps:wsp>
                          <wps:cNvPr id="38" name="docshape246"/>
                          <wps:cNvSpPr>
                            <a:spLocks/>
                          </wps:cNvSpPr>
                          <wps:spPr bwMode="auto">
                            <a:xfrm>
                              <a:off x="1162050" y="368300"/>
                              <a:ext cx="5372100" cy="314960"/>
                            </a:xfrm>
                            <a:custGeom>
                              <a:avLst/>
                              <a:gdLst>
                                <a:gd name="T0" fmla="+- 0 10936 3698"/>
                                <a:gd name="T1" fmla="*/ T0 w 7409"/>
                                <a:gd name="T2" fmla="+- 0 -5 -5"/>
                                <a:gd name="T3" fmla="*/ -5 h 496"/>
                                <a:gd name="T4" fmla="+- 0 3868 3698"/>
                                <a:gd name="T5" fmla="*/ T4 w 7409"/>
                                <a:gd name="T6" fmla="+- 0 -5 -5"/>
                                <a:gd name="T7" fmla="*/ -5 h 496"/>
                                <a:gd name="T8" fmla="+- 0 3770 3698"/>
                                <a:gd name="T9" fmla="*/ T8 w 7409"/>
                                <a:gd name="T10" fmla="+- 0 -2 -5"/>
                                <a:gd name="T11" fmla="*/ -2 h 496"/>
                                <a:gd name="T12" fmla="+- 0 3719 3698"/>
                                <a:gd name="T13" fmla="*/ T12 w 7409"/>
                                <a:gd name="T14" fmla="+- 0 16 -5"/>
                                <a:gd name="T15" fmla="*/ 16 h 496"/>
                                <a:gd name="T16" fmla="+- 0 3700 3698"/>
                                <a:gd name="T17" fmla="*/ T16 w 7409"/>
                                <a:gd name="T18" fmla="+- 0 67 -5"/>
                                <a:gd name="T19" fmla="*/ 67 h 496"/>
                                <a:gd name="T20" fmla="+- 0 3698 3698"/>
                                <a:gd name="T21" fmla="*/ T20 w 7409"/>
                                <a:gd name="T22" fmla="+- 0 165 -5"/>
                                <a:gd name="T23" fmla="*/ 165 h 496"/>
                                <a:gd name="T24" fmla="+- 0 3698 3698"/>
                                <a:gd name="T25" fmla="*/ T24 w 7409"/>
                                <a:gd name="T26" fmla="+- 0 490 -5"/>
                                <a:gd name="T27" fmla="*/ 490 h 496"/>
                                <a:gd name="T28" fmla="+- 0 11106 3698"/>
                                <a:gd name="T29" fmla="*/ T28 w 7409"/>
                                <a:gd name="T30" fmla="+- 0 490 -5"/>
                                <a:gd name="T31" fmla="*/ 490 h 496"/>
                                <a:gd name="T32" fmla="+- 0 11106 3698"/>
                                <a:gd name="T33" fmla="*/ T32 w 7409"/>
                                <a:gd name="T34" fmla="+- 0 165 -5"/>
                                <a:gd name="T35" fmla="*/ 165 h 496"/>
                                <a:gd name="T36" fmla="+- 0 11103 3698"/>
                                <a:gd name="T37" fmla="*/ T36 w 7409"/>
                                <a:gd name="T38" fmla="+- 0 67 -5"/>
                                <a:gd name="T39" fmla="*/ 67 h 496"/>
                                <a:gd name="T40" fmla="+- 0 11085 3698"/>
                                <a:gd name="T41" fmla="*/ T40 w 7409"/>
                                <a:gd name="T42" fmla="+- 0 16 -5"/>
                                <a:gd name="T43" fmla="*/ 16 h 496"/>
                                <a:gd name="T44" fmla="+- 0 11034 3698"/>
                                <a:gd name="T45" fmla="*/ T44 w 7409"/>
                                <a:gd name="T46" fmla="+- 0 -2 -5"/>
                                <a:gd name="T47" fmla="*/ -2 h 496"/>
                                <a:gd name="T48" fmla="+- 0 10936 3698"/>
                                <a:gd name="T49" fmla="*/ T48 w 7409"/>
                                <a:gd name="T50" fmla="+- 0 -5 -5"/>
                                <a:gd name="T51" fmla="*/ -5 h 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409" h="496">
                                  <a:moveTo>
                                    <a:pt x="7238" y="0"/>
                                  </a:moveTo>
                                  <a:lnTo>
                                    <a:pt x="170" y="0"/>
                                  </a:lnTo>
                                  <a:lnTo>
                                    <a:pt x="72" y="3"/>
                                  </a:lnTo>
                                  <a:lnTo>
                                    <a:pt x="21" y="21"/>
                                  </a:lnTo>
                                  <a:lnTo>
                                    <a:pt x="2" y="72"/>
                                  </a:lnTo>
                                  <a:lnTo>
                                    <a:pt x="0" y="170"/>
                                  </a:lnTo>
                                  <a:lnTo>
                                    <a:pt x="0" y="495"/>
                                  </a:lnTo>
                                  <a:lnTo>
                                    <a:pt x="7408" y="495"/>
                                  </a:lnTo>
                                  <a:lnTo>
                                    <a:pt x="7408" y="170"/>
                                  </a:lnTo>
                                  <a:lnTo>
                                    <a:pt x="7405" y="72"/>
                                  </a:lnTo>
                                  <a:lnTo>
                                    <a:pt x="7387" y="21"/>
                                  </a:lnTo>
                                  <a:lnTo>
                                    <a:pt x="7336" y="3"/>
                                  </a:lnTo>
                                  <a:lnTo>
                                    <a:pt x="7238" y="0"/>
                                  </a:lnTo>
                                  <a:close/>
                                </a:path>
                              </a:pathLst>
                            </a:custGeom>
                            <a:solidFill>
                              <a:srgbClr val="00ACA1"/>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C15C336" w14:textId="4F1D7411" w:rsidR="00844F7E" w:rsidRPr="004F28DF" w:rsidRDefault="00844F7E" w:rsidP="00844F7E">
                                <w:pPr>
                                  <w:jc w:val="center"/>
                                  <w:rPr>
                                    <w:b/>
                                    <w:bCs/>
                                    <w:i/>
                                    <w:iCs/>
                                    <w:color w:val="FFFFFF" w:themeColor="background1"/>
                                  </w:rPr>
                                </w:pPr>
                                <w:proofErr w:type="spellStart"/>
                                <w:r w:rsidRPr="004F28DF">
                                  <w:rPr>
                                    <w:rFonts w:hint="eastAsia"/>
                                    <w:b/>
                                    <w:bCs/>
                                    <w:i/>
                                    <w:iCs/>
                                    <w:color w:val="FFFFFF" w:themeColor="background1"/>
                                  </w:rPr>
                                  <w:t>概要</w:t>
                                </w:r>
                                <w:proofErr w:type="spellEnd"/>
                              </w:p>
                            </w:txbxContent>
                          </wps:txbx>
                          <wps:bodyPr rot="0" vert="horz" wrap="square" lIns="91440" tIns="45720" rIns="91440" bIns="45720" anchor="t" anchorCtr="0" upright="1">
                            <a:noAutofit/>
                          </wps:bodyPr>
                        </wps:wsp>
                      </wpg:grpSp>
                      <pic:pic xmlns:pic="http://schemas.openxmlformats.org/drawingml/2006/picture">
                        <pic:nvPicPr>
                          <pic:cNvPr id="40" name="図 40"/>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736600"/>
                            <a:ext cx="6645910" cy="46145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650FBE9" id="グループ化 30" o:spid="_x0000_s1026" style="position:absolute;left:0;text-align:left;margin-left:0;margin-top:0;width:523.3pt;height:421.35pt;z-index:251427328;mso-width-relative:margin;mso-height-relative:margin" coordsize="66459,5351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">
                <v:group id="グループ化 32" o:spid="_x0000_s1027" style="position:absolute;left:1079;width:65342;height:6832" coordsize="65341,6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テキスト ボックス 34" o:spid="_x0000_s1028" type="#_x0000_t202" style="position:absolute;width:65341;height:4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" fillcolor="white [3201]" stroked="f" strokeweight=".5pt">
                    <v:textbox>
                      <w:txbxContent>
                        <w:p w14:paraId="3089A654" w14:textId="77777777" w:rsidR="00844F7E" w:rsidRPr="004F28DF" w:rsidRDefault="00844F7E" w:rsidP="00844F7E">
                          <w:pPr>
                            <w:jc w:val="center"/>
                            <w:rPr>
                              <w:lang w:eastAsia="ja-JP"/>
                            </w:rPr>
                          </w:pPr>
                          <w:r w:rsidRPr="00BB08C9">
                            <w:rPr>
                              <w:rFonts w:ascii="Arial" w:hint="eastAsia"/>
                              <w:b/>
                              <w:color w:val="00ACA1"/>
                              <w:w w:val="95"/>
                              <w:sz w:val="20"/>
                              <w:lang w:eastAsia="ja-JP"/>
                            </w:rPr>
                            <w:t>表</w:t>
                          </w:r>
                          <w:r>
                            <w:rPr>
                              <w:rFonts w:ascii="Arial" w:hint="eastAsia"/>
                              <w:b/>
                              <w:color w:val="00ACA1"/>
                              <w:w w:val="95"/>
                              <w:sz w:val="20"/>
                              <w:lang w:eastAsia="ja-JP"/>
                            </w:rPr>
                            <w:t>[2.1]</w:t>
                          </w:r>
                          <w:r w:rsidRPr="00BB08C9">
                            <w:rPr>
                              <w:rFonts w:ascii="Arial"/>
                              <w:b/>
                              <w:color w:val="000000" w:themeColor="text1"/>
                              <w:w w:val="95"/>
                              <w:sz w:val="20"/>
                              <w:lang w:eastAsia="ja-JP"/>
                            </w:rPr>
                            <w:t>製品</w:t>
                          </w:r>
                          <w:r w:rsidRPr="00BB08C9">
                            <w:rPr>
                              <w:rFonts w:ascii="Arial"/>
                              <w:b/>
                              <w:color w:val="000000" w:themeColor="text1"/>
                              <w:w w:val="95"/>
                              <w:sz w:val="20"/>
                              <w:lang w:eastAsia="ja-JP"/>
                            </w:rPr>
                            <w:t>GHG</w:t>
                          </w:r>
                          <w:r w:rsidRPr="00BB08C9">
                            <w:rPr>
                              <w:rFonts w:ascii="Arial"/>
                              <w:b/>
                              <w:color w:val="000000" w:themeColor="text1"/>
                              <w:w w:val="95"/>
                              <w:sz w:val="20"/>
                              <w:lang w:eastAsia="ja-JP"/>
                            </w:rPr>
                            <w:t>収支表が提供するビジネス目標</w:t>
                          </w:r>
                        </w:p>
                      </w:txbxContent>
                    </v:textbox>
                  </v:shape>
                  <v:shape id="docshape244" o:spid="_x0000_s1029" style="position:absolute;top:3683;width:8890;height:3149;visibility:visible;mso-wrap-style:square;v-text-anchor:top" coordsize="2281,4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" adj="-11796480,,5400" path="m2110,l170,,72,3,21,21,3,72,,170,,495r2280,l2280,170r-2,-98l2259,21,2209,3,2110,xe" fillcolor="#00aca1" stroked="f">
                    <v:stroke joinstyle="round"/>
                    <v:formulas/>
                    <v:path arrowok="t" o:connecttype="custom" o:connectlocs="822354,-3175;66256,-3175;28061,-1270;8185,10160;1169,42545;0,104775;0,311150;888610,311150;888610,104775;887831,42545;880426,10160;860939,-1270;822354,-3175" o:connectangles="0,0,0,0,0,0,0,0,0,0,0,0,0" textboxrect="0,0,2281,496"/>
                    <v:textbox>
                      <w:txbxContent>
                        <w:p w14:paraId="2BBEA6E7" w14:textId="77777777" w:rsidR="00844F7E" w:rsidRPr="004F28DF" w:rsidRDefault="00844F7E" w:rsidP="00844F7E">
                          <w:pPr>
                            <w:jc w:val="center"/>
                            <w:rPr>
                              <w:b/>
                              <w:bCs/>
                              <w:i/>
                              <w:iCs/>
                              <w:color w:val="FFFFFF" w:themeColor="background1"/>
                            </w:rPr>
                          </w:pPr>
                          <w:proofErr w:type="spellStart"/>
                          <w:r w:rsidRPr="004F28DF">
                            <w:rPr>
                              <w:rFonts w:hint="eastAsia"/>
                              <w:b/>
                              <w:bCs/>
                              <w:i/>
                              <w:iCs/>
                              <w:color w:val="FFFFFF" w:themeColor="background1"/>
                            </w:rPr>
                            <w:t>事業目標</w:t>
                          </w:r>
                          <w:proofErr w:type="spellEnd"/>
                        </w:p>
                      </w:txbxContent>
                    </v:textbox>
                  </v:shape>
                  <v:shape id="docshape246" o:spid="_x0000_s1030" style="position:absolute;left:11620;top:3683;width:53721;height:3149;visibility:visible;mso-wrap-style:square;v-text-anchor:top" coordsize="7409,4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" adj="-11796480,,5400" path="m7238,l170,,72,3,21,21,2,72,,170,,495r7408,l7408,170r-3,-98l7387,21,7336,3,7238,xe" fillcolor="#00aca1" stroked="f">
                    <v:stroke joinstyle="round"/>
                    <v:formulas/>
                    <v:path arrowok="t" o:connecttype="custom" o:connectlocs="5248112,-3175;123263,-3175;52206,-1270;15227,10160;1450,42545;0,104775;0,311150;5371375,311150;5371375,104775;5369200,42545;5356148,10160;5319169,-1270;5248112,-3175" o:connectangles="0,0,0,0,0,0,0,0,0,0,0,0,0" textboxrect="0,0,7409,496"/>
                    <v:textbox>
                      <w:txbxContent>
                        <w:p w14:paraId="4C15C336" w14:textId="4F1D7411" w:rsidR="00844F7E" w:rsidRPr="004F28DF" w:rsidRDefault="00844F7E" w:rsidP="00844F7E">
                          <w:pPr>
                            <w:jc w:val="center"/>
                            <w:rPr>
                              <w:b/>
                              <w:bCs/>
                              <w:i/>
                              <w:iCs/>
                              <w:color w:val="FFFFFF" w:themeColor="background1"/>
                            </w:rPr>
                          </w:pPr>
                          <w:proofErr w:type="spellStart"/>
                          <w:r w:rsidRPr="004F28DF">
                            <w:rPr>
                              <w:rFonts w:hint="eastAsia"/>
                              <w:b/>
                              <w:bCs/>
                              <w:i/>
                              <w:iCs/>
                              <w:color w:val="FFFFFF" w:themeColor="background1"/>
                            </w:rPr>
                            <w:t>概要</w:t>
                          </w:r>
                          <w:proofErr w:type="spellEnd"/>
                        </w:p>
                      </w:txbxContent>
                    </v:textbox>
                  </v:shape>
                </v:group>
                <v:shape id="図 40" o:spid="_x0000_s1031" type="#_x0000_t75" style="position:absolute;top:7366;width:66459;height:46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">
                  <v:imagedata r:id="rId71" o:title=""/>
                </v:shape>
                <w10:wrap type="topAndBottom"/>
              </v:group>
            </w:pict>
          </mc:Fallback>
        </mc:AlternateContent>
      </w:r>
      <w:r w:rsidR="00A8109B" w:rsidRPr="00A8109B">
        <w:rPr>
          <w:rFonts w:ascii="ＭＳ ゴシック" w:eastAsia="ＭＳ ゴシック" w:hAnsi="ＭＳ ゴシック" w:cs="ＭＳ ゴシック" w:hint="eastAsia"/>
          <w:color w:val="545456"/>
          <w:lang w:eastAsia="ja-JP"/>
        </w:rPr>
        <w:t>一貫したフレームワークに従って実施される製品</w:t>
      </w:r>
      <w:r w:rsidR="00A8109B" w:rsidRPr="00A8109B">
        <w:rPr>
          <w:color w:val="545456"/>
          <w:lang w:eastAsia="ja-JP"/>
        </w:rPr>
        <w:t>GHG</w:t>
      </w:r>
      <w:r w:rsidR="00A8109B" w:rsidRPr="00A8109B">
        <w:rPr>
          <w:rFonts w:ascii="ＭＳ ゴシック" w:eastAsia="ＭＳ ゴシック" w:hAnsi="ＭＳ ゴシック" w:cs="ＭＳ ゴシック" w:hint="eastAsia"/>
          <w:color w:val="545456"/>
          <w:lang w:eastAsia="ja-JP"/>
        </w:rPr>
        <w:t>収支表は、定量的な業績評価指標による改善目標を設定し、進捗を追跡し、社内外のステークホルダーに成果を伝えます。</w:t>
      </w:r>
      <w:r w:rsidR="00FE2A87" w:rsidRPr="00FE2A87">
        <w:rPr>
          <w:rFonts w:ascii="ＭＳ ゴシック" w:eastAsia="ＭＳ ゴシック" w:hAnsi="ＭＳ ゴシック" w:cs="ＭＳ ゴシック" w:hint="eastAsia"/>
          <w:color w:val="545456"/>
          <w:lang w:eastAsia="ja-JP"/>
        </w:rPr>
        <w:t>顧客、投資家、株主など外部のステークホルダーは、企業による排出削減の進捗を測定・報告することにますます関心を寄せてい</w:t>
      </w:r>
      <w:r w:rsidR="00FE2A87">
        <w:rPr>
          <w:rFonts w:ascii="ＭＳ ゴシック" w:eastAsia="ＭＳ ゴシック" w:hAnsi="ＭＳ ゴシック" w:cs="ＭＳ ゴシック" w:hint="eastAsia"/>
          <w:color w:val="545456"/>
          <w:lang w:eastAsia="ja-JP"/>
        </w:rPr>
        <w:t>ます。</w:t>
      </w:r>
    </w:p>
    <w:p w14:paraId="47B284A1" w14:textId="2515D09E" w:rsidR="0055291C" w:rsidRDefault="00FE2A87" w:rsidP="001B5028">
      <w:pPr>
        <w:pStyle w:val="a3"/>
        <w:spacing w:line="312" w:lineRule="auto"/>
        <w:ind w:left="709" w:right="266" w:firstLineChars="100" w:firstLine="190"/>
        <w:rPr>
          <w:lang w:eastAsia="ja-JP"/>
        </w:rPr>
      </w:pPr>
      <w:r w:rsidRPr="00FE2A87">
        <w:rPr>
          <w:rFonts w:ascii="ＭＳ ゴシック" w:eastAsia="ＭＳ ゴシック" w:hAnsi="ＭＳ ゴシック" w:cs="ＭＳ ゴシック" w:hint="eastAsia"/>
          <w:color w:val="545456"/>
          <w:lang w:eastAsia="ja-JP"/>
        </w:rPr>
        <w:t>そのため、削減の機会を特定し、目標を設定し、その進捗をステークホルダーに報告することで、環境意識の高まる市場での差別化を図ることができます。</w:t>
      </w:r>
    </w:p>
    <w:p w14:paraId="08D44C16" w14:textId="59B45697" w:rsidR="0055291C" w:rsidRDefault="001B5028" w:rsidP="001B5028">
      <w:pPr>
        <w:pStyle w:val="a3"/>
        <w:spacing w:before="102" w:line="312" w:lineRule="auto"/>
        <w:ind w:left="709" w:right="266" w:firstLineChars="100" w:firstLine="190"/>
        <w:rPr>
          <w:lang w:eastAsia="ja-JP"/>
        </w:rPr>
      </w:pPr>
      <w:r w:rsidRPr="001B5028">
        <w:rPr>
          <w:rFonts w:ascii="ＭＳ ゴシック" w:eastAsia="ＭＳ ゴシック" w:hAnsi="ＭＳ ゴシック" w:cs="ＭＳ ゴシック" w:hint="eastAsia"/>
          <w:color w:val="545456"/>
          <w:lang w:eastAsia="ja-JP"/>
        </w:rPr>
        <w:t>内部的には、製品</w:t>
      </w:r>
      <w:r w:rsidRPr="001B5028">
        <w:rPr>
          <w:color w:val="545456"/>
          <w:lang w:eastAsia="ja-JP"/>
        </w:rPr>
        <w:t>GHG</w:t>
      </w:r>
      <w:r w:rsidRPr="001B5028">
        <w:rPr>
          <w:rFonts w:ascii="ＭＳ ゴシック" w:eastAsia="ＭＳ ゴシック" w:hAnsi="ＭＳ ゴシック" w:cs="ＭＳ ゴシック" w:hint="eastAsia"/>
          <w:color w:val="545456"/>
          <w:lang w:eastAsia="ja-JP"/>
        </w:rPr>
        <w:t>収支表は、より</w:t>
      </w:r>
      <w:r w:rsidRPr="001B5028">
        <w:rPr>
          <w:color w:val="545456"/>
          <w:lang w:eastAsia="ja-JP"/>
        </w:rPr>
        <w:t>GHG</w:t>
      </w:r>
      <w:r w:rsidRPr="001B5028">
        <w:rPr>
          <w:rFonts w:ascii="ＭＳ ゴシック" w:eastAsia="ＭＳ ゴシック" w:hAnsi="ＭＳ ゴシック" w:cs="ＭＳ ゴシック" w:hint="eastAsia"/>
          <w:color w:val="545456"/>
          <w:lang w:eastAsia="ja-JP"/>
        </w:rPr>
        <w:t>集約的でない製品設計の選択と生産工程を支援するために使用されるかもしれません。例えば、売れ筋の靴の、ライフサイク</w:t>
      </w:r>
      <w:r w:rsidRPr="001B5028">
        <w:rPr>
          <w:color w:val="545456"/>
          <w:lang w:eastAsia="ja-JP"/>
        </w:rPr>
        <w:t xml:space="preserve"> </w:t>
      </w:r>
      <w:r w:rsidRPr="001B5028">
        <w:rPr>
          <w:rFonts w:ascii="ＭＳ ゴシック" w:eastAsia="ＭＳ ゴシック" w:hAnsi="ＭＳ ゴシック" w:cs="ＭＳ ゴシック" w:hint="eastAsia"/>
          <w:color w:val="545456"/>
          <w:lang w:eastAsia="ja-JP"/>
        </w:rPr>
        <w:t>ル内の</w:t>
      </w:r>
      <w:r w:rsidRPr="001B5028">
        <w:rPr>
          <w:color w:val="545456"/>
          <w:lang w:eastAsia="ja-JP"/>
        </w:rPr>
        <w:t>GHG</w:t>
      </w:r>
      <w:r w:rsidRPr="001B5028">
        <w:rPr>
          <w:rFonts w:ascii="ＭＳ ゴシック" w:eastAsia="ＭＳ ゴシック" w:hAnsi="ＭＳ ゴシック" w:cs="ＭＳ ゴシック" w:hint="eastAsia"/>
          <w:color w:val="545456"/>
          <w:lang w:eastAsia="ja-JP"/>
        </w:rPr>
        <w:t>排出量を</w:t>
      </w:r>
      <w:r w:rsidRPr="001B5028">
        <w:rPr>
          <w:color w:val="545456"/>
          <w:lang w:eastAsia="ja-JP"/>
        </w:rPr>
        <w:t>10</w:t>
      </w:r>
      <w:r w:rsidRPr="001B5028">
        <w:rPr>
          <w:rFonts w:ascii="ＭＳ ゴシック" w:eastAsia="ＭＳ ゴシック" w:hAnsi="ＭＳ ゴシック" w:cs="ＭＳ ゴシック" w:hint="eastAsia"/>
          <w:color w:val="545456"/>
          <w:lang w:eastAsia="ja-JP"/>
        </w:rPr>
        <w:t>％削減するという企業目標を達成しようとする靴メーカーは、製品</w:t>
      </w:r>
      <w:r w:rsidRPr="001B5028">
        <w:rPr>
          <w:color w:val="545456"/>
          <w:lang w:eastAsia="ja-JP"/>
        </w:rPr>
        <w:t>GHG</w:t>
      </w:r>
      <w:r w:rsidRPr="001B5028">
        <w:rPr>
          <w:rFonts w:ascii="ＭＳ ゴシック" w:eastAsia="ＭＳ ゴシック" w:hAnsi="ＭＳ ゴシック" w:cs="ＭＳ ゴシック" w:hint="eastAsia"/>
          <w:color w:val="545456"/>
          <w:lang w:eastAsia="ja-JP"/>
        </w:rPr>
        <w:t>収支表を利用して、流通網の最適化、</w:t>
      </w:r>
      <w:r w:rsidRPr="001B5028">
        <w:rPr>
          <w:color w:val="545456"/>
          <w:lang w:eastAsia="ja-JP"/>
        </w:rPr>
        <w:t>GHG</w:t>
      </w:r>
      <w:r w:rsidRPr="001B5028">
        <w:rPr>
          <w:rFonts w:ascii="ＭＳ ゴシック" w:eastAsia="ＭＳ ゴシック" w:hAnsi="ＭＳ ゴシック" w:cs="ＭＳ ゴシック" w:hint="eastAsia"/>
          <w:color w:val="545456"/>
          <w:lang w:eastAsia="ja-JP"/>
        </w:rPr>
        <w:t>排出量の少ない材料の使用、生産施設でのエネルギー効率の改善などの選択肢から、目標達成に最も費用効果の高い方法を決定できるかもしれません。算出結果の外部利用としては、年次の企業持続可能性報告書などを使用した、規制当局、投資家、顧客、地域社会とのコミュニケーションなどが考えられます。</w:t>
      </w:r>
    </w:p>
    <w:p w14:paraId="2E495FA1" w14:textId="77777777" w:rsidR="0055291C" w:rsidRPr="00554C80" w:rsidRDefault="0055291C">
      <w:pPr>
        <w:pStyle w:val="a3"/>
        <w:spacing w:before="5"/>
        <w:rPr>
          <w:rFonts w:eastAsiaTheme="minorEastAsia"/>
          <w:sz w:val="25"/>
          <w:lang w:eastAsia="ja-JP"/>
        </w:rPr>
      </w:pPr>
    </w:p>
    <w:p w14:paraId="4FE674EF" w14:textId="565A1E56" w:rsidR="0055291C" w:rsidRDefault="00560764" w:rsidP="00560764">
      <w:pPr>
        <w:pStyle w:val="3"/>
        <w:tabs>
          <w:tab w:val="left" w:pos="1006"/>
          <w:tab w:val="left" w:pos="1007"/>
        </w:tabs>
        <w:spacing w:before="0"/>
        <w:ind w:left="1006"/>
        <w:rPr>
          <w:lang w:eastAsia="ja-JP"/>
        </w:rPr>
      </w:pPr>
      <w:r>
        <w:rPr>
          <w:rFonts w:ascii="ＭＳ 明朝" w:eastAsia="ＭＳ 明朝" w:hAnsi="ＭＳ 明朝" w:cs="ＭＳ 明朝" w:hint="eastAsia"/>
          <w:color w:val="00ACA1"/>
          <w:w w:val="95"/>
          <w:lang w:eastAsia="ja-JP"/>
        </w:rPr>
        <w:t xml:space="preserve">2.3　</w:t>
      </w:r>
      <w:r w:rsidR="00221F3D">
        <w:rPr>
          <w:rFonts w:ascii="ＭＳ 明朝" w:eastAsia="ＭＳ 明朝" w:hAnsi="ＭＳ 明朝" w:cs="ＭＳ 明朝" w:hint="eastAsia"/>
          <w:color w:val="00ACA1"/>
          <w:w w:val="95"/>
          <w:lang w:eastAsia="ja-JP"/>
        </w:rPr>
        <w:t>供給・顧客管理</w:t>
      </w:r>
    </w:p>
    <w:p w14:paraId="3A06EB1C" w14:textId="77777777" w:rsidR="00560764" w:rsidRPr="00560764" w:rsidRDefault="00560764" w:rsidP="00560764">
      <w:pPr>
        <w:pStyle w:val="a3"/>
        <w:spacing w:before="2" w:line="312" w:lineRule="auto"/>
        <w:ind w:left="709" w:right="563" w:firstLineChars="223" w:firstLine="424"/>
        <w:rPr>
          <w:color w:val="545456"/>
          <w:lang w:eastAsia="ja-JP"/>
        </w:rPr>
      </w:pPr>
      <w:r w:rsidRPr="00560764">
        <w:rPr>
          <w:color w:val="545456"/>
          <w:lang w:eastAsia="ja-JP"/>
        </w:rPr>
        <w:t>GHG</w:t>
      </w:r>
      <w:r w:rsidRPr="00560764">
        <w:rPr>
          <w:rFonts w:ascii="ＭＳ ゴシック" w:eastAsia="ＭＳ ゴシック" w:hAnsi="ＭＳ ゴシック" w:cs="ＭＳ ゴシック" w:hint="eastAsia"/>
          <w:color w:val="545456"/>
          <w:lang w:eastAsia="ja-JP"/>
        </w:rPr>
        <w:t>収支表は、企業が</w:t>
      </w:r>
      <w:r w:rsidRPr="00560764">
        <w:rPr>
          <w:color w:val="545456"/>
          <w:lang w:eastAsia="ja-JP"/>
        </w:rPr>
        <w:t>GHG</w:t>
      </w:r>
      <w:r w:rsidRPr="00560764">
        <w:rPr>
          <w:rFonts w:ascii="ＭＳ ゴシック" w:eastAsia="ＭＳ ゴシック" w:hAnsi="ＭＳ ゴシック" w:cs="ＭＳ ゴシック" w:hint="eastAsia"/>
          <w:color w:val="545456"/>
          <w:lang w:eastAsia="ja-JP"/>
        </w:rPr>
        <w:t>排出量の削減という共通の目標に向けて、原材料メーカーから最終消費者まで、製品のライフサイクル全般を通じてステークホルダーと関わる機会を提供します。</w:t>
      </w:r>
    </w:p>
    <w:p w14:paraId="71FAA7C4" w14:textId="61FD8A62" w:rsidR="0055291C" w:rsidRDefault="00560764" w:rsidP="00885F2A">
      <w:pPr>
        <w:pStyle w:val="a3"/>
        <w:spacing w:before="2" w:line="312" w:lineRule="auto"/>
        <w:ind w:left="709" w:right="285" w:firstLineChars="100" w:firstLine="190"/>
        <w:rPr>
          <w:rFonts w:ascii="ＭＳ ゴシック" w:eastAsia="ＭＳ ゴシック" w:hAnsi="ＭＳ ゴシック" w:cs="ＭＳ ゴシック"/>
          <w:color w:val="545456"/>
          <w:lang w:eastAsia="ja-JP"/>
        </w:rPr>
      </w:pPr>
      <w:r w:rsidRPr="00560764">
        <w:rPr>
          <w:rFonts w:ascii="ＭＳ ゴシック" w:eastAsia="ＭＳ ゴシック" w:hAnsi="ＭＳ ゴシック" w:cs="ＭＳ ゴシック" w:hint="eastAsia"/>
          <w:color w:val="545456"/>
          <w:lang w:eastAsia="ja-JP"/>
        </w:rPr>
        <w:t>また、このような関わりは、サプライチェーンの効率化とそれに伴うコスト削減、より強固なサプライチェーンの構築、製品ユーザーとの良好な関係構築に役立つ共有可能な貴重な情報の発見につながる可能性があります。例えば、家電</w:t>
      </w:r>
      <w:r w:rsidRPr="003850E3">
        <w:rPr>
          <w:rFonts w:ascii="ＭＳ ゴシック" w:eastAsia="ＭＳ ゴシック" w:hAnsi="ＭＳ ゴシック" w:cs="ＭＳ ゴシック" w:hint="eastAsia"/>
          <w:color w:val="545456"/>
          <w:lang w:eastAsia="ja-JP"/>
        </w:rPr>
        <w:t>製品の</w:t>
      </w:r>
      <w:r w:rsidRPr="003850E3">
        <w:rPr>
          <w:rFonts w:ascii="ＭＳ ゴシック" w:eastAsia="ＭＳ ゴシック" w:hAnsi="ＭＳ ゴシック"/>
          <w:color w:val="545456"/>
          <w:lang w:eastAsia="ja-JP"/>
        </w:rPr>
        <w:t>GHG</w:t>
      </w:r>
      <w:r w:rsidRPr="003850E3">
        <w:rPr>
          <w:rFonts w:ascii="ＭＳ ゴシック" w:eastAsia="ＭＳ ゴシック" w:hAnsi="ＭＳ ゴシック" w:cs="ＭＳ ゴシック" w:hint="eastAsia"/>
          <w:color w:val="545456"/>
          <w:lang w:eastAsia="ja-JP"/>
        </w:rPr>
        <w:t>収支表を見ると、排出量の多くが使用段階で発生しているこ</w:t>
      </w:r>
      <w:r w:rsidRPr="003850E3">
        <w:rPr>
          <w:rFonts w:ascii="ＭＳ ゴシック" w:eastAsia="ＭＳ ゴシック" w:hAnsi="ＭＳ ゴシック" w:cs="ＭＳ ゴシック" w:hint="eastAsia"/>
          <w:color w:val="545456"/>
          <w:lang w:eastAsia="ja-JP"/>
        </w:rPr>
        <w:lastRenderedPageBreak/>
        <w:t>とがわかるかもしれません。この情報は、製造者が顧客（例えば、家電製品のユーザー）とコミュニケーションを図り、協力して製品のライフサイクル内の排出量の削減を達成するための基盤となり得るでしょう。そして、顧客が電力使用量を減らすことで排出量を削減した場合、電力コストの節約という形で利益を得ることができるのです。もう一つの例は、飲料の製品</w:t>
      </w:r>
      <w:r w:rsidRPr="003850E3">
        <w:rPr>
          <w:rFonts w:ascii="ＭＳ ゴシック" w:eastAsia="ＭＳ ゴシック" w:hAnsi="ＭＳ ゴシック" w:cs="ＭＳ ゴシック"/>
          <w:color w:val="545456"/>
          <w:lang w:eastAsia="ja-JP"/>
        </w:rPr>
        <w:t>GHG</w:t>
      </w:r>
      <w:r w:rsidRPr="003850E3">
        <w:rPr>
          <w:rFonts w:ascii="ＭＳ ゴシック" w:eastAsia="ＭＳ ゴシック" w:hAnsi="ＭＳ ゴシック" w:cs="ＭＳ ゴシック" w:hint="eastAsia"/>
          <w:color w:val="545456"/>
          <w:lang w:eastAsia="ja-JP"/>
        </w:rPr>
        <w:t>収支表です。飲料の収支表を見ると、パッケージからの排出量が多いことが示されています。この結果を受けて、包装資材業者と協力し、包装資材を削減したり、より</w:t>
      </w:r>
      <w:r w:rsidRPr="003850E3">
        <w:rPr>
          <w:rFonts w:ascii="ＭＳ ゴシック" w:eastAsia="ＭＳ ゴシック" w:hAnsi="ＭＳ ゴシック" w:cs="ＭＳ ゴシック"/>
          <w:color w:val="545456"/>
          <w:lang w:eastAsia="ja-JP"/>
        </w:rPr>
        <w:t>GHG</w:t>
      </w:r>
      <w:r w:rsidRPr="003850E3">
        <w:rPr>
          <w:rFonts w:ascii="ＭＳ ゴシック" w:eastAsia="ＭＳ ゴシック" w:hAnsi="ＭＳ ゴシック" w:cs="ＭＳ ゴシック" w:hint="eastAsia"/>
          <w:color w:val="545456"/>
          <w:lang w:eastAsia="ja-JP"/>
        </w:rPr>
        <w:t>集約度の低いコンテンツに置き換えたりすることが考えられます。このような取り組みを行ったり、企業とサプライヤーの関わりの進捗状況を報告</w:t>
      </w:r>
      <w:r w:rsidR="000E5BB6" w:rsidRPr="003850E3">
        <w:rPr>
          <w:rFonts w:ascii="ＭＳ ゴシック" w:eastAsia="ＭＳ ゴシック" w:hAnsi="ＭＳ ゴシック" w:cs="ＭＳ ゴシック" w:hint="eastAsia"/>
          <w:color w:val="545456"/>
          <w:lang w:eastAsia="ja-JP"/>
        </w:rPr>
        <w:t>したり</w:t>
      </w:r>
      <w:r w:rsidRPr="003850E3">
        <w:rPr>
          <w:rFonts w:ascii="ＭＳ ゴシック" w:eastAsia="ＭＳ ゴシック" w:hAnsi="ＭＳ ゴシック" w:cs="ＭＳ ゴシック" w:hint="eastAsia"/>
          <w:color w:val="545456"/>
          <w:lang w:eastAsia="ja-JP"/>
        </w:rPr>
        <w:t>することは、報告した企業の外部と内部両方のステークホルダーにとって有益な情報となり得るでしょう。</w:t>
      </w:r>
    </w:p>
    <w:p w14:paraId="56B2B4A8" w14:textId="77777777" w:rsidR="00870D9E" w:rsidRPr="003850E3" w:rsidRDefault="00870D9E" w:rsidP="00560764">
      <w:pPr>
        <w:pStyle w:val="a3"/>
        <w:spacing w:before="2" w:line="312" w:lineRule="auto"/>
        <w:ind w:left="709" w:right="563" w:firstLineChars="100" w:firstLine="190"/>
        <w:rPr>
          <w:rFonts w:ascii="ＭＳ ゴシック" w:eastAsia="ＭＳ ゴシック" w:hAnsi="ＭＳ ゴシック"/>
          <w:lang w:eastAsia="ja-JP"/>
        </w:rPr>
      </w:pPr>
    </w:p>
    <w:p w14:paraId="23A093AB" w14:textId="77777777" w:rsidR="00EB7758" w:rsidRDefault="00EB7758" w:rsidP="00560764">
      <w:pPr>
        <w:pStyle w:val="3"/>
        <w:ind w:left="899"/>
        <w:rPr>
          <w:rFonts w:ascii="ＭＳ ゴシック" w:eastAsia="ＭＳ ゴシック" w:hAnsi="ＭＳ ゴシック"/>
          <w:color w:val="00ACA1"/>
          <w:lang w:eastAsia="ja-JP"/>
        </w:rPr>
      </w:pPr>
    </w:p>
    <w:p w14:paraId="5EF8C357" w14:textId="77777777" w:rsidR="00EB7758" w:rsidRDefault="00EB7758" w:rsidP="00560764">
      <w:pPr>
        <w:pStyle w:val="3"/>
        <w:ind w:left="899"/>
        <w:rPr>
          <w:rFonts w:ascii="ＭＳ ゴシック" w:eastAsia="ＭＳ ゴシック" w:hAnsi="ＭＳ ゴシック"/>
          <w:color w:val="00ACA1"/>
          <w:lang w:eastAsia="ja-JP"/>
        </w:rPr>
      </w:pPr>
    </w:p>
    <w:p w14:paraId="38030396" w14:textId="624DD532" w:rsidR="0055291C" w:rsidRPr="003850E3" w:rsidRDefault="00560764" w:rsidP="00560764">
      <w:pPr>
        <w:pStyle w:val="3"/>
        <w:ind w:left="899"/>
        <w:rPr>
          <w:rFonts w:ascii="ＭＳ ゴシック" w:eastAsia="ＭＳ ゴシック" w:hAnsi="ＭＳ ゴシック"/>
          <w:lang w:eastAsia="ja-JP"/>
        </w:rPr>
      </w:pPr>
      <w:r w:rsidRPr="003850E3">
        <w:rPr>
          <w:rFonts w:ascii="ＭＳ ゴシック" w:eastAsia="ＭＳ ゴシック" w:hAnsi="ＭＳ ゴシック" w:hint="eastAsia"/>
          <w:color w:val="00ACA1"/>
          <w:lang w:eastAsia="ja-JP"/>
        </w:rPr>
        <w:t>2.4</w:t>
      </w:r>
      <w:r w:rsidRPr="003850E3">
        <w:rPr>
          <w:rFonts w:ascii="ＭＳ ゴシック" w:eastAsia="ＭＳ ゴシック" w:hAnsi="ＭＳ ゴシック" w:cs="ＭＳ 明朝" w:hint="eastAsia"/>
          <w:color w:val="00ACA1"/>
          <w:lang w:eastAsia="ja-JP"/>
        </w:rPr>
        <w:t xml:space="preserve">　</w:t>
      </w:r>
      <w:r w:rsidR="000E5BB6" w:rsidRPr="003850E3">
        <w:rPr>
          <w:rFonts w:ascii="ＭＳ ゴシック" w:eastAsia="ＭＳ ゴシック" w:hAnsi="ＭＳ ゴシック" w:cs="ＭＳ 明朝" w:hint="eastAsia"/>
          <w:color w:val="00ACA1"/>
          <w:lang w:eastAsia="ja-JP"/>
        </w:rPr>
        <w:t>製品の差別化</w:t>
      </w:r>
    </w:p>
    <w:p w14:paraId="3A8B6C7B" w14:textId="77777777" w:rsidR="00C70F23" w:rsidRPr="00C70F23" w:rsidRDefault="00000000" w:rsidP="00C70F23">
      <w:pPr>
        <w:pStyle w:val="a3"/>
        <w:spacing w:before="54" w:line="312" w:lineRule="auto"/>
        <w:ind w:left="709" w:right="351"/>
        <w:rPr>
          <w:color w:val="545456"/>
          <w:lang w:eastAsia="ja-JP"/>
        </w:rPr>
      </w:pPr>
      <w:r>
        <w:rPr>
          <w:rFonts w:ascii="ＭＳ ゴシック" w:eastAsia="ＭＳ ゴシック" w:hAnsi="ＭＳ ゴシック"/>
        </w:rPr>
        <w:pict w14:anchorId="7E2E0C38">
          <v:shape id="docshape252" o:spid="_x0000_s3544" type="#_x0000_t202" style="position:absolute;left:0;text-align:left;margin-left:585.65pt;margin-top:33.85pt;width:17.7pt;height:119.1pt;z-index:251554304;mso-position-horizontal-relative:page" filled="f" stroked="f">
            <v:textbox style="layout-flow:vertical;mso-layout-flow-alt:bottom-to-top;mso-next-textbox:#docshape252" inset="0,0,0,0">
              <w:txbxContent>
                <w:p w14:paraId="0B04DC6E"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v:shape>
        </w:pict>
      </w:r>
      <w:r w:rsidR="00C70F23" w:rsidRPr="003850E3">
        <w:rPr>
          <w:rFonts w:ascii="ＭＳ ゴシック" w:eastAsia="ＭＳ ゴシック" w:hAnsi="ＭＳ ゴシック" w:cs="ＭＳ ゴシック" w:hint="eastAsia"/>
          <w:color w:val="545456"/>
          <w:lang w:eastAsia="ja-JP"/>
        </w:rPr>
        <w:t>製品の差別化とは、企業が市場で製品を区別し、競争上の優位性を生み出すのに役立つ可能性のある、製品</w:t>
      </w:r>
      <w:r w:rsidR="00C70F23" w:rsidRPr="003850E3">
        <w:rPr>
          <w:rFonts w:ascii="ＭＳ ゴシック" w:eastAsia="ＭＳ ゴシック" w:hAnsi="ＭＳ ゴシック"/>
          <w:color w:val="545456"/>
          <w:lang w:eastAsia="ja-JP"/>
        </w:rPr>
        <w:t>GHG</w:t>
      </w:r>
      <w:r w:rsidR="00C70F23" w:rsidRPr="003850E3">
        <w:rPr>
          <w:rFonts w:ascii="ＭＳ ゴシック" w:eastAsia="ＭＳ ゴシック" w:hAnsi="ＭＳ ゴシック" w:cs="ＭＳ ゴシック" w:hint="eastAsia"/>
          <w:color w:val="545456"/>
          <w:lang w:eastAsia="ja-JP"/>
        </w:rPr>
        <w:t>収支表のあらゆる最終用途を含む、広義の用語です。例えば、企業は、</w:t>
      </w:r>
      <w:r w:rsidR="00C70F23" w:rsidRPr="003850E3">
        <w:rPr>
          <w:rFonts w:ascii="ＭＳ ゴシック" w:eastAsia="ＭＳ ゴシック" w:hAnsi="ＭＳ ゴシック"/>
          <w:color w:val="545456"/>
          <w:lang w:eastAsia="ja-JP"/>
        </w:rPr>
        <w:t>GHG</w:t>
      </w:r>
      <w:r w:rsidR="00C70F23" w:rsidRPr="003850E3">
        <w:rPr>
          <w:rFonts w:ascii="ＭＳ ゴシック" w:eastAsia="ＭＳ ゴシック" w:hAnsi="ＭＳ ゴシック" w:cs="ＭＳ ゴシック" w:hint="eastAsia"/>
          <w:color w:val="545456"/>
          <w:lang w:eastAsia="ja-JP"/>
        </w:rPr>
        <w:t>排出量の算出を実施し、公表するだけで、そのブランドが環境影響に配慮していることを利害関係者に示すことができ、製品の差別化を実現することができます。消費者が製品の選択による環境への影響にますます関心を寄せている中、製品</w:t>
      </w:r>
      <w:r w:rsidR="00C70F23" w:rsidRPr="003850E3">
        <w:rPr>
          <w:rFonts w:ascii="ＭＳ ゴシック" w:eastAsia="ＭＳ ゴシック" w:hAnsi="ＭＳ ゴシック"/>
          <w:color w:val="545456"/>
          <w:lang w:eastAsia="ja-JP"/>
        </w:rPr>
        <w:t>GHG</w:t>
      </w:r>
      <w:r w:rsidR="00C70F23" w:rsidRPr="003850E3">
        <w:rPr>
          <w:rFonts w:ascii="ＭＳ ゴシック" w:eastAsia="ＭＳ ゴシック" w:hAnsi="ＭＳ ゴシック" w:cs="ＭＳ ゴシック" w:hint="eastAsia"/>
          <w:color w:val="545456"/>
          <w:lang w:eastAsia="ja-JP"/>
        </w:rPr>
        <w:t>排出量算出を実施することで、企業は製品関連の影響を評価し削減するための努力について、顧客に伝えることができるようになります。また、製品の使用により、消費者自身の</w:t>
      </w:r>
      <w:r w:rsidR="00C70F23" w:rsidRPr="003850E3">
        <w:rPr>
          <w:rFonts w:ascii="ＭＳ ゴシック" w:eastAsia="ＭＳ ゴシック" w:hAnsi="ＭＳ ゴシック"/>
          <w:color w:val="545456"/>
          <w:lang w:eastAsia="ja-JP"/>
        </w:rPr>
        <w:t>GHG</w:t>
      </w:r>
      <w:r w:rsidR="00C70F23" w:rsidRPr="003850E3">
        <w:rPr>
          <w:rFonts w:ascii="ＭＳ ゴシック" w:eastAsia="ＭＳ ゴシック" w:hAnsi="ＭＳ ゴシック" w:cs="ＭＳ ゴシック" w:hint="eastAsia"/>
          <w:color w:val="545456"/>
          <w:lang w:eastAsia="ja-JP"/>
        </w:rPr>
        <w:t>排出量（および関連するエネルギー費用）を削減できることを宣伝することで、製品を差別化することもできます。更に、製品の</w:t>
      </w:r>
      <w:r w:rsidR="00C70F23" w:rsidRPr="003850E3">
        <w:rPr>
          <w:rFonts w:ascii="ＭＳ ゴシック" w:eastAsia="ＭＳ ゴシック" w:hAnsi="ＭＳ ゴシック"/>
          <w:color w:val="545456"/>
          <w:lang w:eastAsia="ja-JP"/>
        </w:rPr>
        <w:t>GHG</w:t>
      </w:r>
      <w:r w:rsidR="00C70F23" w:rsidRPr="003850E3">
        <w:rPr>
          <w:rFonts w:ascii="ＭＳ ゴシック" w:eastAsia="ＭＳ ゴシック" w:hAnsi="ＭＳ ゴシック" w:cs="ＭＳ ゴシック" w:hint="eastAsia"/>
          <w:color w:val="545456"/>
          <w:lang w:eastAsia="ja-JP"/>
        </w:rPr>
        <w:t>排出に対処する企業の努力は、従業員に対して効果的なメッセージとな</w:t>
      </w:r>
      <w:r w:rsidR="00C70F23" w:rsidRPr="00C70F23">
        <w:rPr>
          <w:rFonts w:ascii="ＭＳ ゴシック" w:eastAsia="ＭＳ ゴシック" w:hAnsi="ＭＳ ゴシック" w:cs="ＭＳ ゴシック" w:hint="eastAsia"/>
          <w:color w:val="545456"/>
          <w:lang w:eastAsia="ja-JP"/>
        </w:rPr>
        <w:t>り、企業の製品管理に対する誇りを高め、従業員の維持と採用に良い影響を与えることができます。</w:t>
      </w:r>
    </w:p>
    <w:p w14:paraId="11CD8C05" w14:textId="29C33ADD" w:rsidR="00C70F23" w:rsidRPr="00C70F23" w:rsidRDefault="00C70F23" w:rsidP="00C70F23">
      <w:pPr>
        <w:pStyle w:val="a3"/>
        <w:spacing w:before="54" w:line="312" w:lineRule="auto"/>
        <w:ind w:left="709" w:right="351"/>
        <w:rPr>
          <w:color w:val="545456"/>
          <w:lang w:eastAsia="ja-JP"/>
        </w:rPr>
      </w:pPr>
    </w:p>
    <w:p w14:paraId="79D31706" w14:textId="77777777" w:rsidR="0055291C" w:rsidRDefault="0055291C">
      <w:pPr>
        <w:spacing w:line="312" w:lineRule="auto"/>
        <w:rPr>
          <w:lang w:eastAsia="ja-JP"/>
        </w:rPr>
        <w:sectPr w:rsidR="0055291C" w:rsidSect="00A36975">
          <w:headerReference w:type="default" r:id="rId72"/>
          <w:footerReference w:type="default" r:id="rId73"/>
          <w:type w:val="continuous"/>
          <w:pgSz w:w="12240" w:h="15840"/>
          <w:pgMar w:top="720" w:right="720" w:bottom="720" w:left="720" w:header="0" w:footer="0" w:gutter="0"/>
          <w:cols w:num="2" w:space="720" w:equalWidth="0">
            <w:col w:w="5247" w:space="40"/>
            <w:col w:w="5513"/>
          </w:cols>
          <w:docGrid w:linePitch="299"/>
        </w:sectPr>
      </w:pPr>
    </w:p>
    <w:p w14:paraId="32272ECD" w14:textId="074F0C36" w:rsidR="0055291C" w:rsidRDefault="0055291C">
      <w:pPr>
        <w:pStyle w:val="a3"/>
        <w:rPr>
          <w:sz w:val="20"/>
          <w:lang w:eastAsia="ja-JP"/>
        </w:rPr>
      </w:pPr>
    </w:p>
    <w:p w14:paraId="4518E0E3" w14:textId="7C6F54F0" w:rsidR="0055291C" w:rsidRDefault="00BE1F66" w:rsidP="003850E3">
      <w:pPr>
        <w:pStyle w:val="3"/>
        <w:ind w:left="0"/>
        <w:rPr>
          <w:lang w:eastAsia="ja-JP"/>
        </w:rPr>
      </w:pPr>
      <w:r>
        <w:rPr>
          <w:rFonts w:hint="eastAsia"/>
          <w:noProof/>
          <w:sz w:val="19"/>
          <w:szCs w:val="19"/>
          <w:lang w:eastAsia="ja-JP"/>
        </w:rPr>
        <mc:AlternateContent>
          <mc:Choice Requires="wpg">
            <w:drawing>
              <wp:anchor distT="0" distB="0" distL="114300" distR="114300" simplePos="0" relativeHeight="251428352" behindDoc="0" locked="0" layoutInCell="1" allowOverlap="1" wp14:anchorId="7C3350F7" wp14:editId="0404179E">
                <wp:simplePos x="0" y="0"/>
                <wp:positionH relativeFrom="column">
                  <wp:posOffset>336550</wp:posOffset>
                </wp:positionH>
                <wp:positionV relativeFrom="paragraph">
                  <wp:posOffset>153035</wp:posOffset>
                </wp:positionV>
                <wp:extent cx="7054850" cy="2546350"/>
                <wp:effectExtent l="0" t="0" r="0" b="6350"/>
                <wp:wrapNone/>
                <wp:docPr id="52" name="グループ化 52"/>
                <wp:cNvGraphicFramePr/>
                <a:graphic xmlns:a="http://schemas.openxmlformats.org/drawingml/2006/main">
                  <a:graphicData uri="http://schemas.microsoft.com/office/word/2010/wordprocessingGroup">
                    <wpg:wgp>
                      <wpg:cNvGrpSpPr/>
                      <wpg:grpSpPr>
                        <a:xfrm>
                          <a:off x="0" y="0"/>
                          <a:ext cx="7054850" cy="2546350"/>
                          <a:chOff x="0" y="0"/>
                          <a:chExt cx="7054850" cy="2546350"/>
                        </a:xfrm>
                      </wpg:grpSpPr>
                      <wps:wsp>
                        <wps:cNvPr id="4" name="docshape246"/>
                        <wps:cNvSpPr>
                          <a:spLocks/>
                        </wps:cNvSpPr>
                        <wps:spPr bwMode="auto">
                          <a:xfrm>
                            <a:off x="12700" y="0"/>
                            <a:ext cx="7042150" cy="314960"/>
                          </a:xfrm>
                          <a:custGeom>
                            <a:avLst/>
                            <a:gdLst>
                              <a:gd name="T0" fmla="+- 0 10936 3698"/>
                              <a:gd name="T1" fmla="*/ T0 w 7409"/>
                              <a:gd name="T2" fmla="+- 0 -5 -5"/>
                              <a:gd name="T3" fmla="*/ -5 h 496"/>
                              <a:gd name="T4" fmla="+- 0 3868 3698"/>
                              <a:gd name="T5" fmla="*/ T4 w 7409"/>
                              <a:gd name="T6" fmla="+- 0 -5 -5"/>
                              <a:gd name="T7" fmla="*/ -5 h 496"/>
                              <a:gd name="T8" fmla="+- 0 3770 3698"/>
                              <a:gd name="T9" fmla="*/ T8 w 7409"/>
                              <a:gd name="T10" fmla="+- 0 -2 -5"/>
                              <a:gd name="T11" fmla="*/ -2 h 496"/>
                              <a:gd name="T12" fmla="+- 0 3719 3698"/>
                              <a:gd name="T13" fmla="*/ T12 w 7409"/>
                              <a:gd name="T14" fmla="+- 0 16 -5"/>
                              <a:gd name="T15" fmla="*/ 16 h 496"/>
                              <a:gd name="T16" fmla="+- 0 3700 3698"/>
                              <a:gd name="T17" fmla="*/ T16 w 7409"/>
                              <a:gd name="T18" fmla="+- 0 67 -5"/>
                              <a:gd name="T19" fmla="*/ 67 h 496"/>
                              <a:gd name="T20" fmla="+- 0 3698 3698"/>
                              <a:gd name="T21" fmla="*/ T20 w 7409"/>
                              <a:gd name="T22" fmla="+- 0 165 -5"/>
                              <a:gd name="T23" fmla="*/ 165 h 496"/>
                              <a:gd name="T24" fmla="+- 0 3698 3698"/>
                              <a:gd name="T25" fmla="*/ T24 w 7409"/>
                              <a:gd name="T26" fmla="+- 0 490 -5"/>
                              <a:gd name="T27" fmla="*/ 490 h 496"/>
                              <a:gd name="T28" fmla="+- 0 11106 3698"/>
                              <a:gd name="T29" fmla="*/ T28 w 7409"/>
                              <a:gd name="T30" fmla="+- 0 490 -5"/>
                              <a:gd name="T31" fmla="*/ 490 h 496"/>
                              <a:gd name="T32" fmla="+- 0 11106 3698"/>
                              <a:gd name="T33" fmla="*/ T32 w 7409"/>
                              <a:gd name="T34" fmla="+- 0 165 -5"/>
                              <a:gd name="T35" fmla="*/ 165 h 496"/>
                              <a:gd name="T36" fmla="+- 0 11103 3698"/>
                              <a:gd name="T37" fmla="*/ T36 w 7409"/>
                              <a:gd name="T38" fmla="+- 0 67 -5"/>
                              <a:gd name="T39" fmla="*/ 67 h 496"/>
                              <a:gd name="T40" fmla="+- 0 11085 3698"/>
                              <a:gd name="T41" fmla="*/ T40 w 7409"/>
                              <a:gd name="T42" fmla="+- 0 16 -5"/>
                              <a:gd name="T43" fmla="*/ 16 h 496"/>
                              <a:gd name="T44" fmla="+- 0 11034 3698"/>
                              <a:gd name="T45" fmla="*/ T44 w 7409"/>
                              <a:gd name="T46" fmla="+- 0 -2 -5"/>
                              <a:gd name="T47" fmla="*/ -2 h 496"/>
                              <a:gd name="T48" fmla="+- 0 10936 3698"/>
                              <a:gd name="T49" fmla="*/ T48 w 7409"/>
                              <a:gd name="T50" fmla="+- 0 -5 -5"/>
                              <a:gd name="T51" fmla="*/ -5 h 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409" h="496">
                                <a:moveTo>
                                  <a:pt x="7238" y="0"/>
                                </a:moveTo>
                                <a:lnTo>
                                  <a:pt x="170" y="0"/>
                                </a:lnTo>
                                <a:lnTo>
                                  <a:pt x="72" y="3"/>
                                </a:lnTo>
                                <a:lnTo>
                                  <a:pt x="21" y="21"/>
                                </a:lnTo>
                                <a:lnTo>
                                  <a:pt x="2" y="72"/>
                                </a:lnTo>
                                <a:lnTo>
                                  <a:pt x="0" y="170"/>
                                </a:lnTo>
                                <a:lnTo>
                                  <a:pt x="0" y="495"/>
                                </a:lnTo>
                                <a:lnTo>
                                  <a:pt x="7408" y="495"/>
                                </a:lnTo>
                                <a:lnTo>
                                  <a:pt x="7408" y="170"/>
                                </a:lnTo>
                                <a:lnTo>
                                  <a:pt x="7405" y="72"/>
                                </a:lnTo>
                                <a:lnTo>
                                  <a:pt x="7387" y="21"/>
                                </a:lnTo>
                                <a:lnTo>
                                  <a:pt x="7336" y="3"/>
                                </a:lnTo>
                                <a:lnTo>
                                  <a:pt x="7238" y="0"/>
                                </a:lnTo>
                                <a:close/>
                              </a:path>
                            </a:pathLst>
                          </a:custGeom>
                          <a:solidFill>
                            <a:srgbClr val="00ACA1"/>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26109FF" w14:textId="29F37D0E" w:rsidR="00FC755B" w:rsidRPr="00FC755B" w:rsidRDefault="00FC755B" w:rsidP="00FC755B">
                              <w:pPr>
                                <w:rPr>
                                  <w:rFonts w:eastAsiaTheme="minorEastAsia"/>
                                  <w:b/>
                                  <w:bCs/>
                                  <w:i/>
                                  <w:iCs/>
                                  <w:color w:val="FFFFFF" w:themeColor="background1"/>
                                  <w:lang w:eastAsia="ja-JP"/>
                                </w:rPr>
                              </w:pPr>
                              <w:r>
                                <w:rPr>
                                  <w:rFonts w:eastAsiaTheme="minorEastAsia" w:hint="eastAsia"/>
                                  <w:b/>
                                  <w:bCs/>
                                  <w:i/>
                                  <w:iCs/>
                                  <w:color w:val="FFFFFF" w:themeColor="background1"/>
                                  <w:lang w:eastAsia="ja-JP"/>
                                </w:rPr>
                                <w:t>S</w:t>
                              </w:r>
                              <w:r>
                                <w:rPr>
                                  <w:rFonts w:eastAsiaTheme="minorEastAsia"/>
                                  <w:b/>
                                  <w:bCs/>
                                  <w:i/>
                                  <w:iCs/>
                                  <w:color w:val="FFFFFF" w:themeColor="background1"/>
                                  <w:lang w:eastAsia="ja-JP"/>
                                </w:rPr>
                                <w:t>wire Beverage</w:t>
                              </w:r>
                              <w:r>
                                <w:rPr>
                                  <w:rFonts w:eastAsiaTheme="minorEastAsia" w:hint="eastAsia"/>
                                  <w:b/>
                                  <w:bCs/>
                                  <w:i/>
                                  <w:iCs/>
                                  <w:color w:val="FFFFFF" w:themeColor="background1"/>
                                  <w:lang w:eastAsia="ja-JP"/>
                                </w:rPr>
                                <w:t>社</w:t>
                              </w:r>
                            </w:p>
                          </w:txbxContent>
                        </wps:txbx>
                        <wps:bodyPr rot="0" vert="horz" wrap="square" lIns="91440" tIns="45720" rIns="91440" bIns="45720" anchor="t" anchorCtr="0" upright="1">
                          <a:noAutofit/>
                        </wps:bodyPr>
                      </wps:wsp>
                      <wps:wsp>
                        <wps:cNvPr id="50" name="テキスト ボックス 50"/>
                        <wps:cNvSpPr txBox="1"/>
                        <wps:spPr>
                          <a:xfrm>
                            <a:off x="0" y="374650"/>
                            <a:ext cx="7016750" cy="2171700"/>
                          </a:xfrm>
                          <a:prstGeom prst="rect">
                            <a:avLst/>
                          </a:prstGeom>
                          <a:solidFill>
                            <a:schemeClr val="bg1">
                              <a:lumMod val="95000"/>
                            </a:schemeClr>
                          </a:solidFill>
                          <a:ln w="6350">
                            <a:noFill/>
                          </a:ln>
                        </wps:spPr>
                        <wps:txbx>
                          <w:txbxContent>
                            <w:p w14:paraId="7E0F84D3" w14:textId="4B681C43" w:rsidR="00BE1F66" w:rsidRPr="00BE1F66" w:rsidRDefault="00BE1F66" w:rsidP="00BE1F66">
                              <w:pPr>
                                <w:ind w:firstLineChars="100" w:firstLine="190"/>
                                <w:rPr>
                                  <w:sz w:val="19"/>
                                  <w:szCs w:val="19"/>
                                  <w:lang w:eastAsia="ja-JP"/>
                                </w:rPr>
                              </w:pPr>
                              <w:r w:rsidRPr="00BE1F66">
                                <w:rPr>
                                  <w:sz w:val="19"/>
                                  <w:szCs w:val="19"/>
                                  <w:lang w:eastAsia="ja-JP"/>
                                </w:rPr>
                                <w:t>Swire Beverages</w:t>
                              </w:r>
                              <w:r w:rsidRPr="00BE1F66">
                                <w:rPr>
                                  <w:rFonts w:ascii="ＭＳ ゴシック" w:eastAsia="ＭＳ ゴシック" w:hAnsi="ＭＳ ゴシック" w:cs="ＭＳ ゴシック" w:hint="eastAsia"/>
                                  <w:sz w:val="19"/>
                                  <w:szCs w:val="19"/>
                                  <w:lang w:eastAsia="ja-JP"/>
                                </w:rPr>
                                <w:t>社は、コカ・コーラ社のアンカーボトラー</w:t>
                              </w:r>
                              <w:r w:rsidR="00B112D2">
                                <w:rPr>
                                  <w:rFonts w:ascii="ＭＳ ゴシック" w:eastAsia="ＭＳ ゴシック" w:hAnsi="ＭＳ ゴシック" w:cs="ＭＳ ゴシック" w:hint="eastAsia"/>
                                  <w:sz w:val="19"/>
                                  <w:szCs w:val="19"/>
                                  <w:lang w:eastAsia="ja-JP"/>
                                </w:rPr>
                                <w:t>（訳者注：清涼飲料水の濃縮原液を仕入れ、薄めて販売する会社。フランチャイズの一</w:t>
                              </w:r>
                              <w:r w:rsidR="009D4E48">
                                <w:rPr>
                                  <w:rFonts w:ascii="ＭＳ ゴシック" w:eastAsia="ＭＳ ゴシック" w:hAnsi="ＭＳ ゴシック" w:cs="ＭＳ ゴシック" w:hint="eastAsia"/>
                                  <w:sz w:val="19"/>
                                  <w:szCs w:val="19"/>
                                  <w:lang w:eastAsia="ja-JP"/>
                                </w:rPr>
                                <w:t>形態</w:t>
                              </w:r>
                              <w:r w:rsidR="00B112D2">
                                <w:rPr>
                                  <w:rFonts w:ascii="ＭＳ ゴシック" w:eastAsia="ＭＳ ゴシック" w:hAnsi="ＭＳ ゴシック" w:cs="ＭＳ ゴシック" w:hint="eastAsia"/>
                                  <w:sz w:val="19"/>
                                  <w:szCs w:val="19"/>
                                  <w:lang w:eastAsia="ja-JP"/>
                                </w:rPr>
                                <w:t>）</w:t>
                              </w:r>
                              <w:r w:rsidRPr="00BE1F66">
                                <w:rPr>
                                  <w:rFonts w:ascii="ＭＳ ゴシック" w:eastAsia="ＭＳ ゴシック" w:hAnsi="ＭＳ ゴシック" w:cs="ＭＳ ゴシック" w:hint="eastAsia"/>
                                  <w:sz w:val="19"/>
                                  <w:szCs w:val="19"/>
                                  <w:lang w:eastAsia="ja-JP"/>
                                </w:rPr>
                                <w:t>として、コカ・コーラ社製品の製造・販売・流通を担っています。同社は、中国本土で生産されるコカ・コーラブランド</w:t>
                              </w:r>
                              <w:r w:rsidRPr="00BE1F66">
                                <w:rPr>
                                  <w:sz w:val="19"/>
                                  <w:szCs w:val="19"/>
                                  <w:lang w:eastAsia="ja-JP"/>
                                </w:rPr>
                                <w:t>9</w:t>
                              </w:r>
                              <w:r w:rsidRPr="00BE1F66">
                                <w:rPr>
                                  <w:rFonts w:ascii="ＭＳ ゴシック" w:eastAsia="ＭＳ ゴシック" w:hAnsi="ＭＳ ゴシック" w:cs="ＭＳ ゴシック" w:hint="eastAsia"/>
                                  <w:sz w:val="19"/>
                                  <w:szCs w:val="19"/>
                                  <w:lang w:eastAsia="ja-JP"/>
                                </w:rPr>
                                <w:t>製品のライフサイクル</w:t>
                              </w:r>
                              <w:r w:rsidRPr="00BE1F66">
                                <w:rPr>
                                  <w:sz w:val="19"/>
                                  <w:szCs w:val="19"/>
                                  <w:lang w:eastAsia="ja-JP"/>
                                </w:rPr>
                                <w:t>GHG</w:t>
                              </w:r>
                              <w:r w:rsidRPr="00BE1F66">
                                <w:rPr>
                                  <w:rFonts w:ascii="ＭＳ ゴシック" w:eastAsia="ＭＳ ゴシック" w:hAnsi="ＭＳ ゴシック" w:cs="ＭＳ ゴシック" w:hint="eastAsia"/>
                                  <w:sz w:val="19"/>
                                  <w:szCs w:val="19"/>
                                  <w:lang w:eastAsia="ja-JP"/>
                                </w:rPr>
                                <w:t>調査を実施しました。</w:t>
                              </w:r>
                            </w:p>
                            <w:p w14:paraId="5CF1ABC0" w14:textId="02A4CF58" w:rsidR="00BE1F66" w:rsidRPr="00BE1F66" w:rsidRDefault="00BE1F66" w:rsidP="00BE1F66">
                              <w:pPr>
                                <w:rPr>
                                  <w:rFonts w:ascii="ＭＳ ゴシック" w:eastAsia="ＭＳ ゴシック" w:hAnsi="ＭＳ ゴシック" w:cs="ＭＳ ゴシック"/>
                                  <w:color w:val="545456"/>
                                  <w:sz w:val="19"/>
                                  <w:szCs w:val="19"/>
                                  <w:lang w:eastAsia="ja-JP"/>
                                </w:rPr>
                              </w:pPr>
                              <w:r w:rsidRPr="00BE1F66">
                                <w:rPr>
                                  <w:rFonts w:ascii="ＭＳ ゴシック" w:eastAsia="ＭＳ ゴシック" w:hAnsi="ＭＳ ゴシック" w:cs="ＭＳ ゴシック" w:hint="eastAsia"/>
                                  <w:color w:val="545456"/>
                                  <w:sz w:val="19"/>
                                  <w:szCs w:val="19"/>
                                  <w:lang w:eastAsia="ja-JP"/>
                                </w:rPr>
                                <w:t>その結果、特に中小規模の製品では、小売店による包装と冷蔵が最も</w:t>
                              </w:r>
                              <w:r w:rsidRPr="00BE1F66">
                                <w:rPr>
                                  <w:rFonts w:ascii="ＭＳ ゴシック" w:eastAsia="ＭＳ ゴシック" w:hAnsi="ＭＳ ゴシック"/>
                                  <w:color w:val="545456"/>
                                  <w:sz w:val="19"/>
                                  <w:szCs w:val="19"/>
                                  <w:lang w:eastAsia="ja-JP"/>
                                </w:rPr>
                                <w:t>GHG</w:t>
                              </w:r>
                              <w:r w:rsidRPr="00BE1F66">
                                <w:rPr>
                                  <w:rFonts w:ascii="ＭＳ ゴシック" w:eastAsia="ＭＳ ゴシック" w:hAnsi="ＭＳ ゴシック" w:cs="ＭＳ ゴシック" w:hint="eastAsia"/>
                                  <w:color w:val="545456"/>
                                  <w:sz w:val="19"/>
                                  <w:szCs w:val="19"/>
                                  <w:lang w:eastAsia="ja-JP"/>
                                </w:rPr>
                                <w:t>排出とそのリスクに寄与するプロセスであることがわかりました。</w:t>
                              </w:r>
                              <w:r w:rsidRPr="00BE1F66">
                                <w:rPr>
                                  <w:rFonts w:ascii="ＭＳ ゴシック" w:eastAsia="ＭＳ ゴシック" w:hAnsi="ＭＳ ゴシック"/>
                                  <w:color w:val="545456"/>
                                  <w:sz w:val="19"/>
                                  <w:szCs w:val="19"/>
                                  <w:lang w:eastAsia="ja-JP"/>
                                </w:rPr>
                                <w:t>Swire Beverages</w:t>
                              </w:r>
                              <w:r w:rsidRPr="00BE1F66">
                                <w:rPr>
                                  <w:rFonts w:ascii="ＭＳ ゴシック" w:eastAsia="ＭＳ ゴシック" w:hAnsi="ＭＳ ゴシック" w:cs="ＭＳ ゴシック" w:hint="eastAsia"/>
                                  <w:color w:val="545456"/>
                                  <w:sz w:val="19"/>
                                  <w:szCs w:val="19"/>
                                  <w:lang w:eastAsia="ja-JP"/>
                                </w:rPr>
                                <w:t>社は、小売店に対して冷蔵庫をリースまたは割引価格で販売しています。収支表作成と削減機会の評価を経て、省エネ型冷蔵庫の導入や、ハイドロフルオロカーボン（</w:t>
                              </w:r>
                              <w:r w:rsidRPr="00BE1F66">
                                <w:rPr>
                                  <w:rFonts w:ascii="ＭＳ ゴシック" w:eastAsia="ＭＳ ゴシック" w:hAnsi="ＭＳ ゴシック" w:cs="ＭＳ ゴシック"/>
                                  <w:color w:val="545456"/>
                                  <w:sz w:val="19"/>
                                  <w:szCs w:val="19"/>
                                  <w:lang w:eastAsia="ja-JP"/>
                                </w:rPr>
                                <w:t>HFC</w:t>
                              </w:r>
                              <w:r w:rsidRPr="00BE1F66">
                                <w:rPr>
                                  <w:rFonts w:ascii="ＭＳ ゴシック" w:eastAsia="ＭＳ ゴシック" w:hAnsi="ＭＳ ゴシック" w:cs="ＭＳ ゴシック" w:hint="eastAsia"/>
                                  <w:color w:val="545456"/>
                                  <w:sz w:val="19"/>
                                  <w:szCs w:val="19"/>
                                  <w:lang w:eastAsia="ja-JP"/>
                                </w:rPr>
                                <w:t>）の回収、</w:t>
                              </w:r>
                              <w:r w:rsidRPr="00BE1F66">
                                <w:rPr>
                                  <w:rFonts w:ascii="ＭＳ ゴシック" w:eastAsia="ＭＳ ゴシック" w:hAnsi="ＭＳ ゴシック" w:cs="ＭＳ ゴシック"/>
                                  <w:color w:val="545456"/>
                                  <w:sz w:val="19"/>
                                  <w:szCs w:val="19"/>
                                  <w:lang w:eastAsia="ja-JP"/>
                                </w:rPr>
                                <w:t>HFC</w:t>
                              </w:r>
                              <w:r w:rsidRPr="00BE1F66">
                                <w:rPr>
                                  <w:rFonts w:ascii="ＭＳ ゴシック" w:eastAsia="ＭＳ ゴシック" w:hAnsi="ＭＳ ゴシック" w:cs="ＭＳ ゴシック" w:hint="eastAsia"/>
                                  <w:color w:val="545456"/>
                                  <w:sz w:val="19"/>
                                  <w:szCs w:val="19"/>
                                  <w:lang w:eastAsia="ja-JP"/>
                                </w:rPr>
                                <w:t>フリー化を積極的に進めました。新しい機器によって、</w:t>
                              </w:r>
                              <w:r w:rsidRPr="00BE1F66">
                                <w:rPr>
                                  <w:rFonts w:ascii="ＭＳ ゴシック" w:eastAsia="ＭＳ ゴシック" w:hAnsi="ＭＳ ゴシック" w:cs="ＭＳ ゴシック"/>
                                  <w:color w:val="545456"/>
                                  <w:sz w:val="19"/>
                                  <w:szCs w:val="19"/>
                                  <w:lang w:eastAsia="ja-JP"/>
                                </w:rPr>
                                <w:t>HFC-134a</w:t>
                              </w:r>
                              <w:r w:rsidRPr="00BE1F66">
                                <w:rPr>
                                  <w:rFonts w:ascii="ＭＳ ゴシック" w:eastAsia="ＭＳ ゴシック" w:hAnsi="ＭＳ ゴシック" w:cs="ＭＳ ゴシック" w:hint="eastAsia"/>
                                  <w:color w:val="545456"/>
                                  <w:sz w:val="19"/>
                                  <w:szCs w:val="19"/>
                                  <w:lang w:eastAsia="ja-JP"/>
                                </w:rPr>
                                <w:t>（地球温暖化係数の高い冷媒）の使用量を削減し、電力使用量を</w:t>
                              </w:r>
                              <w:r w:rsidRPr="00BE1F66">
                                <w:rPr>
                                  <w:rFonts w:ascii="ＭＳ ゴシック" w:eastAsia="ＭＳ ゴシック" w:hAnsi="ＭＳ ゴシック" w:cs="ＭＳ ゴシック"/>
                                  <w:color w:val="545456"/>
                                  <w:sz w:val="19"/>
                                  <w:szCs w:val="19"/>
                                  <w:lang w:eastAsia="ja-JP"/>
                                </w:rPr>
                                <w:t>35</w:t>
                              </w:r>
                              <w:r w:rsidRPr="00BE1F66">
                                <w:rPr>
                                  <w:rFonts w:ascii="ＭＳ ゴシック" w:eastAsia="ＭＳ ゴシック" w:hAnsi="ＭＳ ゴシック" w:cs="ＭＳ ゴシック" w:hint="eastAsia"/>
                                  <w:color w:val="545456"/>
                                  <w:sz w:val="19"/>
                                  <w:szCs w:val="19"/>
                                  <w:lang w:eastAsia="ja-JP"/>
                                </w:rPr>
                                <w:t>〜</w:t>
                              </w:r>
                              <w:r w:rsidRPr="00BE1F66">
                                <w:rPr>
                                  <w:rFonts w:ascii="ＭＳ ゴシック" w:eastAsia="ＭＳ ゴシック" w:hAnsi="ＭＳ ゴシック" w:cs="ＭＳ ゴシック"/>
                                  <w:color w:val="545456"/>
                                  <w:sz w:val="19"/>
                                  <w:szCs w:val="19"/>
                                  <w:lang w:eastAsia="ja-JP"/>
                                </w:rPr>
                                <w:t>40</w:t>
                              </w:r>
                              <w:r w:rsidRPr="00BE1F66">
                                <w:rPr>
                                  <w:rFonts w:ascii="ＭＳ ゴシック" w:eastAsia="ＭＳ ゴシック" w:hAnsi="ＭＳ ゴシック" w:cs="ＭＳ ゴシック" w:hint="eastAsia"/>
                                  <w:color w:val="545456"/>
                                  <w:sz w:val="19"/>
                                  <w:szCs w:val="19"/>
                                  <w:lang w:eastAsia="ja-JP"/>
                                </w:rPr>
                                <w:t>％削減しました。</w:t>
                              </w:r>
                            </w:p>
                            <w:p w14:paraId="07B3072A" w14:textId="7A267F78" w:rsidR="00BE1F66" w:rsidRPr="00BE1F66" w:rsidRDefault="00BE1F66" w:rsidP="00BE1F66">
                              <w:pPr>
                                <w:ind w:firstLineChars="100" w:firstLine="190"/>
                                <w:rPr>
                                  <w:sz w:val="19"/>
                                  <w:szCs w:val="19"/>
                                  <w:lang w:eastAsia="ja-JP"/>
                                </w:rPr>
                              </w:pPr>
                              <w:r w:rsidRPr="00BE1F66">
                                <w:rPr>
                                  <w:rFonts w:ascii="ＭＳ ゴシック" w:eastAsia="ＭＳ ゴシック" w:hAnsi="ＭＳ ゴシック" w:cs="ＭＳ ゴシック"/>
                                  <w:color w:val="545456"/>
                                  <w:sz w:val="19"/>
                                  <w:szCs w:val="19"/>
                                  <w:lang w:eastAsia="ja-JP"/>
                                </w:rPr>
                                <w:t>Swire</w:t>
                              </w:r>
                              <w:r w:rsidRPr="00BE1F66">
                                <w:rPr>
                                  <w:rFonts w:ascii="ＭＳ ゴシック" w:eastAsia="ＭＳ ゴシック" w:hAnsi="ＭＳ ゴシック" w:cs="ＭＳ ゴシック" w:hint="eastAsia"/>
                                  <w:color w:val="545456"/>
                                  <w:sz w:val="19"/>
                                  <w:szCs w:val="19"/>
                                  <w:lang w:eastAsia="ja-JP"/>
                                </w:rPr>
                                <w:t>社はまた、すべての小売業者がこの新しい冷蔵庫を導入した場合、ライフサイクル内での温室効果ガス排出量の排出量を、商品の大きさに応じて</w:t>
                              </w:r>
                              <w:r w:rsidRPr="00BE1F66">
                                <w:rPr>
                                  <w:rFonts w:ascii="ＭＳ ゴシック" w:eastAsia="ＭＳ ゴシック" w:hAnsi="ＭＳ ゴシック" w:cs="ＭＳ ゴシック"/>
                                  <w:color w:val="545456"/>
                                  <w:sz w:val="19"/>
                                  <w:szCs w:val="19"/>
                                  <w:lang w:eastAsia="ja-JP"/>
                                </w:rPr>
                                <w:t>5</w:t>
                              </w:r>
                              <w:r w:rsidRPr="00BE1F66">
                                <w:rPr>
                                  <w:rFonts w:ascii="ＭＳ ゴシック" w:eastAsia="ＭＳ ゴシック" w:hAnsi="ＭＳ ゴシック" w:cs="ＭＳ ゴシック" w:hint="eastAsia"/>
                                  <w:color w:val="545456"/>
                                  <w:sz w:val="19"/>
                                  <w:szCs w:val="19"/>
                                  <w:lang w:eastAsia="ja-JP"/>
                                </w:rPr>
                                <w:t>〜</w:t>
                              </w:r>
                              <w:r w:rsidRPr="00BE1F66">
                                <w:rPr>
                                  <w:rFonts w:ascii="ＭＳ ゴシック" w:eastAsia="ＭＳ ゴシック" w:hAnsi="ＭＳ ゴシック" w:cs="ＭＳ ゴシック"/>
                                  <w:color w:val="545456"/>
                                  <w:sz w:val="19"/>
                                  <w:szCs w:val="19"/>
                                  <w:lang w:eastAsia="ja-JP"/>
                                </w:rPr>
                                <w:t>16%</w:t>
                              </w:r>
                              <w:r w:rsidRPr="00BE1F66">
                                <w:rPr>
                                  <w:rFonts w:ascii="ＭＳ ゴシック" w:eastAsia="ＭＳ ゴシック" w:hAnsi="ＭＳ ゴシック" w:cs="ＭＳ ゴシック" w:hint="eastAsia"/>
                                  <w:color w:val="545456"/>
                                  <w:sz w:val="19"/>
                                  <w:szCs w:val="19"/>
                                  <w:lang w:eastAsia="ja-JP"/>
                                </w:rPr>
                                <w:t>削減できると試算しています。</w:t>
                              </w:r>
                              <w:r w:rsidRPr="00BE1F66">
                                <w:rPr>
                                  <w:rFonts w:ascii="ＭＳ ゴシック" w:eastAsia="ＭＳ ゴシック" w:hAnsi="ＭＳ ゴシック" w:cs="ＭＳ ゴシック"/>
                                  <w:color w:val="545456"/>
                                  <w:sz w:val="19"/>
                                  <w:szCs w:val="19"/>
                                  <w:lang w:eastAsia="ja-JP"/>
                                </w:rPr>
                                <w:t>Swire Beverages</w:t>
                              </w:r>
                              <w:r w:rsidRPr="00BE1F66">
                                <w:rPr>
                                  <w:rFonts w:ascii="ＭＳ ゴシック" w:eastAsia="ＭＳ ゴシック" w:hAnsi="ＭＳ ゴシック" w:cs="ＭＳ ゴシック" w:hint="eastAsia"/>
                                  <w:color w:val="545456"/>
                                  <w:sz w:val="19"/>
                                  <w:szCs w:val="19"/>
                                  <w:lang w:eastAsia="ja-JP"/>
                                </w:rPr>
                                <w:t>社とコカ・コーラ社は、パッケージの削減を気候変動緩和の主要な戦略として位置づけ、中国のボトルウォーター製品の新しいパッケージデザインを展開しました。この新しいプラスチックボトルのデザインにより、包装材の重量が</w:t>
                              </w:r>
                              <w:r w:rsidRPr="00BE1F66">
                                <w:rPr>
                                  <w:rFonts w:ascii="ＭＳ ゴシック" w:eastAsia="ＭＳ ゴシック" w:hAnsi="ＭＳ ゴシック" w:cs="ＭＳ ゴシック"/>
                                  <w:color w:val="545456"/>
                                  <w:sz w:val="19"/>
                                  <w:szCs w:val="19"/>
                                  <w:lang w:eastAsia="ja-JP"/>
                                </w:rPr>
                                <w:t>34</w:t>
                              </w:r>
                              <w:r w:rsidRPr="00BE1F66">
                                <w:rPr>
                                  <w:rFonts w:ascii="ＭＳ ゴシック" w:eastAsia="ＭＳ ゴシック" w:hAnsi="ＭＳ ゴシック" w:cs="ＭＳ ゴシック" w:hint="eastAsia"/>
                                  <w:color w:val="545456"/>
                                  <w:sz w:val="19"/>
                                  <w:szCs w:val="19"/>
                                  <w:lang w:eastAsia="ja-JP"/>
                                </w:rPr>
                                <w:t>％削減され、製品のライフサイクルで</w:t>
                              </w:r>
                              <w:r w:rsidRPr="00BE1F66">
                                <w:rPr>
                                  <w:rFonts w:ascii="ＭＳ ゴシック" w:eastAsia="ＭＳ ゴシック" w:hAnsi="ＭＳ ゴシック" w:cs="ＭＳ ゴシック"/>
                                  <w:color w:val="545456"/>
                                  <w:sz w:val="19"/>
                                  <w:szCs w:val="19"/>
                                  <w:lang w:eastAsia="ja-JP"/>
                                </w:rPr>
                                <w:t>GHG</w:t>
                              </w:r>
                              <w:r w:rsidRPr="00BE1F66">
                                <w:rPr>
                                  <w:rFonts w:ascii="ＭＳ ゴシック" w:eastAsia="ＭＳ ゴシック" w:hAnsi="ＭＳ ゴシック" w:cs="ＭＳ ゴシック" w:hint="eastAsia"/>
                                  <w:color w:val="545456"/>
                                  <w:sz w:val="19"/>
                                  <w:szCs w:val="19"/>
                                  <w:lang w:eastAsia="ja-JP"/>
                                </w:rPr>
                                <w:t>排出量が</w:t>
                              </w:r>
                              <w:r w:rsidRPr="00BE1F66">
                                <w:rPr>
                                  <w:rFonts w:ascii="ＭＳ ゴシック" w:eastAsia="ＭＳ ゴシック" w:hAnsi="ＭＳ ゴシック" w:cs="ＭＳ ゴシック"/>
                                  <w:color w:val="545456"/>
                                  <w:sz w:val="19"/>
                                  <w:szCs w:val="19"/>
                                  <w:lang w:eastAsia="ja-JP"/>
                                </w:rPr>
                                <w:t>11</w:t>
                              </w:r>
                              <w:r w:rsidRPr="00BE1F66">
                                <w:rPr>
                                  <w:rFonts w:ascii="ＭＳ ゴシック" w:eastAsia="ＭＳ ゴシック" w:hAnsi="ＭＳ ゴシック" w:cs="ＭＳ ゴシック" w:hint="eastAsia"/>
                                  <w:color w:val="545456"/>
                                  <w:sz w:val="19"/>
                                  <w:szCs w:val="19"/>
                                  <w:lang w:eastAsia="ja-JP"/>
                                </w:rPr>
                                <w:t>％削減されると推定されます。また、この新しいデザインによって</w:t>
                              </w:r>
                              <w:r w:rsidRPr="00BE1F66">
                                <w:rPr>
                                  <w:rFonts w:ascii="ＭＳ ゴシック" w:eastAsia="ＭＳ ゴシック" w:hAnsi="ＭＳ ゴシック" w:cs="ＭＳ ゴシック"/>
                                  <w:color w:val="545456"/>
                                  <w:sz w:val="19"/>
                                  <w:szCs w:val="19"/>
                                  <w:lang w:eastAsia="ja-JP"/>
                                </w:rPr>
                                <w:t>Swire Beverages</w:t>
                              </w:r>
                              <w:r w:rsidRPr="00BE1F66">
                                <w:rPr>
                                  <w:rFonts w:ascii="ＭＳ ゴシック" w:eastAsia="ＭＳ ゴシック" w:hAnsi="ＭＳ ゴシック" w:cs="ＭＳ ゴシック" w:hint="eastAsia"/>
                                  <w:color w:val="545456"/>
                                  <w:sz w:val="19"/>
                                  <w:szCs w:val="19"/>
                                  <w:lang w:eastAsia="ja-JP"/>
                                </w:rPr>
                                <w:t>社は、包装材料の調達コストを削減することにも成功しています。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C3350F7" id="グループ化 52" o:spid="_x0000_s1032" style="position:absolute;margin-left:26.5pt;margin-top:12.05pt;width:555.5pt;height:200.5pt;z-index:251428352;mso-height-relative:margin" coordsize="70548,25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">
                <v:shape id="docshape246" o:spid="_x0000_s1033" style="position:absolute;left:127;width:70421;height:3149;visibility:visible;mso-wrap-style:square;v-text-anchor:top" coordsize="7409,4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" adj="-11796480,,5400" path="m7238,l170,,72,3,21,21,2,72,,170,,495r7408,l7408,170r-3,-98l7387,21,7336,3,7238,xe" fillcolor="#00aca1" stroked="f">
                  <v:stroke joinstyle="round"/>
                  <v:formulas/>
                  <v:path arrowok="t" o:connecttype="custom" o:connectlocs="6879617,-3175;161583,-3175;68435,-1270;19960,10160;1901,42545;0,104775;0,311150;7041200,311150;7041200,104775;7038348,42545;7021239,10160;6972765,-1270;6879617,-3175" o:connectangles="0,0,0,0,0,0,0,0,0,0,0,0,0" textboxrect="0,0,7409,496"/>
                  <v:textbox>
                    <w:txbxContent>
                      <w:p w14:paraId="526109FF" w14:textId="29F37D0E" w:rsidR="00FC755B" w:rsidRPr="00FC755B" w:rsidRDefault="00FC755B" w:rsidP="00FC755B">
                        <w:pPr>
                          <w:rPr>
                            <w:rFonts w:eastAsiaTheme="minorEastAsia"/>
                            <w:b/>
                            <w:bCs/>
                            <w:i/>
                            <w:iCs/>
                            <w:color w:val="FFFFFF" w:themeColor="background1"/>
                            <w:lang w:eastAsia="ja-JP"/>
                          </w:rPr>
                        </w:pPr>
                        <w:r>
                          <w:rPr>
                            <w:rFonts w:eastAsiaTheme="minorEastAsia" w:hint="eastAsia"/>
                            <w:b/>
                            <w:bCs/>
                            <w:i/>
                            <w:iCs/>
                            <w:color w:val="FFFFFF" w:themeColor="background1"/>
                            <w:lang w:eastAsia="ja-JP"/>
                          </w:rPr>
                          <w:t>S</w:t>
                        </w:r>
                        <w:r>
                          <w:rPr>
                            <w:rFonts w:eastAsiaTheme="minorEastAsia"/>
                            <w:b/>
                            <w:bCs/>
                            <w:i/>
                            <w:iCs/>
                            <w:color w:val="FFFFFF" w:themeColor="background1"/>
                            <w:lang w:eastAsia="ja-JP"/>
                          </w:rPr>
                          <w:t>wire Beverage</w:t>
                        </w:r>
                        <w:r>
                          <w:rPr>
                            <w:rFonts w:eastAsiaTheme="minorEastAsia" w:hint="eastAsia"/>
                            <w:b/>
                            <w:bCs/>
                            <w:i/>
                            <w:iCs/>
                            <w:color w:val="FFFFFF" w:themeColor="background1"/>
                            <w:lang w:eastAsia="ja-JP"/>
                          </w:rPr>
                          <w:t>社</w:t>
                        </w:r>
                      </w:p>
                    </w:txbxContent>
                  </v:textbox>
                </v:shape>
                <v:shape id="テキスト ボックス 50" o:spid="_x0000_s1034" type="#_x0000_t202" style="position:absolute;top:3746;width:70167;height:21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" fillcolor="#f2f2f2 [3052]" stroked="f" strokeweight=".5pt">
                  <v:textbox>
                    <w:txbxContent>
                      <w:p w14:paraId="7E0F84D3" w14:textId="4B681C43" w:rsidR="00BE1F66" w:rsidRPr="00BE1F66" w:rsidRDefault="00BE1F66" w:rsidP="00BE1F66">
                        <w:pPr>
                          <w:ind w:firstLineChars="100" w:firstLine="190"/>
                          <w:rPr>
                            <w:sz w:val="19"/>
                            <w:szCs w:val="19"/>
                            <w:lang w:eastAsia="ja-JP"/>
                          </w:rPr>
                        </w:pPr>
                        <w:r w:rsidRPr="00BE1F66">
                          <w:rPr>
                            <w:sz w:val="19"/>
                            <w:szCs w:val="19"/>
                            <w:lang w:eastAsia="ja-JP"/>
                          </w:rPr>
                          <w:t>Swire Beverages</w:t>
                        </w:r>
                        <w:r w:rsidRPr="00BE1F66">
                          <w:rPr>
                            <w:rFonts w:ascii="ＭＳ ゴシック" w:eastAsia="ＭＳ ゴシック" w:hAnsi="ＭＳ ゴシック" w:cs="ＭＳ ゴシック" w:hint="eastAsia"/>
                            <w:sz w:val="19"/>
                            <w:szCs w:val="19"/>
                            <w:lang w:eastAsia="ja-JP"/>
                          </w:rPr>
                          <w:t>社は、コカ・コーラ社のアンカーボトラー</w:t>
                        </w:r>
                        <w:r w:rsidR="00B112D2">
                          <w:rPr>
                            <w:rFonts w:ascii="ＭＳ ゴシック" w:eastAsia="ＭＳ ゴシック" w:hAnsi="ＭＳ ゴシック" w:cs="ＭＳ ゴシック" w:hint="eastAsia"/>
                            <w:sz w:val="19"/>
                            <w:szCs w:val="19"/>
                            <w:lang w:eastAsia="ja-JP"/>
                          </w:rPr>
                          <w:t>（訳者注：清涼飲料水の濃縮原液を仕入れ、薄めて販売する会社。フランチャイズの一</w:t>
                        </w:r>
                        <w:r w:rsidR="009D4E48">
                          <w:rPr>
                            <w:rFonts w:ascii="ＭＳ ゴシック" w:eastAsia="ＭＳ ゴシック" w:hAnsi="ＭＳ ゴシック" w:cs="ＭＳ ゴシック" w:hint="eastAsia"/>
                            <w:sz w:val="19"/>
                            <w:szCs w:val="19"/>
                            <w:lang w:eastAsia="ja-JP"/>
                          </w:rPr>
                          <w:t>形態</w:t>
                        </w:r>
                        <w:r w:rsidR="00B112D2">
                          <w:rPr>
                            <w:rFonts w:ascii="ＭＳ ゴシック" w:eastAsia="ＭＳ ゴシック" w:hAnsi="ＭＳ ゴシック" w:cs="ＭＳ ゴシック" w:hint="eastAsia"/>
                            <w:sz w:val="19"/>
                            <w:szCs w:val="19"/>
                            <w:lang w:eastAsia="ja-JP"/>
                          </w:rPr>
                          <w:t>）</w:t>
                        </w:r>
                        <w:r w:rsidRPr="00BE1F66">
                          <w:rPr>
                            <w:rFonts w:ascii="ＭＳ ゴシック" w:eastAsia="ＭＳ ゴシック" w:hAnsi="ＭＳ ゴシック" w:cs="ＭＳ ゴシック" w:hint="eastAsia"/>
                            <w:sz w:val="19"/>
                            <w:szCs w:val="19"/>
                            <w:lang w:eastAsia="ja-JP"/>
                          </w:rPr>
                          <w:t>として、コカ・コーラ社製品の製造・販売・流通を担っています。同社は、中国本土で生産されるコカ・コーラブランド</w:t>
                        </w:r>
                        <w:r w:rsidRPr="00BE1F66">
                          <w:rPr>
                            <w:sz w:val="19"/>
                            <w:szCs w:val="19"/>
                            <w:lang w:eastAsia="ja-JP"/>
                          </w:rPr>
                          <w:t>9</w:t>
                        </w:r>
                        <w:r w:rsidRPr="00BE1F66">
                          <w:rPr>
                            <w:rFonts w:ascii="ＭＳ ゴシック" w:eastAsia="ＭＳ ゴシック" w:hAnsi="ＭＳ ゴシック" w:cs="ＭＳ ゴシック" w:hint="eastAsia"/>
                            <w:sz w:val="19"/>
                            <w:szCs w:val="19"/>
                            <w:lang w:eastAsia="ja-JP"/>
                          </w:rPr>
                          <w:t>製品のライフサイクル</w:t>
                        </w:r>
                        <w:r w:rsidRPr="00BE1F66">
                          <w:rPr>
                            <w:sz w:val="19"/>
                            <w:szCs w:val="19"/>
                            <w:lang w:eastAsia="ja-JP"/>
                          </w:rPr>
                          <w:t>GHG</w:t>
                        </w:r>
                        <w:r w:rsidRPr="00BE1F66">
                          <w:rPr>
                            <w:rFonts w:ascii="ＭＳ ゴシック" w:eastAsia="ＭＳ ゴシック" w:hAnsi="ＭＳ ゴシック" w:cs="ＭＳ ゴシック" w:hint="eastAsia"/>
                            <w:sz w:val="19"/>
                            <w:szCs w:val="19"/>
                            <w:lang w:eastAsia="ja-JP"/>
                          </w:rPr>
                          <w:t>調査を実施しました。</w:t>
                        </w:r>
                      </w:p>
                      <w:p w14:paraId="5CF1ABC0" w14:textId="02A4CF58" w:rsidR="00BE1F66" w:rsidRPr="00BE1F66" w:rsidRDefault="00BE1F66" w:rsidP="00BE1F66">
                        <w:pPr>
                          <w:rPr>
                            <w:rFonts w:ascii="ＭＳ ゴシック" w:eastAsia="ＭＳ ゴシック" w:hAnsi="ＭＳ ゴシック" w:cs="ＭＳ ゴシック"/>
                            <w:color w:val="545456"/>
                            <w:sz w:val="19"/>
                            <w:szCs w:val="19"/>
                            <w:lang w:eastAsia="ja-JP"/>
                          </w:rPr>
                        </w:pPr>
                        <w:r w:rsidRPr="00BE1F66">
                          <w:rPr>
                            <w:rFonts w:ascii="ＭＳ ゴシック" w:eastAsia="ＭＳ ゴシック" w:hAnsi="ＭＳ ゴシック" w:cs="ＭＳ ゴシック" w:hint="eastAsia"/>
                            <w:color w:val="545456"/>
                            <w:sz w:val="19"/>
                            <w:szCs w:val="19"/>
                            <w:lang w:eastAsia="ja-JP"/>
                          </w:rPr>
                          <w:t>その結果、特に中小規模の製品では、小売店による包装と冷蔵が最も</w:t>
                        </w:r>
                        <w:r w:rsidRPr="00BE1F66">
                          <w:rPr>
                            <w:rFonts w:ascii="ＭＳ ゴシック" w:eastAsia="ＭＳ ゴシック" w:hAnsi="ＭＳ ゴシック"/>
                            <w:color w:val="545456"/>
                            <w:sz w:val="19"/>
                            <w:szCs w:val="19"/>
                            <w:lang w:eastAsia="ja-JP"/>
                          </w:rPr>
                          <w:t>GHG</w:t>
                        </w:r>
                        <w:r w:rsidRPr="00BE1F66">
                          <w:rPr>
                            <w:rFonts w:ascii="ＭＳ ゴシック" w:eastAsia="ＭＳ ゴシック" w:hAnsi="ＭＳ ゴシック" w:cs="ＭＳ ゴシック" w:hint="eastAsia"/>
                            <w:color w:val="545456"/>
                            <w:sz w:val="19"/>
                            <w:szCs w:val="19"/>
                            <w:lang w:eastAsia="ja-JP"/>
                          </w:rPr>
                          <w:t>排出とそのリスクに寄与するプロセスであることがわかりました。</w:t>
                        </w:r>
                        <w:r w:rsidRPr="00BE1F66">
                          <w:rPr>
                            <w:rFonts w:ascii="ＭＳ ゴシック" w:eastAsia="ＭＳ ゴシック" w:hAnsi="ＭＳ ゴシック"/>
                            <w:color w:val="545456"/>
                            <w:sz w:val="19"/>
                            <w:szCs w:val="19"/>
                            <w:lang w:eastAsia="ja-JP"/>
                          </w:rPr>
                          <w:t>Swire Beverages</w:t>
                        </w:r>
                        <w:r w:rsidRPr="00BE1F66">
                          <w:rPr>
                            <w:rFonts w:ascii="ＭＳ ゴシック" w:eastAsia="ＭＳ ゴシック" w:hAnsi="ＭＳ ゴシック" w:cs="ＭＳ ゴシック" w:hint="eastAsia"/>
                            <w:color w:val="545456"/>
                            <w:sz w:val="19"/>
                            <w:szCs w:val="19"/>
                            <w:lang w:eastAsia="ja-JP"/>
                          </w:rPr>
                          <w:t>社は、小売店に対して冷蔵庫をリースまたは割引価格で販売しています。収支表作成と削減機会の評価を経て、省エネ型冷蔵庫の導入や、ハイドロフルオロカーボン（</w:t>
                        </w:r>
                        <w:r w:rsidRPr="00BE1F66">
                          <w:rPr>
                            <w:rFonts w:ascii="ＭＳ ゴシック" w:eastAsia="ＭＳ ゴシック" w:hAnsi="ＭＳ ゴシック" w:cs="ＭＳ ゴシック"/>
                            <w:color w:val="545456"/>
                            <w:sz w:val="19"/>
                            <w:szCs w:val="19"/>
                            <w:lang w:eastAsia="ja-JP"/>
                          </w:rPr>
                          <w:t>HFC</w:t>
                        </w:r>
                        <w:r w:rsidRPr="00BE1F66">
                          <w:rPr>
                            <w:rFonts w:ascii="ＭＳ ゴシック" w:eastAsia="ＭＳ ゴシック" w:hAnsi="ＭＳ ゴシック" w:cs="ＭＳ ゴシック" w:hint="eastAsia"/>
                            <w:color w:val="545456"/>
                            <w:sz w:val="19"/>
                            <w:szCs w:val="19"/>
                            <w:lang w:eastAsia="ja-JP"/>
                          </w:rPr>
                          <w:t>）の回収、</w:t>
                        </w:r>
                        <w:r w:rsidRPr="00BE1F66">
                          <w:rPr>
                            <w:rFonts w:ascii="ＭＳ ゴシック" w:eastAsia="ＭＳ ゴシック" w:hAnsi="ＭＳ ゴシック" w:cs="ＭＳ ゴシック"/>
                            <w:color w:val="545456"/>
                            <w:sz w:val="19"/>
                            <w:szCs w:val="19"/>
                            <w:lang w:eastAsia="ja-JP"/>
                          </w:rPr>
                          <w:t>HFC</w:t>
                        </w:r>
                        <w:r w:rsidRPr="00BE1F66">
                          <w:rPr>
                            <w:rFonts w:ascii="ＭＳ ゴシック" w:eastAsia="ＭＳ ゴシック" w:hAnsi="ＭＳ ゴシック" w:cs="ＭＳ ゴシック" w:hint="eastAsia"/>
                            <w:color w:val="545456"/>
                            <w:sz w:val="19"/>
                            <w:szCs w:val="19"/>
                            <w:lang w:eastAsia="ja-JP"/>
                          </w:rPr>
                          <w:t>フリー化を積極的に進めました。新しい機器によって、</w:t>
                        </w:r>
                        <w:r w:rsidRPr="00BE1F66">
                          <w:rPr>
                            <w:rFonts w:ascii="ＭＳ ゴシック" w:eastAsia="ＭＳ ゴシック" w:hAnsi="ＭＳ ゴシック" w:cs="ＭＳ ゴシック"/>
                            <w:color w:val="545456"/>
                            <w:sz w:val="19"/>
                            <w:szCs w:val="19"/>
                            <w:lang w:eastAsia="ja-JP"/>
                          </w:rPr>
                          <w:t>HFC-134a</w:t>
                        </w:r>
                        <w:r w:rsidRPr="00BE1F66">
                          <w:rPr>
                            <w:rFonts w:ascii="ＭＳ ゴシック" w:eastAsia="ＭＳ ゴシック" w:hAnsi="ＭＳ ゴシック" w:cs="ＭＳ ゴシック" w:hint="eastAsia"/>
                            <w:color w:val="545456"/>
                            <w:sz w:val="19"/>
                            <w:szCs w:val="19"/>
                            <w:lang w:eastAsia="ja-JP"/>
                          </w:rPr>
                          <w:t>（地球温暖化係数の高い冷媒）の使用量を削減し、電力使用量を</w:t>
                        </w:r>
                        <w:r w:rsidRPr="00BE1F66">
                          <w:rPr>
                            <w:rFonts w:ascii="ＭＳ ゴシック" w:eastAsia="ＭＳ ゴシック" w:hAnsi="ＭＳ ゴシック" w:cs="ＭＳ ゴシック"/>
                            <w:color w:val="545456"/>
                            <w:sz w:val="19"/>
                            <w:szCs w:val="19"/>
                            <w:lang w:eastAsia="ja-JP"/>
                          </w:rPr>
                          <w:t>35</w:t>
                        </w:r>
                        <w:r w:rsidRPr="00BE1F66">
                          <w:rPr>
                            <w:rFonts w:ascii="ＭＳ ゴシック" w:eastAsia="ＭＳ ゴシック" w:hAnsi="ＭＳ ゴシック" w:cs="ＭＳ ゴシック" w:hint="eastAsia"/>
                            <w:color w:val="545456"/>
                            <w:sz w:val="19"/>
                            <w:szCs w:val="19"/>
                            <w:lang w:eastAsia="ja-JP"/>
                          </w:rPr>
                          <w:t>〜</w:t>
                        </w:r>
                        <w:r w:rsidRPr="00BE1F66">
                          <w:rPr>
                            <w:rFonts w:ascii="ＭＳ ゴシック" w:eastAsia="ＭＳ ゴシック" w:hAnsi="ＭＳ ゴシック" w:cs="ＭＳ ゴシック"/>
                            <w:color w:val="545456"/>
                            <w:sz w:val="19"/>
                            <w:szCs w:val="19"/>
                            <w:lang w:eastAsia="ja-JP"/>
                          </w:rPr>
                          <w:t>40</w:t>
                        </w:r>
                        <w:r w:rsidRPr="00BE1F66">
                          <w:rPr>
                            <w:rFonts w:ascii="ＭＳ ゴシック" w:eastAsia="ＭＳ ゴシック" w:hAnsi="ＭＳ ゴシック" w:cs="ＭＳ ゴシック" w:hint="eastAsia"/>
                            <w:color w:val="545456"/>
                            <w:sz w:val="19"/>
                            <w:szCs w:val="19"/>
                            <w:lang w:eastAsia="ja-JP"/>
                          </w:rPr>
                          <w:t>％削減しました。</w:t>
                        </w:r>
                      </w:p>
                      <w:p w14:paraId="07B3072A" w14:textId="7A267F78" w:rsidR="00BE1F66" w:rsidRPr="00BE1F66" w:rsidRDefault="00BE1F66" w:rsidP="00BE1F66">
                        <w:pPr>
                          <w:ind w:firstLineChars="100" w:firstLine="190"/>
                          <w:rPr>
                            <w:sz w:val="19"/>
                            <w:szCs w:val="19"/>
                            <w:lang w:eastAsia="ja-JP"/>
                          </w:rPr>
                        </w:pPr>
                        <w:r w:rsidRPr="00BE1F66">
                          <w:rPr>
                            <w:rFonts w:ascii="ＭＳ ゴシック" w:eastAsia="ＭＳ ゴシック" w:hAnsi="ＭＳ ゴシック" w:cs="ＭＳ ゴシック"/>
                            <w:color w:val="545456"/>
                            <w:sz w:val="19"/>
                            <w:szCs w:val="19"/>
                            <w:lang w:eastAsia="ja-JP"/>
                          </w:rPr>
                          <w:t>Swire</w:t>
                        </w:r>
                        <w:r w:rsidRPr="00BE1F66">
                          <w:rPr>
                            <w:rFonts w:ascii="ＭＳ ゴシック" w:eastAsia="ＭＳ ゴシック" w:hAnsi="ＭＳ ゴシック" w:cs="ＭＳ ゴシック" w:hint="eastAsia"/>
                            <w:color w:val="545456"/>
                            <w:sz w:val="19"/>
                            <w:szCs w:val="19"/>
                            <w:lang w:eastAsia="ja-JP"/>
                          </w:rPr>
                          <w:t>社はまた、すべての小売業者がこの新しい冷蔵庫を導入した場合、ライフサイクル内での温室効果ガス排出量の排出量を、商品の大きさに応じて</w:t>
                        </w:r>
                        <w:r w:rsidRPr="00BE1F66">
                          <w:rPr>
                            <w:rFonts w:ascii="ＭＳ ゴシック" w:eastAsia="ＭＳ ゴシック" w:hAnsi="ＭＳ ゴシック" w:cs="ＭＳ ゴシック"/>
                            <w:color w:val="545456"/>
                            <w:sz w:val="19"/>
                            <w:szCs w:val="19"/>
                            <w:lang w:eastAsia="ja-JP"/>
                          </w:rPr>
                          <w:t>5</w:t>
                        </w:r>
                        <w:r w:rsidRPr="00BE1F66">
                          <w:rPr>
                            <w:rFonts w:ascii="ＭＳ ゴシック" w:eastAsia="ＭＳ ゴシック" w:hAnsi="ＭＳ ゴシック" w:cs="ＭＳ ゴシック" w:hint="eastAsia"/>
                            <w:color w:val="545456"/>
                            <w:sz w:val="19"/>
                            <w:szCs w:val="19"/>
                            <w:lang w:eastAsia="ja-JP"/>
                          </w:rPr>
                          <w:t>〜</w:t>
                        </w:r>
                        <w:r w:rsidRPr="00BE1F66">
                          <w:rPr>
                            <w:rFonts w:ascii="ＭＳ ゴシック" w:eastAsia="ＭＳ ゴシック" w:hAnsi="ＭＳ ゴシック" w:cs="ＭＳ ゴシック"/>
                            <w:color w:val="545456"/>
                            <w:sz w:val="19"/>
                            <w:szCs w:val="19"/>
                            <w:lang w:eastAsia="ja-JP"/>
                          </w:rPr>
                          <w:t>16%</w:t>
                        </w:r>
                        <w:r w:rsidRPr="00BE1F66">
                          <w:rPr>
                            <w:rFonts w:ascii="ＭＳ ゴシック" w:eastAsia="ＭＳ ゴシック" w:hAnsi="ＭＳ ゴシック" w:cs="ＭＳ ゴシック" w:hint="eastAsia"/>
                            <w:color w:val="545456"/>
                            <w:sz w:val="19"/>
                            <w:szCs w:val="19"/>
                            <w:lang w:eastAsia="ja-JP"/>
                          </w:rPr>
                          <w:t>削減できると試算しています。</w:t>
                        </w:r>
                        <w:r w:rsidRPr="00BE1F66">
                          <w:rPr>
                            <w:rFonts w:ascii="ＭＳ ゴシック" w:eastAsia="ＭＳ ゴシック" w:hAnsi="ＭＳ ゴシック" w:cs="ＭＳ ゴシック"/>
                            <w:color w:val="545456"/>
                            <w:sz w:val="19"/>
                            <w:szCs w:val="19"/>
                            <w:lang w:eastAsia="ja-JP"/>
                          </w:rPr>
                          <w:t>Swire Beverages</w:t>
                        </w:r>
                        <w:r w:rsidRPr="00BE1F66">
                          <w:rPr>
                            <w:rFonts w:ascii="ＭＳ ゴシック" w:eastAsia="ＭＳ ゴシック" w:hAnsi="ＭＳ ゴシック" w:cs="ＭＳ ゴシック" w:hint="eastAsia"/>
                            <w:color w:val="545456"/>
                            <w:sz w:val="19"/>
                            <w:szCs w:val="19"/>
                            <w:lang w:eastAsia="ja-JP"/>
                          </w:rPr>
                          <w:t>社とコカ・コーラ社は、パッケージの削減を気候変動緩和の主要な戦略として位置づけ、中国のボトルウォーター製品の新しいパッケージデザインを展開しました。この新しいプラスチックボトルのデザインにより、包装材の重量が</w:t>
                        </w:r>
                        <w:r w:rsidRPr="00BE1F66">
                          <w:rPr>
                            <w:rFonts w:ascii="ＭＳ ゴシック" w:eastAsia="ＭＳ ゴシック" w:hAnsi="ＭＳ ゴシック" w:cs="ＭＳ ゴシック"/>
                            <w:color w:val="545456"/>
                            <w:sz w:val="19"/>
                            <w:szCs w:val="19"/>
                            <w:lang w:eastAsia="ja-JP"/>
                          </w:rPr>
                          <w:t>34</w:t>
                        </w:r>
                        <w:r w:rsidRPr="00BE1F66">
                          <w:rPr>
                            <w:rFonts w:ascii="ＭＳ ゴシック" w:eastAsia="ＭＳ ゴシック" w:hAnsi="ＭＳ ゴシック" w:cs="ＭＳ ゴシック" w:hint="eastAsia"/>
                            <w:color w:val="545456"/>
                            <w:sz w:val="19"/>
                            <w:szCs w:val="19"/>
                            <w:lang w:eastAsia="ja-JP"/>
                          </w:rPr>
                          <w:t>％削減され、製品のライフサイクルで</w:t>
                        </w:r>
                        <w:r w:rsidRPr="00BE1F66">
                          <w:rPr>
                            <w:rFonts w:ascii="ＭＳ ゴシック" w:eastAsia="ＭＳ ゴシック" w:hAnsi="ＭＳ ゴシック" w:cs="ＭＳ ゴシック"/>
                            <w:color w:val="545456"/>
                            <w:sz w:val="19"/>
                            <w:szCs w:val="19"/>
                            <w:lang w:eastAsia="ja-JP"/>
                          </w:rPr>
                          <w:t>GHG</w:t>
                        </w:r>
                        <w:r w:rsidRPr="00BE1F66">
                          <w:rPr>
                            <w:rFonts w:ascii="ＭＳ ゴシック" w:eastAsia="ＭＳ ゴシック" w:hAnsi="ＭＳ ゴシック" w:cs="ＭＳ ゴシック" w:hint="eastAsia"/>
                            <w:color w:val="545456"/>
                            <w:sz w:val="19"/>
                            <w:szCs w:val="19"/>
                            <w:lang w:eastAsia="ja-JP"/>
                          </w:rPr>
                          <w:t>排出量が</w:t>
                        </w:r>
                        <w:r w:rsidRPr="00BE1F66">
                          <w:rPr>
                            <w:rFonts w:ascii="ＭＳ ゴシック" w:eastAsia="ＭＳ ゴシック" w:hAnsi="ＭＳ ゴシック" w:cs="ＭＳ ゴシック"/>
                            <w:color w:val="545456"/>
                            <w:sz w:val="19"/>
                            <w:szCs w:val="19"/>
                            <w:lang w:eastAsia="ja-JP"/>
                          </w:rPr>
                          <w:t>11</w:t>
                        </w:r>
                        <w:r w:rsidRPr="00BE1F66">
                          <w:rPr>
                            <w:rFonts w:ascii="ＭＳ ゴシック" w:eastAsia="ＭＳ ゴシック" w:hAnsi="ＭＳ ゴシック" w:cs="ＭＳ ゴシック" w:hint="eastAsia"/>
                            <w:color w:val="545456"/>
                            <w:sz w:val="19"/>
                            <w:szCs w:val="19"/>
                            <w:lang w:eastAsia="ja-JP"/>
                          </w:rPr>
                          <w:t>％削減されると推定されます。また、この新しいデザインによって</w:t>
                        </w:r>
                        <w:r w:rsidRPr="00BE1F66">
                          <w:rPr>
                            <w:rFonts w:ascii="ＭＳ ゴシック" w:eastAsia="ＭＳ ゴシック" w:hAnsi="ＭＳ ゴシック" w:cs="ＭＳ ゴシック"/>
                            <w:color w:val="545456"/>
                            <w:sz w:val="19"/>
                            <w:szCs w:val="19"/>
                            <w:lang w:eastAsia="ja-JP"/>
                          </w:rPr>
                          <w:t>Swire Beverages</w:t>
                        </w:r>
                        <w:r w:rsidRPr="00BE1F66">
                          <w:rPr>
                            <w:rFonts w:ascii="ＭＳ ゴシック" w:eastAsia="ＭＳ ゴシック" w:hAnsi="ＭＳ ゴシック" w:cs="ＭＳ ゴシック" w:hint="eastAsia"/>
                            <w:color w:val="545456"/>
                            <w:sz w:val="19"/>
                            <w:szCs w:val="19"/>
                            <w:lang w:eastAsia="ja-JP"/>
                          </w:rPr>
                          <w:t>社は、包装材料の調達コストを削減することにも成功しています。</w:t>
                        </w:r>
                      </w:p>
                    </w:txbxContent>
                  </v:textbox>
                </v:shape>
              </v:group>
            </w:pict>
          </mc:Fallback>
        </mc:AlternateContent>
      </w:r>
    </w:p>
    <w:p w14:paraId="6AD37625" w14:textId="313EEEF6" w:rsidR="003850E3" w:rsidRDefault="003850E3" w:rsidP="003850E3">
      <w:pPr>
        <w:pStyle w:val="3"/>
        <w:ind w:left="0"/>
        <w:rPr>
          <w:lang w:eastAsia="ja-JP"/>
        </w:rPr>
      </w:pPr>
    </w:p>
    <w:p w14:paraId="026ACA67" w14:textId="20C96FD1" w:rsidR="00870D9E" w:rsidRPr="003850E3" w:rsidRDefault="00870D9E" w:rsidP="003850E3">
      <w:pPr>
        <w:pStyle w:val="3"/>
        <w:ind w:left="0"/>
        <w:rPr>
          <w:lang w:eastAsia="ja-JP"/>
        </w:rPr>
        <w:sectPr w:rsidR="00870D9E" w:rsidRPr="003850E3">
          <w:type w:val="continuous"/>
          <w:pgSz w:w="12240" w:h="15840"/>
          <w:pgMar w:top="740" w:right="0" w:bottom="280" w:left="0" w:header="0" w:footer="0" w:gutter="0"/>
          <w:cols w:space="720"/>
        </w:sectPr>
      </w:pPr>
    </w:p>
    <w:p w14:paraId="71A2D28B" w14:textId="2BFBF83F" w:rsidR="0055291C" w:rsidRPr="00BE1F66" w:rsidRDefault="0055291C" w:rsidP="00BE1F66">
      <w:pPr>
        <w:rPr>
          <w:sz w:val="19"/>
          <w:szCs w:val="19"/>
          <w:lang w:eastAsia="ja-JP"/>
        </w:rPr>
        <w:sectPr w:rsidR="0055291C" w:rsidRPr="00BE1F66">
          <w:type w:val="continuous"/>
          <w:pgSz w:w="12240" w:h="15840"/>
          <w:pgMar w:top="740" w:right="0" w:bottom="280" w:left="0" w:header="0" w:footer="0" w:gutter="0"/>
          <w:cols w:num="2" w:space="720" w:equalWidth="0">
            <w:col w:w="5814" w:space="40"/>
            <w:col w:w="6386"/>
          </w:cols>
        </w:sectPr>
      </w:pPr>
    </w:p>
    <w:p w14:paraId="0E74248C" w14:textId="289CCC26" w:rsidR="0055291C" w:rsidRDefault="00000000">
      <w:pPr>
        <w:pStyle w:val="1"/>
        <w:numPr>
          <w:ilvl w:val="0"/>
          <w:numId w:val="58"/>
        </w:numPr>
        <w:tabs>
          <w:tab w:val="left" w:pos="2415"/>
          <w:tab w:val="left" w:pos="2416"/>
        </w:tabs>
        <w:spacing w:before="75"/>
        <w:ind w:left="2415"/>
      </w:pPr>
      <w:r>
        <w:lastRenderedPageBreak/>
        <w:pict w14:anchorId="25A856AD">
          <v:shape id="docshape259" o:spid="_x0000_s3536" type="#_x0000_t202" style="position:absolute;left:0;text-align:left;margin-left:56.7pt;margin-top:11.05pt;width:226.5pt;height:747.15pt;z-index:-251602432;mso-position-horizontal-relative:page;mso-position-vertical-relative:page" filled="f" stroked="f">
            <v:textbox style="mso-next-textbox:#docshape259" inset="0,0,0,0">
              <w:txbxContent>
                <w:p w14:paraId="2B392600" w14:textId="77777777" w:rsidR="0055291C" w:rsidRDefault="00F23C61">
                  <w:pPr>
                    <w:spacing w:line="320" w:lineRule="exact"/>
                    <w:rPr>
                      <w:rFonts w:ascii="Arial"/>
                      <w:b/>
                      <w:i/>
                      <w:sz w:val="28"/>
                    </w:rPr>
                  </w:pPr>
                  <w:r>
                    <w:rPr>
                      <w:rFonts w:ascii="Arial"/>
                      <w:b/>
                      <w:i/>
                      <w:color w:val="F3F4F4"/>
                      <w:sz w:val="28"/>
                    </w:rPr>
                    <w:t>g</w:t>
                  </w:r>
                  <w:r>
                    <w:rPr>
                      <w:rFonts w:ascii="Arial"/>
                      <w:b/>
                      <w:i/>
                      <w:color w:val="F3F4F4"/>
                      <w:spacing w:val="5"/>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2"/>
                      <w:sz w:val="28"/>
                    </w:rPr>
                    <w:t xml:space="preserve"> </w:t>
                  </w:r>
                  <w:r>
                    <w:rPr>
                      <w:rFonts w:ascii="Arial"/>
                      <w:b/>
                      <w:i/>
                      <w:color w:val="F3F4F4"/>
                      <w:sz w:val="28"/>
                    </w:rPr>
                    <w:t>n</w:t>
                  </w:r>
                  <w:r>
                    <w:rPr>
                      <w:rFonts w:ascii="Arial"/>
                      <w:b/>
                      <w:i/>
                      <w:color w:val="F3F4F4"/>
                      <w:spacing w:val="83"/>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p w14:paraId="4A7388F8" w14:textId="77777777" w:rsidR="0055291C" w:rsidRDefault="0055291C">
                  <w:pPr>
                    <w:pStyle w:val="a3"/>
                    <w:rPr>
                      <w:rFonts w:ascii="Arial"/>
                      <w:b/>
                      <w:i/>
                      <w:sz w:val="30"/>
                    </w:rPr>
                  </w:pPr>
                </w:p>
                <w:p w14:paraId="4D5A6A0F" w14:textId="77777777" w:rsidR="0055291C" w:rsidRDefault="0055291C">
                  <w:pPr>
                    <w:pStyle w:val="a3"/>
                    <w:rPr>
                      <w:rFonts w:ascii="Arial"/>
                      <w:b/>
                      <w:i/>
                      <w:sz w:val="30"/>
                    </w:rPr>
                  </w:pPr>
                </w:p>
                <w:p w14:paraId="20A3A4BB" w14:textId="77777777" w:rsidR="0055291C" w:rsidRDefault="0055291C">
                  <w:pPr>
                    <w:pStyle w:val="a3"/>
                    <w:rPr>
                      <w:rFonts w:ascii="Arial"/>
                      <w:b/>
                      <w:i/>
                      <w:sz w:val="30"/>
                    </w:rPr>
                  </w:pPr>
                </w:p>
                <w:p w14:paraId="40F36743" w14:textId="77777777" w:rsidR="0055291C" w:rsidRDefault="0055291C">
                  <w:pPr>
                    <w:pStyle w:val="a3"/>
                    <w:rPr>
                      <w:rFonts w:ascii="Arial"/>
                      <w:b/>
                      <w:i/>
                      <w:sz w:val="30"/>
                    </w:rPr>
                  </w:pPr>
                </w:p>
                <w:p w14:paraId="54CD3A33" w14:textId="77777777" w:rsidR="0055291C" w:rsidRDefault="0055291C">
                  <w:pPr>
                    <w:pStyle w:val="a3"/>
                    <w:rPr>
                      <w:rFonts w:ascii="Arial"/>
                      <w:b/>
                      <w:i/>
                      <w:sz w:val="30"/>
                    </w:rPr>
                  </w:pPr>
                </w:p>
                <w:p w14:paraId="603E8D98" w14:textId="77777777" w:rsidR="0055291C" w:rsidRDefault="0055291C">
                  <w:pPr>
                    <w:pStyle w:val="a3"/>
                    <w:rPr>
                      <w:rFonts w:ascii="Arial"/>
                      <w:b/>
                      <w:i/>
                      <w:sz w:val="30"/>
                    </w:rPr>
                  </w:pPr>
                </w:p>
                <w:p w14:paraId="5ACADC9B" w14:textId="77777777" w:rsidR="0055291C" w:rsidRDefault="0055291C">
                  <w:pPr>
                    <w:pStyle w:val="a3"/>
                    <w:rPr>
                      <w:rFonts w:ascii="Arial"/>
                      <w:b/>
                      <w:i/>
                      <w:sz w:val="30"/>
                    </w:rPr>
                  </w:pPr>
                </w:p>
                <w:p w14:paraId="337DFEBA" w14:textId="77777777" w:rsidR="0055291C" w:rsidRDefault="0055291C">
                  <w:pPr>
                    <w:pStyle w:val="a3"/>
                    <w:rPr>
                      <w:rFonts w:ascii="Arial"/>
                      <w:b/>
                      <w:i/>
                      <w:sz w:val="30"/>
                    </w:rPr>
                  </w:pPr>
                </w:p>
                <w:p w14:paraId="03A1E5F0" w14:textId="77777777" w:rsidR="0055291C" w:rsidRDefault="0055291C">
                  <w:pPr>
                    <w:pStyle w:val="a3"/>
                    <w:rPr>
                      <w:rFonts w:ascii="Arial"/>
                      <w:b/>
                      <w:i/>
                      <w:sz w:val="30"/>
                    </w:rPr>
                  </w:pPr>
                </w:p>
                <w:p w14:paraId="74FEDCC9" w14:textId="77777777" w:rsidR="0055291C" w:rsidRDefault="0055291C">
                  <w:pPr>
                    <w:pStyle w:val="a3"/>
                    <w:rPr>
                      <w:rFonts w:ascii="Arial"/>
                      <w:b/>
                      <w:i/>
                      <w:sz w:val="30"/>
                    </w:rPr>
                  </w:pPr>
                </w:p>
                <w:p w14:paraId="7068F87D" w14:textId="77777777" w:rsidR="0055291C" w:rsidRDefault="0055291C">
                  <w:pPr>
                    <w:pStyle w:val="a3"/>
                    <w:rPr>
                      <w:rFonts w:ascii="Arial"/>
                      <w:b/>
                      <w:i/>
                      <w:sz w:val="30"/>
                    </w:rPr>
                  </w:pPr>
                </w:p>
                <w:p w14:paraId="0611BBCA" w14:textId="77777777" w:rsidR="0055291C" w:rsidRDefault="0055291C">
                  <w:pPr>
                    <w:pStyle w:val="a3"/>
                    <w:rPr>
                      <w:rFonts w:ascii="Arial"/>
                      <w:b/>
                      <w:i/>
                      <w:sz w:val="30"/>
                    </w:rPr>
                  </w:pPr>
                </w:p>
                <w:p w14:paraId="715DE8E8" w14:textId="77777777" w:rsidR="0055291C" w:rsidRDefault="0055291C">
                  <w:pPr>
                    <w:pStyle w:val="a3"/>
                    <w:rPr>
                      <w:rFonts w:ascii="Arial"/>
                      <w:b/>
                      <w:i/>
                      <w:sz w:val="30"/>
                    </w:rPr>
                  </w:pPr>
                </w:p>
                <w:p w14:paraId="3ABCF2C9" w14:textId="77777777" w:rsidR="0055291C" w:rsidRDefault="0055291C">
                  <w:pPr>
                    <w:pStyle w:val="a3"/>
                    <w:rPr>
                      <w:rFonts w:ascii="Arial"/>
                      <w:b/>
                      <w:i/>
                      <w:sz w:val="30"/>
                    </w:rPr>
                  </w:pPr>
                </w:p>
                <w:p w14:paraId="7DBACF13" w14:textId="77777777" w:rsidR="0055291C" w:rsidRDefault="0055291C">
                  <w:pPr>
                    <w:pStyle w:val="a3"/>
                    <w:rPr>
                      <w:rFonts w:ascii="Arial"/>
                      <w:b/>
                      <w:i/>
                      <w:sz w:val="30"/>
                    </w:rPr>
                  </w:pPr>
                </w:p>
                <w:p w14:paraId="02A705BD" w14:textId="77777777" w:rsidR="0055291C" w:rsidRDefault="0055291C">
                  <w:pPr>
                    <w:pStyle w:val="a3"/>
                    <w:rPr>
                      <w:rFonts w:ascii="Arial"/>
                      <w:b/>
                      <w:i/>
                      <w:sz w:val="30"/>
                    </w:rPr>
                  </w:pPr>
                </w:p>
                <w:p w14:paraId="5C93E49F" w14:textId="77777777" w:rsidR="0055291C" w:rsidRDefault="0055291C">
                  <w:pPr>
                    <w:pStyle w:val="a3"/>
                    <w:rPr>
                      <w:rFonts w:ascii="Arial"/>
                      <w:b/>
                      <w:i/>
                      <w:sz w:val="30"/>
                    </w:rPr>
                  </w:pPr>
                </w:p>
                <w:p w14:paraId="30B6941D" w14:textId="77777777" w:rsidR="0055291C" w:rsidRDefault="0055291C">
                  <w:pPr>
                    <w:pStyle w:val="a3"/>
                    <w:rPr>
                      <w:rFonts w:ascii="Arial"/>
                      <w:b/>
                      <w:i/>
                      <w:sz w:val="30"/>
                    </w:rPr>
                  </w:pPr>
                </w:p>
                <w:p w14:paraId="675CD9AD" w14:textId="77777777" w:rsidR="0055291C" w:rsidRDefault="0055291C">
                  <w:pPr>
                    <w:pStyle w:val="a3"/>
                    <w:rPr>
                      <w:rFonts w:ascii="Arial"/>
                      <w:b/>
                      <w:i/>
                      <w:sz w:val="30"/>
                    </w:rPr>
                  </w:pPr>
                </w:p>
                <w:p w14:paraId="7017A413" w14:textId="77777777" w:rsidR="0055291C" w:rsidRDefault="0055291C">
                  <w:pPr>
                    <w:pStyle w:val="a3"/>
                    <w:rPr>
                      <w:rFonts w:ascii="Arial"/>
                      <w:b/>
                      <w:i/>
                      <w:sz w:val="30"/>
                    </w:rPr>
                  </w:pPr>
                </w:p>
                <w:p w14:paraId="55FE7220" w14:textId="77777777" w:rsidR="0055291C" w:rsidRDefault="0055291C">
                  <w:pPr>
                    <w:pStyle w:val="a3"/>
                    <w:rPr>
                      <w:rFonts w:ascii="Arial"/>
                      <w:b/>
                      <w:i/>
                      <w:sz w:val="30"/>
                    </w:rPr>
                  </w:pPr>
                </w:p>
                <w:p w14:paraId="1D6D0DF8" w14:textId="77777777" w:rsidR="0055291C" w:rsidRDefault="0055291C">
                  <w:pPr>
                    <w:pStyle w:val="a3"/>
                    <w:rPr>
                      <w:rFonts w:ascii="Arial"/>
                      <w:b/>
                      <w:i/>
                      <w:sz w:val="30"/>
                    </w:rPr>
                  </w:pPr>
                </w:p>
                <w:p w14:paraId="7BBD9C7C" w14:textId="77777777" w:rsidR="0055291C" w:rsidRDefault="0055291C">
                  <w:pPr>
                    <w:pStyle w:val="a3"/>
                    <w:rPr>
                      <w:rFonts w:ascii="Arial"/>
                      <w:b/>
                      <w:i/>
                      <w:sz w:val="30"/>
                    </w:rPr>
                  </w:pPr>
                </w:p>
                <w:p w14:paraId="3429467F" w14:textId="77777777" w:rsidR="0055291C" w:rsidRDefault="0055291C">
                  <w:pPr>
                    <w:pStyle w:val="a3"/>
                    <w:rPr>
                      <w:rFonts w:ascii="Arial"/>
                      <w:b/>
                      <w:i/>
                      <w:sz w:val="30"/>
                    </w:rPr>
                  </w:pPr>
                </w:p>
                <w:p w14:paraId="2E823CF2" w14:textId="77777777" w:rsidR="0055291C" w:rsidRDefault="0055291C">
                  <w:pPr>
                    <w:pStyle w:val="a3"/>
                    <w:rPr>
                      <w:rFonts w:ascii="Arial"/>
                      <w:b/>
                      <w:i/>
                      <w:sz w:val="30"/>
                    </w:rPr>
                  </w:pPr>
                </w:p>
                <w:p w14:paraId="5568DC57" w14:textId="77777777" w:rsidR="0055291C" w:rsidRDefault="0055291C">
                  <w:pPr>
                    <w:pStyle w:val="a3"/>
                    <w:rPr>
                      <w:rFonts w:ascii="Arial"/>
                      <w:b/>
                      <w:i/>
                      <w:sz w:val="30"/>
                    </w:rPr>
                  </w:pPr>
                </w:p>
                <w:p w14:paraId="32D9D9F0" w14:textId="77777777" w:rsidR="0055291C" w:rsidRDefault="0055291C">
                  <w:pPr>
                    <w:pStyle w:val="a3"/>
                    <w:rPr>
                      <w:rFonts w:ascii="Arial"/>
                      <w:b/>
                      <w:i/>
                      <w:sz w:val="30"/>
                    </w:rPr>
                  </w:pPr>
                </w:p>
                <w:p w14:paraId="6A8A87FA" w14:textId="77777777" w:rsidR="0055291C" w:rsidRDefault="0055291C">
                  <w:pPr>
                    <w:pStyle w:val="a3"/>
                    <w:rPr>
                      <w:rFonts w:ascii="Arial"/>
                      <w:b/>
                      <w:i/>
                      <w:sz w:val="30"/>
                    </w:rPr>
                  </w:pPr>
                </w:p>
                <w:p w14:paraId="5F8F8013" w14:textId="77777777" w:rsidR="0055291C" w:rsidRDefault="0055291C">
                  <w:pPr>
                    <w:pStyle w:val="a3"/>
                    <w:rPr>
                      <w:rFonts w:ascii="Arial"/>
                      <w:b/>
                      <w:i/>
                      <w:sz w:val="30"/>
                    </w:rPr>
                  </w:pPr>
                </w:p>
                <w:p w14:paraId="1F313537" w14:textId="77777777" w:rsidR="0055291C" w:rsidRDefault="0055291C">
                  <w:pPr>
                    <w:pStyle w:val="a3"/>
                    <w:rPr>
                      <w:rFonts w:ascii="Arial"/>
                      <w:b/>
                      <w:i/>
                      <w:sz w:val="30"/>
                    </w:rPr>
                  </w:pPr>
                </w:p>
                <w:p w14:paraId="3DD3506E" w14:textId="77777777" w:rsidR="0055291C" w:rsidRDefault="0055291C">
                  <w:pPr>
                    <w:pStyle w:val="a3"/>
                    <w:rPr>
                      <w:rFonts w:ascii="Arial"/>
                      <w:b/>
                      <w:i/>
                      <w:sz w:val="30"/>
                    </w:rPr>
                  </w:pPr>
                </w:p>
                <w:p w14:paraId="6EC15071" w14:textId="77777777" w:rsidR="0055291C" w:rsidRDefault="0055291C">
                  <w:pPr>
                    <w:pStyle w:val="a3"/>
                    <w:rPr>
                      <w:rFonts w:ascii="Arial"/>
                      <w:b/>
                      <w:i/>
                      <w:sz w:val="30"/>
                    </w:rPr>
                  </w:pPr>
                </w:p>
                <w:p w14:paraId="09380002" w14:textId="77777777" w:rsidR="0055291C" w:rsidRDefault="0055291C">
                  <w:pPr>
                    <w:pStyle w:val="a3"/>
                    <w:rPr>
                      <w:rFonts w:ascii="Arial"/>
                      <w:b/>
                      <w:i/>
                      <w:sz w:val="30"/>
                    </w:rPr>
                  </w:pPr>
                </w:p>
                <w:p w14:paraId="4464F111" w14:textId="77777777" w:rsidR="0055291C" w:rsidRDefault="0055291C">
                  <w:pPr>
                    <w:pStyle w:val="a3"/>
                    <w:rPr>
                      <w:rFonts w:ascii="Arial"/>
                      <w:b/>
                      <w:i/>
                      <w:sz w:val="30"/>
                    </w:rPr>
                  </w:pPr>
                </w:p>
                <w:p w14:paraId="6F80F6AF" w14:textId="77777777" w:rsidR="0055291C" w:rsidRDefault="0055291C">
                  <w:pPr>
                    <w:pStyle w:val="a3"/>
                    <w:rPr>
                      <w:rFonts w:ascii="Arial"/>
                      <w:b/>
                      <w:i/>
                      <w:sz w:val="30"/>
                    </w:rPr>
                  </w:pPr>
                </w:p>
                <w:p w14:paraId="41848BCA" w14:textId="77777777" w:rsidR="0055291C" w:rsidRDefault="0055291C">
                  <w:pPr>
                    <w:pStyle w:val="a3"/>
                    <w:rPr>
                      <w:rFonts w:ascii="Arial"/>
                      <w:b/>
                      <w:i/>
                      <w:sz w:val="30"/>
                    </w:rPr>
                  </w:pPr>
                </w:p>
                <w:p w14:paraId="14F393BC" w14:textId="77777777" w:rsidR="0055291C" w:rsidRDefault="0055291C">
                  <w:pPr>
                    <w:pStyle w:val="a3"/>
                    <w:rPr>
                      <w:rFonts w:ascii="Arial"/>
                      <w:b/>
                      <w:i/>
                      <w:sz w:val="30"/>
                    </w:rPr>
                  </w:pPr>
                </w:p>
                <w:p w14:paraId="5F77547C" w14:textId="77777777" w:rsidR="0055291C" w:rsidRDefault="0055291C">
                  <w:pPr>
                    <w:pStyle w:val="a3"/>
                    <w:rPr>
                      <w:rFonts w:ascii="Arial"/>
                      <w:b/>
                      <w:i/>
                      <w:sz w:val="30"/>
                    </w:rPr>
                  </w:pPr>
                </w:p>
                <w:p w14:paraId="7FF0F3EE" w14:textId="77777777" w:rsidR="0055291C" w:rsidRDefault="0055291C">
                  <w:pPr>
                    <w:pStyle w:val="a3"/>
                    <w:rPr>
                      <w:rFonts w:ascii="Arial"/>
                      <w:b/>
                      <w:i/>
                      <w:sz w:val="30"/>
                    </w:rPr>
                  </w:pPr>
                </w:p>
                <w:p w14:paraId="59CAFE53" w14:textId="77777777" w:rsidR="0055291C" w:rsidRDefault="0055291C">
                  <w:pPr>
                    <w:pStyle w:val="a3"/>
                    <w:rPr>
                      <w:rFonts w:ascii="Arial"/>
                      <w:b/>
                      <w:i/>
                      <w:sz w:val="30"/>
                    </w:rPr>
                  </w:pPr>
                </w:p>
                <w:p w14:paraId="5B8BA292" w14:textId="77777777" w:rsidR="0055291C" w:rsidRDefault="0055291C">
                  <w:pPr>
                    <w:pStyle w:val="a3"/>
                    <w:rPr>
                      <w:rFonts w:ascii="Arial"/>
                      <w:b/>
                      <w:i/>
                      <w:sz w:val="30"/>
                    </w:rPr>
                  </w:pPr>
                </w:p>
                <w:p w14:paraId="16E8B4E0" w14:textId="77777777" w:rsidR="0055291C" w:rsidRDefault="0055291C">
                  <w:pPr>
                    <w:pStyle w:val="a3"/>
                    <w:spacing w:before="11"/>
                    <w:rPr>
                      <w:rFonts w:ascii="Arial"/>
                      <w:b/>
                      <w:i/>
                      <w:sz w:val="25"/>
                    </w:rPr>
                  </w:pPr>
                </w:p>
                <w:p w14:paraId="786FB62F" w14:textId="77777777" w:rsidR="0055291C" w:rsidRDefault="00F23C61">
                  <w:pPr>
                    <w:spacing w:line="180" w:lineRule="exact"/>
                    <w:rPr>
                      <w:rFonts w:ascii="Arial"/>
                      <w:b/>
                      <w:i/>
                      <w:sz w:val="16"/>
                    </w:rPr>
                  </w:pPr>
                  <w:r>
                    <w:rPr>
                      <w:color w:val="7F3F98"/>
                      <w:w w:val="95"/>
                      <w:sz w:val="16"/>
                    </w:rPr>
                    <w:t>[12]</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7"/>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r>
        <w:pict w14:anchorId="4611FE51">
          <v:group id="docshapegroup260" o:spid="_x0000_s3530" style="position:absolute;left:0;text-align:left;margin-left:0;margin-top:0;width:612pt;height:11in;z-index:-251601408;mso-position-horizontal-relative:page;mso-position-vertical-relative:page" coordsize="12240,15840">
            <v:line id="_x0000_s3535" style="position:absolute" from="1134,14704" to="11106,14704" strokecolor="#00aca1" strokeweight=".25pt"/>
            <v:shape id="docshape261" o:spid="_x0000_s3534" style="position:absolute;width:5940;height:636" coordsize="5940,636" path="m5940,l,,,635r5713,l5844,632r68,-25l5936,539r4,-131l5940,xe" fillcolor="#00aca1" stroked="f">
              <v:path arrowok="t"/>
            </v:shape>
            <v:shape id="docshape262" o:spid="_x0000_s3533" type="#_x0000_t75" style="position:absolute;width:12240;height:15840">
              <v:imagedata r:id="rId74" o:title=""/>
            </v:shape>
            <v:rect id="docshape263" o:spid="_x0000_s3532" style="position:absolute;width:12240;height:2015" fillcolor="#f3f4f4" stroked="f">
              <v:fill opacity="45875f"/>
            </v:rect>
            <v:shape id="docshape264" o:spid="_x0000_s3531" style="position:absolute;width:2133;height:2015" coordsize="2133,2015" path="m2132,l,,,2014r1892,l2031,2011r71,-27l2129,1913r3,-139l2132,xe" fillcolor="#00aca1" stroked="f">
              <v:path arrowok="t"/>
            </v:shape>
            <w10:wrap anchorx="page" anchory="page"/>
          </v:group>
        </w:pict>
      </w:r>
      <w:proofErr w:type="spellStart"/>
      <w:r w:rsidR="00554C80" w:rsidRPr="00554C80">
        <w:rPr>
          <w:rFonts w:ascii="ＭＳ 明朝" w:eastAsia="ＭＳ 明朝" w:hAnsi="ＭＳ 明朝" w:cs="ＭＳ 明朝" w:hint="eastAsia"/>
          <w:color w:val="545456"/>
          <w:w w:val="95"/>
        </w:rPr>
        <w:t>手順と要件の概要</w:t>
      </w:r>
      <w:proofErr w:type="spellEnd"/>
    </w:p>
    <w:p w14:paraId="18AAC0B0" w14:textId="77777777" w:rsidR="0055291C" w:rsidRDefault="0055291C">
      <w:pPr>
        <w:sectPr w:rsidR="0055291C">
          <w:headerReference w:type="even" r:id="rId75"/>
          <w:footerReference w:type="even" r:id="rId76"/>
          <w:pgSz w:w="12240" w:h="15840"/>
          <w:pgMar w:top="1020" w:right="0" w:bottom="280" w:left="0" w:header="0" w:footer="0" w:gutter="0"/>
          <w:cols w:space="720"/>
        </w:sectPr>
      </w:pPr>
    </w:p>
    <w:p w14:paraId="69AEF1C2" w14:textId="77777777" w:rsidR="0055291C" w:rsidRDefault="0055291C">
      <w:pPr>
        <w:pStyle w:val="a3"/>
        <w:rPr>
          <w:rFonts w:ascii="Arial"/>
          <w:b/>
          <w:i/>
          <w:sz w:val="20"/>
        </w:rPr>
      </w:pPr>
    </w:p>
    <w:p w14:paraId="777D86CD" w14:textId="77777777" w:rsidR="0055291C" w:rsidRDefault="0055291C">
      <w:pPr>
        <w:pStyle w:val="a3"/>
        <w:rPr>
          <w:rFonts w:ascii="Arial"/>
          <w:b/>
          <w:i/>
          <w:sz w:val="20"/>
        </w:rPr>
      </w:pPr>
    </w:p>
    <w:p w14:paraId="25A952D2" w14:textId="77777777" w:rsidR="0055291C" w:rsidRDefault="0055291C">
      <w:pPr>
        <w:pStyle w:val="a3"/>
        <w:rPr>
          <w:rFonts w:ascii="Arial"/>
          <w:b/>
          <w:i/>
          <w:sz w:val="20"/>
        </w:rPr>
      </w:pPr>
    </w:p>
    <w:p w14:paraId="6BDB0EF0" w14:textId="77777777" w:rsidR="0055291C" w:rsidRDefault="0055291C">
      <w:pPr>
        <w:pStyle w:val="a3"/>
        <w:rPr>
          <w:rFonts w:ascii="Arial"/>
          <w:b/>
          <w:i/>
          <w:sz w:val="20"/>
        </w:rPr>
      </w:pPr>
    </w:p>
    <w:p w14:paraId="4DD9066C" w14:textId="77777777" w:rsidR="0055291C" w:rsidRDefault="0055291C">
      <w:pPr>
        <w:pStyle w:val="a3"/>
        <w:rPr>
          <w:rFonts w:ascii="Arial"/>
          <w:b/>
          <w:i/>
          <w:sz w:val="20"/>
        </w:rPr>
      </w:pPr>
    </w:p>
    <w:p w14:paraId="19D8332E" w14:textId="77777777" w:rsidR="0055291C" w:rsidRDefault="0055291C">
      <w:pPr>
        <w:pStyle w:val="a3"/>
        <w:rPr>
          <w:rFonts w:ascii="Arial"/>
          <w:b/>
          <w:i/>
          <w:sz w:val="20"/>
        </w:rPr>
      </w:pPr>
    </w:p>
    <w:p w14:paraId="16302C4D" w14:textId="77777777" w:rsidR="0055291C" w:rsidRDefault="0055291C">
      <w:pPr>
        <w:pStyle w:val="a3"/>
        <w:rPr>
          <w:rFonts w:ascii="Arial"/>
          <w:b/>
          <w:i/>
          <w:sz w:val="20"/>
        </w:rPr>
      </w:pPr>
    </w:p>
    <w:p w14:paraId="51204F7A" w14:textId="77777777" w:rsidR="0055291C" w:rsidRDefault="0055291C">
      <w:pPr>
        <w:pStyle w:val="a3"/>
        <w:rPr>
          <w:rFonts w:ascii="Arial"/>
          <w:b/>
          <w:i/>
          <w:sz w:val="20"/>
        </w:rPr>
      </w:pPr>
    </w:p>
    <w:p w14:paraId="5F95DC6D" w14:textId="77777777" w:rsidR="0055291C" w:rsidRDefault="0055291C">
      <w:pPr>
        <w:pStyle w:val="a3"/>
        <w:rPr>
          <w:rFonts w:ascii="Arial"/>
          <w:b/>
          <w:i/>
          <w:sz w:val="20"/>
        </w:rPr>
      </w:pPr>
    </w:p>
    <w:p w14:paraId="13362B06" w14:textId="77777777" w:rsidR="0055291C" w:rsidRDefault="0055291C">
      <w:pPr>
        <w:pStyle w:val="a3"/>
        <w:rPr>
          <w:rFonts w:ascii="Arial"/>
          <w:b/>
          <w:i/>
          <w:sz w:val="20"/>
        </w:rPr>
      </w:pPr>
    </w:p>
    <w:p w14:paraId="201D4E76" w14:textId="77777777" w:rsidR="0055291C" w:rsidRDefault="0055291C">
      <w:pPr>
        <w:pStyle w:val="a3"/>
        <w:rPr>
          <w:rFonts w:ascii="Arial"/>
          <w:b/>
          <w:i/>
          <w:sz w:val="20"/>
        </w:rPr>
      </w:pPr>
    </w:p>
    <w:p w14:paraId="1F57D112" w14:textId="77777777" w:rsidR="0055291C" w:rsidRDefault="0055291C">
      <w:pPr>
        <w:pStyle w:val="a3"/>
        <w:rPr>
          <w:rFonts w:ascii="Arial"/>
          <w:b/>
          <w:i/>
          <w:sz w:val="20"/>
        </w:rPr>
      </w:pPr>
    </w:p>
    <w:p w14:paraId="06FC6EF8" w14:textId="77777777" w:rsidR="0055291C" w:rsidRDefault="0055291C">
      <w:pPr>
        <w:pStyle w:val="a3"/>
        <w:rPr>
          <w:rFonts w:ascii="Arial"/>
          <w:b/>
          <w:i/>
          <w:sz w:val="20"/>
        </w:rPr>
      </w:pPr>
    </w:p>
    <w:p w14:paraId="1D39C1E4" w14:textId="77777777" w:rsidR="0055291C" w:rsidRDefault="0055291C">
      <w:pPr>
        <w:pStyle w:val="a3"/>
        <w:rPr>
          <w:rFonts w:ascii="Arial"/>
          <w:b/>
          <w:i/>
          <w:sz w:val="20"/>
        </w:rPr>
      </w:pPr>
    </w:p>
    <w:p w14:paraId="4BCFF83B" w14:textId="77777777" w:rsidR="0055291C" w:rsidRDefault="0055291C">
      <w:pPr>
        <w:pStyle w:val="a3"/>
        <w:rPr>
          <w:rFonts w:ascii="Arial"/>
          <w:b/>
          <w:i/>
          <w:sz w:val="20"/>
        </w:rPr>
      </w:pPr>
    </w:p>
    <w:p w14:paraId="0472D650" w14:textId="77777777" w:rsidR="0055291C" w:rsidRDefault="0055291C">
      <w:pPr>
        <w:pStyle w:val="a3"/>
        <w:rPr>
          <w:rFonts w:ascii="Arial"/>
          <w:b/>
          <w:i/>
          <w:sz w:val="20"/>
        </w:rPr>
      </w:pPr>
    </w:p>
    <w:p w14:paraId="44947D99" w14:textId="77777777" w:rsidR="0055291C" w:rsidRDefault="0055291C">
      <w:pPr>
        <w:pStyle w:val="a3"/>
        <w:rPr>
          <w:rFonts w:ascii="Arial"/>
          <w:b/>
          <w:i/>
          <w:sz w:val="20"/>
        </w:rPr>
      </w:pPr>
    </w:p>
    <w:p w14:paraId="0FA33BD0" w14:textId="77777777" w:rsidR="0055291C" w:rsidRDefault="0055291C">
      <w:pPr>
        <w:pStyle w:val="a3"/>
        <w:rPr>
          <w:rFonts w:ascii="Arial"/>
          <w:b/>
          <w:i/>
          <w:sz w:val="20"/>
        </w:rPr>
      </w:pPr>
    </w:p>
    <w:p w14:paraId="043A5D41" w14:textId="77777777" w:rsidR="0055291C" w:rsidRDefault="0055291C">
      <w:pPr>
        <w:pStyle w:val="a3"/>
        <w:rPr>
          <w:rFonts w:ascii="Arial"/>
          <w:b/>
          <w:i/>
          <w:sz w:val="20"/>
        </w:rPr>
      </w:pPr>
    </w:p>
    <w:p w14:paraId="4E182D0D" w14:textId="77777777" w:rsidR="0055291C" w:rsidRDefault="0055291C">
      <w:pPr>
        <w:pStyle w:val="a3"/>
        <w:rPr>
          <w:rFonts w:ascii="Arial"/>
          <w:b/>
          <w:i/>
          <w:sz w:val="20"/>
        </w:rPr>
      </w:pPr>
    </w:p>
    <w:p w14:paraId="10852C89" w14:textId="77777777" w:rsidR="0055291C" w:rsidRDefault="0055291C">
      <w:pPr>
        <w:pStyle w:val="a3"/>
        <w:rPr>
          <w:rFonts w:ascii="Arial"/>
          <w:b/>
          <w:i/>
          <w:sz w:val="20"/>
        </w:rPr>
      </w:pPr>
    </w:p>
    <w:p w14:paraId="600A2AF5" w14:textId="77777777" w:rsidR="0055291C" w:rsidRDefault="0055291C">
      <w:pPr>
        <w:pStyle w:val="a3"/>
        <w:rPr>
          <w:rFonts w:ascii="Arial"/>
          <w:b/>
          <w:i/>
          <w:sz w:val="20"/>
        </w:rPr>
      </w:pPr>
    </w:p>
    <w:p w14:paraId="011ED2C6" w14:textId="77777777" w:rsidR="0055291C" w:rsidRDefault="0055291C">
      <w:pPr>
        <w:pStyle w:val="a3"/>
        <w:rPr>
          <w:rFonts w:ascii="Arial"/>
          <w:b/>
          <w:i/>
          <w:sz w:val="20"/>
        </w:rPr>
      </w:pPr>
    </w:p>
    <w:p w14:paraId="16889A46" w14:textId="65CA9761" w:rsidR="0055291C" w:rsidRDefault="00000000">
      <w:pPr>
        <w:pStyle w:val="a3"/>
        <w:rPr>
          <w:rFonts w:ascii="Arial"/>
          <w:b/>
          <w:i/>
          <w:sz w:val="20"/>
        </w:rPr>
      </w:pPr>
      <w:r>
        <w:pict w14:anchorId="4CEA31CD">
          <v:shape id="docshape271" o:spid="_x0000_s3525" type="#_x0000_t202" style="position:absolute;margin-left:33pt;margin-top:11.55pt;width:67.55pt;height:81.4pt;z-index:251556352;mso-position-horizontal-relative:page" filled="f" stroked="f">
            <v:textbox style="mso-next-textbox:#docshape271" inset="0,0,0,0">
              <w:txbxContent>
                <w:p w14:paraId="74857E39" w14:textId="09AF8342" w:rsidR="0055291C" w:rsidRDefault="004D1E5F">
                  <w:pPr>
                    <w:spacing w:line="1628" w:lineRule="exact"/>
                    <w:rPr>
                      <w:rFonts w:ascii="Arial"/>
                      <w:b/>
                      <w:i/>
                      <w:sz w:val="145"/>
                    </w:rPr>
                  </w:pPr>
                  <w:r>
                    <w:rPr>
                      <w:rFonts w:ascii="ＭＳ ゴシック" w:eastAsia="ＭＳ ゴシック" w:hAnsi="ＭＳ ゴシック" w:cs="ＭＳ ゴシック" w:hint="eastAsia"/>
                      <w:b/>
                      <w:i/>
                      <w:color w:val="00ACA1"/>
                      <w:w w:val="95"/>
                      <w:sz w:val="145"/>
                      <w:lang w:eastAsia="ja-JP"/>
                    </w:rPr>
                    <w:t>こ</w:t>
                  </w:r>
                </w:p>
              </w:txbxContent>
            </v:textbox>
            <w10:wrap anchorx="page"/>
          </v:shape>
        </w:pict>
      </w:r>
    </w:p>
    <w:p w14:paraId="11932695" w14:textId="77777777" w:rsidR="0055291C" w:rsidRDefault="0055291C">
      <w:pPr>
        <w:pStyle w:val="a3"/>
        <w:spacing w:before="6"/>
        <w:rPr>
          <w:rFonts w:ascii="Arial"/>
          <w:b/>
          <w:i/>
          <w:sz w:val="16"/>
        </w:rPr>
      </w:pPr>
    </w:p>
    <w:p w14:paraId="553BD51E" w14:textId="76F10BAB" w:rsidR="0055291C" w:rsidRDefault="00000000">
      <w:pPr>
        <w:pStyle w:val="3"/>
        <w:spacing w:line="364" w:lineRule="auto"/>
        <w:ind w:left="2029" w:right="1126"/>
        <w:jc w:val="both"/>
        <w:rPr>
          <w:lang w:eastAsia="ja-JP"/>
        </w:rPr>
      </w:pPr>
      <w:r>
        <w:pict w14:anchorId="3B56509A">
          <v:group id="docshapegroup267" o:spid="_x0000_s3527" style="position:absolute;left:0;text-align:left;margin-left:253.7pt;margin-top:-285.75pt;width:358.55pt;height:382.95pt;z-index:-251600384;mso-position-horizontal-relative:page" coordorigin="5074,-5715" coordsize="7171,7659">
            <v:shape id="docshape268" o:spid="_x0000_s3529" style="position:absolute;left:5079;top:-5710;width:7161;height:7649" coordorigin="5079,-5710" coordsize="7161,7649" o:spt="100" adj="0,,0" path="m6524,-5710r-36,32l6436,-5628r-51,49l5945,-5073r-301,460l5472,-4279r-55,128l8039,-4355r1645,189l10536,-3855r244,164l10738,-3755r-44,-64l10650,-3883r-46,-64l10558,-4010r-48,-64l10462,-4137r-50,-62l10362,-4261r-52,-62l10258,-4385r-52,-61l10152,-4507r-54,-60l10044,-4627r-55,-59l9933,-4745r-56,-58l9821,-4861r-56,-57l9708,-4975r-57,-56l9595,-5086r-57,-55l8910,-5703r-9,-7m8810,-5710r1022,862l10860,-3566r380,816l11295,-2464r16,-75l11327,-2614r14,-76l11354,-2767r13,-78l11378,-2923r11,-78l11398,-3080r9,-79l11415,-3239r8,-80l11429,-3399r6,-80l11440,-3560r4,-80l11448,-3720r3,-81l11453,-3881r1,-80l11456,-4041r,-79l11456,-4199r-1,-79l11454,-4357r-42,-835l11360,-5710t-49,l11452,-3944r-191,1625l10946,-1477r-166,241l10845,-1278r65,-43l10975,-1365r64,-45l11103,-1456r64,-47l11231,-1551r63,-49l11358,-1650r62,-50l11483,-1752r62,-52l11606,-1857r61,-53l11728,-1964r60,-54l11847,-2073r59,-55l11965,-2183r58,-56l12080,-2295r56,-56l12192,-2407r48,-49m12240,-2509r-289,334l10653,-1159r-826,375l9538,-729r75,16l9690,-698r77,14l9845,-671r78,12l10002,-647r80,10l10162,-627r80,9l10323,-610r81,7l10485,-597r81,6l10647,-586r81,4l10810,-578r81,3l10972,-573r81,1l11134,-570r81,l11295,-570r80,-1l11454,-572r786,-38m11244,1605r81,-34l11405,1535r78,-36l11560,1461r75,-39l11708,1383r73,-41l11851,1301r70,-43l11988,1215r67,-44l12120,1126r63,-45l12240,1038t,-1707l11038,-575,9392,-764r-852,-311l8296,-1239r42,65l8382,-1110r44,63l8472,-983r46,64l8566,-856r49,63l8664,-731r51,62l8766,-607r52,62l8871,-484r53,61l8978,-363r55,60l9088,-244r55,59l9199,-126r56,57l9312,-11r56,56l9425,101r57,55l9539,211r627,562l10712,1214r386,288l11244,1605t-3411,-2l7915,1636r81,31l8078,1695r81,27l8239,1748r80,23l8399,1793r80,20l8558,1831r79,17l8715,1863r78,14l8870,1889r76,11l9022,1909r76,8l9173,1924r74,5l9321,1933r72,3l9466,1938r71,1l10211,1888r541,-115l11113,1657r131,-52l9243,-82,8215,-1365r-380,-815l7781,-2466r-17,75l7749,-2316r-14,77l7721,-2162r-12,77l7697,-2007r-10,78l7677,-1850r-9,80l7660,-1691r-7,80l7646,-1531r-5,80l7636,-1370r-5,80l7628,-1210r-3,81l7622,-1049r-1,80l7620,-889r-1,79l7619,-730r1,79l7621,-573r42,836l7735,956r68,472l7833,1603m5418,-780r34,81l5488,-621r37,77l5563,-468r39,74l5642,-321r42,71l5726,-181r43,69l5813,-46r44,66l5903,84r46,62l5996,207r47,60l6091,326r48,57l6188,438r49,55l6286,546r50,52l6386,648r513,434l7364,1379r338,170l7833,1603,7626,-986r190,-1625l8132,-3454r165,-240l8232,-3652r-65,42l8103,-3566r-65,46l7974,-3474r-64,47l7846,-3379r-63,49l7720,-3280r-63,50l7595,-3178r-62,52l7472,-3073r-61,53l7350,-2966r-60,54l7230,-2857r-59,55l7113,-2747r-58,56l6998,-2635r-57,56l6885,-2523r-55,56l6261,-1846r-447,540l5522,-924r-104,144m5417,-4151r-33,81l5353,-3989r-29,80l5297,-3829r-25,80l5248,-3670r-22,79l5206,-3512r-18,78l5171,-3356r-16,77l5142,-3202r-13,77l5119,-3050r-10,76l5101,-2900r-7,74l5089,-2752r-4,72l5082,-2608r-2,72l5079,-2466r52,666l5247,-1265r117,356l5418,-780,7125,-2755,8424,-3771r826,-376l9539,-4201r-76,-16l9387,-4232r-78,-14l9232,-4259r-79,-12l9074,-4283r-79,-10l8915,-4303r-81,-9l8754,-4319r-81,-8l8592,-4333r-81,-6l8429,-4344r-81,-4l8267,-4351r-82,-3l8104,-4357r-81,-1l7942,-4359r-80,-1l7781,-4360r-79,1l7622,-4358r-846,41l6074,-4246r-479,66l5417,-4151e" filled="f" strokecolor="#d9dadc" strokeweight=".5pt">
              <v:stroke joinstyle="round"/>
              <v:formulas/>
              <v:path arrowok="t" o:connecttype="segments"/>
            </v:shape>
            <v:shape id="docshape269" o:spid="_x0000_s3528" style="position:absolute;left:11614;top:-5710;width:626;height:5717" coordorigin="11615,-5710" coordsize="626,5717" path="m12240,-5710r-625,l11615,-220r3,131l11643,-22r67,25l11842,6r398,l12240,-5710xe" fillcolor="#00aca1" stroked="f">
              <v:path arrowok="t"/>
            </v:shape>
            <w10:wrap anchorx="page"/>
          </v:group>
        </w:pict>
      </w:r>
      <w:r>
        <w:pict w14:anchorId="795F025A">
          <v:shape id="docshape270" o:spid="_x0000_s3526" type="#_x0000_t202" style="position:absolute;left:0;text-align:left;margin-left:585.65pt;margin-top:-150.4pt;width:17.7pt;height:119.1pt;z-index:251555328;mso-position-horizontal-relative:page" filled="f" stroked="f">
            <v:textbox style="layout-flow:vertical;mso-layout-flow-alt:bottom-to-top;mso-next-textbox:#docshape270" inset="0,0,0,0">
              <w:txbxContent>
                <w:p w14:paraId="3EC4B294"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v:shape>
        </w:pict>
      </w:r>
      <w:r w:rsidR="004D1E5F" w:rsidRPr="004D1E5F">
        <w:rPr>
          <w:rFonts w:ascii="ＭＳ 明朝" w:eastAsia="ＭＳ 明朝" w:hAnsi="ＭＳ 明朝" w:cs="ＭＳ 明朝" w:hint="eastAsia"/>
          <w:color w:val="545456"/>
          <w:w w:val="95"/>
          <w:lang w:eastAsia="ja-JP"/>
        </w:rPr>
        <w:t>の章では、製品</w:t>
      </w:r>
      <w:r w:rsidR="00364979">
        <w:rPr>
          <w:rFonts w:ascii="ＭＳ 明朝" w:eastAsia="ＭＳ 明朝" w:hAnsi="ＭＳ 明朝" w:cs="ＭＳ 明朝" w:hint="eastAsia"/>
          <w:color w:val="545456"/>
          <w:w w:val="95"/>
          <w:lang w:eastAsia="ja-JP"/>
        </w:rPr>
        <w:t>GHG算出</w:t>
      </w:r>
      <w:r w:rsidR="004D1E5F" w:rsidRPr="004D1E5F">
        <w:rPr>
          <w:rFonts w:ascii="ＭＳ 明朝" w:eastAsia="ＭＳ 明朝" w:hAnsi="ＭＳ 明朝" w:cs="ＭＳ 明朝" w:hint="eastAsia"/>
          <w:color w:val="545456"/>
          <w:w w:val="95"/>
          <w:lang w:eastAsia="ja-JP"/>
        </w:rPr>
        <w:t>および報告に関わる手順の概要と、製品の</w:t>
      </w:r>
      <w:r w:rsidR="004D1E5F" w:rsidRPr="004D1E5F">
        <w:rPr>
          <w:color w:val="545456"/>
          <w:w w:val="95"/>
          <w:lang w:eastAsia="ja-JP"/>
        </w:rPr>
        <w:t>GHG</w:t>
      </w:r>
      <w:r w:rsidR="004D1E5F" w:rsidRPr="004D1E5F">
        <w:rPr>
          <w:rFonts w:ascii="ＭＳ 明朝" w:eastAsia="ＭＳ 明朝" w:hAnsi="ＭＳ 明朝" w:cs="ＭＳ 明朝" w:hint="eastAsia"/>
          <w:color w:val="545456"/>
          <w:w w:val="95"/>
          <w:lang w:eastAsia="ja-JP"/>
        </w:rPr>
        <w:t>収支表がこの規格に適合するために従わなければならない要件について説明します。</w:t>
      </w:r>
    </w:p>
    <w:p w14:paraId="736BBDD1" w14:textId="77777777" w:rsidR="0055291C" w:rsidRDefault="0055291C">
      <w:pPr>
        <w:pStyle w:val="a3"/>
        <w:spacing w:before="1"/>
        <w:rPr>
          <w:rFonts w:ascii="Arial"/>
          <w:b/>
          <w:i/>
          <w:sz w:val="28"/>
          <w:lang w:eastAsia="ja-JP"/>
        </w:rPr>
      </w:pPr>
    </w:p>
    <w:p w14:paraId="075E0240" w14:textId="77777777" w:rsidR="0055291C" w:rsidRDefault="0055291C">
      <w:pPr>
        <w:rPr>
          <w:rFonts w:ascii="Arial"/>
          <w:sz w:val="28"/>
          <w:lang w:eastAsia="ja-JP"/>
        </w:rPr>
        <w:sectPr w:rsidR="0055291C">
          <w:headerReference w:type="default" r:id="rId77"/>
          <w:footerReference w:type="even" r:id="rId78"/>
          <w:footerReference w:type="default" r:id="rId79"/>
          <w:pgSz w:w="12240" w:h="15840"/>
          <w:pgMar w:top="0" w:right="0" w:bottom="1040" w:left="0" w:header="0" w:footer="859" w:gutter="0"/>
          <w:pgNumType w:start="13"/>
          <w:cols w:space="720"/>
        </w:sectPr>
      </w:pPr>
    </w:p>
    <w:p w14:paraId="3C890686" w14:textId="4C3E53E8" w:rsidR="0055291C" w:rsidRPr="004D1E5F" w:rsidRDefault="005C7DBF">
      <w:pPr>
        <w:pStyle w:val="a5"/>
        <w:numPr>
          <w:ilvl w:val="1"/>
          <w:numId w:val="56"/>
        </w:numPr>
        <w:tabs>
          <w:tab w:val="left" w:pos="1853"/>
          <w:tab w:val="left" w:pos="1854"/>
        </w:tabs>
        <w:spacing w:before="98"/>
        <w:ind w:hanging="721"/>
        <w:jc w:val="left"/>
        <w:rPr>
          <w:rFonts w:ascii="Arial"/>
          <w:b/>
          <w:i/>
          <w:color w:val="00ACA1"/>
          <w:sz w:val="24"/>
        </w:rPr>
      </w:pPr>
      <w:r>
        <w:rPr>
          <w:rFonts w:ascii="ＭＳ ゴシック" w:eastAsia="ＭＳ ゴシック" w:hAnsi="ＭＳ ゴシック" w:cs="ＭＳ ゴシック" w:hint="eastAsia"/>
          <w:b/>
          <w:i/>
          <w:color w:val="00ACA1"/>
          <w:sz w:val="24"/>
          <w:lang w:eastAsia="ja-JP"/>
        </w:rPr>
        <w:t>基本的な</w:t>
      </w:r>
      <w:r w:rsidR="004D1E5F" w:rsidRPr="004D1E5F">
        <w:rPr>
          <w:rFonts w:ascii="ＭＳ ゴシック" w:eastAsia="ＭＳ ゴシック" w:hAnsi="ＭＳ ゴシック" w:cs="ＭＳ ゴシック" w:hint="eastAsia"/>
          <w:b/>
          <w:i/>
          <w:color w:val="00ACA1"/>
          <w:sz w:val="24"/>
          <w:lang w:eastAsia="ja-JP"/>
        </w:rPr>
        <w:t>用語</w:t>
      </w:r>
    </w:p>
    <w:p w14:paraId="600AB6B5" w14:textId="5ED02A04" w:rsidR="005C7DBF" w:rsidRPr="005C7DBF" w:rsidRDefault="005C7DBF" w:rsidP="005C7DBF">
      <w:pPr>
        <w:pStyle w:val="a3"/>
        <w:spacing w:before="1" w:line="309" w:lineRule="auto"/>
        <w:ind w:left="709" w:right="428" w:firstLineChars="100" w:firstLine="189"/>
        <w:rPr>
          <w:color w:val="545456"/>
          <w:spacing w:val="-1"/>
          <w:lang w:eastAsia="ja-JP"/>
        </w:rPr>
      </w:pPr>
      <w:r w:rsidRPr="005C7DBF">
        <w:rPr>
          <w:rFonts w:ascii="ＭＳ ゴシック" w:eastAsia="ＭＳ ゴシック" w:hAnsi="ＭＳ ゴシック" w:cs="ＭＳ ゴシック" w:hint="eastAsia"/>
          <w:color w:val="545456"/>
          <w:spacing w:val="-1"/>
          <w:lang w:eastAsia="ja-JP"/>
        </w:rPr>
        <w:t>本規格では、どの条文が要求事項であり、どの条文が推奨事項であり、どの条文が企業が従うかどうか選択できるオプションであるかを示すために、正確な言葉を使用しています。この基準では、「</w:t>
      </w:r>
      <w:r w:rsidRPr="00DA47C0">
        <w:rPr>
          <w:rFonts w:ascii="ＭＳ ゴシック" w:eastAsia="ＭＳ ゴシック" w:hAnsi="ＭＳ ゴシック" w:cs="ＭＳ ゴシック" w:hint="eastAsia"/>
          <w:i/>
          <w:iCs/>
          <w:color w:val="545456"/>
          <w:spacing w:val="-1"/>
          <w:lang w:eastAsia="ja-JP"/>
        </w:rPr>
        <w:t>～しなくてはならない</w:t>
      </w:r>
      <w:r w:rsidR="007E150E" w:rsidRPr="00DA47C0">
        <w:rPr>
          <w:rFonts w:ascii="ＭＳ ゴシック" w:eastAsia="ＭＳ ゴシック" w:hAnsi="ＭＳ ゴシック" w:cs="ＭＳ ゴシック" w:hint="eastAsia"/>
          <w:i/>
          <w:iCs/>
          <w:color w:val="545456"/>
          <w:spacing w:val="-1"/>
          <w:lang w:eastAsia="ja-JP"/>
        </w:rPr>
        <w:t>(s</w:t>
      </w:r>
      <w:r w:rsidR="007E150E" w:rsidRPr="00DA47C0">
        <w:rPr>
          <w:rFonts w:ascii="ＭＳ ゴシック" w:eastAsia="ＭＳ ゴシック" w:hAnsi="ＭＳ ゴシック" w:cs="ＭＳ ゴシック"/>
          <w:i/>
          <w:iCs/>
          <w:color w:val="545456"/>
          <w:spacing w:val="-1"/>
          <w:lang w:eastAsia="ja-JP"/>
        </w:rPr>
        <w:t>hall)</w:t>
      </w:r>
      <w:r w:rsidRPr="005C7DBF">
        <w:rPr>
          <w:rFonts w:ascii="ＭＳ ゴシック" w:eastAsia="ＭＳ ゴシック" w:hAnsi="ＭＳ ゴシック" w:cs="ＭＳ ゴシック" w:hint="eastAsia"/>
          <w:color w:val="545456"/>
          <w:spacing w:val="-1"/>
          <w:lang w:eastAsia="ja-JP"/>
        </w:rPr>
        <w:t>」という用語は、</w:t>
      </w:r>
      <w:r w:rsidRPr="005C7DBF">
        <w:rPr>
          <w:color w:val="545456"/>
          <w:spacing w:val="-1"/>
          <w:lang w:eastAsia="ja-JP"/>
        </w:rPr>
        <w:t>GHG</w:t>
      </w:r>
      <w:r w:rsidRPr="005C7DBF">
        <w:rPr>
          <w:rFonts w:ascii="ＭＳ ゴシック" w:eastAsia="ＭＳ ゴシック" w:hAnsi="ＭＳ ゴシック" w:cs="ＭＳ ゴシック" w:hint="eastAsia"/>
          <w:color w:val="545456"/>
          <w:spacing w:val="-1"/>
          <w:lang w:eastAsia="ja-JP"/>
        </w:rPr>
        <w:t>収支表が製品基準に準拠するために何が必要であるかを示すために使用されています。「</w:t>
      </w:r>
      <w:r w:rsidRPr="00DA47C0">
        <w:rPr>
          <w:rFonts w:ascii="ＭＳ ゴシック" w:eastAsia="ＭＳ ゴシック" w:hAnsi="ＭＳ ゴシック" w:cs="ＭＳ ゴシック" w:hint="eastAsia"/>
          <w:i/>
          <w:iCs/>
          <w:color w:val="545456"/>
          <w:spacing w:val="-1"/>
          <w:lang w:eastAsia="ja-JP"/>
        </w:rPr>
        <w:t>～べき</w:t>
      </w:r>
      <w:r w:rsidR="007E150E" w:rsidRPr="00DA47C0">
        <w:rPr>
          <w:rFonts w:ascii="ＭＳ ゴシック" w:eastAsia="ＭＳ ゴシック" w:hAnsi="ＭＳ ゴシック" w:cs="ＭＳ ゴシック" w:hint="eastAsia"/>
          <w:i/>
          <w:iCs/>
          <w:color w:val="545456"/>
          <w:spacing w:val="-1"/>
          <w:lang w:eastAsia="ja-JP"/>
        </w:rPr>
        <w:t>(</w:t>
      </w:r>
      <w:r w:rsidR="007E150E" w:rsidRPr="00DA47C0">
        <w:rPr>
          <w:rFonts w:ascii="ＭＳ ゴシック" w:eastAsia="ＭＳ ゴシック" w:hAnsi="ＭＳ ゴシック" w:cs="ＭＳ ゴシック"/>
          <w:i/>
          <w:iCs/>
          <w:color w:val="545456"/>
          <w:spacing w:val="-1"/>
          <w:lang w:eastAsia="ja-JP"/>
        </w:rPr>
        <w:t>should)</w:t>
      </w:r>
      <w:r w:rsidRPr="005C7DBF">
        <w:rPr>
          <w:rFonts w:ascii="ＭＳ ゴシック" w:eastAsia="ＭＳ ゴシック" w:hAnsi="ＭＳ ゴシック" w:cs="ＭＳ ゴシック" w:hint="eastAsia"/>
          <w:color w:val="545456"/>
          <w:spacing w:val="-1"/>
          <w:lang w:eastAsia="ja-JP"/>
        </w:rPr>
        <w:t>」という用語は、推奨事項を示すために使用されていますが、必ず要求</w:t>
      </w:r>
      <w:r w:rsidRPr="005C7DBF">
        <w:rPr>
          <w:rFonts w:ascii="ＭＳ ゴシック" w:eastAsia="ＭＳ ゴシック" w:hAnsi="ＭＳ ゴシック" w:cs="ＭＳ ゴシック" w:hint="eastAsia"/>
          <w:color w:val="545456"/>
          <w:spacing w:val="-1"/>
          <w:lang w:eastAsia="ja-JP"/>
        </w:rPr>
        <w:t>される事項ではありません。「</w:t>
      </w:r>
      <w:r w:rsidRPr="00DA47C0">
        <w:rPr>
          <w:rFonts w:ascii="ＭＳ ゴシック" w:eastAsia="ＭＳ ゴシック" w:hAnsi="ＭＳ ゴシック" w:cs="ＭＳ ゴシック" w:hint="eastAsia"/>
          <w:i/>
          <w:iCs/>
          <w:color w:val="545456"/>
          <w:spacing w:val="-1"/>
          <w:lang w:eastAsia="ja-JP"/>
        </w:rPr>
        <w:t>してもよい</w:t>
      </w:r>
      <w:r w:rsidR="007E150E" w:rsidRPr="00DA47C0">
        <w:rPr>
          <w:rFonts w:ascii="ＭＳ ゴシック" w:eastAsia="ＭＳ ゴシック" w:hAnsi="ＭＳ ゴシック" w:cs="ＭＳ ゴシック" w:hint="eastAsia"/>
          <w:i/>
          <w:iCs/>
          <w:color w:val="545456"/>
          <w:spacing w:val="-1"/>
          <w:lang w:eastAsia="ja-JP"/>
        </w:rPr>
        <w:t>(</w:t>
      </w:r>
      <w:r w:rsidR="007E150E" w:rsidRPr="00DA47C0">
        <w:rPr>
          <w:rFonts w:ascii="ＭＳ ゴシック" w:eastAsia="ＭＳ ゴシック" w:hAnsi="ＭＳ ゴシック" w:cs="ＭＳ ゴシック"/>
          <w:i/>
          <w:iCs/>
          <w:color w:val="545456"/>
          <w:spacing w:val="-1"/>
          <w:lang w:eastAsia="ja-JP"/>
        </w:rPr>
        <w:t>may)</w:t>
      </w:r>
      <w:r w:rsidRPr="005C7DBF">
        <w:rPr>
          <w:rFonts w:ascii="ＭＳ ゴシック" w:eastAsia="ＭＳ ゴシック" w:hAnsi="ＭＳ ゴシック" w:cs="ＭＳ ゴシック" w:hint="eastAsia"/>
          <w:color w:val="545456"/>
          <w:spacing w:val="-1"/>
          <w:lang w:eastAsia="ja-JP"/>
        </w:rPr>
        <w:t>」という用語は、許容、または許可されるオプションを示すために使用されます。ガイダンスのセクションで使われる「</w:t>
      </w:r>
      <w:r w:rsidRPr="00DA47C0">
        <w:rPr>
          <w:rFonts w:ascii="ＭＳ ゴシック" w:eastAsia="ＭＳ ゴシック" w:hAnsi="ＭＳ ゴシック" w:cs="ＭＳ ゴシック" w:hint="eastAsia"/>
          <w:i/>
          <w:iCs/>
          <w:color w:val="545456"/>
          <w:spacing w:val="-1"/>
          <w:lang w:eastAsia="ja-JP"/>
        </w:rPr>
        <w:t>必要である</w:t>
      </w:r>
      <w:r w:rsidR="007E150E" w:rsidRPr="00DA47C0">
        <w:rPr>
          <w:rFonts w:ascii="ＭＳ ゴシック" w:eastAsia="ＭＳ ゴシック" w:hAnsi="ＭＳ ゴシック" w:cs="ＭＳ ゴシック" w:hint="eastAsia"/>
          <w:i/>
          <w:iCs/>
          <w:color w:val="545456"/>
          <w:spacing w:val="-1"/>
          <w:lang w:eastAsia="ja-JP"/>
        </w:rPr>
        <w:t>(</w:t>
      </w:r>
      <w:r w:rsidR="007E150E" w:rsidRPr="00DA47C0">
        <w:rPr>
          <w:rFonts w:ascii="ＭＳ ゴシック" w:eastAsia="ＭＳ ゴシック" w:hAnsi="ＭＳ ゴシック" w:cs="ＭＳ ゴシック"/>
          <w:i/>
          <w:iCs/>
          <w:color w:val="545456"/>
          <w:spacing w:val="-1"/>
          <w:lang w:eastAsia="ja-JP"/>
        </w:rPr>
        <w:t>needs)</w:t>
      </w:r>
      <w:r w:rsidRPr="005C7DBF">
        <w:rPr>
          <w:rFonts w:ascii="ＭＳ ゴシック" w:eastAsia="ＭＳ ゴシック" w:hAnsi="ＭＳ ゴシック" w:cs="ＭＳ ゴシック" w:hint="eastAsia"/>
          <w:color w:val="545456"/>
          <w:spacing w:val="-1"/>
          <w:lang w:eastAsia="ja-JP"/>
        </w:rPr>
        <w:t>」という用語は、「</w:t>
      </w:r>
      <w:r w:rsidRPr="00DA47C0">
        <w:rPr>
          <w:rFonts w:ascii="ＭＳ ゴシック" w:eastAsia="ＭＳ ゴシック" w:hAnsi="ＭＳ ゴシック" w:cs="ＭＳ ゴシック" w:hint="eastAsia"/>
          <w:i/>
          <w:iCs/>
          <w:color w:val="545456"/>
          <w:spacing w:val="-1"/>
          <w:lang w:eastAsia="ja-JP"/>
        </w:rPr>
        <w:t>～しなくてはならな</w:t>
      </w:r>
      <w:r w:rsidRPr="005C7DBF">
        <w:rPr>
          <w:rFonts w:ascii="ＭＳ ゴシック" w:eastAsia="ＭＳ ゴシック" w:hAnsi="ＭＳ ゴシック" w:cs="ＭＳ ゴシック" w:hint="eastAsia"/>
          <w:color w:val="545456"/>
          <w:spacing w:val="-1"/>
          <w:lang w:eastAsia="ja-JP"/>
        </w:rPr>
        <w:t>い」と同じ意味で使用されています。また、ガイダンスのセクションでは、「</w:t>
      </w:r>
      <w:r w:rsidRPr="00DA47C0">
        <w:rPr>
          <w:rFonts w:ascii="ＭＳ ゴシック" w:eastAsia="ＭＳ ゴシック" w:hAnsi="ＭＳ ゴシック" w:cs="ＭＳ ゴシック" w:hint="eastAsia"/>
          <w:i/>
          <w:iCs/>
          <w:color w:val="545456"/>
          <w:spacing w:val="-1"/>
          <w:lang w:eastAsia="ja-JP"/>
        </w:rPr>
        <w:t>必要である</w:t>
      </w:r>
      <w:r w:rsidRPr="005C7DBF">
        <w:rPr>
          <w:rFonts w:ascii="ＭＳ ゴシック" w:eastAsia="ＭＳ ゴシック" w:hAnsi="ＭＳ ゴシック" w:cs="ＭＳ ゴシック" w:hint="eastAsia"/>
          <w:color w:val="545456"/>
          <w:spacing w:val="-1"/>
          <w:lang w:eastAsia="ja-JP"/>
        </w:rPr>
        <w:t>」、「</w:t>
      </w:r>
      <w:r w:rsidRPr="00DA47C0">
        <w:rPr>
          <w:rFonts w:ascii="ＭＳ ゴシック" w:eastAsia="ＭＳ ゴシック" w:hAnsi="ＭＳ ゴシック" w:cs="ＭＳ ゴシック" w:hint="eastAsia"/>
          <w:i/>
          <w:iCs/>
          <w:color w:val="545456"/>
          <w:spacing w:val="-1"/>
          <w:lang w:eastAsia="ja-JP"/>
        </w:rPr>
        <w:t>～できる</w:t>
      </w:r>
      <w:r w:rsidR="007E150E" w:rsidRPr="00DA47C0">
        <w:rPr>
          <w:rFonts w:ascii="ＭＳ ゴシック" w:eastAsia="ＭＳ ゴシック" w:hAnsi="ＭＳ ゴシック" w:cs="ＭＳ ゴシック" w:hint="eastAsia"/>
          <w:i/>
          <w:iCs/>
          <w:color w:val="545456"/>
          <w:spacing w:val="-1"/>
          <w:lang w:eastAsia="ja-JP"/>
        </w:rPr>
        <w:t>(</w:t>
      </w:r>
      <w:r w:rsidR="007E150E" w:rsidRPr="00DA47C0">
        <w:rPr>
          <w:rFonts w:ascii="ＭＳ ゴシック" w:eastAsia="ＭＳ ゴシック" w:hAnsi="ＭＳ ゴシック" w:cs="ＭＳ ゴシック"/>
          <w:i/>
          <w:iCs/>
          <w:color w:val="545456"/>
          <w:spacing w:val="-1"/>
          <w:lang w:eastAsia="ja-JP"/>
        </w:rPr>
        <w:t>can)</w:t>
      </w:r>
      <w:r w:rsidRPr="005C7DBF">
        <w:rPr>
          <w:rFonts w:ascii="ＭＳ ゴシック" w:eastAsia="ＭＳ ゴシック" w:hAnsi="ＭＳ ゴシック" w:cs="ＭＳ ゴシック" w:hint="eastAsia"/>
          <w:color w:val="545456"/>
          <w:spacing w:val="-1"/>
          <w:lang w:eastAsia="ja-JP"/>
        </w:rPr>
        <w:t>」、「</w:t>
      </w:r>
      <w:r w:rsidRPr="00DA47C0">
        <w:rPr>
          <w:rFonts w:ascii="ＭＳ ゴシック" w:eastAsia="ＭＳ ゴシック" w:hAnsi="ＭＳ ゴシック" w:cs="ＭＳ ゴシック" w:hint="eastAsia"/>
          <w:i/>
          <w:iCs/>
          <w:color w:val="545456"/>
          <w:spacing w:val="-1"/>
          <w:lang w:eastAsia="ja-JP"/>
        </w:rPr>
        <w:t>～できない</w:t>
      </w:r>
      <w:r w:rsidR="007E150E" w:rsidRPr="00DA47C0">
        <w:rPr>
          <w:rFonts w:ascii="ＭＳ ゴシック" w:eastAsia="ＭＳ ゴシック" w:hAnsi="ＭＳ ゴシック" w:cs="ＭＳ ゴシック" w:hint="eastAsia"/>
          <w:i/>
          <w:iCs/>
          <w:color w:val="545456"/>
          <w:spacing w:val="-1"/>
          <w:lang w:eastAsia="ja-JP"/>
        </w:rPr>
        <w:t>(</w:t>
      </w:r>
      <w:r w:rsidR="007E150E" w:rsidRPr="00DA47C0">
        <w:rPr>
          <w:rFonts w:ascii="ＭＳ ゴシック" w:eastAsia="ＭＳ ゴシック" w:hAnsi="ＭＳ ゴシック" w:cs="ＭＳ ゴシック"/>
          <w:i/>
          <w:iCs/>
          <w:color w:val="545456"/>
          <w:spacing w:val="-1"/>
          <w:lang w:eastAsia="ja-JP"/>
        </w:rPr>
        <w:t>cannot)</w:t>
      </w:r>
      <w:r w:rsidRPr="005C7DBF">
        <w:rPr>
          <w:rFonts w:ascii="ＭＳ ゴシック" w:eastAsia="ＭＳ ゴシック" w:hAnsi="ＭＳ ゴシック" w:cs="ＭＳ ゴシック" w:hint="eastAsia"/>
          <w:color w:val="545456"/>
          <w:spacing w:val="-1"/>
          <w:lang w:eastAsia="ja-JP"/>
        </w:rPr>
        <w:t>」という言葉は、要求事項を実施する際の</w:t>
      </w:r>
      <w:r w:rsidR="00666613">
        <w:rPr>
          <w:rFonts w:ascii="ＭＳ ゴシック" w:eastAsia="ＭＳ ゴシック" w:hAnsi="ＭＳ ゴシック" w:cs="ＭＳ ゴシック" w:hint="eastAsia"/>
          <w:color w:val="545456"/>
          <w:spacing w:val="-1"/>
          <w:lang w:eastAsia="ja-JP"/>
        </w:rPr>
        <w:t>指針</w:t>
      </w:r>
      <w:r w:rsidRPr="005C7DBF">
        <w:rPr>
          <w:rFonts w:ascii="ＭＳ ゴシック" w:eastAsia="ＭＳ ゴシック" w:hAnsi="ＭＳ ゴシック" w:cs="ＭＳ ゴシック" w:hint="eastAsia"/>
          <w:color w:val="545456"/>
          <w:spacing w:val="-1"/>
          <w:lang w:eastAsia="ja-JP"/>
        </w:rPr>
        <w:t>として、ある行為が可能であるか不可能であるかを示すために使用されることがあります。</w:t>
      </w:r>
    </w:p>
    <w:p w14:paraId="22EBF252" w14:textId="77777777" w:rsidR="0055291C" w:rsidRDefault="0055291C">
      <w:pPr>
        <w:spacing w:line="309" w:lineRule="auto"/>
        <w:rPr>
          <w:lang w:eastAsia="ja-JP"/>
        </w:rPr>
        <w:sectPr w:rsidR="0055291C">
          <w:type w:val="continuous"/>
          <w:pgSz w:w="12240" w:h="15840"/>
          <w:pgMar w:top="740" w:right="0" w:bottom="280" w:left="0" w:header="0" w:footer="859" w:gutter="0"/>
          <w:cols w:num="2" w:space="720" w:equalWidth="0">
            <w:col w:w="5815" w:space="40"/>
            <w:col w:w="6385"/>
          </w:cols>
        </w:sectPr>
      </w:pPr>
    </w:p>
    <w:p w14:paraId="50BC0430" w14:textId="77777777" w:rsidR="0055291C" w:rsidRDefault="00000000">
      <w:pPr>
        <w:pStyle w:val="a3"/>
        <w:rPr>
          <w:sz w:val="20"/>
          <w:lang w:eastAsia="ja-JP"/>
        </w:rPr>
      </w:pPr>
      <w:r>
        <w:pict w14:anchorId="4F857018">
          <v:shape id="docshape272" o:spid="_x0000_s3524" style="position:absolute;margin-left:114.45pt;margin-top:684pt;width:21.6pt;height:15.05pt;z-index:-251599360;mso-position-horizontal-relative:page;mso-position-vertical-relative:page" coordorigin="2289,13680" coordsize="432,301" path="m2520,13680r-15,2l2494,13694r-3,20l2491,13759r-191,1l2289,13771r,119l2300,13901r14,1l2491,13901r,46l2495,13967r11,12l2522,13981r19,-8l2700,13868r15,-15l2720,13835r-5,-17l2701,13802r-162,-113l2520,13680xe" fillcolor="#85878a" stroked="f">
            <v:path arrowok="t"/>
            <w10:wrap anchorx="page" anchory="page"/>
          </v:shape>
        </w:pict>
      </w:r>
      <w:r>
        <w:pict w14:anchorId="4D2A34C4">
          <v:shape id="docshape273" o:spid="_x0000_s3523" style="position:absolute;margin-left:204.45pt;margin-top:683.7pt;width:21.6pt;height:15.05pt;z-index:-251598336;mso-position-horizontal-relative:page;mso-position-vertical-relative:page" coordorigin="4089,13674" coordsize="432,301" path="m4320,13674r-15,2l4294,13688r-3,20l4291,13753r-191,1l4089,13765r,119l4100,13895r14,l4291,13895r,46l4295,13961r11,12l4322,13975r19,-8l4500,13862r15,-15l4520,13829r-5,-18l4501,13796r-162,-113l4320,13674xe" fillcolor="#85878a" stroked="f">
            <v:path arrowok="t"/>
            <w10:wrap anchorx="page" anchory="page"/>
          </v:shape>
        </w:pict>
      </w:r>
      <w:r>
        <w:pict w14:anchorId="67371A31">
          <v:shape id="docshape274" o:spid="_x0000_s3522" style="position:absolute;margin-left:296.55pt;margin-top:683.7pt;width:21.6pt;height:15.05pt;z-index:-251597312;mso-position-horizontal-relative:page;mso-position-vertical-relative:page" coordorigin="5931,13674" coordsize="432,301" path="m6162,13674r-15,2l6136,13688r-3,20l6133,13753r-191,1l5931,13765r,119l5942,13895r14,l6133,13895r1,46l6137,13961r11,12l6164,13975r19,-8l6342,13862r15,-15l6362,13829r-4,-18l6343,13796r-162,-113l6162,13674xe" fillcolor="#85878a" stroked="f">
            <v:path arrowok="t"/>
            <w10:wrap anchorx="page" anchory="page"/>
          </v:shape>
        </w:pict>
      </w:r>
      <w:r>
        <w:pict w14:anchorId="47F4C595">
          <v:group id="docshapegroup275" o:spid="_x0000_s3519" style="position:absolute;margin-left:232.75pt;margin-top:663.45pt;width:55.65pt;height:55.65pt;z-index:-251596288;mso-position-horizontal-relative:page;mso-position-vertical-relative:page" coordorigin="4655,13269" coordsize="1113,1113">
            <v:shape id="docshape276" o:spid="_x0000_s3521" style="position:absolute;left:4655;top:13269;width:1113;height:1113" coordorigin="4655,13269" coordsize="1113,1113" path="m5682,13269r-942,l4707,13276r-27,18l4662,13321r-7,34l4655,14296r7,33l4680,14356r27,19l4740,14382r942,l5715,14375r27,-19l5761,14329r6,-33l5767,13355r-6,-34l5742,13294r-27,-18l5682,13269xe" fillcolor="#00aca1" stroked="f">
              <v:path arrowok="t"/>
            </v:shape>
            <v:shape id="docshape277" o:spid="_x0000_s3520" type="#_x0000_t202" style="position:absolute;left:4655;top:13269;width:1113;height:1113" filled="f" stroked="f">
              <v:textbox style="mso-next-textbox:#docshape277" inset="0,0,0,0">
                <w:txbxContent>
                  <w:p w14:paraId="30E7914F" w14:textId="77777777" w:rsidR="0055291C" w:rsidRDefault="00F23C61">
                    <w:pPr>
                      <w:spacing w:before="15" w:line="254" w:lineRule="auto"/>
                      <w:ind w:left="58" w:right="262"/>
                      <w:jc w:val="both"/>
                      <w:rPr>
                        <w:rFonts w:ascii="Arial"/>
                        <w:b/>
                        <w:i/>
                        <w:sz w:val="18"/>
                      </w:rPr>
                    </w:pPr>
                    <w:r>
                      <w:rPr>
                        <w:rFonts w:ascii="Arial"/>
                        <w:b/>
                        <w:i/>
                        <w:color w:val="FFFFFF"/>
                        <w:spacing w:val="-2"/>
                        <w:sz w:val="18"/>
                      </w:rPr>
                      <w:t>Calculate</w:t>
                    </w:r>
                    <w:r>
                      <w:rPr>
                        <w:rFonts w:ascii="Arial"/>
                        <w:b/>
                        <w:i/>
                        <w:color w:val="FFFFFF"/>
                        <w:spacing w:val="-48"/>
                        <w:sz w:val="18"/>
                      </w:rPr>
                      <w:t xml:space="preserve"> </w:t>
                    </w:r>
                    <w:r>
                      <w:rPr>
                        <w:rFonts w:ascii="Arial"/>
                        <w:b/>
                        <w:i/>
                        <w:color w:val="FFFFFF"/>
                        <w:w w:val="95"/>
                        <w:sz w:val="18"/>
                      </w:rPr>
                      <w:t>inventory</w:t>
                    </w:r>
                    <w:r>
                      <w:rPr>
                        <w:rFonts w:ascii="Arial"/>
                        <w:b/>
                        <w:i/>
                        <w:color w:val="FFFFFF"/>
                        <w:spacing w:val="-46"/>
                        <w:w w:val="95"/>
                        <w:sz w:val="18"/>
                      </w:rPr>
                      <w:t xml:space="preserve"> </w:t>
                    </w:r>
                    <w:r>
                      <w:rPr>
                        <w:rFonts w:ascii="Arial"/>
                        <w:b/>
                        <w:i/>
                        <w:color w:val="FFFFFF"/>
                        <w:sz w:val="18"/>
                      </w:rPr>
                      <w:t>results</w:t>
                    </w:r>
                  </w:p>
                  <w:p w14:paraId="3EBE40D7" w14:textId="77777777" w:rsidR="0055291C" w:rsidRDefault="0055291C">
                    <w:pPr>
                      <w:spacing w:before="9"/>
                      <w:rPr>
                        <w:rFonts w:ascii="Arial"/>
                        <w:b/>
                        <w:i/>
                        <w:sz w:val="15"/>
                      </w:rPr>
                    </w:pPr>
                  </w:p>
                  <w:p w14:paraId="23CA5A57" w14:textId="77777777" w:rsidR="0055291C" w:rsidRDefault="00F23C61">
                    <w:pPr>
                      <w:spacing w:before="1"/>
                      <w:ind w:left="44"/>
                      <w:rPr>
                        <w:rFonts w:ascii="Arial"/>
                        <w:b/>
                        <w:i/>
                        <w:sz w:val="18"/>
                      </w:rPr>
                    </w:pPr>
                    <w:r>
                      <w:rPr>
                        <w:rFonts w:ascii="Arial"/>
                        <w:b/>
                        <w:i/>
                        <w:color w:val="D8EEEC"/>
                        <w:spacing w:val="-1"/>
                        <w:sz w:val="18"/>
                      </w:rPr>
                      <w:t>Chapter</w:t>
                    </w:r>
                    <w:r>
                      <w:rPr>
                        <w:rFonts w:ascii="Arial"/>
                        <w:b/>
                        <w:i/>
                        <w:color w:val="D8EEEC"/>
                        <w:spacing w:val="-11"/>
                        <w:sz w:val="18"/>
                      </w:rPr>
                      <w:t xml:space="preserve"> </w:t>
                    </w:r>
                    <w:r>
                      <w:rPr>
                        <w:rFonts w:ascii="Arial"/>
                        <w:b/>
                        <w:i/>
                        <w:color w:val="D8EEEC"/>
                        <w:spacing w:val="-1"/>
                        <w:sz w:val="18"/>
                      </w:rPr>
                      <w:t>11</w:t>
                    </w:r>
                  </w:p>
                </w:txbxContent>
              </v:textbox>
            </v:shape>
            <w10:wrap anchorx="page" anchory="page"/>
          </v:group>
        </w:pict>
      </w:r>
      <w:r>
        <w:pict w14:anchorId="144CC1AB">
          <v:group id="docshapegroup278" o:spid="_x0000_s3515" style="position:absolute;margin-left:322pt;margin-top:663.45pt;width:55.65pt;height:55.65pt;z-index:-251595264;mso-position-horizontal-relative:page;mso-position-vertical-relative:page" coordorigin="6440,13269" coordsize="1113,1113">
            <v:shape id="docshape279" o:spid="_x0000_s3518" style="position:absolute;left:6439;top:13269;width:1113;height:1113" coordorigin="6440,13269" coordsize="1113,1113" path="m7467,13269r-942,l6492,13276r-27,18l6447,13321r-7,34l6440,14296r7,33l6465,14356r27,19l6525,14382r942,l7500,14375r27,-19l7545,14329r7,-33l7552,13355r-7,-34l7527,13294r-27,-18l7467,13269xe" fillcolor="#00aca1" stroked="f">
              <v:path arrowok="t"/>
            </v:shape>
            <v:shape id="docshape280" o:spid="_x0000_s3517" type="#_x0000_t202" style="position:absolute;left:6487;top:13286;width:857;height:422" filled="f" stroked="f">
              <v:textbox style="mso-next-textbox:#docshape280" inset="0,0,0,0">
                <w:txbxContent>
                  <w:p w14:paraId="6A8AE1A2" w14:textId="77777777" w:rsidR="0055291C" w:rsidRDefault="00F23C61">
                    <w:pPr>
                      <w:spacing w:line="254" w:lineRule="auto"/>
                      <w:ind w:right="-1"/>
                      <w:rPr>
                        <w:rFonts w:ascii="Arial"/>
                        <w:b/>
                        <w:i/>
                        <w:sz w:val="18"/>
                      </w:rPr>
                    </w:pPr>
                    <w:r>
                      <w:rPr>
                        <w:rFonts w:ascii="Arial"/>
                        <w:b/>
                        <w:i/>
                        <w:color w:val="FFFFFF"/>
                        <w:sz w:val="18"/>
                      </w:rPr>
                      <w:t>Perform</w:t>
                    </w:r>
                    <w:r>
                      <w:rPr>
                        <w:rFonts w:ascii="Arial"/>
                        <w:b/>
                        <w:i/>
                        <w:color w:val="FFFFFF"/>
                        <w:spacing w:val="1"/>
                        <w:sz w:val="18"/>
                      </w:rPr>
                      <w:t xml:space="preserve"> </w:t>
                    </w:r>
                    <w:r>
                      <w:rPr>
                        <w:rFonts w:ascii="Arial"/>
                        <w:b/>
                        <w:i/>
                        <w:color w:val="FFFFFF"/>
                        <w:spacing w:val="-1"/>
                        <w:w w:val="95"/>
                        <w:sz w:val="18"/>
                      </w:rPr>
                      <w:t>assurance</w:t>
                    </w:r>
                  </w:p>
                </w:txbxContent>
              </v:textbox>
            </v:shape>
            <v:shape id="docshape281" o:spid="_x0000_s3516" type="#_x0000_t202" style="position:absolute;left:6474;top:14126;width:930;height:202" filled="f" stroked="f">
              <v:textbox style="mso-next-textbox:#docshape281" inset="0,0,0,0">
                <w:txbxContent>
                  <w:p w14:paraId="0D17CC99" w14:textId="77777777" w:rsidR="0055291C" w:rsidRDefault="00F23C61">
                    <w:pPr>
                      <w:spacing w:line="202" w:lineRule="exact"/>
                      <w:rPr>
                        <w:rFonts w:ascii="Arial"/>
                        <w:b/>
                        <w:i/>
                        <w:sz w:val="18"/>
                      </w:rPr>
                    </w:pPr>
                    <w:r>
                      <w:rPr>
                        <w:rFonts w:ascii="Arial"/>
                        <w:b/>
                        <w:i/>
                        <w:color w:val="D8EEEC"/>
                        <w:spacing w:val="-2"/>
                        <w:sz w:val="18"/>
                      </w:rPr>
                      <w:t>Chapter</w:t>
                    </w:r>
                    <w:r>
                      <w:rPr>
                        <w:rFonts w:ascii="Arial"/>
                        <w:b/>
                        <w:i/>
                        <w:color w:val="D8EEEC"/>
                        <w:spacing w:val="-8"/>
                        <w:sz w:val="18"/>
                      </w:rPr>
                      <w:t xml:space="preserve"> </w:t>
                    </w:r>
                    <w:r>
                      <w:rPr>
                        <w:rFonts w:ascii="Arial"/>
                        <w:b/>
                        <w:i/>
                        <w:color w:val="D8EEEC"/>
                        <w:spacing w:val="-1"/>
                        <w:sz w:val="18"/>
                      </w:rPr>
                      <w:t>12</w:t>
                    </w:r>
                  </w:p>
                </w:txbxContent>
              </v:textbox>
            </v:shape>
            <w10:wrap anchorx="page" anchory="page"/>
          </v:group>
        </w:pict>
      </w:r>
      <w:r>
        <w:pict w14:anchorId="5FAE7D1C">
          <v:group id="docshapegroup282" o:spid="_x0000_s3511" style="position:absolute;margin-left:385.75pt;margin-top:663.45pt;width:80.4pt;height:55.65pt;z-index:-251594240;mso-position-horizontal-relative:page;mso-position-vertical-relative:page" coordorigin="7715,13269" coordsize="1608,1113">
            <v:shape id="docshape283" o:spid="_x0000_s3514" style="position:absolute;left:7714;top:13674;width:432;height:301" coordorigin="7715,13674" coordsize="432,301" path="m7946,13674r-15,2l7920,13688r-3,20l7917,13753r-191,1l7715,13765r,119l7726,13895r14,l7917,13895r,46l7921,13961r11,12l7948,13975r19,-8l8126,13862r15,-15l8146,13829r-5,-18l8127,13796r-162,-113l7946,13674xe" fillcolor="#85878a" stroked="f">
              <v:path arrowok="t"/>
            </v:shape>
            <v:shape id="docshape284" o:spid="_x0000_s3513" style="position:absolute;left:8210;top:13269;width:1113;height:1113" coordorigin="8210,13269" coordsize="1113,1113" path="m9237,13269r-941,l8262,13276r-27,18l8217,13321r-7,34l8210,14296r7,33l8235,14356r27,19l8296,14382r941,l9270,14375r28,-19l9316,14329r7,-33l9323,13355r-7,-34l9298,13294r-28,-18l9237,13269xe" fillcolor="#00aca1" stroked="f">
              <v:path arrowok="t"/>
            </v:shape>
            <v:shape id="docshape285" o:spid="_x0000_s3512" type="#_x0000_t202" style="position:absolute;left:7714;top:13269;width:1608;height:1113" filled="f" stroked="f">
              <v:textbox style="mso-next-textbox:#docshape285" inset="0,0,0,0">
                <w:txbxContent>
                  <w:p w14:paraId="50FA9A0C" w14:textId="77777777" w:rsidR="0055291C" w:rsidRDefault="00F23C61">
                    <w:pPr>
                      <w:spacing w:before="15" w:line="254" w:lineRule="auto"/>
                      <w:ind w:left="545"/>
                      <w:rPr>
                        <w:rFonts w:ascii="Arial"/>
                        <w:b/>
                        <w:i/>
                        <w:sz w:val="18"/>
                      </w:rPr>
                    </w:pPr>
                    <w:r>
                      <w:rPr>
                        <w:rFonts w:ascii="Arial"/>
                        <w:b/>
                        <w:i/>
                        <w:color w:val="FFFFFF"/>
                        <w:sz w:val="18"/>
                      </w:rPr>
                      <w:t>Report</w:t>
                    </w:r>
                    <w:r>
                      <w:rPr>
                        <w:rFonts w:ascii="Arial"/>
                        <w:b/>
                        <w:i/>
                        <w:color w:val="FFFFFF"/>
                        <w:spacing w:val="1"/>
                        <w:sz w:val="18"/>
                      </w:rPr>
                      <w:t xml:space="preserve"> </w:t>
                    </w:r>
                    <w:r>
                      <w:rPr>
                        <w:rFonts w:ascii="Arial"/>
                        <w:b/>
                        <w:i/>
                        <w:color w:val="FFFFFF"/>
                        <w:w w:val="95"/>
                        <w:sz w:val="18"/>
                      </w:rPr>
                      <w:t>inventory</w:t>
                    </w:r>
                    <w:r>
                      <w:rPr>
                        <w:rFonts w:ascii="Arial"/>
                        <w:b/>
                        <w:i/>
                        <w:color w:val="FFFFFF"/>
                        <w:spacing w:val="-45"/>
                        <w:w w:val="95"/>
                        <w:sz w:val="18"/>
                      </w:rPr>
                      <w:t xml:space="preserve"> </w:t>
                    </w:r>
                    <w:r>
                      <w:rPr>
                        <w:rFonts w:ascii="Arial"/>
                        <w:b/>
                        <w:i/>
                        <w:color w:val="FFFFFF"/>
                        <w:sz w:val="18"/>
                      </w:rPr>
                      <w:t>results</w:t>
                    </w:r>
                  </w:p>
                  <w:p w14:paraId="38F4A589" w14:textId="77777777" w:rsidR="0055291C" w:rsidRDefault="0055291C">
                    <w:pPr>
                      <w:spacing w:before="9"/>
                      <w:rPr>
                        <w:rFonts w:ascii="Arial"/>
                        <w:b/>
                        <w:i/>
                        <w:sz w:val="15"/>
                      </w:rPr>
                    </w:pPr>
                  </w:p>
                  <w:p w14:paraId="1C7F572F" w14:textId="77777777" w:rsidR="0055291C" w:rsidRDefault="00F23C61">
                    <w:pPr>
                      <w:spacing w:before="1"/>
                      <w:ind w:left="534"/>
                      <w:rPr>
                        <w:rFonts w:ascii="Arial"/>
                        <w:b/>
                        <w:i/>
                        <w:sz w:val="18"/>
                      </w:rPr>
                    </w:pPr>
                    <w:r>
                      <w:rPr>
                        <w:rFonts w:ascii="Arial"/>
                        <w:b/>
                        <w:i/>
                        <w:color w:val="D8EEEC"/>
                        <w:spacing w:val="-1"/>
                        <w:sz w:val="18"/>
                      </w:rPr>
                      <w:t>Chapter</w:t>
                    </w:r>
                    <w:r>
                      <w:rPr>
                        <w:rFonts w:ascii="Arial"/>
                        <w:b/>
                        <w:i/>
                        <w:color w:val="D8EEEC"/>
                        <w:spacing w:val="-11"/>
                        <w:sz w:val="18"/>
                      </w:rPr>
                      <w:t xml:space="preserve"> </w:t>
                    </w:r>
                    <w:r>
                      <w:rPr>
                        <w:rFonts w:ascii="Arial"/>
                        <w:b/>
                        <w:i/>
                        <w:color w:val="D8EEEC"/>
                        <w:spacing w:val="-1"/>
                        <w:sz w:val="18"/>
                      </w:rPr>
                      <w:t>13</w:t>
                    </w:r>
                  </w:p>
                </w:txbxContent>
              </v:textbox>
            </v:shape>
            <w10:wrap anchorx="page" anchory="page"/>
          </v:group>
        </w:pict>
      </w:r>
      <w:r>
        <w:pict w14:anchorId="440279A8">
          <v:shape id="docshape286" o:spid="_x0000_s3510" style="position:absolute;margin-left:472.95pt;margin-top:683.7pt;width:21.6pt;height:15.05pt;z-index:-251593216;mso-position-horizontal-relative:page;mso-position-vertical-relative:page" coordorigin="9459,13674" coordsize="432,301" path="m9690,13674r-15,2l9665,13688r-4,20l9661,13753r-191,1l9459,13765r1,119l9471,13895r13,l9662,13895r,46l9666,13961r10,12l9692,13975r19,-8l9870,13862r15,-15l9891,13829r-5,-18l9871,13796r-162,-113l9690,13674xe" fillcolor="#85878a" stroked="f">
            <v:path arrowok="t"/>
            <w10:wrap anchorx="page" anchory="page"/>
          </v:shape>
        </w:pict>
      </w:r>
      <w:r>
        <w:pict w14:anchorId="2E01FDBF">
          <v:group id="docshapegroup287" o:spid="_x0000_s3507" style="position:absolute;margin-left:499.15pt;margin-top:663.45pt;width:55.65pt;height:55.65pt;z-index:-251592192;mso-position-horizontal-relative:page;mso-position-vertical-relative:page" coordorigin="9983,13269" coordsize="1113,1113">
            <v:shape id="docshape288" o:spid="_x0000_s3509" style="position:absolute;left:9983;top:13269;width:1113;height:1113" coordorigin="9983,13269" coordsize="1113,1113" path="m11010,13269r-942,l10035,13276r-27,18l9990,13321r-7,34l9983,14296r7,33l10008,14356r27,19l10068,14382r942,l11043,14375r27,-19l11089,14329r6,-33l11095,13355r-6,-34l11070,13294r-27,-18l11010,13269xe" fillcolor="#00aca1" stroked="f">
              <v:path arrowok="t"/>
            </v:shape>
            <v:shape id="docshape289" o:spid="_x0000_s3508" type="#_x0000_t202" style="position:absolute;left:9983;top:13269;width:1113;height:1113" filled="f" stroked="f">
              <v:textbox style="mso-next-textbox:#docshape289" inset="0,0,0,0">
                <w:txbxContent>
                  <w:p w14:paraId="2AF4D0B1" w14:textId="77777777" w:rsidR="0055291C" w:rsidRDefault="00F23C61">
                    <w:pPr>
                      <w:spacing w:before="15" w:line="254" w:lineRule="auto"/>
                      <w:ind w:left="50" w:right="263"/>
                      <w:rPr>
                        <w:rFonts w:ascii="Arial"/>
                        <w:b/>
                        <w:i/>
                        <w:sz w:val="18"/>
                      </w:rPr>
                    </w:pPr>
                    <w:r>
                      <w:rPr>
                        <w:rFonts w:ascii="Arial"/>
                        <w:b/>
                        <w:i/>
                        <w:color w:val="FFFFFF"/>
                        <w:sz w:val="18"/>
                      </w:rPr>
                      <w:t>Set</w:t>
                    </w:r>
                    <w:r>
                      <w:rPr>
                        <w:rFonts w:ascii="Arial"/>
                        <w:b/>
                        <w:i/>
                        <w:color w:val="FFFFFF"/>
                        <w:spacing w:val="1"/>
                        <w:sz w:val="18"/>
                      </w:rPr>
                      <w:t xml:space="preserve"> </w:t>
                    </w:r>
                    <w:r>
                      <w:rPr>
                        <w:rFonts w:ascii="Arial"/>
                        <w:b/>
                        <w:i/>
                        <w:color w:val="FFFFFF"/>
                        <w:w w:val="95"/>
                        <w:sz w:val="18"/>
                      </w:rPr>
                      <w:t>reduction</w:t>
                    </w:r>
                    <w:r>
                      <w:rPr>
                        <w:rFonts w:ascii="Arial"/>
                        <w:b/>
                        <w:i/>
                        <w:color w:val="FFFFFF"/>
                        <w:spacing w:val="-45"/>
                        <w:w w:val="95"/>
                        <w:sz w:val="18"/>
                      </w:rPr>
                      <w:t xml:space="preserve"> </w:t>
                    </w:r>
                    <w:r>
                      <w:rPr>
                        <w:rFonts w:ascii="Arial"/>
                        <w:b/>
                        <w:i/>
                        <w:color w:val="FFFFFF"/>
                        <w:sz w:val="18"/>
                      </w:rPr>
                      <w:t>targets</w:t>
                    </w:r>
                  </w:p>
                  <w:p w14:paraId="0CF6D505" w14:textId="77777777" w:rsidR="0055291C" w:rsidRDefault="0055291C">
                    <w:pPr>
                      <w:spacing w:before="9"/>
                      <w:rPr>
                        <w:rFonts w:ascii="Arial"/>
                        <w:b/>
                        <w:i/>
                        <w:sz w:val="15"/>
                      </w:rPr>
                    </w:pPr>
                  </w:p>
                  <w:p w14:paraId="7456D590" w14:textId="77777777" w:rsidR="0055291C" w:rsidRDefault="00F23C61">
                    <w:pPr>
                      <w:spacing w:before="1"/>
                      <w:ind w:left="40"/>
                      <w:rPr>
                        <w:rFonts w:ascii="Arial"/>
                        <w:b/>
                        <w:i/>
                        <w:sz w:val="18"/>
                      </w:rPr>
                    </w:pPr>
                    <w:r>
                      <w:rPr>
                        <w:rFonts w:ascii="Arial"/>
                        <w:b/>
                        <w:i/>
                        <w:color w:val="D8EEEC"/>
                        <w:spacing w:val="-1"/>
                        <w:sz w:val="18"/>
                      </w:rPr>
                      <w:t>Chapter</w:t>
                    </w:r>
                    <w:r>
                      <w:rPr>
                        <w:rFonts w:ascii="Arial"/>
                        <w:b/>
                        <w:i/>
                        <w:color w:val="D8EEEC"/>
                        <w:spacing w:val="-11"/>
                        <w:sz w:val="18"/>
                      </w:rPr>
                      <w:t xml:space="preserve"> </w:t>
                    </w:r>
                    <w:r>
                      <w:rPr>
                        <w:rFonts w:ascii="Arial"/>
                        <w:b/>
                        <w:i/>
                        <w:color w:val="D8EEEC"/>
                        <w:spacing w:val="-1"/>
                        <w:sz w:val="18"/>
                      </w:rPr>
                      <w:t>14</w:t>
                    </w:r>
                  </w:p>
                </w:txbxContent>
              </v:textbox>
            </v:shape>
            <w10:wrap anchorx="page" anchory="page"/>
          </v:group>
        </w:pict>
      </w:r>
      <w:r>
        <w:pict w14:anchorId="1D704874">
          <v:group id="docshapegroup290" o:spid="_x0000_s3503" style="position:absolute;margin-left:2in;margin-top:663.45pt;width:55.65pt;height:55.65pt;z-index:-251591168;mso-position-horizontal-relative:page;mso-position-vertical-relative:page" coordorigin="2880,13269" coordsize="1113,1113">
            <v:shape id="docshape291" o:spid="_x0000_s3506" style="position:absolute;left:2880;top:13269;width:1113;height:1113" coordorigin="2880,13269" coordsize="1113,1113" path="m3907,13269r-942,l2932,13276r-27,18l2887,13321r-7,34l2880,14296r7,33l2905,14356r27,19l2965,14382r942,l3940,14375r27,-19l3985,14329r7,-33l3992,13355r-7,-34l3967,13294r-27,-18l3907,13269xe" fillcolor="#00aca1" stroked="f">
              <v:path arrowok="t"/>
            </v:shape>
            <v:shape id="docshape292" o:spid="_x0000_s3505" type="#_x0000_t202" style="position:absolute;left:2940;top:13286;width:971;height:422" filled="f" stroked="f">
              <v:textbox style="mso-next-textbox:#docshape292" inset="0,0,0,0">
                <w:txbxContent>
                  <w:p w14:paraId="765EA2F9" w14:textId="77777777" w:rsidR="0055291C" w:rsidRDefault="00F23C61">
                    <w:pPr>
                      <w:spacing w:line="254" w:lineRule="auto"/>
                      <w:ind w:right="2"/>
                      <w:rPr>
                        <w:rFonts w:ascii="Arial"/>
                        <w:b/>
                        <w:i/>
                        <w:sz w:val="18"/>
                      </w:rPr>
                    </w:pPr>
                    <w:r>
                      <w:rPr>
                        <w:rFonts w:ascii="Arial"/>
                        <w:b/>
                        <w:i/>
                        <w:color w:val="FFFFFF"/>
                        <w:sz w:val="18"/>
                      </w:rPr>
                      <w:t>Assess</w:t>
                    </w:r>
                    <w:r>
                      <w:rPr>
                        <w:rFonts w:ascii="Arial"/>
                        <w:b/>
                        <w:i/>
                        <w:color w:val="FFFFFF"/>
                        <w:spacing w:val="1"/>
                        <w:sz w:val="18"/>
                      </w:rPr>
                      <w:t xml:space="preserve"> </w:t>
                    </w:r>
                    <w:r>
                      <w:rPr>
                        <w:rFonts w:ascii="Arial"/>
                        <w:b/>
                        <w:i/>
                        <w:color w:val="FFFFFF"/>
                        <w:spacing w:val="-2"/>
                        <w:sz w:val="18"/>
                      </w:rPr>
                      <w:t>uncertainty</w:t>
                    </w:r>
                  </w:p>
                </w:txbxContent>
              </v:textbox>
            </v:shape>
            <v:shape id="docshape293" o:spid="_x0000_s3504" type="#_x0000_t202" style="position:absolute;left:2925;top:14126;width:930;height:202" filled="f" stroked="f">
              <v:textbox style="mso-next-textbox:#docshape293" inset="0,0,0,0">
                <w:txbxContent>
                  <w:p w14:paraId="2076843E" w14:textId="77777777" w:rsidR="0055291C" w:rsidRDefault="00F23C61">
                    <w:pPr>
                      <w:spacing w:line="202" w:lineRule="exact"/>
                      <w:rPr>
                        <w:rFonts w:ascii="Arial"/>
                        <w:b/>
                        <w:i/>
                        <w:sz w:val="18"/>
                      </w:rPr>
                    </w:pPr>
                    <w:r>
                      <w:rPr>
                        <w:rFonts w:ascii="Arial"/>
                        <w:b/>
                        <w:i/>
                        <w:color w:val="D8EEEC"/>
                        <w:spacing w:val="-2"/>
                        <w:sz w:val="18"/>
                      </w:rPr>
                      <w:t>Chapter</w:t>
                    </w:r>
                    <w:r>
                      <w:rPr>
                        <w:rFonts w:ascii="Arial"/>
                        <w:b/>
                        <w:i/>
                        <w:color w:val="D8EEEC"/>
                        <w:spacing w:val="-8"/>
                        <w:sz w:val="18"/>
                      </w:rPr>
                      <w:t xml:space="preserve"> </w:t>
                    </w:r>
                    <w:r>
                      <w:rPr>
                        <w:rFonts w:ascii="Arial"/>
                        <w:b/>
                        <w:i/>
                        <w:color w:val="D8EEEC"/>
                        <w:spacing w:val="-1"/>
                        <w:sz w:val="18"/>
                      </w:rPr>
                      <w:t>10</w:t>
                    </w:r>
                  </w:p>
                </w:txbxContent>
              </v:textbox>
            </v:shape>
            <w10:wrap anchorx="page" anchory="page"/>
          </v:group>
        </w:pict>
      </w:r>
    </w:p>
    <w:p w14:paraId="57F97B74" w14:textId="77777777" w:rsidR="0055291C" w:rsidRDefault="0055291C">
      <w:pPr>
        <w:pStyle w:val="a3"/>
        <w:rPr>
          <w:sz w:val="20"/>
          <w:lang w:eastAsia="ja-JP"/>
        </w:rPr>
      </w:pPr>
    </w:p>
    <w:p w14:paraId="1901FF10" w14:textId="77777777" w:rsidR="0055291C" w:rsidRDefault="0055291C">
      <w:pPr>
        <w:pStyle w:val="a3"/>
        <w:spacing w:before="1"/>
        <w:rPr>
          <w:sz w:val="21"/>
          <w:lang w:eastAsia="ja-JP"/>
        </w:rPr>
      </w:pPr>
    </w:p>
    <w:p w14:paraId="7CA2CE31" w14:textId="77777777" w:rsidR="0055291C" w:rsidRDefault="00F23C61">
      <w:pPr>
        <w:ind w:left="1080"/>
        <w:rPr>
          <w:rFonts w:ascii="Arial"/>
          <w:b/>
          <w:sz w:val="20"/>
        </w:rPr>
      </w:pPr>
      <w:bookmarkStart w:id="2" w:name="_Hlk108432172"/>
      <w:r>
        <w:rPr>
          <w:rFonts w:ascii="Arial"/>
          <w:b/>
          <w:color w:val="00ACA1"/>
          <w:w w:val="95"/>
          <w:sz w:val="20"/>
        </w:rPr>
        <w:t>Figure</w:t>
      </w:r>
      <w:r>
        <w:rPr>
          <w:rFonts w:ascii="Arial"/>
          <w:b/>
          <w:color w:val="00ACA1"/>
          <w:spacing w:val="12"/>
          <w:w w:val="95"/>
          <w:sz w:val="20"/>
        </w:rPr>
        <w:t xml:space="preserve"> </w:t>
      </w:r>
      <w:r>
        <w:rPr>
          <w:rFonts w:ascii="Arial"/>
          <w:b/>
          <w:color w:val="00ACA1"/>
          <w:w w:val="95"/>
          <w:sz w:val="20"/>
        </w:rPr>
        <w:t>[3.1]</w:t>
      </w:r>
      <w:r>
        <w:rPr>
          <w:rFonts w:ascii="Arial"/>
          <w:b/>
          <w:color w:val="00ACA1"/>
          <w:spacing w:val="13"/>
          <w:w w:val="95"/>
          <w:sz w:val="20"/>
        </w:rPr>
        <w:t xml:space="preserve"> </w:t>
      </w:r>
      <w:r>
        <w:rPr>
          <w:rFonts w:ascii="Arial"/>
          <w:b/>
          <w:color w:val="545456"/>
          <w:w w:val="95"/>
          <w:sz w:val="20"/>
        </w:rPr>
        <w:t>Overview</w:t>
      </w:r>
      <w:r>
        <w:rPr>
          <w:rFonts w:ascii="Arial"/>
          <w:b/>
          <w:color w:val="545456"/>
          <w:spacing w:val="13"/>
          <w:w w:val="95"/>
          <w:sz w:val="20"/>
        </w:rPr>
        <w:t xml:space="preserve"> </w:t>
      </w:r>
      <w:r>
        <w:rPr>
          <w:rFonts w:ascii="Arial"/>
          <w:b/>
          <w:color w:val="545456"/>
          <w:w w:val="95"/>
          <w:sz w:val="20"/>
        </w:rPr>
        <w:t>of</w:t>
      </w:r>
      <w:r>
        <w:rPr>
          <w:rFonts w:ascii="Arial"/>
          <w:b/>
          <w:color w:val="545456"/>
          <w:spacing w:val="13"/>
          <w:w w:val="95"/>
          <w:sz w:val="20"/>
        </w:rPr>
        <w:t xml:space="preserve"> </w:t>
      </w:r>
      <w:r>
        <w:rPr>
          <w:rFonts w:ascii="Arial"/>
          <w:b/>
          <w:color w:val="545456"/>
          <w:w w:val="95"/>
          <w:sz w:val="20"/>
        </w:rPr>
        <w:t>steps</w:t>
      </w:r>
      <w:r>
        <w:rPr>
          <w:rFonts w:ascii="Arial"/>
          <w:b/>
          <w:color w:val="545456"/>
          <w:spacing w:val="13"/>
          <w:w w:val="95"/>
          <w:sz w:val="20"/>
        </w:rPr>
        <w:t xml:space="preserve"> </w:t>
      </w:r>
      <w:r>
        <w:rPr>
          <w:rFonts w:ascii="Arial"/>
          <w:b/>
          <w:color w:val="545456"/>
          <w:w w:val="95"/>
          <w:sz w:val="20"/>
        </w:rPr>
        <w:t>in</w:t>
      </w:r>
      <w:r>
        <w:rPr>
          <w:rFonts w:ascii="Arial"/>
          <w:b/>
          <w:color w:val="545456"/>
          <w:spacing w:val="12"/>
          <w:w w:val="95"/>
          <w:sz w:val="20"/>
        </w:rPr>
        <w:t xml:space="preserve"> </w:t>
      </w:r>
      <w:r>
        <w:rPr>
          <w:rFonts w:ascii="Arial"/>
          <w:b/>
          <w:color w:val="545456"/>
          <w:w w:val="95"/>
          <w:sz w:val="20"/>
        </w:rPr>
        <w:t>product</w:t>
      </w:r>
      <w:r>
        <w:rPr>
          <w:rFonts w:ascii="Arial"/>
          <w:b/>
          <w:color w:val="545456"/>
          <w:spacing w:val="13"/>
          <w:w w:val="95"/>
          <w:sz w:val="20"/>
        </w:rPr>
        <w:t xml:space="preserve"> </w:t>
      </w:r>
      <w:r>
        <w:rPr>
          <w:rFonts w:ascii="Arial"/>
          <w:b/>
          <w:color w:val="545456"/>
          <w:w w:val="95"/>
          <w:sz w:val="20"/>
        </w:rPr>
        <w:t>accounting</w:t>
      </w:r>
      <w:r>
        <w:rPr>
          <w:rFonts w:ascii="Arial"/>
          <w:b/>
          <w:color w:val="545456"/>
          <w:spacing w:val="13"/>
          <w:w w:val="95"/>
          <w:sz w:val="20"/>
        </w:rPr>
        <w:t xml:space="preserve"> </w:t>
      </w:r>
      <w:r>
        <w:rPr>
          <w:rFonts w:ascii="Arial"/>
          <w:b/>
          <w:color w:val="545456"/>
          <w:w w:val="95"/>
          <w:sz w:val="20"/>
        </w:rPr>
        <w:t>and</w:t>
      </w:r>
      <w:r>
        <w:rPr>
          <w:rFonts w:ascii="Arial"/>
          <w:b/>
          <w:color w:val="545456"/>
          <w:spacing w:val="13"/>
          <w:w w:val="95"/>
          <w:sz w:val="20"/>
        </w:rPr>
        <w:t xml:space="preserve"> </w:t>
      </w:r>
      <w:r>
        <w:rPr>
          <w:rFonts w:ascii="Arial"/>
          <w:b/>
          <w:color w:val="545456"/>
          <w:w w:val="95"/>
          <w:sz w:val="20"/>
        </w:rPr>
        <w:t>reporting</w:t>
      </w:r>
    </w:p>
    <w:p w14:paraId="0CCD35A6" w14:textId="77777777" w:rsidR="0055291C" w:rsidRDefault="0055291C">
      <w:pPr>
        <w:pStyle w:val="a3"/>
        <w:rPr>
          <w:rFonts w:ascii="Arial"/>
          <w:b/>
          <w:sz w:val="20"/>
        </w:rPr>
      </w:pPr>
    </w:p>
    <w:p w14:paraId="378FE0EB" w14:textId="77777777" w:rsidR="0055291C" w:rsidRDefault="00000000">
      <w:pPr>
        <w:pStyle w:val="a3"/>
        <w:spacing w:before="3"/>
        <w:rPr>
          <w:rFonts w:ascii="Arial"/>
          <w:b/>
          <w:sz w:val="12"/>
        </w:rPr>
      </w:pPr>
      <w:r>
        <w:pict w14:anchorId="7798493A">
          <v:group id="docshapegroup294" o:spid="_x0000_s3500" style="position:absolute;margin-left:54pt;margin-top:8.25pt;width:55.65pt;height:55.65pt;z-index:-251527680;mso-wrap-distance-left:0;mso-wrap-distance-right:0;mso-position-horizontal-relative:page" coordorigin="1080,165" coordsize="1113,1113">
            <v:shape id="docshape295" o:spid="_x0000_s3502" style="position:absolute;left:1080;top:165;width:1113;height:1113" coordorigin="1080,165" coordsize="1113,1113" path="m2107,165r-942,l1132,172r-27,18l1087,217r-7,33l1080,1192r7,33l1105,1252r27,19l1165,1277r942,l2140,1271r27,-19l2185,1225r7,-33l2192,250r-7,-33l2167,190r-27,-18l2107,165xe" fillcolor="#00aca1" stroked="f">
              <v:path arrowok="t"/>
            </v:shape>
            <v:shape id="docshape296" o:spid="_x0000_s3501" type="#_x0000_t202" style="position:absolute;left:1080;top:165;width:1113;height:1113" filled="f" stroked="f">
              <v:textbox style="mso-next-textbox:#docshape296" inset="0,0,0,0">
                <w:txbxContent>
                  <w:p w14:paraId="33502159" w14:textId="77777777" w:rsidR="0055291C" w:rsidRDefault="00F23C61">
                    <w:pPr>
                      <w:spacing w:before="94" w:line="254" w:lineRule="auto"/>
                      <w:ind w:left="99" w:right="291"/>
                      <w:rPr>
                        <w:rFonts w:ascii="Arial"/>
                        <w:b/>
                        <w:i/>
                        <w:sz w:val="18"/>
                      </w:rPr>
                    </w:pPr>
                    <w:r>
                      <w:rPr>
                        <w:rFonts w:ascii="Arial"/>
                        <w:b/>
                        <w:i/>
                        <w:color w:val="FFFFFF"/>
                        <w:sz w:val="18"/>
                      </w:rPr>
                      <w:t>Define</w:t>
                    </w:r>
                    <w:r>
                      <w:rPr>
                        <w:rFonts w:ascii="Arial"/>
                        <w:b/>
                        <w:i/>
                        <w:color w:val="FFFFFF"/>
                        <w:spacing w:val="1"/>
                        <w:sz w:val="18"/>
                      </w:rPr>
                      <w:t xml:space="preserve"> </w:t>
                    </w:r>
                    <w:r>
                      <w:rPr>
                        <w:rFonts w:ascii="Arial"/>
                        <w:b/>
                        <w:i/>
                        <w:color w:val="FFFFFF"/>
                        <w:w w:val="90"/>
                        <w:sz w:val="18"/>
                      </w:rPr>
                      <w:t>business</w:t>
                    </w:r>
                    <w:r>
                      <w:rPr>
                        <w:rFonts w:ascii="Arial"/>
                        <w:b/>
                        <w:i/>
                        <w:color w:val="FFFFFF"/>
                        <w:spacing w:val="-42"/>
                        <w:w w:val="90"/>
                        <w:sz w:val="18"/>
                      </w:rPr>
                      <w:t xml:space="preserve"> </w:t>
                    </w:r>
                    <w:r>
                      <w:rPr>
                        <w:rFonts w:ascii="Arial"/>
                        <w:b/>
                        <w:i/>
                        <w:color w:val="FFFFFF"/>
                        <w:sz w:val="18"/>
                      </w:rPr>
                      <w:t>goals</w:t>
                    </w:r>
                  </w:p>
                  <w:p w14:paraId="241C1BA4" w14:textId="77777777" w:rsidR="0055291C" w:rsidRDefault="00F23C61">
                    <w:pPr>
                      <w:spacing w:before="41"/>
                      <w:ind w:left="89"/>
                      <w:rPr>
                        <w:rFonts w:ascii="Arial"/>
                        <w:b/>
                        <w:i/>
                        <w:sz w:val="18"/>
                      </w:rPr>
                    </w:pPr>
                    <w:r>
                      <w:rPr>
                        <w:rFonts w:ascii="Arial"/>
                        <w:b/>
                        <w:i/>
                        <w:color w:val="D8EEEC"/>
                        <w:spacing w:val="-1"/>
                        <w:sz w:val="18"/>
                      </w:rPr>
                      <w:t>Chapter</w:t>
                    </w:r>
                    <w:r>
                      <w:rPr>
                        <w:rFonts w:ascii="Arial"/>
                        <w:b/>
                        <w:i/>
                        <w:color w:val="D8EEEC"/>
                        <w:spacing w:val="-12"/>
                        <w:sz w:val="18"/>
                      </w:rPr>
                      <w:t xml:space="preserve"> </w:t>
                    </w:r>
                    <w:r>
                      <w:rPr>
                        <w:rFonts w:ascii="Arial"/>
                        <w:b/>
                        <w:i/>
                        <w:color w:val="D8EEEC"/>
                        <w:spacing w:val="-1"/>
                        <w:sz w:val="18"/>
                      </w:rPr>
                      <w:t>2</w:t>
                    </w:r>
                  </w:p>
                </w:txbxContent>
              </v:textbox>
            </v:shape>
            <w10:wrap type="topAndBottom" anchorx="page"/>
          </v:group>
        </w:pict>
      </w:r>
      <w:r>
        <w:pict w14:anchorId="283E3407">
          <v:shape id="docshape297" o:spid="_x0000_s3499" style="position:absolute;margin-left:114.45pt;margin-top:28.5pt;width:21.6pt;height:15.05pt;z-index:-251526656;mso-wrap-distance-left:0;mso-wrap-distance-right:0;mso-position-horizontal-relative:page" coordorigin="2289,570" coordsize="432,301" path="m2520,570r-15,2l2494,583r-3,21l2491,649r-191,1l2289,661r,119l2300,791r14,l2491,791r,45l2495,857r11,12l2522,871r19,-8l2700,758r15,-16l2720,725r-5,-18l2701,691,2539,578r-19,-8xe" fillcolor="#85878a" stroked="f">
            <v:path arrowok="t"/>
            <w10:wrap type="topAndBottom" anchorx="page"/>
          </v:shape>
        </w:pict>
      </w:r>
      <w:r>
        <w:pict w14:anchorId="755EB10E">
          <v:group id="docshapegroup298" o:spid="_x0000_s3496" style="position:absolute;margin-left:142.75pt;margin-top:8.25pt;width:55.65pt;height:55.65pt;z-index:-251525632;mso-wrap-distance-left:0;mso-wrap-distance-right:0;mso-position-horizontal-relative:page" coordorigin="2855,165" coordsize="1113,1113">
            <v:shape id="docshape299" o:spid="_x0000_s3498" style="position:absolute;left:2855;top:165;width:1113;height:1113" coordorigin="2855,165" coordsize="1113,1113" path="m3882,165r-942,l2907,172r-27,18l2862,217r-7,33l2855,1192r7,33l2880,1252r27,19l2940,1277r942,l3915,1271r27,-19l3961,1225r6,-33l3967,250r-6,-33l3942,190r-27,-18l3882,165xe" fillcolor="#00aca1" stroked="f">
              <v:path arrowok="t"/>
            </v:shape>
            <v:shape id="docshape300" o:spid="_x0000_s3497" type="#_x0000_t202" style="position:absolute;left:2855;top:165;width:1113;height:1113" filled="f" stroked="f">
              <v:textbox style="mso-next-textbox:#docshape300" inset="0,0,0,0">
                <w:txbxContent>
                  <w:p w14:paraId="40C4B601" w14:textId="77777777" w:rsidR="0055291C" w:rsidRDefault="00F23C61">
                    <w:pPr>
                      <w:spacing w:before="94" w:line="254" w:lineRule="auto"/>
                      <w:ind w:left="97" w:right="198"/>
                      <w:rPr>
                        <w:rFonts w:ascii="Arial"/>
                        <w:b/>
                        <w:i/>
                        <w:sz w:val="18"/>
                      </w:rPr>
                    </w:pPr>
                    <w:r>
                      <w:rPr>
                        <w:rFonts w:ascii="Arial"/>
                        <w:b/>
                        <w:i/>
                        <w:color w:val="FFFFFF"/>
                        <w:sz w:val="18"/>
                      </w:rPr>
                      <w:t>Review</w:t>
                    </w:r>
                    <w:r>
                      <w:rPr>
                        <w:rFonts w:ascii="Arial"/>
                        <w:b/>
                        <w:i/>
                        <w:color w:val="FFFFFF"/>
                        <w:spacing w:val="1"/>
                        <w:sz w:val="18"/>
                      </w:rPr>
                      <w:t xml:space="preserve"> </w:t>
                    </w:r>
                    <w:r>
                      <w:rPr>
                        <w:rFonts w:ascii="Arial"/>
                        <w:b/>
                        <w:i/>
                        <w:color w:val="FFFFFF"/>
                        <w:spacing w:val="-1"/>
                        <w:w w:val="95"/>
                        <w:sz w:val="18"/>
                      </w:rPr>
                      <w:t>principles</w:t>
                    </w:r>
                  </w:p>
                  <w:p w14:paraId="55872E03" w14:textId="77777777" w:rsidR="0055291C" w:rsidRDefault="0055291C">
                    <w:pPr>
                      <w:spacing w:before="8"/>
                      <w:rPr>
                        <w:rFonts w:ascii="Arial"/>
                        <w:b/>
                        <w:i/>
                      </w:rPr>
                    </w:pPr>
                  </w:p>
                  <w:p w14:paraId="3DFD0746" w14:textId="77777777" w:rsidR="0055291C" w:rsidRDefault="00F23C61">
                    <w:pPr>
                      <w:ind w:left="88"/>
                      <w:rPr>
                        <w:rFonts w:ascii="Arial"/>
                        <w:b/>
                        <w:i/>
                        <w:sz w:val="18"/>
                      </w:rPr>
                    </w:pPr>
                    <w:r>
                      <w:rPr>
                        <w:rFonts w:ascii="Arial"/>
                        <w:b/>
                        <w:i/>
                        <w:color w:val="D8EEEC"/>
                        <w:spacing w:val="-2"/>
                        <w:sz w:val="18"/>
                      </w:rPr>
                      <w:t>Chapter</w:t>
                    </w:r>
                    <w:r>
                      <w:rPr>
                        <w:rFonts w:ascii="Arial"/>
                        <w:b/>
                        <w:i/>
                        <w:color w:val="D8EEEC"/>
                        <w:spacing w:val="-8"/>
                        <w:sz w:val="18"/>
                      </w:rPr>
                      <w:t xml:space="preserve"> </w:t>
                    </w:r>
                    <w:r>
                      <w:rPr>
                        <w:rFonts w:ascii="Arial"/>
                        <w:b/>
                        <w:i/>
                        <w:color w:val="D8EEEC"/>
                        <w:spacing w:val="-1"/>
                        <w:sz w:val="18"/>
                      </w:rPr>
                      <w:t>4</w:t>
                    </w:r>
                  </w:p>
                </w:txbxContent>
              </v:textbox>
            </v:shape>
            <w10:wrap type="topAndBottom" anchorx="page"/>
          </v:group>
        </w:pict>
      </w:r>
      <w:r>
        <w:pict w14:anchorId="4CBB4EFC">
          <v:shape id="docshape301" o:spid="_x0000_s3495" style="position:absolute;margin-left:206.55pt;margin-top:28.5pt;width:21.6pt;height:15.05pt;z-index:-251524608;mso-wrap-distance-left:0;mso-wrap-distance-right:0;mso-position-horizontal-relative:page" coordorigin="4131,570" coordsize="432,301" path="m4362,570r-15,2l4336,583r-3,21l4333,649r-191,1l4131,661r,119l4142,791r14,l4333,791r1,45l4337,857r11,12l4364,871r19,-8l4542,758r15,-16l4562,725r-4,-18l4543,691,4381,578r-19,-8xe" fillcolor="#85878a" stroked="f">
            <v:path arrowok="t"/>
            <w10:wrap type="topAndBottom" anchorx="page"/>
          </v:shape>
        </w:pict>
      </w:r>
      <w:r>
        <w:pict w14:anchorId="48D1FEC6">
          <v:group id="docshapegroup302" o:spid="_x0000_s3492" style="position:absolute;margin-left:232pt;margin-top:8.25pt;width:55.65pt;height:55.65pt;z-index:-251523584;mso-wrap-distance-left:0;mso-wrap-distance-right:0;mso-position-horizontal-relative:page" coordorigin="4640,165" coordsize="1113,1113">
            <v:shape id="docshape303" o:spid="_x0000_s3494" style="position:absolute;left:4639;top:165;width:1113;height:1113" coordorigin="4640,165" coordsize="1113,1113" path="m5667,165r-942,l4692,172r-27,18l4647,217r-7,33l4640,1192r7,33l4665,1252r27,19l4725,1277r942,l5700,1271r27,-19l5745,1225r7,-33l5752,250r-7,-33l5727,190r-27,-18l5667,165xe" fillcolor="#00aca1" stroked="f">
              <v:path arrowok="t"/>
            </v:shape>
            <v:shape id="docshape304" o:spid="_x0000_s3493" type="#_x0000_t202" style="position:absolute;left:4639;top:165;width:1113;height:1113" filled="f" stroked="f">
              <v:textbox style="mso-next-textbox:#docshape304" inset="0,0,0,0">
                <w:txbxContent>
                  <w:p w14:paraId="1E2B8D67" w14:textId="77777777" w:rsidR="0055291C" w:rsidRDefault="00F23C61">
                    <w:pPr>
                      <w:spacing w:before="94" w:line="254" w:lineRule="auto"/>
                      <w:ind w:left="56" w:right="389" w:firstLine="42"/>
                      <w:rPr>
                        <w:rFonts w:ascii="Arial"/>
                        <w:b/>
                        <w:i/>
                        <w:sz w:val="18"/>
                      </w:rPr>
                    </w:pPr>
                    <w:r>
                      <w:rPr>
                        <w:rFonts w:ascii="Arial"/>
                        <w:b/>
                        <w:i/>
                        <w:color w:val="FFFFFF"/>
                        <w:spacing w:val="-2"/>
                        <w:sz w:val="18"/>
                      </w:rPr>
                      <w:t>Review</w:t>
                    </w:r>
                    <w:r>
                      <w:rPr>
                        <w:rFonts w:ascii="Arial"/>
                        <w:b/>
                        <w:i/>
                        <w:color w:val="FFFFFF"/>
                        <w:spacing w:val="-47"/>
                        <w:sz w:val="18"/>
                      </w:rPr>
                      <w:t xml:space="preserve"> </w:t>
                    </w:r>
                    <w:proofErr w:type="spellStart"/>
                    <w:r>
                      <w:rPr>
                        <w:rFonts w:ascii="Arial"/>
                        <w:b/>
                        <w:i/>
                        <w:color w:val="FFFFFF"/>
                        <w:sz w:val="18"/>
                      </w:rPr>
                      <w:t>funda</w:t>
                    </w:r>
                    <w:proofErr w:type="spellEnd"/>
                    <w:r>
                      <w:rPr>
                        <w:rFonts w:ascii="Arial"/>
                        <w:b/>
                        <w:i/>
                        <w:color w:val="FFFFFF"/>
                        <w:sz w:val="18"/>
                      </w:rPr>
                      <w:t>-</w:t>
                    </w:r>
                    <w:r>
                      <w:rPr>
                        <w:rFonts w:ascii="Arial"/>
                        <w:b/>
                        <w:i/>
                        <w:color w:val="FFFFFF"/>
                        <w:spacing w:val="1"/>
                        <w:sz w:val="18"/>
                      </w:rPr>
                      <w:t xml:space="preserve"> </w:t>
                    </w:r>
                    <w:r>
                      <w:rPr>
                        <w:rFonts w:ascii="Arial"/>
                        <w:b/>
                        <w:i/>
                        <w:color w:val="FFFFFF"/>
                        <w:spacing w:val="-2"/>
                        <w:sz w:val="18"/>
                      </w:rPr>
                      <w:t>mentals</w:t>
                    </w:r>
                  </w:p>
                  <w:p w14:paraId="07DC6603" w14:textId="77777777" w:rsidR="0055291C" w:rsidRDefault="00F23C61">
                    <w:pPr>
                      <w:spacing w:before="41"/>
                      <w:ind w:left="78"/>
                      <w:rPr>
                        <w:rFonts w:ascii="Arial"/>
                        <w:b/>
                        <w:i/>
                        <w:sz w:val="18"/>
                      </w:rPr>
                    </w:pPr>
                    <w:r>
                      <w:rPr>
                        <w:rFonts w:ascii="Arial"/>
                        <w:b/>
                        <w:i/>
                        <w:color w:val="D8EEEC"/>
                        <w:sz w:val="18"/>
                      </w:rPr>
                      <w:t>Chapter</w:t>
                    </w:r>
                    <w:r>
                      <w:rPr>
                        <w:rFonts w:ascii="Arial"/>
                        <w:b/>
                        <w:i/>
                        <w:color w:val="D8EEEC"/>
                        <w:spacing w:val="25"/>
                        <w:sz w:val="18"/>
                      </w:rPr>
                      <w:t xml:space="preserve"> </w:t>
                    </w:r>
                    <w:r>
                      <w:rPr>
                        <w:rFonts w:ascii="Arial"/>
                        <w:b/>
                        <w:i/>
                        <w:color w:val="D8EEEC"/>
                        <w:sz w:val="18"/>
                      </w:rPr>
                      <w:t>5</w:t>
                    </w:r>
                  </w:p>
                </w:txbxContent>
              </v:textbox>
            </v:shape>
            <w10:wrap type="topAndBottom" anchorx="page"/>
          </v:group>
        </w:pict>
      </w:r>
      <w:r>
        <w:pict w14:anchorId="3B27DAFB">
          <v:group id="docshapegroup305" o:spid="_x0000_s3488" style="position:absolute;margin-left:295.75pt;margin-top:8.25pt;width:80.4pt;height:55.65pt;z-index:-251522560;mso-wrap-distance-left:0;mso-wrap-distance-right:0;mso-position-horizontal-relative:page" coordorigin="5915,165" coordsize="1608,1113">
            <v:shape id="docshape306" o:spid="_x0000_s3491" style="position:absolute;left:5914;top:570;width:432;height:301" coordorigin="5915,570" coordsize="432,301" path="m6146,570r-15,2l6120,583r-3,21l6117,649r-191,1l5915,661r,119l5926,791r14,l6117,791r,45l6121,857r11,12l6148,871r19,-8l6326,758r15,-16l6346,725r-5,-18l6327,691,6165,578r-19,-8xe" fillcolor="#85878a" stroked="f">
              <v:path arrowok="t"/>
            </v:shape>
            <v:shape id="docshape307" o:spid="_x0000_s3490" style="position:absolute;left:6410;top:165;width:1113;height:1113" coordorigin="6410,165" coordsize="1113,1113" path="m7437,165r-941,l6463,172r-28,18l6417,217r-7,33l6410,1192r7,33l6435,1252r28,19l6496,1277r941,l7470,1271r28,-19l7516,1225r7,-33l7523,250r-7,-33l7498,190r-28,-18l7437,165xe" fillcolor="#00aca1" stroked="f">
              <v:path arrowok="t"/>
            </v:shape>
            <v:shape id="docshape308" o:spid="_x0000_s3489" type="#_x0000_t202" style="position:absolute;left:5914;top:165;width:1608;height:1113" filled="f" stroked="f">
              <v:textbox style="mso-next-textbox:#docshape308" inset="0,0,0,0">
                <w:txbxContent>
                  <w:p w14:paraId="61AD9BEA" w14:textId="77777777" w:rsidR="0055291C" w:rsidRDefault="00F23C61">
                    <w:pPr>
                      <w:spacing w:before="94" w:line="254" w:lineRule="auto"/>
                      <w:ind w:left="583" w:right="161"/>
                      <w:rPr>
                        <w:rFonts w:ascii="Arial"/>
                        <w:b/>
                        <w:i/>
                        <w:sz w:val="18"/>
                      </w:rPr>
                    </w:pPr>
                    <w:r>
                      <w:rPr>
                        <w:rFonts w:ascii="Arial"/>
                        <w:b/>
                        <w:i/>
                        <w:color w:val="FFFFFF"/>
                        <w:spacing w:val="-3"/>
                        <w:sz w:val="18"/>
                      </w:rPr>
                      <w:t xml:space="preserve">Define </w:t>
                    </w:r>
                    <w:r>
                      <w:rPr>
                        <w:rFonts w:ascii="Arial"/>
                        <w:b/>
                        <w:i/>
                        <w:color w:val="FFFFFF"/>
                        <w:spacing w:val="-2"/>
                        <w:sz w:val="18"/>
                      </w:rPr>
                      <w:t>the</w:t>
                    </w:r>
                    <w:r>
                      <w:rPr>
                        <w:rFonts w:ascii="Arial"/>
                        <w:b/>
                        <w:i/>
                        <w:color w:val="FFFFFF"/>
                        <w:spacing w:val="-47"/>
                        <w:sz w:val="18"/>
                      </w:rPr>
                      <w:t xml:space="preserve"> </w:t>
                    </w:r>
                    <w:r>
                      <w:rPr>
                        <w:rFonts w:ascii="Arial"/>
                        <w:b/>
                        <w:i/>
                        <w:color w:val="FFFFFF"/>
                        <w:sz w:val="18"/>
                      </w:rPr>
                      <w:t>scope</w:t>
                    </w:r>
                  </w:p>
                  <w:p w14:paraId="5C433A72" w14:textId="77777777" w:rsidR="0055291C" w:rsidRDefault="0055291C">
                    <w:pPr>
                      <w:spacing w:before="8"/>
                      <w:rPr>
                        <w:rFonts w:ascii="Arial"/>
                        <w:b/>
                        <w:i/>
                      </w:rPr>
                    </w:pPr>
                  </w:p>
                  <w:p w14:paraId="1A260A79" w14:textId="77777777" w:rsidR="0055291C" w:rsidRDefault="00F23C61">
                    <w:pPr>
                      <w:ind w:left="578"/>
                      <w:rPr>
                        <w:rFonts w:ascii="Arial"/>
                        <w:b/>
                        <w:i/>
                        <w:sz w:val="18"/>
                      </w:rPr>
                    </w:pPr>
                    <w:r>
                      <w:rPr>
                        <w:rFonts w:ascii="Arial"/>
                        <w:b/>
                        <w:i/>
                        <w:color w:val="D8EEEC"/>
                        <w:spacing w:val="-1"/>
                        <w:sz w:val="18"/>
                      </w:rPr>
                      <w:t>Chapter</w:t>
                    </w:r>
                    <w:r>
                      <w:rPr>
                        <w:rFonts w:ascii="Arial"/>
                        <w:b/>
                        <w:i/>
                        <w:color w:val="D8EEEC"/>
                        <w:spacing w:val="-12"/>
                        <w:sz w:val="18"/>
                      </w:rPr>
                      <w:t xml:space="preserve"> </w:t>
                    </w:r>
                    <w:r>
                      <w:rPr>
                        <w:rFonts w:ascii="Arial"/>
                        <w:b/>
                        <w:i/>
                        <w:color w:val="D8EEEC"/>
                        <w:spacing w:val="-1"/>
                        <w:sz w:val="18"/>
                      </w:rPr>
                      <w:t>6</w:t>
                    </w:r>
                  </w:p>
                </w:txbxContent>
              </v:textbox>
            </v:shape>
            <w10:wrap type="topAndBottom" anchorx="page"/>
          </v:group>
        </w:pict>
      </w:r>
      <w:r>
        <w:pict w14:anchorId="03089BFD">
          <v:shape id="docshape309" o:spid="_x0000_s3487" style="position:absolute;margin-left:382.95pt;margin-top:28.5pt;width:21.6pt;height:15.05pt;z-index:-251521536;mso-wrap-distance-left:0;mso-wrap-distance-right:0;mso-position-horizontal-relative:page" coordorigin="7659,570" coordsize="432,301" path="m7891,570r-16,2l7865,583r-4,21l7861,649r-191,1l7659,661r1,119l7671,791r13,l7862,791r,45l7866,857r10,12l7892,871r19,-8l8070,758r15,-16l8091,725r-5,-18l8071,691,7909,578r-18,-8xe" fillcolor="#85878a" stroked="f">
            <v:path arrowok="t"/>
            <w10:wrap type="topAndBottom" anchorx="page"/>
          </v:shape>
        </w:pict>
      </w:r>
      <w:r>
        <w:pict w14:anchorId="7C54F35A">
          <v:group id="docshapegroup310" o:spid="_x0000_s3484" style="position:absolute;margin-left:409.15pt;margin-top:8.25pt;width:55.65pt;height:55.65pt;z-index:-251520512;mso-wrap-distance-left:0;mso-wrap-distance-right:0;mso-position-horizontal-relative:page" coordorigin="8183,165" coordsize="1113,1113">
            <v:shape id="docshape311" o:spid="_x0000_s3486" style="position:absolute;left:8183;top:165;width:1113;height:1113" coordorigin="8183,165" coordsize="1113,1113" path="m9210,165r-942,l8235,172r-27,18l8190,217r-7,33l8183,1192r7,33l8208,1252r27,19l8268,1277r942,l9243,1271r27,-19l9289,1225r6,-33l9295,250r-6,-33l9270,190r-27,-18l9210,165xe" fillcolor="#00aca1" stroked="f">
              <v:path arrowok="t"/>
            </v:shape>
            <v:shape id="docshape312" o:spid="_x0000_s3485" type="#_x0000_t202" style="position:absolute;left:8183;top:165;width:1113;height:1113" filled="f" stroked="f">
              <v:textbox style="mso-next-textbox:#docshape312" inset="0,0,0,0">
                <w:txbxContent>
                  <w:p w14:paraId="1CEC6677" w14:textId="77777777" w:rsidR="0055291C" w:rsidRDefault="00F23C61">
                    <w:pPr>
                      <w:spacing w:before="94" w:line="254" w:lineRule="auto"/>
                      <w:ind w:left="88" w:right="225"/>
                      <w:rPr>
                        <w:rFonts w:ascii="Arial"/>
                        <w:b/>
                        <w:i/>
                        <w:sz w:val="18"/>
                      </w:rPr>
                    </w:pPr>
                    <w:r>
                      <w:rPr>
                        <w:rFonts w:ascii="Arial"/>
                        <w:b/>
                        <w:i/>
                        <w:color w:val="FFFFFF"/>
                        <w:sz w:val="18"/>
                      </w:rPr>
                      <w:t>Set the</w:t>
                    </w:r>
                    <w:r>
                      <w:rPr>
                        <w:rFonts w:ascii="Arial"/>
                        <w:b/>
                        <w:i/>
                        <w:color w:val="FFFFFF"/>
                        <w:spacing w:val="1"/>
                        <w:sz w:val="18"/>
                      </w:rPr>
                      <w:t xml:space="preserve"> </w:t>
                    </w:r>
                    <w:r>
                      <w:rPr>
                        <w:rFonts w:ascii="Arial"/>
                        <w:b/>
                        <w:i/>
                        <w:color w:val="FFFFFF"/>
                        <w:w w:val="95"/>
                        <w:sz w:val="18"/>
                      </w:rPr>
                      <w:t>boundary</w:t>
                    </w:r>
                  </w:p>
                  <w:p w14:paraId="342392D0" w14:textId="77777777" w:rsidR="0055291C" w:rsidRDefault="0055291C">
                    <w:pPr>
                      <w:spacing w:before="8"/>
                      <w:rPr>
                        <w:rFonts w:ascii="Arial"/>
                        <w:b/>
                        <w:i/>
                      </w:rPr>
                    </w:pPr>
                  </w:p>
                  <w:p w14:paraId="53C3F626" w14:textId="77777777" w:rsidR="0055291C" w:rsidRDefault="00F23C61">
                    <w:pPr>
                      <w:ind w:left="85"/>
                      <w:rPr>
                        <w:rFonts w:ascii="Arial"/>
                        <w:b/>
                        <w:i/>
                        <w:sz w:val="18"/>
                      </w:rPr>
                    </w:pPr>
                    <w:r>
                      <w:rPr>
                        <w:rFonts w:ascii="Arial"/>
                        <w:b/>
                        <w:i/>
                        <w:color w:val="D8EEEC"/>
                        <w:spacing w:val="-2"/>
                        <w:sz w:val="18"/>
                      </w:rPr>
                      <w:t>Chapter</w:t>
                    </w:r>
                    <w:r>
                      <w:rPr>
                        <w:rFonts w:ascii="Arial"/>
                        <w:b/>
                        <w:i/>
                        <w:color w:val="D8EEEC"/>
                        <w:spacing w:val="-8"/>
                        <w:sz w:val="18"/>
                      </w:rPr>
                      <w:t xml:space="preserve"> </w:t>
                    </w:r>
                    <w:r>
                      <w:rPr>
                        <w:rFonts w:ascii="Arial"/>
                        <w:b/>
                        <w:i/>
                        <w:color w:val="D8EEEC"/>
                        <w:spacing w:val="-1"/>
                        <w:sz w:val="18"/>
                      </w:rPr>
                      <w:t>7</w:t>
                    </w:r>
                  </w:p>
                </w:txbxContent>
              </v:textbox>
            </v:shape>
            <w10:wrap type="topAndBottom" anchorx="page"/>
          </v:group>
        </w:pict>
      </w:r>
      <w:r>
        <w:pict w14:anchorId="6208B79C">
          <v:shape id="docshape313" o:spid="_x0000_s3483" style="position:absolute;margin-left:470.8pt;margin-top:28.5pt;width:21.6pt;height:15.05pt;z-index:-251519488;mso-wrap-distance-left:0;mso-wrap-distance-right:0;mso-position-horizontal-relative:page" coordorigin="9416,570" coordsize="432,301" path="m9647,570r-15,2l9622,583r-4,21l9618,649r-191,1l9416,661r1,119l9428,791r13,l9619,791r,45l9623,857r10,12l9649,871r19,-8l9827,758r15,-16l9848,725r-5,-18l9828,691,9666,578r-19,-8xe" fillcolor="#85878a" stroked="f">
            <v:path arrowok="t"/>
            <w10:wrap type="topAndBottom" anchorx="page"/>
          </v:shape>
        </w:pict>
      </w:r>
      <w:r>
        <w:pict w14:anchorId="0378CC71">
          <v:group id="docshapegroup314" o:spid="_x0000_s3480" style="position:absolute;margin-left:497pt;margin-top:8.25pt;width:55.65pt;height:55.65pt;z-index:-251518464;mso-wrap-distance-left:0;mso-wrap-distance-right:0;mso-position-horizontal-relative:page" coordorigin="9940,165" coordsize="1113,1113">
            <v:shape id="docshape315" o:spid="_x0000_s3482" style="position:absolute;left:9940;top:165;width:1113;height:1113" coordorigin="9940,165" coordsize="1113,1113" path="m10967,165r-942,l9992,172r-27,18l9947,217r-7,33l9940,1192r7,33l9965,1252r27,19l10025,1277r942,l11000,1271r27,-19l11046,1225r6,-33l11052,250r-6,-33l11027,190r-27,-18l10967,165xe" fillcolor="#00aca1" stroked="f">
              <v:path arrowok="t"/>
            </v:shape>
            <v:shape id="docshape316" o:spid="_x0000_s3481" type="#_x0000_t202" style="position:absolute;left:9940;top:165;width:1113;height:1113" filled="f" stroked="f">
              <v:textbox style="mso-next-textbox:#docshape316" inset="0,0,0,0">
                <w:txbxContent>
                  <w:p w14:paraId="304B4A98" w14:textId="77777777" w:rsidR="0055291C" w:rsidRDefault="00F23C61">
                    <w:pPr>
                      <w:spacing w:before="94" w:line="254" w:lineRule="auto"/>
                      <w:ind w:left="104" w:right="40"/>
                      <w:rPr>
                        <w:rFonts w:ascii="Arial"/>
                        <w:b/>
                        <w:i/>
                        <w:sz w:val="18"/>
                      </w:rPr>
                    </w:pPr>
                    <w:r>
                      <w:rPr>
                        <w:rFonts w:ascii="Arial"/>
                        <w:b/>
                        <w:i/>
                        <w:color w:val="FFFFFF"/>
                        <w:spacing w:val="-6"/>
                        <w:sz w:val="18"/>
                      </w:rPr>
                      <w:t>Collect data</w:t>
                    </w:r>
                    <w:r>
                      <w:rPr>
                        <w:rFonts w:ascii="Arial"/>
                        <w:b/>
                        <w:i/>
                        <w:color w:val="FFFFFF"/>
                        <w:spacing w:val="-47"/>
                        <w:sz w:val="18"/>
                      </w:rPr>
                      <w:t xml:space="preserve"> </w:t>
                    </w:r>
                    <w:r>
                      <w:rPr>
                        <w:rFonts w:ascii="Arial"/>
                        <w:b/>
                        <w:i/>
                        <w:color w:val="FFFFFF"/>
                        <w:spacing w:val="-1"/>
                        <w:w w:val="95"/>
                        <w:sz w:val="18"/>
                      </w:rPr>
                      <w:t>and assess</w:t>
                    </w:r>
                    <w:r>
                      <w:rPr>
                        <w:rFonts w:ascii="Arial"/>
                        <w:b/>
                        <w:i/>
                        <w:color w:val="FFFFFF"/>
                        <w:w w:val="95"/>
                        <w:sz w:val="18"/>
                      </w:rPr>
                      <w:t xml:space="preserve"> </w:t>
                    </w:r>
                    <w:r>
                      <w:rPr>
                        <w:rFonts w:ascii="Arial"/>
                        <w:b/>
                        <w:i/>
                        <w:color w:val="FFFFFF"/>
                        <w:spacing w:val="-4"/>
                        <w:sz w:val="18"/>
                      </w:rPr>
                      <w:t>data</w:t>
                    </w:r>
                    <w:r>
                      <w:rPr>
                        <w:rFonts w:ascii="Arial"/>
                        <w:b/>
                        <w:i/>
                        <w:color w:val="FFFFFF"/>
                        <w:spacing w:val="-17"/>
                        <w:sz w:val="18"/>
                      </w:rPr>
                      <w:t xml:space="preserve"> </w:t>
                    </w:r>
                    <w:r>
                      <w:rPr>
                        <w:rFonts w:ascii="Arial"/>
                        <w:b/>
                        <w:i/>
                        <w:color w:val="FFFFFF"/>
                        <w:spacing w:val="-4"/>
                        <w:sz w:val="18"/>
                      </w:rPr>
                      <w:t>quality</w:t>
                    </w:r>
                  </w:p>
                  <w:p w14:paraId="53796C47" w14:textId="77777777" w:rsidR="0055291C" w:rsidRDefault="00F23C61">
                    <w:pPr>
                      <w:spacing w:before="41"/>
                      <w:ind w:left="102"/>
                      <w:rPr>
                        <w:rFonts w:ascii="Arial"/>
                        <w:b/>
                        <w:i/>
                        <w:sz w:val="18"/>
                      </w:rPr>
                    </w:pPr>
                    <w:r>
                      <w:rPr>
                        <w:rFonts w:ascii="Arial"/>
                        <w:b/>
                        <w:i/>
                        <w:color w:val="D8EEEC"/>
                        <w:spacing w:val="-1"/>
                        <w:sz w:val="18"/>
                      </w:rPr>
                      <w:t>Chapter</w:t>
                    </w:r>
                    <w:r>
                      <w:rPr>
                        <w:rFonts w:ascii="Arial"/>
                        <w:b/>
                        <w:i/>
                        <w:color w:val="D8EEEC"/>
                        <w:spacing w:val="-12"/>
                        <w:sz w:val="18"/>
                      </w:rPr>
                      <w:t xml:space="preserve"> </w:t>
                    </w:r>
                    <w:r>
                      <w:rPr>
                        <w:rFonts w:ascii="Arial"/>
                        <w:b/>
                        <w:i/>
                        <w:color w:val="D8EEEC"/>
                        <w:spacing w:val="-1"/>
                        <w:sz w:val="18"/>
                      </w:rPr>
                      <w:t>8</w:t>
                    </w:r>
                  </w:p>
                </w:txbxContent>
              </v:textbox>
            </v:shape>
            <w10:wrap type="topAndBottom" anchorx="page"/>
          </v:group>
        </w:pict>
      </w:r>
      <w:r>
        <w:pict w14:anchorId="4C47CCB0">
          <v:group id="docshapegroup317" o:spid="_x0000_s3474" style="position:absolute;margin-left:54pt;margin-top:68.6pt;width:471.6pt;height:90.25pt;z-index:-251517440;mso-wrap-distance-left:0;mso-wrap-distance-right:0;mso-position-horizontal-relative:page" coordorigin="1080,1372" coordsize="9432,1805">
            <v:shape id="docshape318" o:spid="_x0000_s3479" style="position:absolute;left:1080;top:2065;width:1113;height:1113" coordorigin="1080,2065" coordsize="1113,1113" path="m2107,2065r-942,l1132,2072r-27,18l1087,2117r-7,33l1080,3092r7,33l1105,3152r27,19l1165,3177r942,l2140,3171r27,-19l2185,3125r7,-33l2192,2150r-7,-33l2167,2090r-27,-18l2107,2065xe" fillcolor="#00aca1" stroked="f">
              <v:path arrowok="t"/>
            </v:shape>
            <v:shape id="docshape319" o:spid="_x0000_s3478" type="#_x0000_t75" style="position:absolute;left:1498;top:1632;width:301;height:371">
              <v:imagedata r:id="rId80" o:title=""/>
            </v:shape>
            <v:shape id="docshape320" o:spid="_x0000_s3477" type="#_x0000_t75" style="position:absolute;left:10369;top:1372;width:143;height:248">
              <v:imagedata r:id="rId81" o:title=""/>
            </v:shape>
            <v:shape id="docshape321" o:spid="_x0000_s3476" style="position:absolute;left:1581;top:1586;width:8930;height:143" coordorigin="1582,1586" coordsize="8930,143" path="m10471,1586r-8849,l1599,1587r-12,4l1582,1603r,23l1582,1688r,23l1587,1723r12,5l1622,1728r8849,l10495,1728r11,-5l10511,1711r,-23l10511,1626r,-23l10506,1591r-11,-4l10471,1586xe" fillcolor="#85878a" stroked="f">
              <v:path arrowok="t"/>
            </v:shape>
            <v:shape id="docshape322" o:spid="_x0000_s3475" type="#_x0000_t202" style="position:absolute;left:1080;top:1372;width:9432;height:1805" filled="f" stroked="f">
              <v:textbox style="mso-next-textbox:#docshape322" inset="0,0,0,0">
                <w:txbxContent>
                  <w:p w14:paraId="3591C7E4" w14:textId="77777777" w:rsidR="0055291C" w:rsidRDefault="0055291C">
                    <w:pPr>
                      <w:rPr>
                        <w:rFonts w:ascii="Arial"/>
                        <w:b/>
                        <w:sz w:val="20"/>
                      </w:rPr>
                    </w:pPr>
                  </w:p>
                  <w:p w14:paraId="34AE4554" w14:textId="77777777" w:rsidR="0055291C" w:rsidRDefault="0055291C">
                    <w:pPr>
                      <w:rPr>
                        <w:rFonts w:ascii="Arial"/>
                        <w:b/>
                        <w:sz w:val="20"/>
                      </w:rPr>
                    </w:pPr>
                  </w:p>
                  <w:p w14:paraId="1CA676A4" w14:textId="77777777" w:rsidR="0055291C" w:rsidRDefault="0055291C">
                    <w:pPr>
                      <w:spacing w:before="4"/>
                      <w:rPr>
                        <w:rFonts w:ascii="Arial"/>
                        <w:b/>
                        <w:sz w:val="21"/>
                      </w:rPr>
                    </w:pPr>
                  </w:p>
                  <w:p w14:paraId="3922443A" w14:textId="77777777" w:rsidR="0055291C" w:rsidRDefault="00F23C61">
                    <w:pPr>
                      <w:spacing w:line="254" w:lineRule="auto"/>
                      <w:ind w:left="90" w:right="8491"/>
                      <w:rPr>
                        <w:rFonts w:ascii="Arial"/>
                        <w:i/>
                        <w:sz w:val="18"/>
                      </w:rPr>
                    </w:pPr>
                    <w:r>
                      <w:rPr>
                        <w:rFonts w:ascii="Arial"/>
                        <w:b/>
                        <w:i/>
                        <w:color w:val="FFFFFF"/>
                        <w:sz w:val="18"/>
                      </w:rPr>
                      <w:t>Perform</w:t>
                    </w:r>
                    <w:r>
                      <w:rPr>
                        <w:rFonts w:ascii="Arial"/>
                        <w:b/>
                        <w:i/>
                        <w:color w:val="FFFFFF"/>
                        <w:spacing w:val="1"/>
                        <w:sz w:val="18"/>
                      </w:rPr>
                      <w:t xml:space="preserve"> </w:t>
                    </w:r>
                    <w:r>
                      <w:rPr>
                        <w:rFonts w:ascii="Arial"/>
                        <w:b/>
                        <w:i/>
                        <w:color w:val="FFFFFF"/>
                        <w:spacing w:val="-1"/>
                        <w:sz w:val="18"/>
                      </w:rPr>
                      <w:t>allocation</w:t>
                    </w:r>
                    <w:r>
                      <w:rPr>
                        <w:rFonts w:ascii="Arial"/>
                        <w:b/>
                        <w:i/>
                        <w:color w:val="FFFFFF"/>
                        <w:spacing w:val="-47"/>
                        <w:sz w:val="18"/>
                      </w:rPr>
                      <w:t xml:space="preserve"> </w:t>
                    </w:r>
                    <w:r>
                      <w:rPr>
                        <w:rFonts w:ascii="Arial"/>
                        <w:i/>
                        <w:color w:val="FFFFFF"/>
                        <w:w w:val="95"/>
                        <w:sz w:val="18"/>
                      </w:rPr>
                      <w:t>(if</w:t>
                    </w:r>
                    <w:r>
                      <w:rPr>
                        <w:rFonts w:ascii="Arial"/>
                        <w:i/>
                        <w:color w:val="FFFFFF"/>
                        <w:spacing w:val="-3"/>
                        <w:w w:val="95"/>
                        <w:sz w:val="18"/>
                      </w:rPr>
                      <w:t xml:space="preserve"> </w:t>
                    </w:r>
                    <w:r>
                      <w:rPr>
                        <w:rFonts w:ascii="Arial"/>
                        <w:i/>
                        <w:color w:val="FFFFFF"/>
                        <w:w w:val="95"/>
                        <w:sz w:val="18"/>
                      </w:rPr>
                      <w:t>needed)</w:t>
                    </w:r>
                  </w:p>
                  <w:p w14:paraId="72A025F5" w14:textId="77777777" w:rsidR="0055291C" w:rsidRDefault="0055291C">
                    <w:pPr>
                      <w:spacing w:before="9"/>
                      <w:rPr>
                        <w:rFonts w:ascii="Arial"/>
                        <w:i/>
                        <w:sz w:val="15"/>
                      </w:rPr>
                    </w:pPr>
                  </w:p>
                  <w:p w14:paraId="04DD0D63" w14:textId="77777777" w:rsidR="0055291C" w:rsidRDefault="00F23C61">
                    <w:pPr>
                      <w:spacing w:before="1"/>
                      <w:ind w:left="90"/>
                      <w:rPr>
                        <w:rFonts w:ascii="Arial"/>
                        <w:b/>
                        <w:i/>
                        <w:sz w:val="18"/>
                      </w:rPr>
                    </w:pPr>
                    <w:r>
                      <w:rPr>
                        <w:rFonts w:ascii="Arial"/>
                        <w:b/>
                        <w:i/>
                        <w:color w:val="D8EEEC"/>
                        <w:spacing w:val="-2"/>
                        <w:sz w:val="18"/>
                      </w:rPr>
                      <w:t>Chapter</w:t>
                    </w:r>
                    <w:r>
                      <w:rPr>
                        <w:rFonts w:ascii="Arial"/>
                        <w:b/>
                        <w:i/>
                        <w:color w:val="D8EEEC"/>
                        <w:spacing w:val="-8"/>
                        <w:sz w:val="18"/>
                      </w:rPr>
                      <w:t xml:space="preserve"> </w:t>
                    </w:r>
                    <w:r>
                      <w:rPr>
                        <w:rFonts w:ascii="Arial"/>
                        <w:b/>
                        <w:i/>
                        <w:color w:val="D8EEEC"/>
                        <w:spacing w:val="-1"/>
                        <w:sz w:val="18"/>
                      </w:rPr>
                      <w:t>9</w:t>
                    </w:r>
                  </w:p>
                </w:txbxContent>
              </v:textbox>
            </v:shape>
            <w10:wrap type="topAndBottom" anchorx="page"/>
          </v:group>
        </w:pict>
      </w:r>
    </w:p>
    <w:bookmarkEnd w:id="2"/>
    <w:p w14:paraId="17A14832" w14:textId="77777777" w:rsidR="0055291C" w:rsidRDefault="0055291C">
      <w:pPr>
        <w:rPr>
          <w:rFonts w:ascii="Arial"/>
          <w:sz w:val="6"/>
        </w:rPr>
        <w:sectPr w:rsidR="0055291C">
          <w:type w:val="continuous"/>
          <w:pgSz w:w="12240" w:h="15840"/>
          <w:pgMar w:top="740" w:right="0" w:bottom="280" w:left="0" w:header="0" w:footer="859" w:gutter="0"/>
          <w:cols w:space="720"/>
        </w:sectPr>
      </w:pPr>
    </w:p>
    <w:p w14:paraId="266D2902" w14:textId="78D47352" w:rsidR="0055291C" w:rsidRDefault="0055291C">
      <w:pPr>
        <w:pStyle w:val="a3"/>
        <w:rPr>
          <w:rFonts w:ascii="Arial"/>
          <w:b/>
          <w:sz w:val="20"/>
        </w:rPr>
      </w:pPr>
    </w:p>
    <w:p w14:paraId="44CAE8CD" w14:textId="77777777" w:rsidR="0055291C" w:rsidRDefault="0055291C">
      <w:pPr>
        <w:pStyle w:val="a3"/>
        <w:spacing w:before="1"/>
        <w:rPr>
          <w:rFonts w:ascii="Arial"/>
          <w:b/>
          <w:sz w:val="16"/>
        </w:rPr>
      </w:pPr>
    </w:p>
    <w:p w14:paraId="3751C75B" w14:textId="77777777" w:rsidR="0055291C" w:rsidRDefault="0055291C">
      <w:pPr>
        <w:rPr>
          <w:rFonts w:ascii="Arial"/>
          <w:sz w:val="16"/>
        </w:rPr>
        <w:sectPr w:rsidR="0055291C">
          <w:headerReference w:type="even" r:id="rId82"/>
          <w:pgSz w:w="12240" w:h="15840"/>
          <w:pgMar w:top="620" w:right="0" w:bottom="1040" w:left="0" w:header="0" w:footer="859" w:gutter="0"/>
          <w:cols w:space="720"/>
        </w:sectPr>
      </w:pPr>
    </w:p>
    <w:p w14:paraId="5759C174" w14:textId="2C584A01" w:rsidR="0055291C" w:rsidRPr="00882BB3" w:rsidRDefault="00882BB3" w:rsidP="00882BB3">
      <w:pPr>
        <w:pStyle w:val="3"/>
        <w:ind w:left="1133"/>
        <w:rPr>
          <w:color w:val="00ACA1"/>
          <w:lang w:eastAsia="ja-JP"/>
        </w:rPr>
      </w:pPr>
      <w:r w:rsidRPr="00882BB3">
        <w:rPr>
          <w:color w:val="00ACA1"/>
          <w:w w:val="95"/>
          <w:lang w:eastAsia="ja-JP"/>
        </w:rPr>
        <w:t>3.2</w:t>
      </w:r>
      <w:r w:rsidRPr="00882BB3">
        <w:rPr>
          <w:rFonts w:ascii="ＭＳ 明朝" w:eastAsia="ＭＳ 明朝" w:hAnsi="ＭＳ 明朝" w:cs="ＭＳ 明朝" w:hint="eastAsia"/>
          <w:color w:val="00ACA1"/>
          <w:w w:val="95"/>
          <w:lang w:eastAsia="ja-JP"/>
        </w:rPr>
        <w:t xml:space="preserve">　製品</w:t>
      </w:r>
      <w:r w:rsidR="00364979">
        <w:rPr>
          <w:rFonts w:ascii="ＭＳ 明朝" w:eastAsia="ＭＳ 明朝" w:hAnsi="ＭＳ 明朝" w:cs="ＭＳ 明朝" w:hint="eastAsia"/>
          <w:color w:val="00ACA1"/>
          <w:w w:val="95"/>
          <w:lang w:eastAsia="ja-JP"/>
        </w:rPr>
        <w:t>GHG算出</w:t>
      </w:r>
      <w:r w:rsidRPr="00882BB3">
        <w:rPr>
          <w:rFonts w:ascii="ＭＳ 明朝" w:eastAsia="ＭＳ 明朝" w:hAnsi="ＭＳ 明朝" w:cs="ＭＳ 明朝" w:hint="eastAsia"/>
          <w:color w:val="00ACA1"/>
          <w:w w:val="95"/>
          <w:lang w:eastAsia="ja-JP"/>
        </w:rPr>
        <w:t>と報告のステップの概要</w:t>
      </w:r>
    </w:p>
    <w:p w14:paraId="295F5F5A" w14:textId="094294E7" w:rsidR="0055291C" w:rsidRPr="00882BB3" w:rsidRDefault="00882BB3" w:rsidP="00926C31">
      <w:pPr>
        <w:pStyle w:val="a3"/>
        <w:spacing w:before="53" w:line="312" w:lineRule="auto"/>
        <w:ind w:left="1133" w:firstLineChars="100" w:firstLine="190"/>
        <w:rPr>
          <w:rFonts w:eastAsiaTheme="minorEastAsia"/>
          <w:lang w:eastAsia="ja-JP"/>
        </w:rPr>
      </w:pPr>
      <w:r w:rsidRPr="00882BB3">
        <w:rPr>
          <w:rFonts w:ascii="ＭＳ ゴシック" w:eastAsia="ＭＳ ゴシック" w:hAnsi="ＭＳ ゴシック" w:cs="ＭＳ ゴシック" w:hint="eastAsia"/>
          <w:color w:val="545456"/>
          <w:lang w:eastAsia="ja-JP"/>
        </w:rPr>
        <w:t>図</w:t>
      </w:r>
      <w:r w:rsidRPr="00882BB3">
        <w:rPr>
          <w:color w:val="545456"/>
          <w:lang w:eastAsia="ja-JP"/>
        </w:rPr>
        <w:t>3.1</w:t>
      </w:r>
      <w:r w:rsidRPr="00882BB3">
        <w:rPr>
          <w:rFonts w:ascii="ＭＳ ゴシック" w:eastAsia="ＭＳ ゴシック" w:hAnsi="ＭＳ ゴシック" w:cs="ＭＳ ゴシック" w:hint="eastAsia"/>
          <w:color w:val="545456"/>
          <w:lang w:eastAsia="ja-JP"/>
        </w:rPr>
        <w:t>は、本基準に準拠した</w:t>
      </w:r>
      <w:r w:rsidRPr="00882BB3">
        <w:rPr>
          <w:color w:val="545456"/>
          <w:lang w:eastAsia="ja-JP"/>
        </w:rPr>
        <w:t>GHG</w:t>
      </w:r>
      <w:r w:rsidRPr="00882BB3">
        <w:rPr>
          <w:rFonts w:ascii="ＭＳ ゴシック" w:eastAsia="ＭＳ ゴシック" w:hAnsi="ＭＳ ゴシック" w:cs="ＭＳ ゴシック" w:hint="eastAsia"/>
          <w:color w:val="545456"/>
          <w:lang w:eastAsia="ja-JP"/>
        </w:rPr>
        <w:t>排出量算出を実施するために取られた手順の概要を示しています。これらの各ステップは、</w:t>
      </w:r>
      <w:r>
        <w:rPr>
          <w:rFonts w:ascii="ＭＳ ゴシック" w:eastAsia="ＭＳ ゴシック" w:hAnsi="ＭＳ ゴシック" w:cs="ＭＳ ゴシック" w:hint="eastAsia"/>
          <w:color w:val="545456"/>
          <w:lang w:eastAsia="ja-JP"/>
        </w:rPr>
        <w:t>その</w:t>
      </w:r>
      <w:r w:rsidRPr="00882BB3">
        <w:rPr>
          <w:rFonts w:ascii="ＭＳ ゴシック" w:eastAsia="ＭＳ ゴシック" w:hAnsi="ＭＳ ゴシック" w:cs="ＭＳ ゴシック" w:hint="eastAsia"/>
          <w:color w:val="545456"/>
          <w:lang w:eastAsia="ja-JP"/>
        </w:rPr>
        <w:t>下</w:t>
      </w:r>
      <w:r>
        <w:rPr>
          <w:rFonts w:ascii="ＭＳ ゴシック" w:eastAsia="ＭＳ ゴシック" w:hAnsi="ＭＳ ゴシック" w:cs="ＭＳ ゴシック" w:hint="eastAsia"/>
          <w:color w:val="545456"/>
          <w:lang w:eastAsia="ja-JP"/>
        </w:rPr>
        <w:t>に記載された</w:t>
      </w:r>
      <w:r w:rsidRPr="00882BB3">
        <w:rPr>
          <w:rFonts w:ascii="ＭＳ ゴシック" w:eastAsia="ＭＳ ゴシック" w:hAnsi="ＭＳ ゴシック" w:cs="ＭＳ ゴシック" w:hint="eastAsia"/>
          <w:color w:val="545456"/>
          <w:lang w:eastAsia="ja-JP"/>
        </w:rPr>
        <w:t>章で詳細に説明しま</w:t>
      </w:r>
      <w:r>
        <w:rPr>
          <w:rFonts w:ascii="ＭＳ ゴシック" w:eastAsia="ＭＳ ゴシック" w:hAnsi="ＭＳ ゴシック" w:cs="ＭＳ ゴシック" w:hint="eastAsia"/>
          <w:color w:val="545456"/>
          <w:lang w:eastAsia="ja-JP"/>
        </w:rPr>
        <w:t>す。</w:t>
      </w:r>
    </w:p>
    <w:p w14:paraId="1E08E1A8" w14:textId="5A57274D" w:rsidR="0055291C" w:rsidRDefault="009926A0" w:rsidP="00882BB3">
      <w:pPr>
        <w:pStyle w:val="3"/>
        <w:ind w:left="1139"/>
        <w:rPr>
          <w:lang w:eastAsia="ja-JP"/>
        </w:rPr>
      </w:pPr>
      <w:r>
        <w:rPr>
          <w:noProof/>
          <w:lang w:eastAsia="ja-JP"/>
        </w:rPr>
        <mc:AlternateContent>
          <mc:Choice Requires="wpg">
            <w:drawing>
              <wp:anchor distT="0" distB="0" distL="114300" distR="114300" simplePos="0" relativeHeight="251512320" behindDoc="0" locked="0" layoutInCell="1" allowOverlap="1" wp14:anchorId="3ABD822F" wp14:editId="7936BA0F">
                <wp:simplePos x="0" y="0"/>
                <wp:positionH relativeFrom="column">
                  <wp:posOffset>774700</wp:posOffset>
                </wp:positionH>
                <wp:positionV relativeFrom="paragraph">
                  <wp:posOffset>589915</wp:posOffset>
                </wp:positionV>
                <wp:extent cx="6648450" cy="7770120"/>
                <wp:effectExtent l="0" t="0" r="0" b="0"/>
                <wp:wrapTopAndBottom/>
                <wp:docPr id="14" name="グループ化 14"/>
                <wp:cNvGraphicFramePr/>
                <a:graphic xmlns:a="http://schemas.openxmlformats.org/drawingml/2006/main">
                  <a:graphicData uri="http://schemas.microsoft.com/office/word/2010/wordprocessingGroup">
                    <wpg:wgp>
                      <wpg:cNvGrpSpPr/>
                      <wpg:grpSpPr>
                        <a:xfrm>
                          <a:off x="0" y="0"/>
                          <a:ext cx="6648450" cy="7770120"/>
                          <a:chOff x="0" y="0"/>
                          <a:chExt cx="6648450" cy="8116389"/>
                        </a:xfrm>
                      </wpg:grpSpPr>
                      <pic:pic xmlns:pic="http://schemas.openxmlformats.org/drawingml/2006/picture">
                        <pic:nvPicPr>
                          <pic:cNvPr id="16" name="図 16"/>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368301"/>
                            <a:ext cx="6645910" cy="7748088"/>
                          </a:xfrm>
                          <a:prstGeom prst="rect">
                            <a:avLst/>
                          </a:prstGeom>
                          <a:noFill/>
                          <a:ln>
                            <a:noFill/>
                          </a:ln>
                        </pic:spPr>
                      </pic:pic>
                      <wps:wsp>
                        <wps:cNvPr id="18" name="docshape244"/>
                        <wps:cNvSpPr>
                          <a:spLocks/>
                        </wps:cNvSpPr>
                        <wps:spPr bwMode="auto">
                          <a:xfrm>
                            <a:off x="25400" y="0"/>
                            <a:ext cx="1327150" cy="314960"/>
                          </a:xfrm>
                          <a:custGeom>
                            <a:avLst/>
                            <a:gdLst>
                              <a:gd name="T0" fmla="+- 0 3244 1134"/>
                              <a:gd name="T1" fmla="*/ T0 w 2281"/>
                              <a:gd name="T2" fmla="+- 0 -5 -5"/>
                              <a:gd name="T3" fmla="*/ -5 h 496"/>
                              <a:gd name="T4" fmla="+- 0 1304 1134"/>
                              <a:gd name="T5" fmla="*/ T4 w 2281"/>
                              <a:gd name="T6" fmla="+- 0 -5 -5"/>
                              <a:gd name="T7" fmla="*/ -5 h 496"/>
                              <a:gd name="T8" fmla="+- 0 1206 1134"/>
                              <a:gd name="T9" fmla="*/ T8 w 2281"/>
                              <a:gd name="T10" fmla="+- 0 -2 -5"/>
                              <a:gd name="T11" fmla="*/ -2 h 496"/>
                              <a:gd name="T12" fmla="+- 0 1155 1134"/>
                              <a:gd name="T13" fmla="*/ T12 w 2281"/>
                              <a:gd name="T14" fmla="+- 0 16 -5"/>
                              <a:gd name="T15" fmla="*/ 16 h 496"/>
                              <a:gd name="T16" fmla="+- 0 1137 1134"/>
                              <a:gd name="T17" fmla="*/ T16 w 2281"/>
                              <a:gd name="T18" fmla="+- 0 67 -5"/>
                              <a:gd name="T19" fmla="*/ 67 h 496"/>
                              <a:gd name="T20" fmla="+- 0 1134 1134"/>
                              <a:gd name="T21" fmla="*/ T20 w 2281"/>
                              <a:gd name="T22" fmla="+- 0 165 -5"/>
                              <a:gd name="T23" fmla="*/ 165 h 496"/>
                              <a:gd name="T24" fmla="+- 0 1134 1134"/>
                              <a:gd name="T25" fmla="*/ T24 w 2281"/>
                              <a:gd name="T26" fmla="+- 0 490 -5"/>
                              <a:gd name="T27" fmla="*/ 490 h 496"/>
                              <a:gd name="T28" fmla="+- 0 3414 1134"/>
                              <a:gd name="T29" fmla="*/ T28 w 2281"/>
                              <a:gd name="T30" fmla="+- 0 490 -5"/>
                              <a:gd name="T31" fmla="*/ 490 h 496"/>
                              <a:gd name="T32" fmla="+- 0 3414 1134"/>
                              <a:gd name="T33" fmla="*/ T32 w 2281"/>
                              <a:gd name="T34" fmla="+- 0 165 -5"/>
                              <a:gd name="T35" fmla="*/ 165 h 496"/>
                              <a:gd name="T36" fmla="+- 0 3412 1134"/>
                              <a:gd name="T37" fmla="*/ T36 w 2281"/>
                              <a:gd name="T38" fmla="+- 0 67 -5"/>
                              <a:gd name="T39" fmla="*/ 67 h 496"/>
                              <a:gd name="T40" fmla="+- 0 3393 1134"/>
                              <a:gd name="T41" fmla="*/ T40 w 2281"/>
                              <a:gd name="T42" fmla="+- 0 16 -5"/>
                              <a:gd name="T43" fmla="*/ 16 h 496"/>
                              <a:gd name="T44" fmla="+- 0 3343 1134"/>
                              <a:gd name="T45" fmla="*/ T44 w 2281"/>
                              <a:gd name="T46" fmla="+- 0 -2 -5"/>
                              <a:gd name="T47" fmla="*/ -2 h 496"/>
                              <a:gd name="T48" fmla="+- 0 3244 1134"/>
                              <a:gd name="T49" fmla="*/ T48 w 2281"/>
                              <a:gd name="T50" fmla="+- 0 -5 -5"/>
                              <a:gd name="T51" fmla="*/ -5 h 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281" h="496">
                                <a:moveTo>
                                  <a:pt x="2110" y="0"/>
                                </a:moveTo>
                                <a:lnTo>
                                  <a:pt x="170" y="0"/>
                                </a:lnTo>
                                <a:lnTo>
                                  <a:pt x="72" y="3"/>
                                </a:lnTo>
                                <a:lnTo>
                                  <a:pt x="21" y="21"/>
                                </a:lnTo>
                                <a:lnTo>
                                  <a:pt x="3" y="72"/>
                                </a:lnTo>
                                <a:lnTo>
                                  <a:pt x="0" y="170"/>
                                </a:lnTo>
                                <a:lnTo>
                                  <a:pt x="0" y="495"/>
                                </a:lnTo>
                                <a:lnTo>
                                  <a:pt x="2280" y="495"/>
                                </a:lnTo>
                                <a:lnTo>
                                  <a:pt x="2280" y="170"/>
                                </a:lnTo>
                                <a:lnTo>
                                  <a:pt x="2278" y="72"/>
                                </a:lnTo>
                                <a:lnTo>
                                  <a:pt x="2259" y="21"/>
                                </a:lnTo>
                                <a:lnTo>
                                  <a:pt x="2209" y="3"/>
                                </a:lnTo>
                                <a:lnTo>
                                  <a:pt x="2110" y="0"/>
                                </a:lnTo>
                                <a:close/>
                              </a:path>
                            </a:pathLst>
                          </a:custGeom>
                          <a:solidFill>
                            <a:srgbClr val="00ACA1"/>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95AF7AD" w14:textId="77777777" w:rsidR="00847956" w:rsidRPr="004F28DF" w:rsidRDefault="00847956" w:rsidP="00847956">
                              <w:pPr>
                                <w:jc w:val="center"/>
                                <w:rPr>
                                  <w:b/>
                                  <w:bCs/>
                                  <w:i/>
                                  <w:iCs/>
                                  <w:color w:val="FFFFFF" w:themeColor="background1"/>
                                </w:rPr>
                              </w:pPr>
                              <w:proofErr w:type="spellStart"/>
                              <w:r>
                                <w:rPr>
                                  <w:rFonts w:hint="eastAsia"/>
                                  <w:b/>
                                  <w:bCs/>
                                  <w:i/>
                                  <w:iCs/>
                                  <w:color w:val="FFFFFF" w:themeColor="background1"/>
                                </w:rPr>
                                <w:t>説明する章</w:t>
                              </w:r>
                              <w:proofErr w:type="spellEnd"/>
                            </w:p>
                          </w:txbxContent>
                        </wps:txbx>
                        <wps:bodyPr rot="0" vert="horz" wrap="square" lIns="91440" tIns="45720" rIns="91440" bIns="45720" anchor="t" anchorCtr="0" upright="1">
                          <a:noAutofit/>
                        </wps:bodyPr>
                      </wps:wsp>
                      <wps:wsp>
                        <wps:cNvPr id="20" name="docshape246"/>
                        <wps:cNvSpPr>
                          <a:spLocks/>
                        </wps:cNvSpPr>
                        <wps:spPr bwMode="auto">
                          <a:xfrm>
                            <a:off x="1555750" y="0"/>
                            <a:ext cx="5092700" cy="314960"/>
                          </a:xfrm>
                          <a:custGeom>
                            <a:avLst/>
                            <a:gdLst>
                              <a:gd name="T0" fmla="+- 0 10936 3698"/>
                              <a:gd name="T1" fmla="*/ T0 w 7409"/>
                              <a:gd name="T2" fmla="+- 0 -5 -5"/>
                              <a:gd name="T3" fmla="*/ -5 h 496"/>
                              <a:gd name="T4" fmla="+- 0 3868 3698"/>
                              <a:gd name="T5" fmla="*/ T4 w 7409"/>
                              <a:gd name="T6" fmla="+- 0 -5 -5"/>
                              <a:gd name="T7" fmla="*/ -5 h 496"/>
                              <a:gd name="T8" fmla="+- 0 3770 3698"/>
                              <a:gd name="T9" fmla="*/ T8 w 7409"/>
                              <a:gd name="T10" fmla="+- 0 -2 -5"/>
                              <a:gd name="T11" fmla="*/ -2 h 496"/>
                              <a:gd name="T12" fmla="+- 0 3719 3698"/>
                              <a:gd name="T13" fmla="*/ T12 w 7409"/>
                              <a:gd name="T14" fmla="+- 0 16 -5"/>
                              <a:gd name="T15" fmla="*/ 16 h 496"/>
                              <a:gd name="T16" fmla="+- 0 3700 3698"/>
                              <a:gd name="T17" fmla="*/ T16 w 7409"/>
                              <a:gd name="T18" fmla="+- 0 67 -5"/>
                              <a:gd name="T19" fmla="*/ 67 h 496"/>
                              <a:gd name="T20" fmla="+- 0 3698 3698"/>
                              <a:gd name="T21" fmla="*/ T20 w 7409"/>
                              <a:gd name="T22" fmla="+- 0 165 -5"/>
                              <a:gd name="T23" fmla="*/ 165 h 496"/>
                              <a:gd name="T24" fmla="+- 0 3698 3698"/>
                              <a:gd name="T25" fmla="*/ T24 w 7409"/>
                              <a:gd name="T26" fmla="+- 0 490 -5"/>
                              <a:gd name="T27" fmla="*/ 490 h 496"/>
                              <a:gd name="T28" fmla="+- 0 11106 3698"/>
                              <a:gd name="T29" fmla="*/ T28 w 7409"/>
                              <a:gd name="T30" fmla="+- 0 490 -5"/>
                              <a:gd name="T31" fmla="*/ 490 h 496"/>
                              <a:gd name="T32" fmla="+- 0 11106 3698"/>
                              <a:gd name="T33" fmla="*/ T32 w 7409"/>
                              <a:gd name="T34" fmla="+- 0 165 -5"/>
                              <a:gd name="T35" fmla="*/ 165 h 496"/>
                              <a:gd name="T36" fmla="+- 0 11103 3698"/>
                              <a:gd name="T37" fmla="*/ T36 w 7409"/>
                              <a:gd name="T38" fmla="+- 0 67 -5"/>
                              <a:gd name="T39" fmla="*/ 67 h 496"/>
                              <a:gd name="T40" fmla="+- 0 11085 3698"/>
                              <a:gd name="T41" fmla="*/ T40 w 7409"/>
                              <a:gd name="T42" fmla="+- 0 16 -5"/>
                              <a:gd name="T43" fmla="*/ 16 h 496"/>
                              <a:gd name="T44" fmla="+- 0 11034 3698"/>
                              <a:gd name="T45" fmla="*/ T44 w 7409"/>
                              <a:gd name="T46" fmla="+- 0 -2 -5"/>
                              <a:gd name="T47" fmla="*/ -2 h 496"/>
                              <a:gd name="T48" fmla="+- 0 10936 3698"/>
                              <a:gd name="T49" fmla="*/ T48 w 7409"/>
                              <a:gd name="T50" fmla="+- 0 -5 -5"/>
                              <a:gd name="T51" fmla="*/ -5 h 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409" h="496">
                                <a:moveTo>
                                  <a:pt x="7238" y="0"/>
                                </a:moveTo>
                                <a:lnTo>
                                  <a:pt x="170" y="0"/>
                                </a:lnTo>
                                <a:lnTo>
                                  <a:pt x="72" y="3"/>
                                </a:lnTo>
                                <a:lnTo>
                                  <a:pt x="21" y="21"/>
                                </a:lnTo>
                                <a:lnTo>
                                  <a:pt x="2" y="72"/>
                                </a:lnTo>
                                <a:lnTo>
                                  <a:pt x="0" y="170"/>
                                </a:lnTo>
                                <a:lnTo>
                                  <a:pt x="0" y="495"/>
                                </a:lnTo>
                                <a:lnTo>
                                  <a:pt x="7408" y="495"/>
                                </a:lnTo>
                                <a:lnTo>
                                  <a:pt x="7408" y="170"/>
                                </a:lnTo>
                                <a:lnTo>
                                  <a:pt x="7405" y="72"/>
                                </a:lnTo>
                                <a:lnTo>
                                  <a:pt x="7387" y="21"/>
                                </a:lnTo>
                                <a:lnTo>
                                  <a:pt x="7336" y="3"/>
                                </a:lnTo>
                                <a:lnTo>
                                  <a:pt x="7238" y="0"/>
                                </a:lnTo>
                                <a:close/>
                              </a:path>
                            </a:pathLst>
                          </a:custGeom>
                          <a:solidFill>
                            <a:srgbClr val="00ACA1"/>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1DC6511" w14:textId="77777777" w:rsidR="00847956" w:rsidRPr="004F28DF" w:rsidRDefault="00847956" w:rsidP="00847956">
                              <w:pPr>
                                <w:jc w:val="center"/>
                                <w:rPr>
                                  <w:b/>
                                  <w:bCs/>
                                  <w:i/>
                                  <w:iCs/>
                                  <w:color w:val="FFFFFF" w:themeColor="background1"/>
                                </w:rPr>
                              </w:pPr>
                              <w:proofErr w:type="spellStart"/>
                              <w:r>
                                <w:rPr>
                                  <w:rFonts w:hint="eastAsia"/>
                                  <w:b/>
                                  <w:bCs/>
                                  <w:i/>
                                  <w:iCs/>
                                  <w:color w:val="FFFFFF" w:themeColor="background1"/>
                                </w:rPr>
                                <w:t>必要な条件</w:t>
                              </w:r>
                              <w:proofErr w:type="spellEnd"/>
                            </w:p>
                          </w:txbxContent>
                        </wps:txbx>
                        <wps:bodyPr rot="0" vert="horz" wrap="square" lIns="91440" tIns="45720" rIns="91440" bIns="45720" anchor="t" anchorCtr="0" upright="1">
                          <a:noAutofit/>
                        </wps:bodyPr>
                      </wps:wsp>
                    </wpg:wgp>
                  </a:graphicData>
                </a:graphic>
              </wp:anchor>
            </w:drawing>
          </mc:Choice>
          <mc:Fallback>
            <w:pict>
              <v:group w14:anchorId="3ABD822F" id="グループ化 14" o:spid="_x0000_s1035" style="position:absolute;left:0;text-align:left;margin-left:61pt;margin-top:46.45pt;width:523.5pt;height:611.8pt;z-index:251512320" coordsize="66484,811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">
                <v:shape id="図 16" o:spid="_x0000_s1036" type="#_x0000_t75" style="position:absolute;top:3683;width:66459;height:77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">
                  <v:imagedata r:id="rId84" o:title=""/>
                </v:shape>
                <v:shape id="docshape244" o:spid="_x0000_s1037" style="position:absolute;left:254;width:13271;height:3149;visibility:visible;mso-wrap-style:square;v-text-anchor:top" coordsize="2281,4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" adj="-11796480,,5400" path="m2110,l170,,72,3,21,21,3,72,,170,,495r2280,l2280,170r-2,-98l2259,21,2209,3,2110,xe" fillcolor="#00aca1" stroked="f">
                  <v:stroke joinstyle="round"/>
                  <v:formulas/>
                  <v:path arrowok="t" o:connecttype="custom" o:connectlocs="1227657,-3175;98911,-3175;41892,-1270;12218,10160;1745,42545;0,104775;0,311150;1326568,311150;1326568,104775;1325405,42545;1314350,10160;1285258,-1270;1227657,-3175" o:connectangles="0,0,0,0,0,0,0,0,0,0,0,0,0" textboxrect="0,0,2281,496"/>
                  <v:textbox>
                    <w:txbxContent>
                      <w:p w14:paraId="095AF7AD" w14:textId="77777777" w:rsidR="00847956" w:rsidRPr="004F28DF" w:rsidRDefault="00847956" w:rsidP="00847956">
                        <w:pPr>
                          <w:jc w:val="center"/>
                          <w:rPr>
                            <w:b/>
                            <w:bCs/>
                            <w:i/>
                            <w:iCs/>
                            <w:color w:val="FFFFFF" w:themeColor="background1"/>
                          </w:rPr>
                        </w:pPr>
                        <w:proofErr w:type="spellStart"/>
                        <w:r>
                          <w:rPr>
                            <w:rFonts w:hint="eastAsia"/>
                            <w:b/>
                            <w:bCs/>
                            <w:i/>
                            <w:iCs/>
                            <w:color w:val="FFFFFF" w:themeColor="background1"/>
                          </w:rPr>
                          <w:t>説明する章</w:t>
                        </w:r>
                        <w:proofErr w:type="spellEnd"/>
                      </w:p>
                    </w:txbxContent>
                  </v:textbox>
                </v:shape>
                <v:shape id="docshape246" o:spid="_x0000_s1038" style="position:absolute;left:15557;width:50927;height:3149;visibility:visible;mso-wrap-style:square;v-text-anchor:top" coordsize="7409,4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" adj="-11796480,,5400" path="m7238,l170,,72,3,21,21,2,72,,170,,495r7408,l7408,170r-3,-98l7387,21,7336,3,7238,xe" fillcolor="#00aca1" stroked="f">
                  <v:stroke joinstyle="round"/>
                  <v:formulas/>
                  <v:path arrowok="t" o:connecttype="custom" o:connectlocs="4975160,-3175;116852,-3175;49490,-1270;14435,10160;1375,42545;0,104775;0,311150;5092013,311150;5092013,104775;5089951,42545;5077578,10160;5042522,-1270;4975160,-3175" o:connectangles="0,0,0,0,0,0,0,0,0,0,0,0,0" textboxrect="0,0,7409,496"/>
                  <v:textbox>
                    <w:txbxContent>
                      <w:p w14:paraId="01DC6511" w14:textId="77777777" w:rsidR="00847956" w:rsidRPr="004F28DF" w:rsidRDefault="00847956" w:rsidP="00847956">
                        <w:pPr>
                          <w:jc w:val="center"/>
                          <w:rPr>
                            <w:b/>
                            <w:bCs/>
                            <w:i/>
                            <w:iCs/>
                            <w:color w:val="FFFFFF" w:themeColor="background1"/>
                          </w:rPr>
                        </w:pPr>
                        <w:proofErr w:type="spellStart"/>
                        <w:r>
                          <w:rPr>
                            <w:rFonts w:hint="eastAsia"/>
                            <w:b/>
                            <w:bCs/>
                            <w:i/>
                            <w:iCs/>
                            <w:color w:val="FFFFFF" w:themeColor="background1"/>
                          </w:rPr>
                          <w:t>必要な条件</w:t>
                        </w:r>
                        <w:proofErr w:type="spellEnd"/>
                      </w:p>
                    </w:txbxContent>
                  </v:textbox>
                </v:shape>
                <w10:wrap type="topAndBottom"/>
              </v:group>
            </w:pict>
          </mc:Fallback>
        </mc:AlternateContent>
      </w:r>
      <w:r>
        <w:rPr>
          <w:noProof/>
          <w:lang w:eastAsia="ja-JP"/>
        </w:rPr>
        <mc:AlternateContent>
          <mc:Choice Requires="wps">
            <w:drawing>
              <wp:anchor distT="0" distB="0" distL="114300" distR="114300" simplePos="0" relativeHeight="251513344" behindDoc="0" locked="0" layoutInCell="1" allowOverlap="1" wp14:anchorId="723DB0CB" wp14:editId="438CCB0F">
                <wp:simplePos x="0" y="0"/>
                <wp:positionH relativeFrom="column">
                  <wp:posOffset>774700</wp:posOffset>
                </wp:positionH>
                <wp:positionV relativeFrom="paragraph">
                  <wp:posOffset>19050</wp:posOffset>
                </wp:positionV>
                <wp:extent cx="6565900" cy="486327"/>
                <wp:effectExtent l="0" t="0" r="25400" b="28575"/>
                <wp:wrapTopAndBottom/>
                <wp:docPr id="22" name="テキスト ボックス 22"/>
                <wp:cNvGraphicFramePr/>
                <a:graphic xmlns:a="http://schemas.openxmlformats.org/drawingml/2006/main">
                  <a:graphicData uri="http://schemas.microsoft.com/office/word/2010/wordprocessingShape">
                    <wps:wsp>
                      <wps:cNvSpPr txBox="1"/>
                      <wps:spPr>
                        <a:xfrm>
                          <a:off x="0" y="0"/>
                          <a:ext cx="6565900" cy="486327"/>
                        </a:xfrm>
                        <a:prstGeom prst="rect">
                          <a:avLst/>
                        </a:prstGeom>
                        <a:solidFill>
                          <a:schemeClr val="lt1"/>
                        </a:solidFill>
                        <a:ln w="6350">
                          <a:solidFill>
                            <a:schemeClr val="bg1"/>
                          </a:solidFill>
                        </a:ln>
                      </wps:spPr>
                      <wps:txbx>
                        <w:txbxContent>
                          <w:p w14:paraId="7F1E0002" w14:textId="77777777" w:rsidR="00847956" w:rsidRDefault="00847956" w:rsidP="00847956">
                            <w:pPr>
                              <w:spacing w:before="129"/>
                              <w:jc w:val="center"/>
                              <w:rPr>
                                <w:rFonts w:ascii="Arial"/>
                                <w:b/>
                                <w:sz w:val="20"/>
                              </w:rPr>
                            </w:pPr>
                            <w:r>
                              <w:rPr>
                                <w:rFonts w:ascii="Arial" w:hint="eastAsia"/>
                                <w:b/>
                                <w:color w:val="00ACA1"/>
                                <w:w w:val="95"/>
                                <w:sz w:val="20"/>
                              </w:rPr>
                              <w:t>表</w:t>
                            </w:r>
                            <w:r>
                              <w:rPr>
                                <w:rFonts w:ascii="Arial"/>
                                <w:b/>
                                <w:color w:val="00ACA1"/>
                                <w:w w:val="95"/>
                                <w:sz w:val="20"/>
                              </w:rPr>
                              <w:t>[3.1]</w:t>
                            </w:r>
                            <w:r>
                              <w:rPr>
                                <w:rFonts w:ascii="Arial"/>
                                <w:b/>
                                <w:color w:val="00ACA1"/>
                                <w:spacing w:val="15"/>
                                <w:w w:val="95"/>
                                <w:sz w:val="20"/>
                              </w:rPr>
                              <w:t xml:space="preserve"> </w:t>
                            </w:r>
                            <w:proofErr w:type="spellStart"/>
                            <w:r w:rsidRPr="003C2F2B">
                              <w:rPr>
                                <w:rFonts w:ascii="Arial" w:hint="eastAsia"/>
                                <w:b/>
                                <w:color w:val="000000" w:themeColor="text1"/>
                                <w:spacing w:val="15"/>
                                <w:w w:val="95"/>
                                <w:sz w:val="20"/>
                              </w:rPr>
                              <w:t>必要要件の概要</w:t>
                            </w:r>
                            <w:proofErr w:type="spellEnd"/>
                          </w:p>
                          <w:p w14:paraId="3CF34DD5" w14:textId="77777777" w:rsidR="00847956" w:rsidRDefault="00847956" w:rsidP="0084795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3DB0CB" id="テキスト ボックス 22" o:spid="_x0000_s1039" type="#_x0000_t202" style="position:absolute;left:0;text-align:left;margin-left:61pt;margin-top:1.5pt;width:517pt;height:38.3pt;z-index:25151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" fillcolor="white [3201]" strokecolor="white [3212]" strokeweight=".5pt">
                <v:textbox>
                  <w:txbxContent>
                    <w:p w14:paraId="7F1E0002" w14:textId="77777777" w:rsidR="00847956" w:rsidRDefault="00847956" w:rsidP="00847956">
                      <w:pPr>
                        <w:spacing w:before="129"/>
                        <w:jc w:val="center"/>
                        <w:rPr>
                          <w:rFonts w:ascii="Arial"/>
                          <w:b/>
                          <w:sz w:val="20"/>
                        </w:rPr>
                      </w:pPr>
                      <w:r>
                        <w:rPr>
                          <w:rFonts w:ascii="Arial" w:hint="eastAsia"/>
                          <w:b/>
                          <w:color w:val="00ACA1"/>
                          <w:w w:val="95"/>
                          <w:sz w:val="20"/>
                        </w:rPr>
                        <w:t>表</w:t>
                      </w:r>
                      <w:r>
                        <w:rPr>
                          <w:rFonts w:ascii="Arial"/>
                          <w:b/>
                          <w:color w:val="00ACA1"/>
                          <w:w w:val="95"/>
                          <w:sz w:val="20"/>
                        </w:rPr>
                        <w:t>[3.1]</w:t>
                      </w:r>
                      <w:r>
                        <w:rPr>
                          <w:rFonts w:ascii="Arial"/>
                          <w:b/>
                          <w:color w:val="00ACA1"/>
                          <w:spacing w:val="15"/>
                          <w:w w:val="95"/>
                          <w:sz w:val="20"/>
                        </w:rPr>
                        <w:t xml:space="preserve"> </w:t>
                      </w:r>
                      <w:proofErr w:type="spellStart"/>
                      <w:r w:rsidRPr="003C2F2B">
                        <w:rPr>
                          <w:rFonts w:ascii="Arial" w:hint="eastAsia"/>
                          <w:b/>
                          <w:color w:val="000000" w:themeColor="text1"/>
                          <w:spacing w:val="15"/>
                          <w:w w:val="95"/>
                          <w:sz w:val="20"/>
                        </w:rPr>
                        <w:t>必要要件の概要</w:t>
                      </w:r>
                      <w:proofErr w:type="spellEnd"/>
                    </w:p>
                    <w:p w14:paraId="3CF34DD5" w14:textId="77777777" w:rsidR="00847956" w:rsidRDefault="00847956" w:rsidP="00847956">
                      <w:pPr>
                        <w:jc w:val="center"/>
                      </w:pPr>
                    </w:p>
                  </w:txbxContent>
                </v:textbox>
                <w10:wrap type="topAndBottom"/>
              </v:shape>
            </w:pict>
          </mc:Fallback>
        </mc:AlternateContent>
      </w:r>
      <w:r w:rsidR="00F23C61">
        <w:rPr>
          <w:w w:val="96"/>
          <w:lang w:eastAsia="ja-JP"/>
        </w:rPr>
        <w:br w:type="column"/>
      </w:r>
      <w:r w:rsidR="00882BB3" w:rsidRPr="00882BB3">
        <w:rPr>
          <w:rFonts w:asciiTheme="minorEastAsia" w:eastAsiaTheme="minorEastAsia" w:hAnsiTheme="minorEastAsia" w:hint="eastAsia"/>
          <w:color w:val="00ACA1"/>
          <w:w w:val="96"/>
          <w:lang w:eastAsia="ja-JP"/>
        </w:rPr>
        <w:t>3.3</w:t>
      </w:r>
      <w:r w:rsidR="00882BB3" w:rsidRPr="00882BB3">
        <w:rPr>
          <w:rFonts w:ascii="ＭＳ 明朝" w:eastAsia="ＭＳ 明朝" w:hAnsi="ＭＳ 明朝" w:cs="ＭＳ 明朝" w:hint="eastAsia"/>
          <w:color w:val="00ACA1"/>
          <w:w w:val="96"/>
          <w:lang w:eastAsia="ja-JP"/>
        </w:rPr>
        <w:t xml:space="preserve">　</w:t>
      </w:r>
      <w:r w:rsidR="00882BB3" w:rsidRPr="00882BB3">
        <w:rPr>
          <w:rFonts w:ascii="ＭＳ 明朝" w:eastAsia="ＭＳ 明朝" w:hAnsi="ＭＳ 明朝" w:cs="ＭＳ 明朝" w:hint="eastAsia"/>
          <w:color w:val="00ACA1"/>
          <w:w w:val="95"/>
          <w:lang w:eastAsia="ja-JP"/>
        </w:rPr>
        <w:t>製品規格要求事項の概要</w:t>
      </w:r>
    </w:p>
    <w:p w14:paraId="11B1FAD4" w14:textId="77777777" w:rsidR="0055291C" w:rsidRDefault="00926C31" w:rsidP="00FF4BF6">
      <w:pPr>
        <w:pStyle w:val="a3"/>
        <w:spacing w:before="53" w:line="309" w:lineRule="auto"/>
        <w:ind w:left="709" w:right="639" w:firstLineChars="100" w:firstLine="190"/>
        <w:jc w:val="both"/>
        <w:rPr>
          <w:rFonts w:ascii="ＭＳ ゴシック" w:eastAsia="ＭＳ ゴシック" w:hAnsi="ＭＳ ゴシック" w:cs="ＭＳ ゴシック"/>
          <w:color w:val="545456"/>
          <w:lang w:eastAsia="ja-JP"/>
        </w:rPr>
      </w:pPr>
      <w:r w:rsidRPr="00926C31">
        <w:rPr>
          <w:rFonts w:ascii="ＭＳ ゴシック" w:eastAsia="ＭＳ ゴシック" w:hAnsi="ＭＳ ゴシック" w:cs="ＭＳ ゴシック" w:hint="eastAsia"/>
          <w:color w:val="545456"/>
          <w:lang w:eastAsia="ja-JP"/>
        </w:rPr>
        <w:t>表</w:t>
      </w:r>
      <w:r w:rsidRPr="00926C31">
        <w:rPr>
          <w:color w:val="545456"/>
          <w:lang w:eastAsia="ja-JP"/>
        </w:rPr>
        <w:t xml:space="preserve"> 3.1 </w:t>
      </w:r>
      <w:r w:rsidRPr="00926C31">
        <w:rPr>
          <w:rFonts w:ascii="ＭＳ ゴシック" w:eastAsia="ＭＳ ゴシック" w:hAnsi="ＭＳ ゴシック" w:cs="ＭＳ ゴシック" w:hint="eastAsia"/>
          <w:color w:val="545456"/>
          <w:lang w:eastAsia="ja-JP"/>
        </w:rPr>
        <w:t>に製品規格の全</w:t>
      </w:r>
      <w:r w:rsidR="00FF4BF6">
        <w:rPr>
          <w:rFonts w:ascii="ＭＳ ゴシック" w:eastAsia="ＭＳ ゴシック" w:hAnsi="ＭＳ ゴシック" w:cs="ＭＳ ゴシック" w:hint="eastAsia"/>
          <w:color w:val="545456"/>
          <w:lang w:eastAsia="ja-JP"/>
        </w:rPr>
        <w:t>必要</w:t>
      </w:r>
      <w:r w:rsidRPr="00926C31">
        <w:rPr>
          <w:rFonts w:ascii="ＭＳ ゴシック" w:eastAsia="ＭＳ ゴシック" w:hAnsi="ＭＳ ゴシック" w:cs="ＭＳ ゴシック" w:hint="eastAsia"/>
          <w:color w:val="545456"/>
          <w:lang w:eastAsia="ja-JP"/>
        </w:rPr>
        <w:t>要件の概要を示します。定義とガイダンスは図の左</w:t>
      </w:r>
      <w:r w:rsidR="00F1406C">
        <w:rPr>
          <w:rFonts w:ascii="ＭＳ ゴシック" w:eastAsia="ＭＳ ゴシック" w:hAnsi="ＭＳ ゴシック" w:cs="ＭＳ ゴシック" w:hint="eastAsia"/>
          <w:color w:val="545456"/>
          <w:lang w:eastAsia="ja-JP"/>
        </w:rPr>
        <w:t>に示された</w:t>
      </w:r>
      <w:r w:rsidRPr="00926C31">
        <w:rPr>
          <w:rFonts w:ascii="ＭＳ ゴシック" w:eastAsia="ＭＳ ゴシック" w:hAnsi="ＭＳ ゴシック" w:cs="ＭＳ ゴシック" w:hint="eastAsia"/>
          <w:color w:val="545456"/>
          <w:lang w:eastAsia="ja-JP"/>
        </w:rPr>
        <w:t>章に記載されています</w:t>
      </w:r>
      <w:r w:rsidR="00847956">
        <w:rPr>
          <w:rFonts w:ascii="ＭＳ ゴシック" w:eastAsia="ＭＳ ゴシック" w:hAnsi="ＭＳ ゴシック" w:cs="ＭＳ ゴシック" w:hint="eastAsia"/>
          <w:color w:val="545456"/>
          <w:lang w:eastAsia="ja-JP"/>
        </w:rPr>
        <w:t>。</w:t>
      </w:r>
    </w:p>
    <w:p w14:paraId="5B110CE7" w14:textId="77777777" w:rsidR="00847956" w:rsidRDefault="00847956" w:rsidP="00847956">
      <w:pPr>
        <w:pStyle w:val="a3"/>
        <w:spacing w:before="53" w:line="309" w:lineRule="auto"/>
        <w:ind w:right="639"/>
        <w:jc w:val="both"/>
        <w:rPr>
          <w:rFonts w:ascii="ＭＳ ゴシック" w:eastAsia="ＭＳ ゴシック" w:hAnsi="ＭＳ ゴシック" w:cs="ＭＳ ゴシック"/>
          <w:color w:val="545456"/>
          <w:lang w:eastAsia="ja-JP"/>
        </w:rPr>
      </w:pPr>
    </w:p>
    <w:p w14:paraId="1383F1CE" w14:textId="77777777" w:rsidR="00847956" w:rsidRDefault="00847956" w:rsidP="00847956">
      <w:pPr>
        <w:pStyle w:val="a3"/>
        <w:spacing w:before="53" w:line="309" w:lineRule="auto"/>
        <w:ind w:right="639"/>
        <w:jc w:val="both"/>
        <w:rPr>
          <w:rFonts w:ascii="ＭＳ ゴシック" w:eastAsia="ＭＳ ゴシック" w:hAnsi="ＭＳ ゴシック" w:cs="ＭＳ ゴシック"/>
          <w:color w:val="545456"/>
          <w:lang w:eastAsia="ja-JP"/>
        </w:rPr>
      </w:pPr>
    </w:p>
    <w:p w14:paraId="1C4072FC" w14:textId="2C5FC228" w:rsidR="00456EB4" w:rsidRPr="00776ED9" w:rsidRDefault="00456EB4" w:rsidP="00847956">
      <w:pPr>
        <w:pStyle w:val="a3"/>
        <w:spacing w:before="53" w:line="309" w:lineRule="auto"/>
        <w:ind w:right="639"/>
        <w:jc w:val="both"/>
        <w:rPr>
          <w:rFonts w:ascii="ＭＳ ゴシック" w:eastAsia="ＭＳ ゴシック" w:hAnsi="ＭＳ ゴシック" w:cs="ＭＳ ゴシック"/>
          <w:color w:val="545456"/>
          <w:lang w:eastAsia="ja-JP"/>
        </w:rPr>
        <w:sectPr w:rsidR="00456EB4" w:rsidRPr="00776ED9">
          <w:type w:val="continuous"/>
          <w:pgSz w:w="12240" w:h="15840"/>
          <w:pgMar w:top="740" w:right="0" w:bottom="280" w:left="0" w:header="0" w:footer="859" w:gutter="0"/>
          <w:cols w:num="2" w:space="720" w:equalWidth="0">
            <w:col w:w="5891" w:space="40"/>
            <w:col w:w="6309"/>
          </w:cols>
        </w:sectPr>
      </w:pPr>
      <w:r>
        <w:rPr>
          <w:rFonts w:eastAsiaTheme="minorEastAsia"/>
          <w:noProof/>
          <w:lang w:eastAsia="ja-JP"/>
        </w:rPr>
        <w:lastRenderedPageBreak/>
        <w:drawing>
          <wp:anchor distT="0" distB="0" distL="114300" distR="114300" simplePos="0" relativeHeight="251441664" behindDoc="1" locked="0" layoutInCell="1" allowOverlap="1" wp14:anchorId="2AD0F196" wp14:editId="0B56D0CD">
            <wp:simplePos x="0" y="0"/>
            <wp:positionH relativeFrom="column">
              <wp:posOffset>579755</wp:posOffset>
            </wp:positionH>
            <wp:positionV relativeFrom="paragraph">
              <wp:posOffset>114300</wp:posOffset>
            </wp:positionV>
            <wp:extent cx="6644640" cy="9196705"/>
            <wp:effectExtent l="0" t="0" r="3810" b="4445"/>
            <wp:wrapTight wrapText="bothSides">
              <wp:wrapPolygon edited="0">
                <wp:start x="8174" y="89"/>
                <wp:lineTo x="0" y="492"/>
                <wp:lineTo x="0" y="21566"/>
                <wp:lineTo x="21550" y="21566"/>
                <wp:lineTo x="21550" y="537"/>
                <wp:lineTo x="13872" y="89"/>
                <wp:lineTo x="8174" y="89"/>
              </wp:wrapPolygon>
            </wp:wrapTight>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644640" cy="9196705"/>
                    </a:xfrm>
                    <a:prstGeom prst="rect">
                      <a:avLst/>
                    </a:prstGeom>
                    <a:noFill/>
                    <a:ln>
                      <a:noFill/>
                    </a:ln>
                  </pic:spPr>
                </pic:pic>
              </a:graphicData>
            </a:graphic>
            <wp14:sizeRelV relativeFrom="margin">
              <wp14:pctHeight>0</wp14:pctHeight>
            </wp14:sizeRelV>
          </wp:anchor>
        </w:drawing>
      </w:r>
    </w:p>
    <w:p w14:paraId="4B3C320E" w14:textId="7571D5F2" w:rsidR="0055291C" w:rsidRPr="00776ED9" w:rsidRDefault="0055291C">
      <w:pPr>
        <w:spacing w:line="240" w:lineRule="exact"/>
        <w:jc w:val="both"/>
        <w:rPr>
          <w:rFonts w:eastAsiaTheme="minorEastAsia"/>
          <w:sz w:val="19"/>
          <w:lang w:eastAsia="ja-JP"/>
        </w:rPr>
        <w:sectPr w:rsidR="0055291C" w:rsidRPr="00776ED9">
          <w:type w:val="continuous"/>
          <w:pgSz w:w="12240" w:h="15840"/>
          <w:pgMar w:top="740" w:right="0" w:bottom="280" w:left="0" w:header="0" w:footer="859" w:gutter="0"/>
          <w:cols w:num="2" w:space="720" w:equalWidth="0">
            <w:col w:w="2823" w:space="40"/>
            <w:col w:w="9377"/>
          </w:cols>
        </w:sectPr>
      </w:pPr>
    </w:p>
    <w:p w14:paraId="0F8E8EC2" w14:textId="2BAD8E62" w:rsidR="0055291C" w:rsidRPr="00456EB4" w:rsidRDefault="00000000" w:rsidP="00776ED9">
      <w:pPr>
        <w:spacing w:before="1"/>
        <w:rPr>
          <w:rFonts w:ascii="Arial"/>
          <w:i/>
          <w:sz w:val="19"/>
          <w:lang w:eastAsia="ja-JP"/>
        </w:rPr>
        <w:sectPr w:rsidR="0055291C" w:rsidRPr="00456EB4">
          <w:headerReference w:type="default" r:id="rId86"/>
          <w:type w:val="continuous"/>
          <w:pgSz w:w="12240" w:h="15840"/>
          <w:pgMar w:top="740" w:right="0" w:bottom="280" w:left="0" w:header="0" w:footer="859" w:gutter="0"/>
          <w:cols w:num="2" w:space="720" w:equalWidth="0">
            <w:col w:w="3121" w:space="40"/>
            <w:col w:w="9079"/>
          </w:cols>
        </w:sectPr>
      </w:pPr>
      <w:r>
        <w:pict w14:anchorId="6587FD34">
          <v:shape id="docshape330" o:spid="_x0000_s3464" style="position:absolute;margin-left:580.75pt;margin-top:-47.75pt;width:31.3pt;height:285.85pt;z-index:251557376;mso-position-horizontal-relative:page" coordorigin="11615,-955" coordsize="626,5717" path="m12240,-955r-625,l11615,4535r3,131l11643,4733r67,25l11842,4761r398,l12240,-955xe" fillcolor="#7f3f98" stroked="f">
            <v:path arrowok="t"/>
            <w10:wrap anchorx="page"/>
          </v:shape>
        </w:pict>
      </w:r>
      <w:r>
        <w:pict w14:anchorId="2D09A2B6">
          <v:shape id="docshape331" o:spid="_x0000_s3463" type="#_x0000_t202" style="position:absolute;margin-left:585.65pt;margin-top:1.8pt;width:17.7pt;height:204.65pt;z-index:251558400;mso-position-horizontal-relative:page" filled="f" stroked="f">
            <v:textbox style="layout-flow:vertical;mso-layout-flow-alt:bottom-to-top;mso-next-textbox:#docshape331" inset="0,0,0,0">
              <w:txbxContent>
                <w:p w14:paraId="403E0A80" w14:textId="77777777" w:rsidR="0055291C" w:rsidRDefault="00F23C61">
                  <w:pPr>
                    <w:tabs>
                      <w:tab w:val="left" w:pos="4072"/>
                    </w:tabs>
                    <w:spacing w:before="18"/>
                    <w:ind w:left="20"/>
                    <w:rPr>
                      <w:rFonts w:ascii="Arial"/>
                      <w:b/>
                      <w:i/>
                      <w:sz w:val="28"/>
                    </w:rPr>
                  </w:pPr>
                  <w:r>
                    <w:rPr>
                      <w:rFonts w:ascii="Arial"/>
                      <w:b/>
                      <w:i/>
                      <w:color w:val="F3F4F4"/>
                      <w:sz w:val="28"/>
                      <w:shd w:val="clear" w:color="auto" w:fill="7F3F98"/>
                    </w:rPr>
                    <w:t>r</w:t>
                  </w:r>
                  <w:r>
                    <w:rPr>
                      <w:rFonts w:ascii="Arial"/>
                      <w:b/>
                      <w:i/>
                      <w:color w:val="F3F4F4"/>
                      <w:spacing w:val="3"/>
                      <w:sz w:val="28"/>
                      <w:shd w:val="clear" w:color="auto" w:fill="7F3F98"/>
                    </w:rPr>
                    <w:t xml:space="preserve"> </w:t>
                  </w:r>
                  <w:r>
                    <w:rPr>
                      <w:rFonts w:ascii="Arial"/>
                      <w:b/>
                      <w:i/>
                      <w:color w:val="F3F4F4"/>
                      <w:sz w:val="28"/>
                      <w:shd w:val="clear" w:color="auto" w:fill="7F3F98"/>
                    </w:rPr>
                    <w:t>e</w:t>
                  </w:r>
                  <w:r>
                    <w:rPr>
                      <w:rFonts w:ascii="Arial"/>
                      <w:b/>
                      <w:i/>
                      <w:color w:val="F3F4F4"/>
                      <w:spacing w:val="85"/>
                      <w:sz w:val="28"/>
                      <w:shd w:val="clear" w:color="auto" w:fill="7F3F98"/>
                    </w:rPr>
                    <w:t xml:space="preserve"> </w:t>
                  </w:r>
                  <w:r>
                    <w:rPr>
                      <w:rFonts w:ascii="Arial"/>
                      <w:b/>
                      <w:i/>
                      <w:color w:val="F3F4F4"/>
                      <w:sz w:val="28"/>
                      <w:shd w:val="clear" w:color="auto" w:fill="7F3F98"/>
                    </w:rPr>
                    <w:t>q</w:t>
                  </w:r>
                  <w:r>
                    <w:rPr>
                      <w:rFonts w:ascii="Arial"/>
                      <w:b/>
                      <w:i/>
                      <w:color w:val="F3F4F4"/>
                      <w:spacing w:val="86"/>
                      <w:sz w:val="28"/>
                      <w:shd w:val="clear" w:color="auto" w:fill="7F3F98"/>
                    </w:rPr>
                    <w:t xml:space="preserve"> </w:t>
                  </w:r>
                  <w:r>
                    <w:rPr>
                      <w:rFonts w:ascii="Arial"/>
                      <w:b/>
                      <w:i/>
                      <w:color w:val="F3F4F4"/>
                      <w:sz w:val="28"/>
                      <w:shd w:val="clear" w:color="auto" w:fill="7F3F98"/>
                    </w:rPr>
                    <w:t>u</w:t>
                  </w:r>
                  <w:r>
                    <w:rPr>
                      <w:rFonts w:ascii="Arial"/>
                      <w:b/>
                      <w:i/>
                      <w:color w:val="F3F4F4"/>
                      <w:spacing w:val="86"/>
                      <w:sz w:val="28"/>
                      <w:shd w:val="clear" w:color="auto" w:fill="7F3F98"/>
                    </w:rPr>
                    <w:t xml:space="preserve"> </w:t>
                  </w:r>
                  <w:proofErr w:type="spellStart"/>
                  <w:r>
                    <w:rPr>
                      <w:rFonts w:ascii="Arial"/>
                      <w:b/>
                      <w:i/>
                      <w:color w:val="F3F4F4"/>
                      <w:sz w:val="28"/>
                      <w:shd w:val="clear" w:color="auto" w:fill="7F3F98"/>
                    </w:rPr>
                    <w:t>i</w:t>
                  </w:r>
                  <w:proofErr w:type="spellEnd"/>
                  <w:r>
                    <w:rPr>
                      <w:rFonts w:ascii="Arial"/>
                      <w:b/>
                      <w:i/>
                      <w:color w:val="F3F4F4"/>
                      <w:spacing w:val="86"/>
                      <w:sz w:val="28"/>
                      <w:shd w:val="clear" w:color="auto" w:fill="7F3F98"/>
                    </w:rPr>
                    <w:t xml:space="preserve"> </w:t>
                  </w:r>
                  <w:r>
                    <w:rPr>
                      <w:rFonts w:ascii="Arial"/>
                      <w:b/>
                      <w:i/>
                      <w:color w:val="F3F4F4"/>
                      <w:sz w:val="28"/>
                      <w:shd w:val="clear" w:color="auto" w:fill="7F3F98"/>
                    </w:rPr>
                    <w:t>r</w:t>
                  </w:r>
                  <w:r>
                    <w:rPr>
                      <w:rFonts w:ascii="Arial"/>
                      <w:b/>
                      <w:i/>
                      <w:color w:val="F3F4F4"/>
                      <w:spacing w:val="80"/>
                      <w:sz w:val="28"/>
                      <w:shd w:val="clear" w:color="auto" w:fill="7F3F98"/>
                    </w:rPr>
                    <w:t xml:space="preserve"> </w:t>
                  </w:r>
                  <w:r>
                    <w:rPr>
                      <w:rFonts w:ascii="Arial"/>
                      <w:b/>
                      <w:i/>
                      <w:color w:val="F3F4F4"/>
                      <w:sz w:val="28"/>
                      <w:shd w:val="clear" w:color="auto" w:fill="7F3F98"/>
                    </w:rPr>
                    <w:t>e</w:t>
                  </w:r>
                  <w:r>
                    <w:rPr>
                      <w:rFonts w:ascii="Arial"/>
                      <w:b/>
                      <w:i/>
                      <w:color w:val="F3F4F4"/>
                      <w:spacing w:val="86"/>
                      <w:sz w:val="28"/>
                      <w:shd w:val="clear" w:color="auto" w:fill="7F3F98"/>
                    </w:rPr>
                    <w:t xml:space="preserve"> </w:t>
                  </w:r>
                  <w:r>
                    <w:rPr>
                      <w:rFonts w:ascii="Arial"/>
                      <w:b/>
                      <w:i/>
                      <w:color w:val="F3F4F4"/>
                      <w:sz w:val="28"/>
                      <w:shd w:val="clear" w:color="auto" w:fill="7F3F98"/>
                    </w:rPr>
                    <w:t>m</w:t>
                  </w:r>
                  <w:r>
                    <w:rPr>
                      <w:rFonts w:ascii="Arial"/>
                      <w:b/>
                      <w:i/>
                      <w:color w:val="F3F4F4"/>
                      <w:spacing w:val="86"/>
                      <w:sz w:val="28"/>
                      <w:shd w:val="clear" w:color="auto" w:fill="7F3F98"/>
                    </w:rPr>
                    <w:t xml:space="preserve"> </w:t>
                  </w:r>
                  <w:r>
                    <w:rPr>
                      <w:rFonts w:ascii="Arial"/>
                      <w:b/>
                      <w:i/>
                      <w:color w:val="F3F4F4"/>
                      <w:sz w:val="28"/>
                      <w:shd w:val="clear" w:color="auto" w:fill="7F3F98"/>
                    </w:rPr>
                    <w:t>e</w:t>
                  </w:r>
                  <w:r>
                    <w:rPr>
                      <w:rFonts w:ascii="Arial"/>
                      <w:b/>
                      <w:i/>
                      <w:color w:val="F3F4F4"/>
                      <w:spacing w:val="86"/>
                      <w:sz w:val="28"/>
                      <w:shd w:val="clear" w:color="auto" w:fill="7F3F98"/>
                    </w:rPr>
                    <w:t xml:space="preserve"> </w:t>
                  </w:r>
                  <w:r>
                    <w:rPr>
                      <w:rFonts w:ascii="Arial"/>
                      <w:b/>
                      <w:i/>
                      <w:color w:val="F3F4F4"/>
                      <w:sz w:val="28"/>
                      <w:shd w:val="clear" w:color="auto" w:fill="7F3F98"/>
                    </w:rPr>
                    <w:t>n</w:t>
                  </w:r>
                  <w:r>
                    <w:rPr>
                      <w:rFonts w:ascii="Arial"/>
                      <w:b/>
                      <w:i/>
                      <w:color w:val="F3F4F4"/>
                      <w:spacing w:val="85"/>
                      <w:sz w:val="28"/>
                      <w:shd w:val="clear" w:color="auto" w:fill="7F3F98"/>
                    </w:rPr>
                    <w:t xml:space="preserve"> </w:t>
                  </w:r>
                  <w:r>
                    <w:rPr>
                      <w:rFonts w:ascii="Arial"/>
                      <w:b/>
                      <w:i/>
                      <w:color w:val="F3F4F4"/>
                      <w:w w:val="105"/>
                      <w:sz w:val="28"/>
                      <w:shd w:val="clear" w:color="auto" w:fill="7F3F98"/>
                    </w:rPr>
                    <w:t xml:space="preserve">t </w:t>
                  </w:r>
                  <w:r>
                    <w:rPr>
                      <w:rFonts w:ascii="Arial"/>
                      <w:b/>
                      <w:i/>
                      <w:color w:val="F3F4F4"/>
                      <w:spacing w:val="1"/>
                      <w:w w:val="105"/>
                      <w:sz w:val="28"/>
                      <w:shd w:val="clear" w:color="auto" w:fill="7F3F98"/>
                    </w:rPr>
                    <w:t xml:space="preserve"> </w:t>
                  </w:r>
                  <w:r>
                    <w:rPr>
                      <w:rFonts w:ascii="Arial"/>
                      <w:b/>
                      <w:i/>
                      <w:color w:val="F3F4F4"/>
                      <w:sz w:val="28"/>
                      <w:shd w:val="clear" w:color="auto" w:fill="7F3F98"/>
                    </w:rPr>
                    <w:t>s</w:t>
                  </w:r>
                  <w:r>
                    <w:rPr>
                      <w:rFonts w:ascii="Arial"/>
                      <w:b/>
                      <w:i/>
                      <w:color w:val="F3F4F4"/>
                      <w:sz w:val="28"/>
                      <w:shd w:val="clear" w:color="auto" w:fill="7F3F98"/>
                    </w:rPr>
                    <w:tab/>
                  </w:r>
                </w:p>
              </w:txbxContent>
            </v:textbox>
            <w10:wrap anchorx="page"/>
          </v:shape>
        </w:pict>
      </w:r>
    </w:p>
    <w:p w14:paraId="5493891D" w14:textId="78889595" w:rsidR="0055291C" w:rsidRDefault="00776ED9">
      <w:pPr>
        <w:rPr>
          <w:sz w:val="19"/>
          <w:lang w:eastAsia="ja-JP"/>
        </w:rPr>
        <w:sectPr w:rsidR="0055291C">
          <w:headerReference w:type="even" r:id="rId87"/>
          <w:footerReference w:type="even" r:id="rId88"/>
          <w:footerReference w:type="default" r:id="rId89"/>
          <w:pgSz w:w="12240" w:h="15840"/>
          <w:pgMar w:top="620" w:right="0" w:bottom="1040" w:left="0" w:header="0" w:footer="859" w:gutter="0"/>
          <w:pgNumType w:start="16"/>
          <w:cols w:space="720"/>
        </w:sectPr>
      </w:pPr>
      <w:r>
        <w:rPr>
          <w:noProof/>
          <w:sz w:val="19"/>
          <w:lang w:eastAsia="ja-JP"/>
        </w:rPr>
        <w:lastRenderedPageBreak/>
        <w:drawing>
          <wp:anchor distT="0" distB="0" distL="114300" distR="114300" simplePos="0" relativeHeight="251442688" behindDoc="0" locked="0" layoutInCell="1" allowOverlap="1" wp14:anchorId="5D8AD239" wp14:editId="1C94ED7D">
            <wp:simplePos x="0" y="0"/>
            <wp:positionH relativeFrom="column">
              <wp:posOffset>450850</wp:posOffset>
            </wp:positionH>
            <wp:positionV relativeFrom="paragraph">
              <wp:posOffset>0</wp:posOffset>
            </wp:positionV>
            <wp:extent cx="6535420" cy="9122410"/>
            <wp:effectExtent l="0" t="0" r="0" b="2540"/>
            <wp:wrapTopAndBottom/>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5"/>
                    <pic:cNvPicPr>
                      <a:picLocks noChangeAspect="1" noChangeArrowheads="1"/>
                    </pic:cNvPicPr>
                  </pic:nvPicPr>
                  <pic:blipFill rotWithShape="1">
                    <a:blip r:embed="rId90">
                      <a:extLst>
                        <a:ext uri="{28A0092B-C50C-407E-A947-70E740481C1C}">
                          <a14:useLocalDpi xmlns:a14="http://schemas.microsoft.com/office/drawing/2010/main" val="0"/>
                        </a:ext>
                      </a:extLst>
                    </a:blip>
                    <a:srcRect b="2688"/>
                    <a:stretch/>
                  </pic:blipFill>
                  <pic:spPr bwMode="auto">
                    <a:xfrm>
                      <a:off x="0" y="0"/>
                      <a:ext cx="6535420" cy="912241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0EC7819" w14:textId="6AB31702" w:rsidR="0055291C" w:rsidRPr="00776ED9" w:rsidRDefault="0055291C" w:rsidP="00776ED9">
      <w:pPr>
        <w:spacing w:before="1"/>
        <w:rPr>
          <w:rFonts w:ascii="Arial"/>
          <w:i/>
          <w:sz w:val="19"/>
          <w:lang w:eastAsia="ja-JP"/>
        </w:rPr>
        <w:sectPr w:rsidR="0055291C" w:rsidRPr="00776ED9">
          <w:headerReference w:type="default" r:id="rId91"/>
          <w:pgSz w:w="12240" w:h="15840"/>
          <w:pgMar w:top="0" w:right="0" w:bottom="1040" w:left="0" w:header="0" w:footer="859" w:gutter="0"/>
          <w:cols w:space="720"/>
        </w:sectPr>
      </w:pPr>
    </w:p>
    <w:p w14:paraId="126351BD" w14:textId="7EE37042" w:rsidR="0055291C" w:rsidRDefault="00BA4126">
      <w:pPr>
        <w:rPr>
          <w:lang w:eastAsia="ja-JP"/>
        </w:rPr>
        <w:sectPr w:rsidR="0055291C">
          <w:type w:val="continuous"/>
          <w:pgSz w:w="12240" w:h="15840"/>
          <w:pgMar w:top="740" w:right="0" w:bottom="280" w:left="0" w:header="0" w:footer="859" w:gutter="0"/>
          <w:cols w:num="2" w:space="720" w:equalWidth="0">
            <w:col w:w="3301" w:space="40"/>
            <w:col w:w="8899"/>
          </w:cols>
        </w:sectPr>
      </w:pPr>
      <w:r>
        <w:rPr>
          <w:noProof/>
          <w:lang w:eastAsia="ja-JP"/>
        </w:rPr>
        <w:drawing>
          <wp:anchor distT="0" distB="0" distL="114300" distR="114300" simplePos="0" relativeHeight="251443712" behindDoc="0" locked="0" layoutInCell="1" allowOverlap="1" wp14:anchorId="640E8DE8" wp14:editId="1867A3E9">
            <wp:simplePos x="0" y="0"/>
            <wp:positionH relativeFrom="column">
              <wp:posOffset>533400</wp:posOffset>
            </wp:positionH>
            <wp:positionV relativeFrom="paragraph">
              <wp:posOffset>329565</wp:posOffset>
            </wp:positionV>
            <wp:extent cx="6645275" cy="9455785"/>
            <wp:effectExtent l="0" t="0" r="3175"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645275" cy="9455785"/>
                    </a:xfrm>
                    <a:prstGeom prst="rect">
                      <a:avLst/>
                    </a:prstGeom>
                    <a:noFill/>
                    <a:ln>
                      <a:noFill/>
                    </a:ln>
                  </pic:spPr>
                </pic:pic>
              </a:graphicData>
            </a:graphic>
          </wp:anchor>
        </w:drawing>
      </w:r>
    </w:p>
    <w:p w14:paraId="07437A68" w14:textId="5B7C6D26" w:rsidR="0055291C" w:rsidRPr="00A42C27" w:rsidRDefault="00000000" w:rsidP="00A42C27">
      <w:pPr>
        <w:pStyle w:val="1"/>
        <w:spacing w:before="216" w:line="180" w:lineRule="auto"/>
        <w:ind w:right="191"/>
        <w:rPr>
          <w:rFonts w:ascii="ＭＳ 明朝" w:eastAsia="ＭＳ 明朝" w:hAnsi="ＭＳ 明朝" w:cs="ＭＳ 明朝"/>
          <w:color w:val="545456"/>
          <w:w w:val="95"/>
          <w:sz w:val="36"/>
          <w:szCs w:val="36"/>
          <w:lang w:eastAsia="ja-JP"/>
        </w:rPr>
      </w:pPr>
      <w:r>
        <w:rPr>
          <w:sz w:val="40"/>
          <w:szCs w:val="40"/>
        </w:rPr>
        <w:lastRenderedPageBreak/>
        <w:pict w14:anchorId="681AA536">
          <v:group id="docshapegroup354" o:spid="_x0000_s3437" style="position:absolute;left:0;text-align:left;margin-left:0;margin-top:0;width:612pt;height:11in;z-index:-251590144;mso-position-horizontal-relative:page;mso-position-vertical-relative:page" coordsize="12240,15840">
            <v:shape id="docshape355" o:spid="_x0000_s3440" type="#_x0000_t75" style="position:absolute;width:12240;height:15840">
              <v:imagedata r:id="rId93" o:title=""/>
            </v:shape>
            <v:rect id="docshape356" o:spid="_x0000_s3439" style="position:absolute;width:12240;height:2015" fillcolor="#f3f4f4" stroked="f">
              <v:fill opacity="45875f"/>
            </v:rect>
            <v:shape id="docshape357" o:spid="_x0000_s3438" style="position:absolute;width:2133;height:2015" coordsize="2133,2015" path="m2132,l,,,2014r1892,l2031,2011r71,-27l2129,1913r3,-139l2132,xe" fillcolor="#00aca1" stroked="f">
              <v:path arrowok="t"/>
            </v:shape>
            <w10:wrap anchorx="page" anchory="page"/>
          </v:group>
        </w:pict>
      </w:r>
      <w:r>
        <w:rPr>
          <w:sz w:val="40"/>
          <w:szCs w:val="40"/>
        </w:rPr>
        <w:pict w14:anchorId="6141066C">
          <v:shape id="docshape358" o:spid="_x0000_s3436" type="#_x0000_t202" style="position:absolute;left:0;text-align:left;margin-left:56.4pt;margin-top:13.9pt;width:36.4pt;height:35.9pt;z-index:251559424;mso-position-horizontal-relative:page" filled="f" stroked="f">
            <v:textbox style="mso-next-textbox:#docshape358" inset="0,0,0,0">
              <w:txbxContent>
                <w:p w14:paraId="23E780F3" w14:textId="77777777" w:rsidR="0055291C" w:rsidRDefault="00F23C61">
                  <w:pPr>
                    <w:spacing w:line="717" w:lineRule="exact"/>
                    <w:rPr>
                      <w:rFonts w:ascii="Arial"/>
                      <w:b/>
                      <w:i/>
                      <w:sz w:val="64"/>
                    </w:rPr>
                  </w:pPr>
                  <w:r>
                    <w:rPr>
                      <w:rFonts w:ascii="Arial"/>
                      <w:b/>
                      <w:i/>
                      <w:color w:val="F3F4F4"/>
                      <w:sz w:val="64"/>
                    </w:rPr>
                    <w:t>04</w:t>
                  </w:r>
                </w:p>
              </w:txbxContent>
            </v:textbox>
            <w10:wrap anchorx="page"/>
          </v:shape>
        </w:pict>
      </w:r>
      <w:r w:rsidR="00BE7417" w:rsidRPr="00A42C27">
        <w:rPr>
          <w:rFonts w:ascii="ＭＳ 明朝" w:eastAsia="ＭＳ 明朝" w:hAnsi="ＭＳ 明朝" w:cs="ＭＳ 明朝" w:hint="eastAsia"/>
          <w:color w:val="545456"/>
          <w:w w:val="95"/>
          <w:sz w:val="40"/>
          <w:szCs w:val="40"/>
          <w:lang w:eastAsia="ja-JP"/>
        </w:rPr>
        <w:t>製品ライフサイクル</w:t>
      </w:r>
      <w:r w:rsidR="000446E0" w:rsidRPr="00A42C27">
        <w:rPr>
          <w:rFonts w:ascii="ＭＳ 明朝" w:eastAsia="ＭＳ 明朝" w:hAnsi="ＭＳ 明朝" w:cs="ＭＳ 明朝" w:hint="eastAsia"/>
          <w:color w:val="545456"/>
          <w:w w:val="95"/>
          <w:sz w:val="40"/>
          <w:szCs w:val="40"/>
          <w:lang w:eastAsia="ja-JP"/>
        </w:rPr>
        <w:t>における</w:t>
      </w:r>
      <w:r w:rsidR="00BE7417" w:rsidRPr="00A42C27">
        <w:rPr>
          <w:color w:val="545456"/>
          <w:w w:val="95"/>
          <w:sz w:val="40"/>
          <w:szCs w:val="40"/>
          <w:lang w:eastAsia="ja-JP"/>
        </w:rPr>
        <w:t>GHG</w:t>
      </w:r>
      <w:r w:rsidR="00364979">
        <w:rPr>
          <w:rFonts w:ascii="ＭＳ 明朝" w:eastAsia="ＭＳ 明朝" w:hAnsi="ＭＳ 明朝" w:cs="ＭＳ 明朝" w:hint="eastAsia"/>
          <w:color w:val="545456"/>
          <w:w w:val="95"/>
          <w:sz w:val="40"/>
          <w:szCs w:val="40"/>
          <w:lang w:eastAsia="ja-JP"/>
        </w:rPr>
        <w:t>算出</w:t>
      </w:r>
      <w:r w:rsidR="00BE7417" w:rsidRPr="00A42C27">
        <w:rPr>
          <w:rFonts w:ascii="ＭＳ 明朝" w:eastAsia="ＭＳ 明朝" w:hAnsi="ＭＳ 明朝" w:cs="ＭＳ 明朝" w:hint="eastAsia"/>
          <w:color w:val="545456"/>
          <w:w w:val="95"/>
          <w:sz w:val="40"/>
          <w:szCs w:val="40"/>
          <w:lang w:eastAsia="ja-JP"/>
        </w:rPr>
        <w:t>と報告の原則</w:t>
      </w:r>
    </w:p>
    <w:p w14:paraId="42BBAAD8" w14:textId="77777777" w:rsidR="0055291C" w:rsidRDefault="0055291C">
      <w:pPr>
        <w:spacing w:line="180" w:lineRule="auto"/>
        <w:rPr>
          <w:lang w:eastAsia="ja-JP"/>
        </w:rPr>
        <w:sectPr w:rsidR="0055291C">
          <w:headerReference w:type="even" r:id="rId94"/>
          <w:footerReference w:type="even" r:id="rId95"/>
          <w:pgSz w:w="12240" w:h="15840"/>
          <w:pgMar w:top="820" w:right="0" w:bottom="280" w:left="0" w:header="0" w:footer="0" w:gutter="0"/>
          <w:cols w:space="720"/>
        </w:sectPr>
      </w:pPr>
    </w:p>
    <w:p w14:paraId="3495E9C0" w14:textId="77777777" w:rsidR="0055291C" w:rsidRDefault="0055291C">
      <w:pPr>
        <w:pStyle w:val="a3"/>
        <w:rPr>
          <w:rFonts w:ascii="Arial"/>
          <w:b/>
          <w:i/>
          <w:sz w:val="20"/>
          <w:lang w:eastAsia="ja-JP"/>
        </w:rPr>
      </w:pPr>
    </w:p>
    <w:p w14:paraId="763536F3" w14:textId="77777777" w:rsidR="0055291C" w:rsidRDefault="0055291C">
      <w:pPr>
        <w:pStyle w:val="a3"/>
        <w:rPr>
          <w:rFonts w:ascii="Arial"/>
          <w:b/>
          <w:i/>
          <w:sz w:val="20"/>
          <w:lang w:eastAsia="ja-JP"/>
        </w:rPr>
      </w:pPr>
    </w:p>
    <w:p w14:paraId="7289FE10" w14:textId="77777777" w:rsidR="0055291C" w:rsidRDefault="0055291C">
      <w:pPr>
        <w:pStyle w:val="a3"/>
        <w:rPr>
          <w:rFonts w:ascii="Arial"/>
          <w:b/>
          <w:i/>
          <w:sz w:val="20"/>
          <w:lang w:eastAsia="ja-JP"/>
        </w:rPr>
      </w:pPr>
    </w:p>
    <w:p w14:paraId="32E49A55" w14:textId="77777777" w:rsidR="0055291C" w:rsidRDefault="0055291C">
      <w:pPr>
        <w:pStyle w:val="a3"/>
        <w:rPr>
          <w:rFonts w:ascii="Arial"/>
          <w:b/>
          <w:i/>
          <w:sz w:val="20"/>
          <w:lang w:eastAsia="ja-JP"/>
        </w:rPr>
      </w:pPr>
    </w:p>
    <w:p w14:paraId="070185B9" w14:textId="77777777" w:rsidR="0055291C" w:rsidRDefault="0055291C">
      <w:pPr>
        <w:pStyle w:val="a3"/>
        <w:rPr>
          <w:rFonts w:ascii="Arial"/>
          <w:b/>
          <w:i/>
          <w:sz w:val="20"/>
          <w:lang w:eastAsia="ja-JP"/>
        </w:rPr>
      </w:pPr>
    </w:p>
    <w:p w14:paraId="6073D1B0" w14:textId="77777777" w:rsidR="0055291C" w:rsidRDefault="0055291C">
      <w:pPr>
        <w:pStyle w:val="a3"/>
        <w:rPr>
          <w:rFonts w:ascii="Arial"/>
          <w:b/>
          <w:i/>
          <w:sz w:val="20"/>
          <w:lang w:eastAsia="ja-JP"/>
        </w:rPr>
      </w:pPr>
    </w:p>
    <w:p w14:paraId="564031B7" w14:textId="77777777" w:rsidR="0055291C" w:rsidRDefault="0055291C">
      <w:pPr>
        <w:pStyle w:val="a3"/>
        <w:rPr>
          <w:rFonts w:ascii="Arial"/>
          <w:b/>
          <w:i/>
          <w:sz w:val="20"/>
          <w:lang w:eastAsia="ja-JP"/>
        </w:rPr>
      </w:pPr>
    </w:p>
    <w:p w14:paraId="77C01F15" w14:textId="77777777" w:rsidR="0055291C" w:rsidRDefault="0055291C">
      <w:pPr>
        <w:pStyle w:val="a3"/>
        <w:rPr>
          <w:rFonts w:ascii="Arial"/>
          <w:b/>
          <w:i/>
          <w:sz w:val="20"/>
          <w:lang w:eastAsia="ja-JP"/>
        </w:rPr>
      </w:pPr>
    </w:p>
    <w:p w14:paraId="20754E29" w14:textId="77777777" w:rsidR="0055291C" w:rsidRDefault="0055291C">
      <w:pPr>
        <w:pStyle w:val="a3"/>
        <w:rPr>
          <w:rFonts w:ascii="Arial"/>
          <w:b/>
          <w:i/>
          <w:sz w:val="20"/>
          <w:lang w:eastAsia="ja-JP"/>
        </w:rPr>
      </w:pPr>
    </w:p>
    <w:p w14:paraId="4F44332A" w14:textId="77777777" w:rsidR="0055291C" w:rsidRDefault="0055291C">
      <w:pPr>
        <w:pStyle w:val="a3"/>
        <w:rPr>
          <w:rFonts w:ascii="Arial"/>
          <w:b/>
          <w:i/>
          <w:sz w:val="20"/>
          <w:lang w:eastAsia="ja-JP"/>
        </w:rPr>
      </w:pPr>
    </w:p>
    <w:p w14:paraId="066BBBE9" w14:textId="77777777" w:rsidR="0055291C" w:rsidRDefault="0055291C">
      <w:pPr>
        <w:pStyle w:val="a3"/>
        <w:rPr>
          <w:rFonts w:ascii="Arial"/>
          <w:b/>
          <w:i/>
          <w:sz w:val="20"/>
          <w:lang w:eastAsia="ja-JP"/>
        </w:rPr>
      </w:pPr>
    </w:p>
    <w:p w14:paraId="6E149177" w14:textId="77777777" w:rsidR="0055291C" w:rsidRDefault="0055291C">
      <w:pPr>
        <w:pStyle w:val="a3"/>
        <w:rPr>
          <w:rFonts w:ascii="Arial"/>
          <w:b/>
          <w:i/>
          <w:sz w:val="20"/>
          <w:lang w:eastAsia="ja-JP"/>
        </w:rPr>
      </w:pPr>
    </w:p>
    <w:p w14:paraId="261D686F" w14:textId="77777777" w:rsidR="0055291C" w:rsidRDefault="0055291C">
      <w:pPr>
        <w:pStyle w:val="a3"/>
        <w:rPr>
          <w:rFonts w:ascii="Arial"/>
          <w:b/>
          <w:i/>
          <w:sz w:val="20"/>
          <w:lang w:eastAsia="ja-JP"/>
        </w:rPr>
      </w:pPr>
    </w:p>
    <w:p w14:paraId="513C3ADF" w14:textId="77777777" w:rsidR="0055291C" w:rsidRDefault="0055291C">
      <w:pPr>
        <w:pStyle w:val="a3"/>
        <w:rPr>
          <w:rFonts w:ascii="Arial"/>
          <w:b/>
          <w:i/>
          <w:sz w:val="20"/>
          <w:lang w:eastAsia="ja-JP"/>
        </w:rPr>
      </w:pPr>
    </w:p>
    <w:p w14:paraId="0EAB60F8" w14:textId="77777777" w:rsidR="0055291C" w:rsidRDefault="0055291C">
      <w:pPr>
        <w:pStyle w:val="a3"/>
        <w:rPr>
          <w:rFonts w:ascii="Arial"/>
          <w:b/>
          <w:i/>
          <w:sz w:val="20"/>
          <w:lang w:eastAsia="ja-JP"/>
        </w:rPr>
      </w:pPr>
    </w:p>
    <w:p w14:paraId="5FB3C968" w14:textId="77777777" w:rsidR="0055291C" w:rsidRDefault="0055291C">
      <w:pPr>
        <w:pStyle w:val="a3"/>
        <w:rPr>
          <w:rFonts w:ascii="Arial"/>
          <w:b/>
          <w:i/>
          <w:sz w:val="20"/>
          <w:lang w:eastAsia="ja-JP"/>
        </w:rPr>
      </w:pPr>
    </w:p>
    <w:p w14:paraId="0F428748" w14:textId="77777777" w:rsidR="0055291C" w:rsidRDefault="0055291C">
      <w:pPr>
        <w:pStyle w:val="a3"/>
        <w:rPr>
          <w:rFonts w:ascii="Arial"/>
          <w:b/>
          <w:i/>
          <w:sz w:val="20"/>
          <w:lang w:eastAsia="ja-JP"/>
        </w:rPr>
      </w:pPr>
    </w:p>
    <w:p w14:paraId="064C893C" w14:textId="77777777" w:rsidR="0055291C" w:rsidRDefault="0055291C">
      <w:pPr>
        <w:pStyle w:val="a3"/>
        <w:rPr>
          <w:rFonts w:ascii="Arial"/>
          <w:b/>
          <w:i/>
          <w:sz w:val="20"/>
          <w:lang w:eastAsia="ja-JP"/>
        </w:rPr>
      </w:pPr>
    </w:p>
    <w:p w14:paraId="41397F7D" w14:textId="77777777" w:rsidR="0055291C" w:rsidRDefault="0055291C">
      <w:pPr>
        <w:pStyle w:val="a3"/>
        <w:rPr>
          <w:rFonts w:ascii="Arial"/>
          <w:b/>
          <w:i/>
          <w:sz w:val="20"/>
          <w:lang w:eastAsia="ja-JP"/>
        </w:rPr>
      </w:pPr>
    </w:p>
    <w:p w14:paraId="55DCBD32" w14:textId="77777777" w:rsidR="0055291C" w:rsidRDefault="0055291C">
      <w:pPr>
        <w:pStyle w:val="a3"/>
        <w:rPr>
          <w:rFonts w:ascii="Arial"/>
          <w:b/>
          <w:i/>
          <w:sz w:val="20"/>
          <w:lang w:eastAsia="ja-JP"/>
        </w:rPr>
      </w:pPr>
    </w:p>
    <w:p w14:paraId="1052F864" w14:textId="77777777" w:rsidR="0055291C" w:rsidRDefault="0055291C">
      <w:pPr>
        <w:pStyle w:val="a3"/>
        <w:rPr>
          <w:rFonts w:ascii="Arial"/>
          <w:b/>
          <w:i/>
          <w:sz w:val="20"/>
          <w:lang w:eastAsia="ja-JP"/>
        </w:rPr>
      </w:pPr>
    </w:p>
    <w:p w14:paraId="5A0FC3E8" w14:textId="77777777" w:rsidR="0055291C" w:rsidRDefault="0055291C">
      <w:pPr>
        <w:pStyle w:val="a3"/>
        <w:rPr>
          <w:rFonts w:ascii="Arial"/>
          <w:b/>
          <w:i/>
          <w:sz w:val="20"/>
          <w:lang w:eastAsia="ja-JP"/>
        </w:rPr>
      </w:pPr>
    </w:p>
    <w:p w14:paraId="29DB823C" w14:textId="77777777" w:rsidR="0055291C" w:rsidRDefault="0055291C">
      <w:pPr>
        <w:pStyle w:val="a3"/>
        <w:rPr>
          <w:rFonts w:ascii="Arial"/>
          <w:b/>
          <w:i/>
          <w:sz w:val="20"/>
          <w:lang w:eastAsia="ja-JP"/>
        </w:rPr>
      </w:pPr>
    </w:p>
    <w:p w14:paraId="6520014D" w14:textId="77777777" w:rsidR="0055291C" w:rsidRDefault="0055291C">
      <w:pPr>
        <w:pStyle w:val="a3"/>
        <w:spacing w:before="4"/>
        <w:rPr>
          <w:rFonts w:ascii="Arial"/>
          <w:b/>
          <w:i/>
          <w:sz w:val="24"/>
          <w:lang w:eastAsia="ja-JP"/>
        </w:rPr>
      </w:pPr>
    </w:p>
    <w:p w14:paraId="39C4CB83" w14:textId="77777777" w:rsidR="005A3681" w:rsidRPr="005A3681" w:rsidRDefault="00000000">
      <w:pPr>
        <w:pStyle w:val="a5"/>
        <w:numPr>
          <w:ilvl w:val="1"/>
          <w:numId w:val="55"/>
        </w:numPr>
        <w:tabs>
          <w:tab w:val="left" w:pos="1854"/>
        </w:tabs>
        <w:spacing w:before="99"/>
        <w:ind w:hanging="721"/>
        <w:jc w:val="both"/>
        <w:rPr>
          <w:rFonts w:ascii="Arial"/>
          <w:b/>
          <w:i/>
          <w:sz w:val="24"/>
        </w:rPr>
      </w:pPr>
      <w:r>
        <w:rPr>
          <w:color w:val="00ACA1"/>
        </w:rPr>
        <w:pict w14:anchorId="16A0361A">
          <v:group id="docshapegroup360" o:spid="_x0000_s3432" style="position:absolute;left:0;text-align:left;margin-left:253.7pt;margin-top:-278.75pt;width:358.55pt;height:382.95pt;z-index:-251589120;mso-position-horizontal-relative:page" coordorigin="5074,-5575" coordsize="7171,7659">
            <v:shape id="docshape361" o:spid="_x0000_s3435" style="position:absolute;left:5079;top:-5570;width:7161;height:7649" coordorigin="5079,-5570" coordsize="7161,7649" o:spt="100" adj="0,,0" path="m6524,-5570r-36,32l6436,-5488r-51,49l5945,-4933r-301,460l5472,-4139r-55,128l8039,-4215r1645,189l10536,-3715r244,164l10738,-3615r-44,-64l10650,-3743r-46,-64l10558,-3870r-48,-64l10462,-3997r-50,-62l10362,-4121r-52,-62l10258,-4245r-52,-61l10152,-4367r-54,-60l10044,-4487r-55,-59l9933,-4605r-56,-58l9821,-4721r-56,-57l9708,-4835r-57,-56l9595,-4946r-57,-55l8910,-5563r-9,-7m8810,-5570r1022,862l10860,-3426r380,816l11295,-2324r16,-75l11327,-2474r14,-76l11354,-2627r13,-78l11378,-2783r11,-78l11398,-2940r9,-79l11415,-3099r8,-80l11429,-3259r6,-80l11440,-3420r4,-80l11448,-3580r3,-81l11453,-3741r1,-80l11456,-3901r,-79l11456,-4059r-1,-79l11454,-4217r-42,-835l11360,-5570t-49,l11452,-3804r-191,1625l10946,-1337r-166,241l10845,-1138r65,-43l10975,-1225r64,-45l11103,-1316r64,-47l11231,-1411r63,-49l11358,-1510r62,-50l11483,-1612r62,-52l11606,-1717r61,-53l11728,-1824r60,-54l11847,-1933r59,-55l11965,-2043r58,-56l12080,-2155r56,-56l12192,-2267r48,-49m12240,-2369r-289,334l10653,-1019r-826,375l9538,-589r75,16l9690,-558r77,14l9845,-531r78,12l10002,-507r80,10l10162,-487r80,9l10323,-470r81,7l10485,-457r81,6l10647,-446r81,4l10810,-438r81,3l10972,-433r81,1l11134,-430r81,l11295,-430r80,-1l11454,-432r786,-38m11244,1745r81,-34l11405,1675r78,-36l11560,1601r75,-39l11708,1523r73,-41l11851,1441r70,-43l11988,1355r67,-44l12120,1266r63,-45l12240,1178t,-1707l11038,-435,9392,-624,8540,-935r-244,-164l8338,-1034r44,64l8426,-907r46,64l8518,-779r48,63l8615,-653r49,62l8715,-529r51,62l8818,-405r53,61l8924,-283r54,60l9033,-163r55,59l9143,-45r56,59l9255,71r57,58l9368,185r57,56l9482,296r57,55l10166,913r546,441l11098,1642r146,103m7833,1743r82,33l7996,1807r82,28l8159,1862r80,26l8319,1911r80,22l8479,1953r79,18l8637,1988r78,15l8793,2017r77,12l8946,2040r76,9l9098,2057r75,7l9247,2069r74,4l9393,2076r73,2l9537,2079r674,-51l10752,1913r361,-116l11244,1745,9243,58,8215,-1225r-380,-815l7781,-2326r-17,75l7749,-2176r-14,77l7721,-2022r-12,77l7697,-1867r-10,78l7677,-1710r-9,80l7660,-1551r-7,80l7646,-1391r-5,80l7636,-1230r-5,80l7628,-1070r-3,81l7622,-909r-1,80l7620,-749r-1,79l7619,-590r1,79l7621,-433r42,836l7735,1096r68,472l7833,1743m5418,-640r34,81l5488,-481r37,77l5563,-328r39,74l5642,-181r42,71l5726,-41r43,69l5813,94r44,66l5903,224r46,62l5996,347r47,60l6091,466r48,57l6188,578r49,55l6286,686r50,52l6386,788r513,434l7364,1519r338,170l7833,1743,7626,-846r190,-1625l8132,-3314r165,-240l8232,-3512r-65,42l8103,-3426r-65,46l7974,-3334r-64,47l7846,-3239r-63,49l7720,-3140r-63,50l7595,-3038r-62,52l7472,-2933r-61,53l7350,-2826r-60,54l7230,-2717r-59,55l7113,-2607r-58,56l6998,-2495r-57,56l6885,-2383r-55,56l6261,-1706r-447,540l5522,-784r-104,144m5417,-4011r-33,81l5353,-3849r-29,80l5297,-3689r-25,80l5248,-3530r-22,79l5206,-3372r-18,78l5171,-3216r-16,77l5142,-3062r-13,77l5119,-2910r-10,76l5101,-2760r-7,74l5089,-2612r-4,72l5082,-2468r-2,72l5079,-2326r52,666l5247,-1125r117,356l5418,-640,7125,-2615,8424,-3631r826,-376l9539,-4061r-76,-16l9387,-4092r-78,-14l9232,-4119r-79,-12l9074,-4143r-79,-10l8915,-4163r-81,-9l8754,-4179r-81,-8l8592,-4193r-81,-6l8429,-4204r-81,-4l8267,-4211r-82,-3l8104,-4217r-81,-1l7942,-4219r-80,-1l7781,-4220r-79,1l7622,-4218r-846,41l6074,-4106r-479,66l5417,-4011e" filled="f" strokecolor="#d9dadc" strokeweight=".5pt">
              <v:stroke joinstyle="round"/>
              <v:formulas/>
              <v:path arrowok="t" o:connecttype="segments"/>
            </v:shape>
            <v:shape id="docshape362" o:spid="_x0000_s3434" style="position:absolute;left:11614;top:-5570;width:626;height:5717" coordorigin="11615,-5570" coordsize="626,5717" path="m12240,-5570r-625,l11615,-80r3,131l11643,118r67,25l11842,146r398,l12240,-5570xe" fillcolor="#00aca1" stroked="f">
              <v:path arrowok="t"/>
            </v:shape>
            <v:shape id="docshape363" o:spid="_x0000_s3433" style="position:absolute;left:11614;top:-5570;width:626;height:5717" coordorigin="11615,-5570" coordsize="626,5717" path="m12240,-5570r-625,l11615,-80r3,131l11643,118r67,25l11842,146r398,l12240,-5570xe" fillcolor="#7f3f98" stroked="f">
              <v:path arrowok="t"/>
            </v:shape>
            <w10:wrap anchorx="page"/>
          </v:group>
        </w:pict>
      </w:r>
      <w:r>
        <w:rPr>
          <w:color w:val="00ACA1"/>
        </w:rPr>
        <w:pict w14:anchorId="1B484742">
          <v:shape id="docshape364" o:spid="_x0000_s3431" type="#_x0000_t202" style="position:absolute;left:0;text-align:left;margin-left:585.65pt;margin-top:-204.85pt;width:17.7pt;height:180.55pt;z-index:251560448;mso-position-horizontal-relative:page" filled="f" stroked="f">
            <v:textbox style="layout-flow:vertical;mso-layout-flow-alt:bottom-to-top;mso-next-textbox:#docshape364" inset="0,0,0,0">
              <w:txbxContent>
                <w:p w14:paraId="63A94338" w14:textId="77777777" w:rsidR="0055291C" w:rsidRDefault="00F23C61">
                  <w:pPr>
                    <w:spacing w:before="18"/>
                    <w:ind w:left="20"/>
                    <w:rPr>
                      <w:rFonts w:ascii="Arial"/>
                      <w:b/>
                      <w:i/>
                      <w:sz w:val="28"/>
                    </w:rPr>
                  </w:pPr>
                  <w:r>
                    <w:rPr>
                      <w:rFonts w:ascii="Arial"/>
                      <w:b/>
                      <w:i/>
                      <w:color w:val="F3F4F4"/>
                      <w:spacing w:val="-159"/>
                      <w:w w:val="92"/>
                      <w:sz w:val="28"/>
                    </w:rPr>
                    <w:t>g</w:t>
                  </w:r>
                  <w:r>
                    <w:rPr>
                      <w:rFonts w:ascii="Arial"/>
                      <w:b/>
                      <w:i/>
                      <w:color w:val="F3F4F4"/>
                      <w:w w:val="109"/>
                      <w:sz w:val="28"/>
                    </w:rPr>
                    <w:t>r</w:t>
                  </w:r>
                  <w:r>
                    <w:rPr>
                      <w:rFonts w:ascii="Arial"/>
                      <w:b/>
                      <w:i/>
                      <w:color w:val="F3F4F4"/>
                      <w:sz w:val="28"/>
                    </w:rPr>
                    <w:t xml:space="preserve"> </w:t>
                  </w:r>
                  <w:r>
                    <w:rPr>
                      <w:rFonts w:ascii="Arial"/>
                      <w:b/>
                      <w:i/>
                      <w:color w:val="F3F4F4"/>
                      <w:spacing w:val="6"/>
                      <w:sz w:val="28"/>
                    </w:rPr>
                    <w:t xml:space="preserve"> </w:t>
                  </w:r>
                  <w:proofErr w:type="spellStart"/>
                  <w:r>
                    <w:rPr>
                      <w:rFonts w:ascii="Arial"/>
                      <w:b/>
                      <w:i/>
                      <w:color w:val="F3F4F4"/>
                      <w:spacing w:val="-104"/>
                      <w:w w:val="95"/>
                      <w:sz w:val="28"/>
                    </w:rPr>
                    <w:t>e</w:t>
                  </w:r>
                  <w:r>
                    <w:rPr>
                      <w:rFonts w:ascii="Arial"/>
                      <w:b/>
                      <w:i/>
                      <w:color w:val="F3F4F4"/>
                      <w:w w:val="95"/>
                      <w:sz w:val="28"/>
                    </w:rPr>
                    <w:t>u</w:t>
                  </w:r>
                  <w:proofErr w:type="spellEnd"/>
                  <w:r>
                    <w:rPr>
                      <w:rFonts w:ascii="Arial"/>
                      <w:b/>
                      <w:i/>
                      <w:color w:val="F3F4F4"/>
                      <w:spacing w:val="30"/>
                      <w:sz w:val="28"/>
                    </w:rPr>
                    <w:t xml:space="preserve"> </w:t>
                  </w:r>
                  <w:r>
                    <w:rPr>
                      <w:rFonts w:ascii="Arial"/>
                      <w:b/>
                      <w:i/>
                      <w:color w:val="F3F4F4"/>
                      <w:spacing w:val="-102"/>
                      <w:w w:val="93"/>
                      <w:sz w:val="28"/>
                    </w:rPr>
                    <w:t>q</w:t>
                  </w:r>
                  <w:r>
                    <w:rPr>
                      <w:rFonts w:ascii="Arial"/>
                      <w:b/>
                      <w:i/>
                      <w:color w:val="F3F4F4"/>
                      <w:w w:val="101"/>
                      <w:sz w:val="28"/>
                    </w:rPr>
                    <w:t>i</w:t>
                  </w:r>
                  <w:r>
                    <w:rPr>
                      <w:rFonts w:ascii="Arial"/>
                      <w:b/>
                      <w:i/>
                      <w:color w:val="F3F4F4"/>
                      <w:sz w:val="28"/>
                    </w:rPr>
                    <w:t xml:space="preserve"> </w:t>
                  </w:r>
                  <w:r>
                    <w:rPr>
                      <w:rFonts w:ascii="Arial"/>
                      <w:b/>
                      <w:i/>
                      <w:color w:val="F3F4F4"/>
                      <w:spacing w:val="12"/>
                      <w:sz w:val="28"/>
                    </w:rPr>
                    <w:t xml:space="preserve"> </w:t>
                  </w:r>
                  <w:r>
                    <w:rPr>
                      <w:rFonts w:ascii="Arial"/>
                      <w:b/>
                      <w:i/>
                      <w:color w:val="F3F4F4"/>
                      <w:spacing w:val="-144"/>
                      <w:w w:val="96"/>
                      <w:sz w:val="28"/>
                    </w:rPr>
                    <w:t>d</w:t>
                  </w:r>
                  <w:r>
                    <w:rPr>
                      <w:rFonts w:ascii="Arial"/>
                      <w:b/>
                      <w:i/>
                      <w:color w:val="F3F4F4"/>
                      <w:w w:val="95"/>
                      <w:sz w:val="28"/>
                    </w:rPr>
                    <w:t>u</w:t>
                  </w:r>
                  <w:r>
                    <w:rPr>
                      <w:rFonts w:ascii="Arial"/>
                      <w:b/>
                      <w:i/>
                      <w:color w:val="F3F4F4"/>
                      <w:sz w:val="28"/>
                    </w:rPr>
                    <w:t xml:space="preserve"> </w:t>
                  </w:r>
                  <w:r>
                    <w:rPr>
                      <w:rFonts w:ascii="Arial"/>
                      <w:b/>
                      <w:i/>
                      <w:color w:val="F3F4F4"/>
                      <w:spacing w:val="-7"/>
                      <w:sz w:val="28"/>
                    </w:rPr>
                    <w:t xml:space="preserve"> </w:t>
                  </w:r>
                  <w:r>
                    <w:rPr>
                      <w:rFonts w:ascii="Arial"/>
                      <w:b/>
                      <w:i/>
                      <w:color w:val="F3F4F4"/>
                      <w:spacing w:val="-146"/>
                      <w:w w:val="105"/>
                      <w:sz w:val="28"/>
                    </w:rPr>
                    <w:t>a</w:t>
                  </w:r>
                  <w:r>
                    <w:rPr>
                      <w:rFonts w:ascii="Arial"/>
                      <w:b/>
                      <w:i/>
                      <w:color w:val="F3F4F4"/>
                      <w:w w:val="101"/>
                      <w:sz w:val="28"/>
                    </w:rPr>
                    <w:t>i</w:t>
                  </w:r>
                  <w:r>
                    <w:rPr>
                      <w:rFonts w:ascii="Arial"/>
                      <w:b/>
                      <w:i/>
                      <w:color w:val="F3F4F4"/>
                      <w:sz w:val="28"/>
                    </w:rPr>
                    <w:t xml:space="preserve"> </w:t>
                  </w:r>
                  <w:r>
                    <w:rPr>
                      <w:rFonts w:ascii="Arial"/>
                      <w:b/>
                      <w:i/>
                      <w:color w:val="F3F4F4"/>
                      <w:spacing w:val="12"/>
                      <w:sz w:val="28"/>
                    </w:rPr>
                    <w:t xml:space="preserve"> </w:t>
                  </w:r>
                  <w:proofErr w:type="spellStart"/>
                  <w:r>
                    <w:rPr>
                      <w:rFonts w:ascii="Arial"/>
                      <w:b/>
                      <w:i/>
                      <w:color w:val="F3F4F4"/>
                      <w:spacing w:val="-54"/>
                      <w:w w:val="109"/>
                      <w:sz w:val="28"/>
                    </w:rPr>
                    <w:t>r</w:t>
                  </w:r>
                  <w:r>
                    <w:rPr>
                      <w:rFonts w:ascii="Arial"/>
                      <w:b/>
                      <w:i/>
                      <w:color w:val="F3F4F4"/>
                      <w:w w:val="92"/>
                      <w:sz w:val="28"/>
                    </w:rPr>
                    <w:t>n</w:t>
                  </w:r>
                  <w:proofErr w:type="spellEnd"/>
                  <w:r>
                    <w:rPr>
                      <w:rFonts w:ascii="Arial"/>
                      <w:b/>
                      <w:i/>
                      <w:color w:val="F3F4F4"/>
                      <w:spacing w:val="-21"/>
                      <w:sz w:val="28"/>
                    </w:rPr>
                    <w:t xml:space="preserve"> </w:t>
                  </w:r>
                  <w:proofErr w:type="spellStart"/>
                  <w:r>
                    <w:rPr>
                      <w:rFonts w:ascii="Arial"/>
                      <w:b/>
                      <w:i/>
                      <w:color w:val="F3F4F4"/>
                      <w:spacing w:val="-38"/>
                      <w:w w:val="95"/>
                      <w:sz w:val="28"/>
                    </w:rPr>
                    <w:t>e</w:t>
                  </w:r>
                  <w:r>
                    <w:rPr>
                      <w:rFonts w:ascii="Arial"/>
                      <w:b/>
                      <w:i/>
                      <w:color w:val="F3F4F4"/>
                      <w:w w:val="86"/>
                      <w:sz w:val="28"/>
                    </w:rPr>
                    <w:t>c</w:t>
                  </w:r>
                  <w:proofErr w:type="spellEnd"/>
                  <w:r>
                    <w:rPr>
                      <w:rFonts w:ascii="Arial"/>
                      <w:b/>
                      <w:i/>
                      <w:color w:val="F3F4F4"/>
                      <w:spacing w:val="-7"/>
                      <w:sz w:val="28"/>
                    </w:rPr>
                    <w:t xml:space="preserve"> </w:t>
                  </w:r>
                  <w:r>
                    <w:rPr>
                      <w:rFonts w:ascii="Arial"/>
                      <w:b/>
                      <w:i/>
                      <w:color w:val="F3F4F4"/>
                      <w:spacing w:val="-147"/>
                      <w:w w:val="95"/>
                      <w:sz w:val="28"/>
                    </w:rPr>
                    <w:t>m</w:t>
                  </w:r>
                  <w:r>
                    <w:rPr>
                      <w:rFonts w:ascii="Arial"/>
                      <w:b/>
                      <w:i/>
                      <w:color w:val="F3F4F4"/>
                      <w:w w:val="95"/>
                      <w:sz w:val="28"/>
                    </w:rPr>
                    <w:t>e</w:t>
                  </w:r>
                  <w:r>
                    <w:rPr>
                      <w:rFonts w:ascii="Arial"/>
                      <w:b/>
                      <w:i/>
                      <w:color w:val="F3F4F4"/>
                      <w:sz w:val="28"/>
                    </w:rPr>
                    <w:t xml:space="preserve"> </w:t>
                  </w:r>
                  <w:r>
                    <w:rPr>
                      <w:rFonts w:ascii="Arial"/>
                      <w:b/>
                      <w:i/>
                      <w:color w:val="F3F4F4"/>
                      <w:spacing w:val="10"/>
                      <w:sz w:val="28"/>
                    </w:rPr>
                    <w:t xml:space="preserve"> </w:t>
                  </w:r>
                  <w:r>
                    <w:rPr>
                      <w:rFonts w:ascii="Arial"/>
                      <w:b/>
                      <w:i/>
                      <w:color w:val="F3F4F4"/>
                      <w:w w:val="95"/>
                      <w:sz w:val="28"/>
                    </w:rPr>
                    <w:t>e</w:t>
                  </w:r>
                  <w:r>
                    <w:rPr>
                      <w:rFonts w:ascii="Arial"/>
                      <w:b/>
                      <w:i/>
                      <w:color w:val="F3F4F4"/>
                      <w:sz w:val="28"/>
                    </w:rPr>
                    <w:t xml:space="preserve"> </w:t>
                  </w:r>
                  <w:r>
                    <w:rPr>
                      <w:rFonts w:ascii="Arial"/>
                      <w:b/>
                      <w:i/>
                      <w:color w:val="F3F4F4"/>
                      <w:spacing w:val="12"/>
                      <w:sz w:val="28"/>
                    </w:rPr>
                    <w:t xml:space="preserve"> </w:t>
                  </w:r>
                  <w:r>
                    <w:rPr>
                      <w:rFonts w:ascii="Arial"/>
                      <w:b/>
                      <w:i/>
                      <w:color w:val="F3F4F4"/>
                      <w:w w:val="92"/>
                      <w:sz w:val="28"/>
                    </w:rPr>
                    <w:t>n</w:t>
                  </w:r>
                  <w:r>
                    <w:rPr>
                      <w:rFonts w:ascii="Arial"/>
                      <w:b/>
                      <w:i/>
                      <w:color w:val="F3F4F4"/>
                      <w:sz w:val="28"/>
                    </w:rPr>
                    <w:t xml:space="preserve"> </w:t>
                  </w:r>
                  <w:r>
                    <w:rPr>
                      <w:rFonts w:ascii="Arial"/>
                      <w:b/>
                      <w:i/>
                      <w:color w:val="F3F4F4"/>
                      <w:spacing w:val="12"/>
                      <w:sz w:val="28"/>
                    </w:rPr>
                    <w:t xml:space="preserve"> </w:t>
                  </w:r>
                  <w:r>
                    <w:rPr>
                      <w:rFonts w:ascii="Arial"/>
                      <w:b/>
                      <w:i/>
                      <w:color w:val="F3F4F4"/>
                      <w:w w:val="124"/>
                      <w:sz w:val="28"/>
                    </w:rPr>
                    <w:t>t</w:t>
                  </w:r>
                  <w:r>
                    <w:rPr>
                      <w:rFonts w:ascii="Arial"/>
                      <w:b/>
                      <w:i/>
                      <w:color w:val="F3F4F4"/>
                      <w:sz w:val="28"/>
                    </w:rPr>
                    <w:t xml:space="preserve"> </w:t>
                  </w:r>
                  <w:r>
                    <w:rPr>
                      <w:rFonts w:ascii="Arial"/>
                      <w:b/>
                      <w:i/>
                      <w:color w:val="F3F4F4"/>
                      <w:spacing w:val="12"/>
                      <w:sz w:val="28"/>
                    </w:rPr>
                    <w:t xml:space="preserve"> </w:t>
                  </w:r>
                  <w:r>
                    <w:rPr>
                      <w:rFonts w:ascii="Arial"/>
                      <w:b/>
                      <w:i/>
                      <w:color w:val="F3F4F4"/>
                      <w:w w:val="86"/>
                      <w:sz w:val="28"/>
                    </w:rPr>
                    <w:t>s</w:t>
                  </w:r>
                </w:p>
              </w:txbxContent>
            </v:textbox>
            <w10:wrap anchorx="page"/>
          </v:shape>
        </w:pict>
      </w:r>
      <w:r>
        <w:rPr>
          <w:color w:val="00ACA1"/>
        </w:rPr>
        <w:pict w14:anchorId="3EE27137">
          <v:shape id="docshape365" o:spid="_x0000_s3430" type="#_x0000_t202" style="position:absolute;left:0;text-align:left;margin-left:44.7pt;margin-top:11.55pt;width:42.3pt;height:81.4pt;z-index:-251588096;mso-position-horizontal-relative:page" filled="f" stroked="f">
            <v:textbox style="mso-next-textbox:#docshape365" inset="0,0,0,0">
              <w:txbxContent>
                <w:p w14:paraId="4EEE5722" w14:textId="77777777" w:rsidR="0055291C" w:rsidRDefault="00F23C61">
                  <w:pPr>
                    <w:spacing w:line="1628" w:lineRule="exact"/>
                    <w:rPr>
                      <w:rFonts w:ascii="Arial"/>
                      <w:b/>
                      <w:i/>
                      <w:sz w:val="145"/>
                    </w:rPr>
                  </w:pPr>
                  <w:r>
                    <w:rPr>
                      <w:rFonts w:ascii="Arial"/>
                      <w:b/>
                      <w:i/>
                      <w:color w:val="00ACA1"/>
                      <w:w w:val="95"/>
                      <w:sz w:val="145"/>
                    </w:rPr>
                    <w:t>T</w:t>
                  </w:r>
                </w:p>
              </w:txbxContent>
            </v:textbox>
            <w10:wrap anchorx="page"/>
          </v:shape>
        </w:pict>
      </w:r>
      <w:r w:rsidR="005A3681" w:rsidRPr="005A3681">
        <w:rPr>
          <w:rFonts w:ascii="ＭＳ ゴシック" w:eastAsia="ＭＳ ゴシック" w:hAnsi="ＭＳ ゴシック" w:cs="ＭＳ ゴシック" w:hint="eastAsia"/>
          <w:b/>
          <w:i/>
          <w:color w:val="00ACA1"/>
          <w:sz w:val="24"/>
          <w:lang w:eastAsia="ja-JP"/>
        </w:rPr>
        <w:t>はじめに</w:t>
      </w:r>
    </w:p>
    <w:p w14:paraId="3BF19F95" w14:textId="0AD1EB4B" w:rsidR="0055291C" w:rsidRPr="005A3681" w:rsidRDefault="005A3681" w:rsidP="000446E0">
      <w:pPr>
        <w:tabs>
          <w:tab w:val="left" w:pos="1854"/>
        </w:tabs>
        <w:spacing w:before="99"/>
        <w:ind w:left="1843" w:rightChars="151" w:right="332"/>
        <w:jc w:val="both"/>
        <w:rPr>
          <w:rFonts w:ascii="Arial"/>
          <w:b/>
          <w:i/>
          <w:sz w:val="24"/>
          <w:lang w:eastAsia="ja-JP"/>
        </w:rPr>
      </w:pPr>
      <w:r w:rsidRPr="005A3681">
        <w:rPr>
          <w:rFonts w:ascii="Arial"/>
          <w:b/>
          <w:i/>
          <w:color w:val="545456"/>
          <w:spacing w:val="-1"/>
          <w:w w:val="95"/>
          <w:sz w:val="24"/>
          <w:lang w:eastAsia="ja-JP"/>
        </w:rPr>
        <w:t>5</w:t>
      </w:r>
      <w:r w:rsidRPr="005A3681">
        <w:rPr>
          <w:rFonts w:ascii="ＭＳ ゴシック" w:eastAsia="ＭＳ ゴシック" w:hAnsi="ＭＳ ゴシック" w:cs="ＭＳ ゴシック" w:hint="eastAsia"/>
          <w:b/>
          <w:i/>
          <w:color w:val="545456"/>
          <w:spacing w:val="-1"/>
          <w:w w:val="95"/>
          <w:sz w:val="24"/>
          <w:lang w:eastAsia="ja-JP"/>
        </w:rPr>
        <w:t>つの</w:t>
      </w:r>
      <w:r w:rsidR="00364979">
        <w:rPr>
          <w:rFonts w:ascii="ＭＳ ゴシック" w:eastAsia="ＭＳ ゴシック" w:hAnsi="ＭＳ ゴシック" w:cs="ＭＳ ゴシック" w:hint="eastAsia"/>
          <w:b/>
          <w:i/>
          <w:color w:val="545456"/>
          <w:spacing w:val="-1"/>
          <w:w w:val="95"/>
          <w:sz w:val="24"/>
          <w:lang w:eastAsia="ja-JP"/>
        </w:rPr>
        <w:t>算出</w:t>
      </w:r>
      <w:r w:rsidRPr="005A3681">
        <w:rPr>
          <w:rFonts w:ascii="ＭＳ ゴシック" w:eastAsia="ＭＳ ゴシック" w:hAnsi="ＭＳ ゴシック" w:cs="ＭＳ ゴシック" w:hint="eastAsia"/>
          <w:b/>
          <w:i/>
          <w:color w:val="545456"/>
          <w:spacing w:val="-1"/>
          <w:w w:val="95"/>
          <w:sz w:val="24"/>
          <w:lang w:eastAsia="ja-JP"/>
        </w:rPr>
        <w:t>原則は、製品の</w:t>
      </w:r>
      <w:r w:rsidRPr="005A3681">
        <w:rPr>
          <w:rFonts w:ascii="Arial"/>
          <w:b/>
          <w:i/>
          <w:color w:val="545456"/>
          <w:spacing w:val="-1"/>
          <w:w w:val="95"/>
          <w:sz w:val="24"/>
          <w:lang w:eastAsia="ja-JP"/>
        </w:rPr>
        <w:t>GHG</w:t>
      </w:r>
      <w:r w:rsidRPr="005A3681">
        <w:rPr>
          <w:rFonts w:ascii="ＭＳ ゴシック" w:eastAsia="ＭＳ ゴシック" w:hAnsi="ＭＳ ゴシック" w:cs="ＭＳ ゴシック" w:hint="eastAsia"/>
          <w:b/>
          <w:i/>
          <w:color w:val="545456"/>
          <w:spacing w:val="-1"/>
          <w:w w:val="95"/>
          <w:sz w:val="24"/>
          <w:lang w:eastAsia="ja-JP"/>
        </w:rPr>
        <w:t>排出量算定と報告のあらゆる側面を支えることを意図しています。これらの原則を忠実に適用することで、製品インベントリがその</w:t>
      </w:r>
      <w:r w:rsidRPr="005A3681">
        <w:rPr>
          <w:rFonts w:ascii="Arial"/>
          <w:b/>
          <w:i/>
          <w:color w:val="545456"/>
          <w:spacing w:val="-1"/>
          <w:w w:val="95"/>
          <w:sz w:val="24"/>
          <w:lang w:eastAsia="ja-JP"/>
        </w:rPr>
        <w:t>GHG</w:t>
      </w:r>
      <w:r w:rsidRPr="005A3681">
        <w:rPr>
          <w:rFonts w:ascii="ＭＳ ゴシック" w:eastAsia="ＭＳ ゴシック" w:hAnsi="ＭＳ ゴシック" w:cs="ＭＳ ゴシック" w:hint="eastAsia"/>
          <w:b/>
          <w:i/>
          <w:color w:val="545456"/>
          <w:spacing w:val="-1"/>
          <w:w w:val="95"/>
          <w:sz w:val="24"/>
          <w:lang w:eastAsia="ja-JP"/>
        </w:rPr>
        <w:t>排出量と除去量を正確かつ公正に表していることを保証することができるはずです。この原則の主な役割は、利用者が本基準を実施する際、特に本基準で規定されていない</w:t>
      </w:r>
      <w:r w:rsidR="00364979">
        <w:rPr>
          <w:rFonts w:ascii="ＭＳ ゴシック" w:eastAsia="ＭＳ ゴシック" w:hAnsi="ＭＳ ゴシック" w:cs="ＭＳ ゴシック" w:hint="eastAsia"/>
          <w:b/>
          <w:i/>
          <w:color w:val="545456"/>
          <w:spacing w:val="-1"/>
          <w:w w:val="95"/>
          <w:sz w:val="24"/>
          <w:lang w:eastAsia="ja-JP"/>
        </w:rPr>
        <w:t>GHG算出</w:t>
      </w:r>
      <w:r w:rsidRPr="005A3681">
        <w:rPr>
          <w:rFonts w:ascii="ＭＳ ゴシック" w:eastAsia="ＭＳ ゴシック" w:hAnsi="ＭＳ ゴシック" w:cs="ＭＳ ゴシック" w:hint="eastAsia"/>
          <w:b/>
          <w:i/>
          <w:color w:val="545456"/>
          <w:spacing w:val="-1"/>
          <w:w w:val="95"/>
          <w:sz w:val="24"/>
          <w:lang w:eastAsia="ja-JP"/>
        </w:rPr>
        <w:t>上の選択をする際に指針とすることです。</w:t>
      </w:r>
    </w:p>
    <w:p w14:paraId="3F83E355" w14:textId="3C41B62D" w:rsidR="0055291C" w:rsidRDefault="0055291C">
      <w:pPr>
        <w:pStyle w:val="a3"/>
        <w:spacing w:before="7"/>
        <w:rPr>
          <w:rFonts w:ascii="Arial"/>
          <w:b/>
          <w:i/>
          <w:sz w:val="36"/>
          <w:lang w:eastAsia="ja-JP"/>
        </w:rPr>
      </w:pPr>
    </w:p>
    <w:p w14:paraId="41B5034E" w14:textId="3F4DA8AB" w:rsidR="0055291C" w:rsidRDefault="0068333B">
      <w:pPr>
        <w:pStyle w:val="a5"/>
        <w:numPr>
          <w:ilvl w:val="1"/>
          <w:numId w:val="55"/>
        </w:numPr>
        <w:tabs>
          <w:tab w:val="left" w:pos="1854"/>
        </w:tabs>
        <w:spacing w:before="1"/>
        <w:ind w:hanging="721"/>
        <w:jc w:val="both"/>
        <w:rPr>
          <w:rFonts w:ascii="Arial"/>
          <w:b/>
          <w:i/>
          <w:sz w:val="24"/>
        </w:rPr>
      </w:pPr>
      <w:r>
        <w:rPr>
          <w:rFonts w:ascii="ＭＳ ゴシック" w:eastAsia="ＭＳ ゴシック" w:hAnsi="ＭＳ ゴシック" w:cs="ＭＳ ゴシック" w:hint="eastAsia"/>
          <w:b/>
          <w:i/>
          <w:color w:val="00ACA1"/>
          <w:sz w:val="24"/>
          <w:lang w:eastAsia="ja-JP"/>
        </w:rPr>
        <w:t>要求事項</w:t>
      </w:r>
    </w:p>
    <w:p w14:paraId="584C8F7E" w14:textId="4D189168" w:rsidR="0055291C" w:rsidRDefault="0055291C">
      <w:pPr>
        <w:pStyle w:val="a3"/>
        <w:spacing w:before="4"/>
        <w:rPr>
          <w:rFonts w:ascii="Arial"/>
          <w:b/>
          <w:i/>
        </w:rPr>
      </w:pPr>
    </w:p>
    <w:p w14:paraId="0C29AB8B" w14:textId="77777777" w:rsidR="0055291C" w:rsidRDefault="0055291C">
      <w:pPr>
        <w:rPr>
          <w:rFonts w:ascii="Arial"/>
        </w:rPr>
        <w:sectPr w:rsidR="0055291C">
          <w:headerReference w:type="default" r:id="rId96"/>
          <w:footerReference w:type="default" r:id="rId97"/>
          <w:pgSz w:w="12240" w:h="15840"/>
          <w:pgMar w:top="0" w:right="0" w:bottom="1040" w:left="0" w:header="0" w:footer="859" w:gutter="0"/>
          <w:pgNumType w:start="19"/>
          <w:cols w:space="720"/>
        </w:sectPr>
      </w:pPr>
    </w:p>
    <w:p w14:paraId="35A6B403" w14:textId="428F2DB4" w:rsidR="0055291C" w:rsidRDefault="00047236">
      <w:pPr>
        <w:pStyle w:val="a3"/>
        <w:rPr>
          <w:rFonts w:ascii="Arial"/>
          <w:b/>
          <w:i/>
          <w:sz w:val="22"/>
        </w:rPr>
      </w:pPr>
      <w:r w:rsidRPr="00BC17C0">
        <w:rPr>
          <w:rFonts w:ascii="Arial"/>
          <w:b/>
          <w:i/>
          <w:noProof/>
          <w:color w:val="00ACA1"/>
          <w:sz w:val="24"/>
          <w:szCs w:val="22"/>
        </w:rPr>
        <mc:AlternateContent>
          <mc:Choice Requires="wps">
            <w:drawing>
              <wp:anchor distT="0" distB="0" distL="114300" distR="114300" simplePos="0" relativeHeight="251449856" behindDoc="0" locked="0" layoutInCell="1" allowOverlap="1" wp14:anchorId="49709F1C" wp14:editId="7997772D">
                <wp:simplePos x="0" y="0"/>
                <wp:positionH relativeFrom="column">
                  <wp:posOffset>715645</wp:posOffset>
                </wp:positionH>
                <wp:positionV relativeFrom="paragraph">
                  <wp:posOffset>16811</wp:posOffset>
                </wp:positionV>
                <wp:extent cx="2934970" cy="823595"/>
                <wp:effectExtent l="0" t="0" r="0" b="0"/>
                <wp:wrapNone/>
                <wp:docPr id="48" name="四角形: 角を丸くする 48"/>
                <wp:cNvGraphicFramePr/>
                <a:graphic xmlns:a="http://schemas.openxmlformats.org/drawingml/2006/main">
                  <a:graphicData uri="http://schemas.microsoft.com/office/word/2010/wordprocessingShape">
                    <wps:wsp>
                      <wps:cNvSpPr/>
                      <wps:spPr>
                        <a:xfrm>
                          <a:off x="0" y="0"/>
                          <a:ext cx="2934970" cy="823595"/>
                        </a:xfrm>
                        <a:prstGeom prst="roundRect">
                          <a:avLst/>
                        </a:prstGeom>
                        <a:solidFill>
                          <a:srgbClr val="70029C">
                            <a:alpha val="25098"/>
                          </a:srgbClr>
                        </a:solidFill>
                        <a:ln w="25400" cap="flat" cmpd="sng" algn="ctr">
                          <a:noFill/>
                          <a:prstDash val="solid"/>
                        </a:ln>
                        <a:effectLst/>
                      </wps:spPr>
                      <wps:txbx>
                        <w:txbxContent>
                          <w:p w14:paraId="1D0F1C04" w14:textId="74F1CF3D" w:rsidR="00BC17C0" w:rsidRPr="00BC17C0" w:rsidRDefault="00364979" w:rsidP="00BC17C0">
                            <w:pPr>
                              <w:spacing w:before="154" w:line="278" w:lineRule="auto"/>
                              <w:ind w:left="253" w:right="349"/>
                              <w:rPr>
                                <w:rFonts w:ascii="ＭＳ ゴシック" w:eastAsia="ＭＳ ゴシック" w:hAnsi="ＭＳ ゴシック" w:cs="ＭＳ ゴシック"/>
                                <w:b/>
                                <w:i/>
                                <w:color w:val="545456"/>
                                <w:sz w:val="19"/>
                                <w:szCs w:val="19"/>
                                <w:lang w:eastAsia="ja-JP"/>
                              </w:rPr>
                            </w:pPr>
                            <w:r w:rsidRPr="00364979">
                              <w:rPr>
                                <w:rFonts w:ascii="ＭＳ ゴシック" w:eastAsia="ＭＳ ゴシック" w:hAnsi="ＭＳ ゴシック" w:cs="ＭＳ ゴシック" w:hint="eastAsia"/>
                                <w:b/>
                                <w:i/>
                                <w:color w:val="545456"/>
                                <w:w w:val="95"/>
                                <w:sz w:val="19"/>
                                <w:szCs w:val="19"/>
                                <w:lang w:eastAsia="ja-JP"/>
                              </w:rPr>
                              <w:t>製品排出量算出の際の</w:t>
                            </w:r>
                            <w:r w:rsidRPr="00364979">
                              <w:rPr>
                                <w:rFonts w:ascii="ＭＳ ゴシック" w:eastAsia="ＭＳ ゴシック" w:hAnsi="ＭＳ ゴシック" w:cs="ＭＳ ゴシック"/>
                                <w:b/>
                                <w:i/>
                                <w:color w:val="545456"/>
                                <w:w w:val="95"/>
                                <w:sz w:val="19"/>
                                <w:szCs w:val="19"/>
                                <w:lang w:eastAsia="ja-JP"/>
                              </w:rPr>
                              <w:t>GHG</w:t>
                            </w:r>
                            <w:r w:rsidRPr="00364979">
                              <w:rPr>
                                <w:rFonts w:ascii="ＭＳ ゴシック" w:eastAsia="ＭＳ ゴシック" w:hAnsi="ＭＳ ゴシック" w:cs="ＭＳ ゴシック" w:hint="eastAsia"/>
                                <w:b/>
                                <w:i/>
                                <w:color w:val="545456"/>
                                <w:w w:val="95"/>
                                <w:sz w:val="19"/>
                                <w:szCs w:val="19"/>
                                <w:lang w:eastAsia="ja-JP"/>
                              </w:rPr>
                              <w:t>算出と報告は、関連性、正確性、完全性、一貫性、透明性の原則に従わなければならない</w:t>
                            </w:r>
                            <w:r w:rsidR="00BC17C0">
                              <w:rPr>
                                <w:rFonts w:ascii="ＭＳ ゴシック" w:eastAsia="ＭＳ ゴシック" w:hAnsi="ＭＳ ゴシック" w:cs="ＭＳ ゴシック" w:hint="eastAsia"/>
                                <w:b/>
                                <w:i/>
                                <w:color w:val="545456"/>
                                <w:w w:val="95"/>
                                <w:sz w:val="19"/>
                                <w:szCs w:val="19"/>
                                <w:lang w:eastAsia="ja-JP"/>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709F1C" id="四角形: 角を丸くする 48" o:spid="_x0000_s1040" style="position:absolute;margin-left:56.35pt;margin-top:1.3pt;width:231.1pt;height:64.85pt;z-index:2514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" fillcolor="#70029c" stroked="f" strokeweight="2pt">
                <v:fill opacity="16448f"/>
                <v:textbox>
                  <w:txbxContent>
                    <w:p w14:paraId="1D0F1C04" w14:textId="74F1CF3D" w:rsidR="00BC17C0" w:rsidRPr="00BC17C0" w:rsidRDefault="00364979" w:rsidP="00BC17C0">
                      <w:pPr>
                        <w:spacing w:before="154" w:line="278" w:lineRule="auto"/>
                        <w:ind w:left="253" w:right="349"/>
                        <w:rPr>
                          <w:rFonts w:ascii="ＭＳ ゴシック" w:eastAsia="ＭＳ ゴシック" w:hAnsi="ＭＳ ゴシック" w:cs="ＭＳ ゴシック"/>
                          <w:b/>
                          <w:i/>
                          <w:color w:val="545456"/>
                          <w:sz w:val="19"/>
                          <w:szCs w:val="19"/>
                          <w:lang w:eastAsia="ja-JP"/>
                        </w:rPr>
                      </w:pPr>
                      <w:r w:rsidRPr="00364979">
                        <w:rPr>
                          <w:rFonts w:ascii="ＭＳ ゴシック" w:eastAsia="ＭＳ ゴシック" w:hAnsi="ＭＳ ゴシック" w:cs="ＭＳ ゴシック" w:hint="eastAsia"/>
                          <w:b/>
                          <w:i/>
                          <w:color w:val="545456"/>
                          <w:w w:val="95"/>
                          <w:sz w:val="19"/>
                          <w:szCs w:val="19"/>
                          <w:lang w:eastAsia="ja-JP"/>
                        </w:rPr>
                        <w:t>製品排出量算出の際の</w:t>
                      </w:r>
                      <w:r w:rsidRPr="00364979">
                        <w:rPr>
                          <w:rFonts w:ascii="ＭＳ ゴシック" w:eastAsia="ＭＳ ゴシック" w:hAnsi="ＭＳ ゴシック" w:cs="ＭＳ ゴシック"/>
                          <w:b/>
                          <w:i/>
                          <w:color w:val="545456"/>
                          <w:w w:val="95"/>
                          <w:sz w:val="19"/>
                          <w:szCs w:val="19"/>
                          <w:lang w:eastAsia="ja-JP"/>
                        </w:rPr>
                        <w:t>GHG</w:t>
                      </w:r>
                      <w:r w:rsidRPr="00364979">
                        <w:rPr>
                          <w:rFonts w:ascii="ＭＳ ゴシック" w:eastAsia="ＭＳ ゴシック" w:hAnsi="ＭＳ ゴシック" w:cs="ＭＳ ゴシック" w:hint="eastAsia"/>
                          <w:b/>
                          <w:i/>
                          <w:color w:val="545456"/>
                          <w:w w:val="95"/>
                          <w:sz w:val="19"/>
                          <w:szCs w:val="19"/>
                          <w:lang w:eastAsia="ja-JP"/>
                        </w:rPr>
                        <w:t>算出と報告は、関連性、正確性、完全性、一貫性、透明性の原則に従わなければならない</w:t>
                      </w:r>
                      <w:r w:rsidR="00BC17C0">
                        <w:rPr>
                          <w:rFonts w:ascii="ＭＳ ゴシック" w:eastAsia="ＭＳ ゴシック" w:hAnsi="ＭＳ ゴシック" w:cs="ＭＳ ゴシック" w:hint="eastAsia"/>
                          <w:b/>
                          <w:i/>
                          <w:color w:val="545456"/>
                          <w:w w:val="95"/>
                          <w:sz w:val="19"/>
                          <w:szCs w:val="19"/>
                          <w:lang w:eastAsia="ja-JP"/>
                        </w:rPr>
                        <w:t>。</w:t>
                      </w:r>
                    </w:p>
                  </w:txbxContent>
                </v:textbox>
              </v:roundrect>
            </w:pict>
          </mc:Fallback>
        </mc:AlternateContent>
      </w:r>
    </w:p>
    <w:p w14:paraId="575499A0" w14:textId="77777777" w:rsidR="0055291C" w:rsidRDefault="0055291C">
      <w:pPr>
        <w:pStyle w:val="a3"/>
        <w:rPr>
          <w:rFonts w:ascii="Arial"/>
          <w:b/>
          <w:i/>
          <w:sz w:val="22"/>
        </w:rPr>
      </w:pPr>
    </w:p>
    <w:p w14:paraId="6396745A" w14:textId="77777777" w:rsidR="0055291C" w:rsidRDefault="0055291C">
      <w:pPr>
        <w:pStyle w:val="a3"/>
        <w:rPr>
          <w:rFonts w:ascii="Arial"/>
          <w:b/>
          <w:i/>
          <w:sz w:val="22"/>
        </w:rPr>
      </w:pPr>
    </w:p>
    <w:p w14:paraId="1DFA89BF" w14:textId="77777777" w:rsidR="0055291C" w:rsidRDefault="0055291C">
      <w:pPr>
        <w:pStyle w:val="a3"/>
        <w:rPr>
          <w:rFonts w:ascii="Arial"/>
          <w:b/>
          <w:i/>
          <w:sz w:val="22"/>
        </w:rPr>
      </w:pPr>
    </w:p>
    <w:p w14:paraId="2F833131" w14:textId="77777777" w:rsidR="0055291C" w:rsidRDefault="0055291C">
      <w:pPr>
        <w:pStyle w:val="a3"/>
        <w:rPr>
          <w:rFonts w:ascii="Arial"/>
          <w:b/>
          <w:i/>
          <w:sz w:val="22"/>
        </w:rPr>
      </w:pPr>
    </w:p>
    <w:p w14:paraId="5702DF3E" w14:textId="77777777" w:rsidR="0055291C" w:rsidRDefault="0055291C">
      <w:pPr>
        <w:pStyle w:val="a3"/>
        <w:spacing w:before="6"/>
        <w:rPr>
          <w:rFonts w:ascii="Arial"/>
          <w:b/>
          <w:i/>
          <w:sz w:val="32"/>
          <w:lang w:eastAsia="ja-JP"/>
        </w:rPr>
      </w:pPr>
    </w:p>
    <w:p w14:paraId="33F22736" w14:textId="77777777" w:rsidR="00942130" w:rsidRPr="00942130" w:rsidRDefault="00942130" w:rsidP="00942130">
      <w:pPr>
        <w:pStyle w:val="a3"/>
        <w:spacing w:before="62" w:line="312" w:lineRule="auto"/>
        <w:ind w:left="1133" w:right="-5"/>
        <w:rPr>
          <w:rFonts w:ascii="Arial" w:eastAsia="Arial" w:hAnsi="Arial" w:cs="Arial"/>
          <w:b/>
          <w:bCs/>
          <w:i/>
          <w:iCs/>
          <w:color w:val="00B8B1"/>
          <w:sz w:val="20"/>
          <w:szCs w:val="20"/>
          <w:lang w:eastAsia="ja-JP"/>
        </w:rPr>
      </w:pPr>
      <w:r w:rsidRPr="00942130">
        <w:rPr>
          <w:rFonts w:ascii="ＭＳ 明朝" w:eastAsia="ＭＳ 明朝" w:hAnsi="ＭＳ 明朝" w:cs="ＭＳ 明朝" w:hint="eastAsia"/>
          <w:b/>
          <w:bCs/>
          <w:i/>
          <w:iCs/>
          <w:color w:val="00B8B1"/>
          <w:sz w:val="20"/>
          <w:szCs w:val="20"/>
          <w:lang w:eastAsia="ja-JP"/>
        </w:rPr>
        <w:t>関連性</w:t>
      </w:r>
    </w:p>
    <w:p w14:paraId="104A3F74" w14:textId="45B72DC6" w:rsidR="0055291C" w:rsidRPr="00942130" w:rsidRDefault="00942130" w:rsidP="00942130">
      <w:pPr>
        <w:pStyle w:val="a3"/>
        <w:spacing w:before="62" w:line="312" w:lineRule="auto"/>
        <w:ind w:left="1133" w:right="-5" w:firstLineChars="100" w:firstLine="190"/>
        <w:rPr>
          <w:rFonts w:ascii="ＭＳ ゴシック" w:eastAsia="ＭＳ ゴシック" w:hAnsi="ＭＳ ゴシック"/>
          <w:lang w:eastAsia="ja-JP"/>
        </w:rPr>
      </w:pPr>
      <w:r w:rsidRPr="00942130">
        <w:rPr>
          <w:rFonts w:ascii="ＭＳ ゴシック" w:eastAsia="ＭＳ ゴシック" w:hAnsi="ＭＳ ゴシック" w:cs="ＭＳ 明朝" w:hint="eastAsia"/>
          <w:color w:val="000000" w:themeColor="text1"/>
          <w:lang w:eastAsia="ja-JP"/>
        </w:rPr>
        <w:t>製品の</w:t>
      </w:r>
      <w:r w:rsidRPr="00942130">
        <w:rPr>
          <w:rFonts w:ascii="ＭＳ ゴシック" w:eastAsia="ＭＳ ゴシック" w:hAnsi="ＭＳ ゴシック" w:cs="Arial"/>
          <w:color w:val="000000" w:themeColor="text1"/>
          <w:lang w:eastAsia="ja-JP"/>
        </w:rPr>
        <w:t>GHG</w:t>
      </w:r>
      <w:r w:rsidRPr="00942130">
        <w:rPr>
          <w:rFonts w:ascii="ＭＳ ゴシック" w:eastAsia="ＭＳ ゴシック" w:hAnsi="ＭＳ ゴシック" w:cs="ＭＳ 明朝" w:hint="eastAsia"/>
          <w:color w:val="000000" w:themeColor="text1"/>
          <w:lang w:eastAsia="ja-JP"/>
        </w:rPr>
        <w:t>インベントリ</w:t>
      </w:r>
      <w:r w:rsidR="00364979">
        <w:rPr>
          <w:rFonts w:ascii="ＭＳ ゴシック" w:eastAsia="ＭＳ ゴシック" w:hAnsi="ＭＳ ゴシック" w:cs="ＭＳ 明朝" w:hint="eastAsia"/>
          <w:color w:val="000000" w:themeColor="text1"/>
          <w:lang w:eastAsia="ja-JP"/>
        </w:rPr>
        <w:t>算出</w:t>
      </w:r>
      <w:r w:rsidRPr="00942130">
        <w:rPr>
          <w:rFonts w:ascii="ＭＳ ゴシック" w:eastAsia="ＭＳ ゴシック" w:hAnsi="ＭＳ ゴシック" w:cs="ＭＳ 明朝" w:hint="eastAsia"/>
          <w:color w:val="000000" w:themeColor="text1"/>
          <w:lang w:eastAsia="ja-JP"/>
        </w:rPr>
        <w:t>手法および報告書が、意図する利用者の意思決定ニーズに応えるものであることを確かなものにしてください。報告書内の情報を、意図する利用者が容易に理解できる方法で提示</w:t>
      </w:r>
      <w:r>
        <w:rPr>
          <w:rFonts w:ascii="ＭＳ ゴシック" w:eastAsia="ＭＳ ゴシック" w:hAnsi="ＭＳ ゴシック" w:cs="ＭＳ 明朝" w:hint="eastAsia"/>
          <w:color w:val="000000" w:themeColor="text1"/>
          <w:lang w:eastAsia="ja-JP"/>
        </w:rPr>
        <w:t>しなくてはなりません</w:t>
      </w:r>
      <w:r w:rsidRPr="00942130">
        <w:rPr>
          <w:rFonts w:ascii="ＭＳ ゴシック" w:eastAsia="ＭＳ ゴシック" w:hAnsi="ＭＳ ゴシック" w:cs="ＭＳ ゴシック" w:hint="eastAsia"/>
          <w:color w:val="545456"/>
          <w:lang w:eastAsia="ja-JP"/>
        </w:rPr>
        <w:t>。</w:t>
      </w:r>
    </w:p>
    <w:p w14:paraId="0B710FD9" w14:textId="6E14DF4F" w:rsidR="0055291C" w:rsidRDefault="00942130">
      <w:pPr>
        <w:pStyle w:val="7"/>
        <w:ind w:left="1133" w:firstLine="0"/>
        <w:rPr>
          <w:lang w:eastAsia="ja-JP"/>
        </w:rPr>
      </w:pPr>
      <w:r>
        <w:rPr>
          <w:rFonts w:ascii="ＭＳ 明朝" w:eastAsia="ＭＳ 明朝" w:hAnsi="ＭＳ 明朝" w:cs="ＭＳ 明朝" w:hint="eastAsia"/>
          <w:color w:val="00B8B1"/>
          <w:lang w:eastAsia="ja-JP"/>
        </w:rPr>
        <w:t>正確性</w:t>
      </w:r>
    </w:p>
    <w:p w14:paraId="0B79AEFC" w14:textId="4BEAE3EB" w:rsidR="0055291C" w:rsidRPr="00942130" w:rsidRDefault="00942130" w:rsidP="00942130">
      <w:pPr>
        <w:pStyle w:val="a3"/>
        <w:spacing w:before="62" w:line="312" w:lineRule="auto"/>
        <w:ind w:left="1133" w:right="-5" w:firstLineChars="100" w:firstLine="190"/>
        <w:rPr>
          <w:rFonts w:ascii="ＭＳ ゴシック" w:eastAsia="ＭＳ ゴシック" w:hAnsi="ＭＳ ゴシック"/>
          <w:lang w:eastAsia="ja-JP"/>
        </w:rPr>
      </w:pPr>
      <w:r w:rsidRPr="00942130">
        <w:rPr>
          <w:rFonts w:ascii="ＭＳ ゴシック" w:eastAsia="ＭＳ ゴシック" w:hAnsi="ＭＳ ゴシック" w:cs="ＭＳ ゴシック" w:hint="eastAsia"/>
          <w:color w:val="545456"/>
          <w:lang w:eastAsia="ja-JP"/>
        </w:rPr>
        <w:t>インベントリ報告書が、指定された境界内のすべての製品ライフサイクルの</w:t>
      </w:r>
      <w:r w:rsidRPr="00942130">
        <w:rPr>
          <w:rFonts w:ascii="ＭＳ ゴシック" w:eastAsia="ＭＳ ゴシック" w:hAnsi="ＭＳ ゴシック"/>
          <w:color w:val="545456"/>
          <w:lang w:eastAsia="ja-JP"/>
        </w:rPr>
        <w:t>GHG</w:t>
      </w:r>
      <w:r w:rsidRPr="00942130">
        <w:rPr>
          <w:rFonts w:ascii="ＭＳ ゴシック" w:eastAsia="ＭＳ ゴシック" w:hAnsi="ＭＳ ゴシック" w:cs="ＭＳ ゴシック" w:hint="eastAsia"/>
          <w:color w:val="545456"/>
          <w:lang w:eastAsia="ja-JP"/>
        </w:rPr>
        <w:t>排出と削減をカバーしていることを確認し、除外されている重要な</w:t>
      </w:r>
      <w:r w:rsidRPr="00942130">
        <w:rPr>
          <w:rFonts w:ascii="ＭＳ ゴシック" w:eastAsia="ＭＳ ゴシック" w:hAnsi="ＭＳ ゴシック"/>
          <w:color w:val="545456"/>
          <w:lang w:eastAsia="ja-JP"/>
        </w:rPr>
        <w:t>GHG</w:t>
      </w:r>
      <w:r w:rsidRPr="00942130">
        <w:rPr>
          <w:rFonts w:ascii="ＭＳ ゴシック" w:eastAsia="ＭＳ ゴシック" w:hAnsi="ＭＳ ゴシック" w:cs="ＭＳ ゴシック" w:hint="eastAsia"/>
          <w:color w:val="545456"/>
          <w:lang w:eastAsia="ja-JP"/>
        </w:rPr>
        <w:t>排出と削減を開示し、その正当性を証明</w:t>
      </w:r>
      <w:r>
        <w:rPr>
          <w:rFonts w:ascii="ＭＳ ゴシック" w:eastAsia="ＭＳ ゴシック" w:hAnsi="ＭＳ ゴシック" w:cs="ＭＳ ゴシック" w:hint="eastAsia"/>
          <w:color w:val="545456"/>
          <w:lang w:eastAsia="ja-JP"/>
        </w:rPr>
        <w:t>しなくてはなりません</w:t>
      </w:r>
      <w:r w:rsidRPr="00942130">
        <w:rPr>
          <w:rFonts w:ascii="ＭＳ ゴシック" w:eastAsia="ＭＳ ゴシック" w:hAnsi="ＭＳ ゴシック" w:cs="ＭＳ ゴシック" w:hint="eastAsia"/>
          <w:color w:val="545456"/>
          <w:lang w:eastAsia="ja-JP"/>
        </w:rPr>
        <w:t>。</w:t>
      </w:r>
    </w:p>
    <w:p w14:paraId="563AA108" w14:textId="7927C6FC" w:rsidR="0055291C" w:rsidRDefault="00F23C61">
      <w:pPr>
        <w:pStyle w:val="7"/>
        <w:spacing w:before="99"/>
        <w:ind w:left="551" w:firstLine="0"/>
        <w:rPr>
          <w:lang w:eastAsia="ja-JP"/>
        </w:rPr>
      </w:pPr>
      <w:r>
        <w:rPr>
          <w:b w:val="0"/>
          <w:i w:val="0"/>
          <w:lang w:eastAsia="ja-JP"/>
        </w:rPr>
        <w:br w:type="column"/>
      </w:r>
      <w:r w:rsidR="00942130">
        <w:rPr>
          <w:rFonts w:ascii="ＭＳ 明朝" w:eastAsia="ＭＳ 明朝" w:hAnsi="ＭＳ 明朝" w:cs="ＭＳ 明朝" w:hint="eastAsia"/>
          <w:color w:val="00B8B1"/>
          <w:lang w:eastAsia="ja-JP"/>
        </w:rPr>
        <w:t>完全性</w:t>
      </w:r>
    </w:p>
    <w:p w14:paraId="2240A58C" w14:textId="4FA59766" w:rsidR="0055291C" w:rsidRDefault="001F2C69" w:rsidP="001F2C69">
      <w:pPr>
        <w:pStyle w:val="a3"/>
        <w:spacing w:before="62" w:line="312" w:lineRule="auto"/>
        <w:ind w:left="551" w:right="1138" w:firstLineChars="100" w:firstLine="190"/>
        <w:rPr>
          <w:lang w:eastAsia="ja-JP"/>
        </w:rPr>
      </w:pPr>
      <w:r w:rsidRPr="001F2C69">
        <w:rPr>
          <w:lang w:eastAsia="ja-JP"/>
        </w:rPr>
        <w:t>GHG</w:t>
      </w:r>
      <w:r w:rsidRPr="001F2C69">
        <w:rPr>
          <w:rFonts w:ascii="ＭＳ ゴシック" w:eastAsia="ＭＳ ゴシック" w:hAnsi="ＭＳ ゴシック" w:cs="ＭＳ ゴシック" w:hint="eastAsia"/>
          <w:lang w:eastAsia="ja-JP"/>
        </w:rPr>
        <w:t>排出量の経年比較を有意義なものにするため</w:t>
      </w:r>
      <w:r>
        <w:rPr>
          <w:rFonts w:ascii="ＭＳ ゴシック" w:eastAsia="ＭＳ ゴシック" w:hAnsi="ＭＳ ゴシック" w:cs="ＭＳ ゴシック" w:hint="eastAsia"/>
          <w:lang w:eastAsia="ja-JP"/>
        </w:rPr>
        <w:t>に、</w:t>
      </w:r>
      <w:r w:rsidRPr="001F2C69">
        <w:rPr>
          <w:rFonts w:ascii="ＭＳ ゴシック" w:eastAsia="ＭＳ ゴシック" w:hAnsi="ＭＳ ゴシック" w:cs="ＭＳ ゴシック" w:hint="eastAsia"/>
          <w:lang w:eastAsia="ja-JP"/>
        </w:rPr>
        <w:t>方法論、データ、仮定を選択</w:t>
      </w:r>
      <w:r>
        <w:rPr>
          <w:rFonts w:ascii="ＭＳ ゴシック" w:eastAsia="ＭＳ ゴシック" w:hAnsi="ＭＳ ゴシック" w:cs="ＭＳ ゴシック" w:hint="eastAsia"/>
          <w:lang w:eastAsia="ja-JP"/>
        </w:rPr>
        <w:t>しなくてはなりません</w:t>
      </w:r>
      <w:r w:rsidRPr="001F2C69">
        <w:rPr>
          <w:rFonts w:ascii="ＭＳ ゴシック" w:eastAsia="ＭＳ ゴシック" w:hAnsi="ＭＳ ゴシック" w:cs="ＭＳ ゴシック" w:hint="eastAsia"/>
          <w:lang w:eastAsia="ja-JP"/>
        </w:rPr>
        <w:t>。</w:t>
      </w:r>
    </w:p>
    <w:p w14:paraId="251BA615" w14:textId="258A2D71" w:rsidR="0055291C" w:rsidRDefault="001F2C69">
      <w:pPr>
        <w:pStyle w:val="7"/>
        <w:spacing w:before="129"/>
        <w:ind w:left="551" w:firstLine="0"/>
        <w:rPr>
          <w:lang w:eastAsia="ja-JP"/>
        </w:rPr>
      </w:pPr>
      <w:r>
        <w:rPr>
          <w:rFonts w:ascii="ＭＳ 明朝" w:eastAsia="ＭＳ 明朝" w:hAnsi="ＭＳ 明朝" w:cs="ＭＳ 明朝" w:hint="eastAsia"/>
          <w:color w:val="00B8B1"/>
          <w:lang w:eastAsia="ja-JP"/>
        </w:rPr>
        <w:t>一貫性</w:t>
      </w:r>
    </w:p>
    <w:p w14:paraId="31125F8F" w14:textId="293694C0" w:rsidR="0055291C" w:rsidRPr="0068617C" w:rsidRDefault="001F2C69" w:rsidP="0068617C">
      <w:pPr>
        <w:pStyle w:val="a3"/>
        <w:spacing w:before="1" w:line="312" w:lineRule="auto"/>
        <w:ind w:left="551" w:right="596" w:firstLineChars="100" w:firstLine="190"/>
        <w:rPr>
          <w:color w:val="545456"/>
          <w:lang w:eastAsia="ja-JP"/>
        </w:rPr>
      </w:pPr>
      <w:r w:rsidRPr="001F2C69">
        <w:rPr>
          <w:rFonts w:ascii="ＭＳ ゴシック" w:eastAsia="ＭＳ ゴシック" w:hAnsi="ＭＳ ゴシック" w:cs="ＭＳ ゴシック" w:hint="eastAsia"/>
          <w:color w:val="545456"/>
          <w:lang w:eastAsia="ja-JP"/>
        </w:rPr>
        <w:t>明確な監査証跡に基づき、事実に即した首尾一貫した方法で、すべての関連する問題を取り上げ、文書化</w:t>
      </w:r>
      <w:r>
        <w:rPr>
          <w:rFonts w:ascii="ＭＳ ゴシック" w:eastAsia="ＭＳ ゴシック" w:hAnsi="ＭＳ ゴシック" w:cs="ＭＳ ゴシック" w:hint="eastAsia"/>
          <w:color w:val="545456"/>
          <w:lang w:eastAsia="ja-JP"/>
        </w:rPr>
        <w:t>しなくてはなりません</w:t>
      </w:r>
      <w:r w:rsidRPr="001F2C69">
        <w:rPr>
          <w:rFonts w:ascii="ＭＳ ゴシック" w:eastAsia="ＭＳ ゴシック" w:hAnsi="ＭＳ ゴシック" w:cs="ＭＳ ゴシック" w:hint="eastAsia"/>
          <w:color w:val="545456"/>
          <w:lang w:eastAsia="ja-JP"/>
        </w:rPr>
        <w:t>。関連する仮定を開示し、</w:t>
      </w:r>
      <w:r>
        <w:rPr>
          <w:rFonts w:ascii="ＭＳ ゴシック" w:eastAsia="ＭＳ ゴシック" w:hAnsi="ＭＳ ゴシック" w:cs="ＭＳ ゴシック" w:hint="eastAsia"/>
          <w:color w:val="545456"/>
          <w:lang w:eastAsia="ja-JP"/>
        </w:rPr>
        <w:t>排出量</w:t>
      </w:r>
      <w:r w:rsidRPr="001F2C69">
        <w:rPr>
          <w:rFonts w:ascii="ＭＳ ゴシック" w:eastAsia="ＭＳ ゴシック" w:hAnsi="ＭＳ ゴシック" w:cs="ＭＳ ゴシック" w:hint="eastAsia"/>
          <w:color w:val="545456"/>
          <w:lang w:eastAsia="ja-JP"/>
        </w:rPr>
        <w:t>報告書に使用した手法とデータソースについて適切な言及を行</w:t>
      </w:r>
      <w:r>
        <w:rPr>
          <w:rFonts w:ascii="ＭＳ ゴシック" w:eastAsia="ＭＳ ゴシック" w:hAnsi="ＭＳ ゴシック" w:cs="ＭＳ ゴシック" w:hint="eastAsia"/>
          <w:color w:val="545456"/>
          <w:lang w:eastAsia="ja-JP"/>
        </w:rPr>
        <w:t>ってください</w:t>
      </w:r>
      <w:r w:rsidRPr="001F2C69">
        <w:rPr>
          <w:rFonts w:ascii="ＭＳ ゴシック" w:eastAsia="ＭＳ ゴシック" w:hAnsi="ＭＳ ゴシック" w:cs="ＭＳ ゴシック" w:hint="eastAsia"/>
          <w:color w:val="545456"/>
          <w:lang w:eastAsia="ja-JP"/>
        </w:rPr>
        <w:t>。報告書が表現しようとするものを忠実に表現するために、あらゆる推定値を明確に説明し、</w:t>
      </w:r>
      <w:r w:rsidR="0068617C">
        <w:rPr>
          <w:rFonts w:ascii="ＭＳ ゴシック" w:eastAsia="ＭＳ ゴシック" w:hAnsi="ＭＳ ゴシック" w:cs="ＭＳ ゴシック" w:hint="eastAsia"/>
          <w:color w:val="545456"/>
          <w:lang w:eastAsia="ja-JP"/>
        </w:rPr>
        <w:t>誤伝達</w:t>
      </w:r>
      <w:r w:rsidRPr="001F2C69">
        <w:rPr>
          <w:rFonts w:ascii="ＭＳ ゴシック" w:eastAsia="ＭＳ ゴシック" w:hAnsi="ＭＳ ゴシック" w:cs="ＭＳ ゴシック" w:hint="eastAsia"/>
          <w:color w:val="545456"/>
          <w:lang w:eastAsia="ja-JP"/>
        </w:rPr>
        <w:t>を回避</w:t>
      </w:r>
      <w:r>
        <w:rPr>
          <w:rFonts w:ascii="ＭＳ ゴシック" w:eastAsia="ＭＳ ゴシック" w:hAnsi="ＭＳ ゴシック" w:cs="ＭＳ ゴシック" w:hint="eastAsia"/>
          <w:color w:val="545456"/>
          <w:lang w:eastAsia="ja-JP"/>
        </w:rPr>
        <w:t>しなくてはなりません</w:t>
      </w:r>
      <w:r w:rsidRPr="001F2C69">
        <w:rPr>
          <w:rFonts w:ascii="ＭＳ ゴシック" w:eastAsia="ＭＳ ゴシック" w:hAnsi="ＭＳ ゴシック" w:cs="ＭＳ ゴシック" w:hint="eastAsia"/>
          <w:color w:val="545456"/>
          <w:lang w:eastAsia="ja-JP"/>
        </w:rPr>
        <w:t>。</w:t>
      </w:r>
    </w:p>
    <w:p w14:paraId="28E8BA88" w14:textId="7024F245" w:rsidR="0055291C" w:rsidRDefault="0068617C">
      <w:pPr>
        <w:pStyle w:val="7"/>
        <w:ind w:left="551" w:firstLine="0"/>
        <w:rPr>
          <w:lang w:eastAsia="ja-JP"/>
        </w:rPr>
      </w:pPr>
      <w:r>
        <w:rPr>
          <w:rFonts w:ascii="ＭＳ 明朝" w:eastAsia="ＭＳ 明朝" w:hAnsi="ＭＳ 明朝" w:cs="ＭＳ 明朝" w:hint="eastAsia"/>
          <w:color w:val="00B8B1"/>
          <w:lang w:eastAsia="ja-JP"/>
        </w:rPr>
        <w:t>透明性</w:t>
      </w:r>
    </w:p>
    <w:p w14:paraId="17592534" w14:textId="6FCD49A3" w:rsidR="0055291C" w:rsidRDefault="0068617C">
      <w:pPr>
        <w:pStyle w:val="a3"/>
        <w:spacing w:before="1" w:line="312" w:lineRule="auto"/>
        <w:ind w:left="551" w:right="1147"/>
        <w:rPr>
          <w:lang w:eastAsia="ja-JP"/>
        </w:rPr>
      </w:pPr>
      <w:r w:rsidRPr="0068617C">
        <w:rPr>
          <w:rFonts w:ascii="ＭＳ ゴシック" w:eastAsia="ＭＳ ゴシック" w:hAnsi="ＭＳ ゴシック" w:cs="ＭＳ ゴシック" w:hint="eastAsia"/>
          <w:color w:val="545456"/>
          <w:spacing w:val="-1"/>
          <w:lang w:eastAsia="ja-JP"/>
        </w:rPr>
        <w:t>報告された</w:t>
      </w:r>
      <w:r w:rsidRPr="0068617C">
        <w:rPr>
          <w:color w:val="545456"/>
          <w:spacing w:val="-1"/>
          <w:lang w:eastAsia="ja-JP"/>
        </w:rPr>
        <w:t>GHG</w:t>
      </w:r>
      <w:r>
        <w:rPr>
          <w:rFonts w:ascii="ＭＳ ゴシック" w:eastAsia="ＭＳ ゴシック" w:hAnsi="ＭＳ ゴシック" w:cs="ＭＳ ゴシック" w:hint="eastAsia"/>
          <w:color w:val="545456"/>
          <w:spacing w:val="-1"/>
          <w:lang w:eastAsia="ja-JP"/>
        </w:rPr>
        <w:t>の</w:t>
      </w:r>
      <w:r w:rsidRPr="0068617C">
        <w:rPr>
          <w:rFonts w:ascii="ＭＳ ゴシック" w:eastAsia="ＭＳ ゴシック" w:hAnsi="ＭＳ ゴシック" w:cs="ＭＳ ゴシック" w:hint="eastAsia"/>
          <w:color w:val="545456"/>
          <w:spacing w:val="-1"/>
          <w:lang w:eastAsia="ja-JP"/>
        </w:rPr>
        <w:t>排出</w:t>
      </w:r>
      <w:r>
        <w:rPr>
          <w:rFonts w:ascii="ＭＳ ゴシック" w:eastAsia="ＭＳ ゴシック" w:hAnsi="ＭＳ ゴシック" w:cs="ＭＳ ゴシック" w:hint="eastAsia"/>
          <w:color w:val="545456"/>
          <w:spacing w:val="-1"/>
          <w:lang w:eastAsia="ja-JP"/>
        </w:rPr>
        <w:t>、削減量</w:t>
      </w:r>
      <w:r w:rsidRPr="0068617C">
        <w:rPr>
          <w:rFonts w:ascii="ＭＳ ゴシック" w:eastAsia="ＭＳ ゴシック" w:hAnsi="ＭＳ ゴシック" w:cs="ＭＳ ゴシック" w:hint="eastAsia"/>
          <w:color w:val="545456"/>
          <w:spacing w:val="-1"/>
          <w:lang w:eastAsia="ja-JP"/>
        </w:rPr>
        <w:t>が、実際の排出</w:t>
      </w:r>
      <w:r>
        <w:rPr>
          <w:rFonts w:ascii="ＭＳ ゴシック" w:eastAsia="ＭＳ ゴシック" w:hAnsi="ＭＳ ゴシック" w:cs="ＭＳ ゴシック" w:hint="eastAsia"/>
          <w:color w:val="545456"/>
          <w:spacing w:val="-1"/>
          <w:lang w:eastAsia="ja-JP"/>
        </w:rPr>
        <w:t>、削減量</w:t>
      </w:r>
      <w:r w:rsidRPr="0068617C">
        <w:rPr>
          <w:rFonts w:ascii="ＭＳ ゴシック" w:eastAsia="ＭＳ ゴシック" w:hAnsi="ＭＳ ゴシック" w:cs="ＭＳ ゴシック" w:hint="eastAsia"/>
          <w:color w:val="545456"/>
          <w:spacing w:val="-1"/>
          <w:lang w:eastAsia="ja-JP"/>
        </w:rPr>
        <w:t>を系統的に上回ったり下回ったりしないようにし、不確実性を可能な限り低減するように</w:t>
      </w:r>
      <w:r>
        <w:rPr>
          <w:rFonts w:ascii="ＭＳ ゴシック" w:eastAsia="ＭＳ ゴシック" w:hAnsi="ＭＳ ゴシック" w:cs="ＭＳ ゴシック" w:hint="eastAsia"/>
          <w:color w:val="545456"/>
          <w:spacing w:val="-1"/>
          <w:lang w:eastAsia="ja-JP"/>
        </w:rPr>
        <w:t>してください</w:t>
      </w:r>
      <w:r w:rsidRPr="0068617C">
        <w:rPr>
          <w:rFonts w:ascii="ＭＳ ゴシック" w:eastAsia="ＭＳ ゴシック" w:hAnsi="ＭＳ ゴシック" w:cs="ＭＳ ゴシック" w:hint="eastAsia"/>
          <w:color w:val="545456"/>
          <w:spacing w:val="-1"/>
          <w:lang w:eastAsia="ja-JP"/>
        </w:rPr>
        <w:t>。利用者が報告された情報の信頼性について合理的な保証をもって意思決定を行うことができるよう、十分な精度を確保</w:t>
      </w:r>
      <w:r>
        <w:rPr>
          <w:rFonts w:ascii="ＭＳ ゴシック" w:eastAsia="ＭＳ ゴシック" w:hAnsi="ＭＳ ゴシック" w:cs="ＭＳ ゴシック" w:hint="eastAsia"/>
          <w:color w:val="545456"/>
          <w:spacing w:val="-1"/>
          <w:lang w:eastAsia="ja-JP"/>
        </w:rPr>
        <w:t>しなくてはなりません</w:t>
      </w:r>
      <w:r w:rsidRPr="0068617C">
        <w:rPr>
          <w:rFonts w:ascii="ＭＳ ゴシック" w:eastAsia="ＭＳ ゴシック" w:hAnsi="ＭＳ ゴシック" w:cs="ＭＳ ゴシック" w:hint="eastAsia"/>
          <w:color w:val="545456"/>
          <w:spacing w:val="-1"/>
          <w:lang w:eastAsia="ja-JP"/>
        </w:rPr>
        <w:t>。</w:t>
      </w:r>
    </w:p>
    <w:p w14:paraId="51F5058C" w14:textId="77777777" w:rsidR="0055291C" w:rsidRDefault="0055291C">
      <w:pPr>
        <w:spacing w:line="312" w:lineRule="auto"/>
        <w:rPr>
          <w:lang w:eastAsia="ja-JP"/>
        </w:rPr>
        <w:sectPr w:rsidR="0055291C">
          <w:type w:val="continuous"/>
          <w:pgSz w:w="12240" w:h="15840"/>
          <w:pgMar w:top="740" w:right="0" w:bottom="280" w:left="0" w:header="0" w:footer="0" w:gutter="0"/>
          <w:cols w:num="2" w:space="720" w:equalWidth="0">
            <w:col w:w="5671" w:space="40"/>
            <w:col w:w="6529"/>
          </w:cols>
        </w:sectPr>
      </w:pPr>
    </w:p>
    <w:p w14:paraId="3FE2AB8B" w14:textId="744DF178" w:rsidR="0055291C" w:rsidRPr="00A42C27" w:rsidRDefault="00000000" w:rsidP="00364979">
      <w:pPr>
        <w:pStyle w:val="1"/>
        <w:spacing w:before="216" w:line="180" w:lineRule="auto"/>
        <w:rPr>
          <w:rFonts w:ascii="ＭＳ 明朝" w:eastAsia="ＭＳ 明朝" w:hAnsi="ＭＳ 明朝" w:cs="ＭＳ 明朝"/>
          <w:color w:val="545456"/>
          <w:w w:val="95"/>
          <w:sz w:val="44"/>
          <w:szCs w:val="44"/>
          <w:lang w:eastAsia="ja-JP"/>
        </w:rPr>
      </w:pPr>
      <w:r>
        <w:rPr>
          <w:sz w:val="44"/>
          <w:szCs w:val="44"/>
        </w:rPr>
        <w:lastRenderedPageBreak/>
        <w:pict w14:anchorId="6CFEFA69">
          <v:group id="docshapegroup369" o:spid="_x0000_s3423" style="position:absolute;left:0;text-align:left;margin-left:0;margin-top:0;width:612pt;height:11in;z-index:-251587072;mso-position-horizontal-relative:page;mso-position-vertical-relative:page" coordsize="12240,15840">
            <v:shape id="docshape370" o:spid="_x0000_s3426" type="#_x0000_t75" style="position:absolute;width:12240;height:15840">
              <v:imagedata r:id="rId98" o:title=""/>
            </v:shape>
            <v:rect id="docshape371" o:spid="_x0000_s3425" style="position:absolute;width:12240;height:2015" fillcolor="#f3f4f4" stroked="f">
              <v:fill opacity="45875f"/>
            </v:rect>
            <v:shape id="docshape372" o:spid="_x0000_s3424" style="position:absolute;width:2133;height:2015" coordsize="2133,2015" path="m2132,l,,,2014r1892,l2031,2011r71,-27l2129,1913r3,-139l2132,xe" fillcolor="#00aca1" stroked="f">
              <v:path arrowok="t"/>
            </v:shape>
            <w10:wrap anchorx="page" anchory="page"/>
          </v:group>
        </w:pict>
      </w:r>
      <w:r>
        <w:rPr>
          <w:sz w:val="44"/>
          <w:szCs w:val="44"/>
        </w:rPr>
        <w:pict w14:anchorId="0CD97FD0">
          <v:shape id="docshape373" o:spid="_x0000_s3422" type="#_x0000_t202" style="position:absolute;left:0;text-align:left;margin-left:56.4pt;margin-top:13.9pt;width:36.4pt;height:35.9pt;z-index:251561472;mso-position-horizontal-relative:page" filled="f" stroked="f">
            <v:textbox style="mso-next-textbox:#docshape373" inset="0,0,0,0">
              <w:txbxContent>
                <w:p w14:paraId="37DD7818" w14:textId="77777777" w:rsidR="0055291C" w:rsidRDefault="00F23C61">
                  <w:pPr>
                    <w:spacing w:line="717" w:lineRule="exact"/>
                    <w:rPr>
                      <w:rFonts w:ascii="Arial"/>
                      <w:b/>
                      <w:i/>
                      <w:sz w:val="64"/>
                    </w:rPr>
                  </w:pPr>
                  <w:r>
                    <w:rPr>
                      <w:rFonts w:ascii="Arial"/>
                      <w:b/>
                      <w:i/>
                      <w:color w:val="F3F4F4"/>
                      <w:sz w:val="64"/>
                    </w:rPr>
                    <w:t>05</w:t>
                  </w:r>
                </w:p>
              </w:txbxContent>
            </v:textbox>
            <w10:wrap anchorx="page"/>
          </v:shape>
        </w:pict>
      </w:r>
      <w:r w:rsidR="00EB7758" w:rsidRPr="00A42C27">
        <w:rPr>
          <w:rFonts w:ascii="ＭＳ 明朝" w:eastAsia="ＭＳ 明朝" w:hAnsi="ＭＳ 明朝" w:cs="ＭＳ 明朝" w:hint="eastAsia"/>
          <w:color w:val="545456"/>
          <w:w w:val="95"/>
          <w:sz w:val="44"/>
          <w:szCs w:val="44"/>
          <w:lang w:eastAsia="ja-JP"/>
        </w:rPr>
        <w:t>製品ライフサイクルにおける</w:t>
      </w:r>
      <w:r w:rsidR="00EB7758" w:rsidRPr="00A42C27">
        <w:rPr>
          <w:color w:val="545456"/>
          <w:w w:val="95"/>
          <w:sz w:val="44"/>
          <w:szCs w:val="44"/>
          <w:lang w:eastAsia="ja-JP"/>
        </w:rPr>
        <w:t>GHG</w:t>
      </w:r>
      <w:r w:rsidR="00364979">
        <w:rPr>
          <w:rFonts w:ascii="ＭＳ 明朝" w:eastAsia="ＭＳ 明朝" w:hAnsi="ＭＳ 明朝" w:cs="ＭＳ 明朝" w:hint="eastAsia"/>
          <w:color w:val="545456"/>
          <w:w w:val="95"/>
          <w:sz w:val="44"/>
          <w:szCs w:val="44"/>
          <w:lang w:eastAsia="ja-JP"/>
        </w:rPr>
        <w:t>算出</w:t>
      </w:r>
      <w:r w:rsidR="00EB7758" w:rsidRPr="00A42C27">
        <w:rPr>
          <w:rFonts w:ascii="ＭＳ 明朝" w:eastAsia="ＭＳ 明朝" w:hAnsi="ＭＳ 明朝" w:cs="ＭＳ 明朝" w:hint="eastAsia"/>
          <w:color w:val="545456"/>
          <w:w w:val="95"/>
          <w:sz w:val="44"/>
          <w:szCs w:val="44"/>
          <w:lang w:eastAsia="ja-JP"/>
        </w:rPr>
        <w:t>の基礎</w:t>
      </w:r>
    </w:p>
    <w:p w14:paraId="75DBCB9C" w14:textId="77777777" w:rsidR="0055291C" w:rsidRDefault="0055291C">
      <w:pPr>
        <w:spacing w:line="180" w:lineRule="auto"/>
        <w:rPr>
          <w:lang w:eastAsia="ja-JP"/>
        </w:rPr>
        <w:sectPr w:rsidR="0055291C">
          <w:headerReference w:type="even" r:id="rId99"/>
          <w:footerReference w:type="even" r:id="rId100"/>
          <w:pgSz w:w="12240" w:h="15840"/>
          <w:pgMar w:top="820" w:right="0" w:bottom="280" w:left="0" w:header="0" w:footer="0" w:gutter="0"/>
          <w:cols w:space="720"/>
        </w:sectPr>
      </w:pPr>
    </w:p>
    <w:p w14:paraId="0C1F10E4" w14:textId="77777777" w:rsidR="0055291C" w:rsidRDefault="0055291C">
      <w:pPr>
        <w:pStyle w:val="a3"/>
        <w:rPr>
          <w:rFonts w:ascii="Arial"/>
          <w:b/>
          <w:i/>
          <w:sz w:val="20"/>
          <w:lang w:eastAsia="ja-JP"/>
        </w:rPr>
      </w:pPr>
    </w:p>
    <w:p w14:paraId="1ED7BFFD" w14:textId="77777777" w:rsidR="0055291C" w:rsidRDefault="0055291C">
      <w:pPr>
        <w:pStyle w:val="a3"/>
        <w:rPr>
          <w:rFonts w:ascii="Arial"/>
          <w:b/>
          <w:i/>
          <w:sz w:val="20"/>
          <w:lang w:eastAsia="ja-JP"/>
        </w:rPr>
      </w:pPr>
    </w:p>
    <w:p w14:paraId="55ED197C" w14:textId="77777777" w:rsidR="0055291C" w:rsidRDefault="0055291C">
      <w:pPr>
        <w:pStyle w:val="a3"/>
        <w:rPr>
          <w:rFonts w:ascii="Arial"/>
          <w:b/>
          <w:i/>
          <w:sz w:val="20"/>
          <w:lang w:eastAsia="ja-JP"/>
        </w:rPr>
      </w:pPr>
    </w:p>
    <w:p w14:paraId="03F79C51" w14:textId="77777777" w:rsidR="0055291C" w:rsidRDefault="0055291C">
      <w:pPr>
        <w:pStyle w:val="a3"/>
        <w:rPr>
          <w:rFonts w:ascii="Arial"/>
          <w:b/>
          <w:i/>
          <w:sz w:val="20"/>
          <w:lang w:eastAsia="ja-JP"/>
        </w:rPr>
      </w:pPr>
    </w:p>
    <w:p w14:paraId="4D3482FA" w14:textId="77777777" w:rsidR="0055291C" w:rsidRDefault="0055291C">
      <w:pPr>
        <w:pStyle w:val="a3"/>
        <w:rPr>
          <w:rFonts w:ascii="Arial"/>
          <w:b/>
          <w:i/>
          <w:sz w:val="20"/>
          <w:lang w:eastAsia="ja-JP"/>
        </w:rPr>
      </w:pPr>
    </w:p>
    <w:p w14:paraId="72918975" w14:textId="77777777" w:rsidR="0055291C" w:rsidRDefault="0055291C">
      <w:pPr>
        <w:pStyle w:val="a3"/>
        <w:rPr>
          <w:rFonts w:ascii="Arial"/>
          <w:b/>
          <w:i/>
          <w:sz w:val="20"/>
          <w:lang w:eastAsia="ja-JP"/>
        </w:rPr>
      </w:pPr>
    </w:p>
    <w:p w14:paraId="54534922" w14:textId="77777777" w:rsidR="0055291C" w:rsidRDefault="0055291C">
      <w:pPr>
        <w:pStyle w:val="a3"/>
        <w:rPr>
          <w:rFonts w:ascii="Arial"/>
          <w:b/>
          <w:i/>
          <w:sz w:val="20"/>
          <w:lang w:eastAsia="ja-JP"/>
        </w:rPr>
      </w:pPr>
    </w:p>
    <w:p w14:paraId="1A299278" w14:textId="77777777" w:rsidR="0055291C" w:rsidRDefault="0055291C">
      <w:pPr>
        <w:pStyle w:val="a3"/>
        <w:rPr>
          <w:rFonts w:ascii="Arial"/>
          <w:b/>
          <w:i/>
          <w:sz w:val="20"/>
          <w:lang w:eastAsia="ja-JP"/>
        </w:rPr>
      </w:pPr>
    </w:p>
    <w:p w14:paraId="47E4B566" w14:textId="77777777" w:rsidR="0055291C" w:rsidRDefault="0055291C">
      <w:pPr>
        <w:pStyle w:val="a3"/>
        <w:rPr>
          <w:rFonts w:ascii="Arial"/>
          <w:b/>
          <w:i/>
          <w:sz w:val="20"/>
          <w:lang w:eastAsia="ja-JP"/>
        </w:rPr>
      </w:pPr>
    </w:p>
    <w:p w14:paraId="2C0FDF8D" w14:textId="77777777" w:rsidR="0055291C" w:rsidRDefault="0055291C">
      <w:pPr>
        <w:pStyle w:val="a3"/>
        <w:rPr>
          <w:rFonts w:ascii="Arial"/>
          <w:b/>
          <w:i/>
          <w:sz w:val="20"/>
          <w:lang w:eastAsia="ja-JP"/>
        </w:rPr>
      </w:pPr>
    </w:p>
    <w:p w14:paraId="77FFE15C" w14:textId="77777777" w:rsidR="0055291C" w:rsidRDefault="0055291C">
      <w:pPr>
        <w:pStyle w:val="a3"/>
        <w:rPr>
          <w:rFonts w:ascii="Arial"/>
          <w:b/>
          <w:i/>
          <w:sz w:val="20"/>
          <w:lang w:eastAsia="ja-JP"/>
        </w:rPr>
      </w:pPr>
    </w:p>
    <w:p w14:paraId="2E758F04" w14:textId="77777777" w:rsidR="0055291C" w:rsidRDefault="0055291C">
      <w:pPr>
        <w:pStyle w:val="a3"/>
        <w:rPr>
          <w:rFonts w:ascii="Arial"/>
          <w:b/>
          <w:i/>
          <w:sz w:val="20"/>
          <w:lang w:eastAsia="ja-JP"/>
        </w:rPr>
      </w:pPr>
    </w:p>
    <w:p w14:paraId="6EFC6B62" w14:textId="77777777" w:rsidR="0055291C" w:rsidRDefault="0055291C">
      <w:pPr>
        <w:pStyle w:val="a3"/>
        <w:rPr>
          <w:rFonts w:ascii="Arial"/>
          <w:b/>
          <w:i/>
          <w:sz w:val="20"/>
          <w:lang w:eastAsia="ja-JP"/>
        </w:rPr>
      </w:pPr>
    </w:p>
    <w:p w14:paraId="64B0941F" w14:textId="77777777" w:rsidR="0055291C" w:rsidRDefault="0055291C">
      <w:pPr>
        <w:pStyle w:val="a3"/>
        <w:rPr>
          <w:rFonts w:ascii="Arial"/>
          <w:b/>
          <w:i/>
          <w:sz w:val="20"/>
          <w:lang w:eastAsia="ja-JP"/>
        </w:rPr>
      </w:pPr>
    </w:p>
    <w:p w14:paraId="652F5D79" w14:textId="77777777" w:rsidR="0055291C" w:rsidRDefault="0055291C">
      <w:pPr>
        <w:pStyle w:val="a3"/>
        <w:rPr>
          <w:rFonts w:ascii="Arial"/>
          <w:b/>
          <w:i/>
          <w:sz w:val="20"/>
          <w:lang w:eastAsia="ja-JP"/>
        </w:rPr>
      </w:pPr>
    </w:p>
    <w:p w14:paraId="6521E098" w14:textId="77777777" w:rsidR="0055291C" w:rsidRDefault="0055291C">
      <w:pPr>
        <w:pStyle w:val="a3"/>
        <w:rPr>
          <w:rFonts w:ascii="Arial"/>
          <w:b/>
          <w:i/>
          <w:sz w:val="20"/>
          <w:lang w:eastAsia="ja-JP"/>
        </w:rPr>
      </w:pPr>
    </w:p>
    <w:p w14:paraId="5FB207CD" w14:textId="77777777" w:rsidR="0055291C" w:rsidRDefault="0055291C">
      <w:pPr>
        <w:pStyle w:val="a3"/>
        <w:rPr>
          <w:rFonts w:ascii="Arial"/>
          <w:b/>
          <w:i/>
          <w:sz w:val="20"/>
          <w:lang w:eastAsia="ja-JP"/>
        </w:rPr>
      </w:pPr>
    </w:p>
    <w:p w14:paraId="4BE2227B" w14:textId="77777777" w:rsidR="0055291C" w:rsidRDefault="0055291C">
      <w:pPr>
        <w:pStyle w:val="a3"/>
        <w:rPr>
          <w:rFonts w:ascii="Arial"/>
          <w:b/>
          <w:i/>
          <w:sz w:val="20"/>
          <w:lang w:eastAsia="ja-JP"/>
        </w:rPr>
      </w:pPr>
    </w:p>
    <w:p w14:paraId="3D51AED0" w14:textId="77777777" w:rsidR="0055291C" w:rsidRDefault="0055291C">
      <w:pPr>
        <w:pStyle w:val="a3"/>
        <w:rPr>
          <w:rFonts w:ascii="Arial"/>
          <w:b/>
          <w:i/>
          <w:sz w:val="20"/>
          <w:lang w:eastAsia="ja-JP"/>
        </w:rPr>
      </w:pPr>
    </w:p>
    <w:p w14:paraId="01AC2B25" w14:textId="77777777" w:rsidR="0055291C" w:rsidRDefault="0055291C">
      <w:pPr>
        <w:pStyle w:val="a3"/>
        <w:rPr>
          <w:rFonts w:ascii="Arial"/>
          <w:b/>
          <w:i/>
          <w:sz w:val="20"/>
          <w:lang w:eastAsia="ja-JP"/>
        </w:rPr>
      </w:pPr>
    </w:p>
    <w:p w14:paraId="44FFEC27" w14:textId="77777777" w:rsidR="0055291C" w:rsidRDefault="0055291C">
      <w:pPr>
        <w:pStyle w:val="a3"/>
        <w:rPr>
          <w:rFonts w:ascii="Arial"/>
          <w:b/>
          <w:i/>
          <w:sz w:val="20"/>
          <w:lang w:eastAsia="ja-JP"/>
        </w:rPr>
      </w:pPr>
    </w:p>
    <w:p w14:paraId="2913797A" w14:textId="77777777" w:rsidR="0055291C" w:rsidRDefault="0055291C">
      <w:pPr>
        <w:pStyle w:val="a3"/>
        <w:rPr>
          <w:rFonts w:ascii="Arial"/>
          <w:b/>
          <w:i/>
          <w:sz w:val="20"/>
          <w:lang w:eastAsia="ja-JP"/>
        </w:rPr>
      </w:pPr>
    </w:p>
    <w:p w14:paraId="6B27F79D" w14:textId="77777777" w:rsidR="0055291C" w:rsidRDefault="0055291C">
      <w:pPr>
        <w:pStyle w:val="a3"/>
        <w:rPr>
          <w:rFonts w:ascii="Arial"/>
          <w:b/>
          <w:i/>
          <w:sz w:val="20"/>
          <w:lang w:eastAsia="ja-JP"/>
        </w:rPr>
      </w:pPr>
    </w:p>
    <w:p w14:paraId="77532802" w14:textId="77777777" w:rsidR="0055291C" w:rsidRDefault="0055291C">
      <w:pPr>
        <w:pStyle w:val="a3"/>
        <w:spacing w:before="4"/>
        <w:rPr>
          <w:rFonts w:ascii="Arial"/>
          <w:b/>
          <w:i/>
          <w:sz w:val="24"/>
          <w:lang w:eastAsia="ja-JP"/>
        </w:rPr>
      </w:pPr>
    </w:p>
    <w:p w14:paraId="4C32DD2C" w14:textId="32B7A72F" w:rsidR="0055291C" w:rsidRPr="004048E5" w:rsidRDefault="00000000">
      <w:pPr>
        <w:pStyle w:val="a5"/>
        <w:numPr>
          <w:ilvl w:val="1"/>
          <w:numId w:val="54"/>
        </w:numPr>
        <w:tabs>
          <w:tab w:val="left" w:pos="1854"/>
        </w:tabs>
        <w:spacing w:before="99"/>
        <w:ind w:hanging="721"/>
        <w:jc w:val="both"/>
        <w:rPr>
          <w:rFonts w:ascii="Arial"/>
          <w:b/>
          <w:i/>
          <w:color w:val="00ACA1"/>
          <w:sz w:val="24"/>
        </w:rPr>
      </w:pPr>
      <w:r>
        <w:rPr>
          <w:color w:val="00ACA1"/>
        </w:rPr>
        <w:pict w14:anchorId="0F09172C">
          <v:group id="docshapegroup376" o:spid="_x0000_s3418" style="position:absolute;left:0;text-align:left;margin-left:253.7pt;margin-top:-278.75pt;width:358.55pt;height:382.95pt;z-index:-251586048;mso-position-horizontal-relative:page" coordorigin="5074,-5575" coordsize="7171,7659">
            <v:shape id="docshape377" o:spid="_x0000_s3421" style="position:absolute;left:5079;top:-5570;width:7161;height:7649" coordorigin="5079,-5570" coordsize="7161,7649" o:spt="100" adj="0,,0" path="m6524,-5570r-36,32l6436,-5488r-51,49l5945,-4933r-301,460l5472,-4139r-55,128l8039,-4215r1645,189l10536,-3715r244,164l10738,-3615r-44,-64l10650,-3743r-46,-64l10558,-3870r-48,-64l10462,-3997r-50,-62l10362,-4121r-52,-62l10258,-4245r-52,-61l10152,-4367r-54,-60l10044,-4487r-55,-59l9933,-4605r-56,-58l9821,-4721r-56,-57l9708,-4835r-57,-56l9595,-4946r-57,-55l8910,-5563r-9,-7m8810,-5570r1022,862l10860,-3426r380,816l11295,-2324r16,-75l11327,-2474r14,-76l11354,-2627r13,-78l11378,-2783r11,-78l11398,-2940r9,-79l11415,-3099r8,-80l11429,-3259r6,-80l11440,-3420r4,-80l11448,-3580r3,-81l11453,-3741r1,-80l11456,-3901r,-79l11456,-4059r-1,-79l11454,-4217r-42,-835l11360,-5570t-49,l11452,-3804r-191,1625l10946,-1337r-166,241l10845,-1138r65,-43l10975,-1225r64,-45l11103,-1316r64,-47l11231,-1411r63,-49l11358,-1510r62,-50l11483,-1612r62,-52l11606,-1717r61,-53l11728,-1824r60,-54l11847,-1933r59,-55l11965,-2043r58,-56l12080,-2155r56,-56l12192,-2267r48,-49m12240,-2369r-289,334l10653,-1019r-826,375l9538,-589r75,16l9690,-558r77,14l9845,-531r78,12l10002,-507r80,10l10162,-487r80,9l10323,-470r81,7l10485,-457r81,6l10647,-446r81,4l10810,-438r81,3l10972,-433r81,1l11134,-430r81,l11295,-430r80,-1l11454,-432r786,-38m11244,1745r81,-34l11405,1675r78,-36l11560,1601r75,-39l11708,1523r73,-41l11851,1441r70,-43l11988,1355r67,-44l12120,1266r63,-45l12240,1178t,-1707l11038,-435,9392,-624,8540,-935r-244,-164l8338,-1034r44,64l8426,-907r46,64l8518,-779r48,63l8615,-653r49,62l8715,-529r51,62l8818,-405r53,61l8924,-283r54,60l9033,-163r55,59l9143,-45r56,59l9255,71r57,58l9368,185r57,56l9482,296r57,55l10166,913r546,441l11098,1642r146,103m7833,1743r82,33l7996,1807r82,28l8159,1862r80,26l8319,1911r80,22l8479,1953r79,18l8637,1988r78,15l8793,2017r77,12l8946,2040r76,9l9098,2057r75,7l9247,2069r74,4l9393,2076r73,2l9537,2079r674,-51l10752,1913r361,-116l11244,1745,9243,58,8215,-1225r-380,-815l7781,-2326r-17,75l7749,-2176r-14,77l7721,-2022r-12,77l7697,-1867r-10,78l7677,-1710r-9,80l7660,-1551r-7,80l7646,-1391r-5,80l7636,-1230r-5,80l7628,-1070r-3,81l7622,-909r-1,80l7620,-749r-1,79l7619,-590r1,79l7621,-433r42,836l7735,1096r68,472l7833,1743m5418,-640r34,81l5488,-481r37,77l5563,-328r39,74l5642,-181r42,71l5726,-41r43,69l5813,94r44,66l5903,224r46,62l5996,347r47,60l6091,466r48,57l6188,578r49,55l6286,686r50,52l6386,788r513,434l7364,1519r338,170l7833,1743,7626,-846r190,-1625l8132,-3314r165,-240l8232,-3512r-65,42l8103,-3426r-65,46l7974,-3334r-64,47l7846,-3239r-63,49l7720,-3140r-63,50l7595,-3038r-62,52l7472,-2933r-61,53l7350,-2826r-60,54l7230,-2717r-59,55l7113,-2607r-58,56l6998,-2495r-57,56l6885,-2383r-55,56l6261,-1706r-447,540l5522,-784r-104,144m5417,-4011r-33,81l5353,-3849r-29,80l5297,-3689r-25,80l5248,-3530r-22,79l5206,-3372r-18,78l5171,-3216r-16,77l5142,-3062r-13,77l5119,-2910r-10,76l5101,-2760r-7,74l5089,-2612r-4,72l5082,-2468r-2,72l5079,-2326r52,666l5247,-1125r117,356l5418,-640,7125,-2615,8424,-3631r826,-376l9539,-4061r-76,-16l9387,-4092r-78,-14l9232,-4119r-79,-12l9074,-4143r-79,-10l8915,-4163r-81,-9l8754,-4179r-81,-8l8592,-4193r-81,-6l8429,-4204r-81,-4l8267,-4211r-82,-3l8104,-4217r-81,-1l7942,-4219r-80,-1l7781,-4220r-79,1l7622,-4218r-846,41l6074,-4106r-479,66l5417,-4011e" filled="f" strokecolor="#d9dadc" strokeweight=".5pt">
              <v:stroke joinstyle="round"/>
              <v:formulas/>
              <v:path arrowok="t" o:connecttype="segments"/>
            </v:shape>
            <v:shape id="docshape378" o:spid="_x0000_s3420" style="position:absolute;left:11614;top:-5570;width:626;height:5717" coordorigin="11615,-5570" coordsize="626,5717" path="m12240,-5570r-625,l11615,-80r3,131l11643,118r67,25l11842,146r398,l12240,-5570xe" fillcolor="#00aca1" stroked="f">
              <v:path arrowok="t"/>
            </v:shape>
            <v:shape id="docshape379" o:spid="_x0000_s3419" style="position:absolute;left:11614;top:-5570;width:626;height:5717" coordorigin="11615,-5570" coordsize="626,5717" path="m12240,-5570r-625,l11615,-80r3,131l11643,118r67,25l11842,146r398,l12240,-5570xe" fillcolor="#7f3f98" stroked="f">
              <v:path arrowok="t"/>
            </v:shape>
            <w10:wrap anchorx="page"/>
          </v:group>
        </w:pict>
      </w:r>
      <w:r>
        <w:rPr>
          <w:color w:val="00ACA1"/>
        </w:rPr>
        <w:pict w14:anchorId="6ACAA6D5">
          <v:shape id="docshape380" o:spid="_x0000_s3417" type="#_x0000_t202" style="position:absolute;left:0;text-align:left;margin-left:585.65pt;margin-top:-204.85pt;width:17.7pt;height:180.55pt;z-index:251562496;mso-position-horizontal-relative:page" filled="f" stroked="f">
            <v:textbox style="layout-flow:vertical;mso-layout-flow-alt:bottom-to-top;mso-next-textbox:#docshape380" inset="0,0,0,0">
              <w:txbxContent>
                <w:p w14:paraId="44FEFE97" w14:textId="77777777" w:rsidR="0055291C" w:rsidRDefault="00F23C61">
                  <w:pPr>
                    <w:spacing w:before="18"/>
                    <w:ind w:left="20"/>
                    <w:rPr>
                      <w:rFonts w:ascii="Arial"/>
                      <w:b/>
                      <w:i/>
                      <w:sz w:val="28"/>
                    </w:rPr>
                  </w:pPr>
                  <w:r>
                    <w:rPr>
                      <w:rFonts w:ascii="Arial"/>
                      <w:b/>
                      <w:i/>
                      <w:color w:val="F3F4F4"/>
                      <w:spacing w:val="-159"/>
                      <w:w w:val="92"/>
                      <w:sz w:val="28"/>
                    </w:rPr>
                    <w:t>g</w:t>
                  </w:r>
                  <w:r>
                    <w:rPr>
                      <w:rFonts w:ascii="Arial"/>
                      <w:b/>
                      <w:i/>
                      <w:color w:val="F3F4F4"/>
                      <w:w w:val="109"/>
                      <w:sz w:val="28"/>
                    </w:rPr>
                    <w:t>r</w:t>
                  </w:r>
                  <w:r>
                    <w:rPr>
                      <w:rFonts w:ascii="Arial"/>
                      <w:b/>
                      <w:i/>
                      <w:color w:val="F3F4F4"/>
                      <w:sz w:val="28"/>
                    </w:rPr>
                    <w:t xml:space="preserve"> </w:t>
                  </w:r>
                  <w:r>
                    <w:rPr>
                      <w:rFonts w:ascii="Arial"/>
                      <w:b/>
                      <w:i/>
                      <w:color w:val="F3F4F4"/>
                      <w:spacing w:val="6"/>
                      <w:sz w:val="28"/>
                    </w:rPr>
                    <w:t xml:space="preserve"> </w:t>
                  </w:r>
                  <w:proofErr w:type="spellStart"/>
                  <w:r>
                    <w:rPr>
                      <w:rFonts w:ascii="Arial"/>
                      <w:b/>
                      <w:i/>
                      <w:color w:val="F3F4F4"/>
                      <w:spacing w:val="-104"/>
                      <w:w w:val="95"/>
                      <w:sz w:val="28"/>
                    </w:rPr>
                    <w:t>e</w:t>
                  </w:r>
                  <w:r>
                    <w:rPr>
                      <w:rFonts w:ascii="Arial"/>
                      <w:b/>
                      <w:i/>
                      <w:color w:val="F3F4F4"/>
                      <w:w w:val="95"/>
                      <w:sz w:val="28"/>
                    </w:rPr>
                    <w:t>u</w:t>
                  </w:r>
                  <w:proofErr w:type="spellEnd"/>
                  <w:r>
                    <w:rPr>
                      <w:rFonts w:ascii="Arial"/>
                      <w:b/>
                      <w:i/>
                      <w:color w:val="F3F4F4"/>
                      <w:spacing w:val="30"/>
                      <w:sz w:val="28"/>
                    </w:rPr>
                    <w:t xml:space="preserve"> </w:t>
                  </w:r>
                  <w:r>
                    <w:rPr>
                      <w:rFonts w:ascii="Arial"/>
                      <w:b/>
                      <w:i/>
                      <w:color w:val="F3F4F4"/>
                      <w:spacing w:val="-102"/>
                      <w:w w:val="93"/>
                      <w:sz w:val="28"/>
                    </w:rPr>
                    <w:t>q</w:t>
                  </w:r>
                  <w:r>
                    <w:rPr>
                      <w:rFonts w:ascii="Arial"/>
                      <w:b/>
                      <w:i/>
                      <w:color w:val="F3F4F4"/>
                      <w:w w:val="101"/>
                      <w:sz w:val="28"/>
                    </w:rPr>
                    <w:t>i</w:t>
                  </w:r>
                  <w:r>
                    <w:rPr>
                      <w:rFonts w:ascii="Arial"/>
                      <w:b/>
                      <w:i/>
                      <w:color w:val="F3F4F4"/>
                      <w:sz w:val="28"/>
                    </w:rPr>
                    <w:t xml:space="preserve"> </w:t>
                  </w:r>
                  <w:r>
                    <w:rPr>
                      <w:rFonts w:ascii="Arial"/>
                      <w:b/>
                      <w:i/>
                      <w:color w:val="F3F4F4"/>
                      <w:spacing w:val="12"/>
                      <w:sz w:val="28"/>
                    </w:rPr>
                    <w:t xml:space="preserve"> </w:t>
                  </w:r>
                  <w:r>
                    <w:rPr>
                      <w:rFonts w:ascii="Arial"/>
                      <w:b/>
                      <w:i/>
                      <w:color w:val="F3F4F4"/>
                      <w:spacing w:val="-144"/>
                      <w:w w:val="96"/>
                      <w:sz w:val="28"/>
                    </w:rPr>
                    <w:t>d</w:t>
                  </w:r>
                  <w:r>
                    <w:rPr>
                      <w:rFonts w:ascii="Arial"/>
                      <w:b/>
                      <w:i/>
                      <w:color w:val="F3F4F4"/>
                      <w:w w:val="95"/>
                      <w:sz w:val="28"/>
                    </w:rPr>
                    <w:t>u</w:t>
                  </w:r>
                  <w:r>
                    <w:rPr>
                      <w:rFonts w:ascii="Arial"/>
                      <w:b/>
                      <w:i/>
                      <w:color w:val="F3F4F4"/>
                      <w:sz w:val="28"/>
                    </w:rPr>
                    <w:t xml:space="preserve"> </w:t>
                  </w:r>
                  <w:r>
                    <w:rPr>
                      <w:rFonts w:ascii="Arial"/>
                      <w:b/>
                      <w:i/>
                      <w:color w:val="F3F4F4"/>
                      <w:spacing w:val="-7"/>
                      <w:sz w:val="28"/>
                    </w:rPr>
                    <w:t xml:space="preserve"> </w:t>
                  </w:r>
                  <w:r>
                    <w:rPr>
                      <w:rFonts w:ascii="Arial"/>
                      <w:b/>
                      <w:i/>
                      <w:color w:val="F3F4F4"/>
                      <w:spacing w:val="-146"/>
                      <w:w w:val="105"/>
                      <w:sz w:val="28"/>
                    </w:rPr>
                    <w:t>a</w:t>
                  </w:r>
                  <w:r>
                    <w:rPr>
                      <w:rFonts w:ascii="Arial"/>
                      <w:b/>
                      <w:i/>
                      <w:color w:val="F3F4F4"/>
                      <w:w w:val="101"/>
                      <w:sz w:val="28"/>
                    </w:rPr>
                    <w:t>i</w:t>
                  </w:r>
                  <w:r>
                    <w:rPr>
                      <w:rFonts w:ascii="Arial"/>
                      <w:b/>
                      <w:i/>
                      <w:color w:val="F3F4F4"/>
                      <w:sz w:val="28"/>
                    </w:rPr>
                    <w:t xml:space="preserve"> </w:t>
                  </w:r>
                  <w:r>
                    <w:rPr>
                      <w:rFonts w:ascii="Arial"/>
                      <w:b/>
                      <w:i/>
                      <w:color w:val="F3F4F4"/>
                      <w:spacing w:val="12"/>
                      <w:sz w:val="28"/>
                    </w:rPr>
                    <w:t xml:space="preserve"> </w:t>
                  </w:r>
                  <w:proofErr w:type="spellStart"/>
                  <w:r>
                    <w:rPr>
                      <w:rFonts w:ascii="Arial"/>
                      <w:b/>
                      <w:i/>
                      <w:color w:val="F3F4F4"/>
                      <w:spacing w:val="-54"/>
                      <w:w w:val="109"/>
                      <w:sz w:val="28"/>
                    </w:rPr>
                    <w:t>r</w:t>
                  </w:r>
                  <w:r>
                    <w:rPr>
                      <w:rFonts w:ascii="Arial"/>
                      <w:b/>
                      <w:i/>
                      <w:color w:val="F3F4F4"/>
                      <w:w w:val="92"/>
                      <w:sz w:val="28"/>
                    </w:rPr>
                    <w:t>n</w:t>
                  </w:r>
                  <w:proofErr w:type="spellEnd"/>
                  <w:r>
                    <w:rPr>
                      <w:rFonts w:ascii="Arial"/>
                      <w:b/>
                      <w:i/>
                      <w:color w:val="F3F4F4"/>
                      <w:spacing w:val="-21"/>
                      <w:sz w:val="28"/>
                    </w:rPr>
                    <w:t xml:space="preserve"> </w:t>
                  </w:r>
                  <w:proofErr w:type="spellStart"/>
                  <w:r>
                    <w:rPr>
                      <w:rFonts w:ascii="Arial"/>
                      <w:b/>
                      <w:i/>
                      <w:color w:val="F3F4F4"/>
                      <w:spacing w:val="-38"/>
                      <w:w w:val="95"/>
                      <w:sz w:val="28"/>
                    </w:rPr>
                    <w:t>e</w:t>
                  </w:r>
                  <w:r>
                    <w:rPr>
                      <w:rFonts w:ascii="Arial"/>
                      <w:b/>
                      <w:i/>
                      <w:color w:val="F3F4F4"/>
                      <w:w w:val="86"/>
                      <w:sz w:val="28"/>
                    </w:rPr>
                    <w:t>c</w:t>
                  </w:r>
                  <w:proofErr w:type="spellEnd"/>
                  <w:r>
                    <w:rPr>
                      <w:rFonts w:ascii="Arial"/>
                      <w:b/>
                      <w:i/>
                      <w:color w:val="F3F4F4"/>
                      <w:spacing w:val="-7"/>
                      <w:sz w:val="28"/>
                    </w:rPr>
                    <w:t xml:space="preserve"> </w:t>
                  </w:r>
                  <w:r>
                    <w:rPr>
                      <w:rFonts w:ascii="Arial"/>
                      <w:b/>
                      <w:i/>
                      <w:color w:val="F3F4F4"/>
                      <w:spacing w:val="-147"/>
                      <w:w w:val="95"/>
                      <w:sz w:val="28"/>
                    </w:rPr>
                    <w:t>m</w:t>
                  </w:r>
                  <w:r>
                    <w:rPr>
                      <w:rFonts w:ascii="Arial"/>
                      <w:b/>
                      <w:i/>
                      <w:color w:val="F3F4F4"/>
                      <w:w w:val="95"/>
                      <w:sz w:val="28"/>
                    </w:rPr>
                    <w:t>e</w:t>
                  </w:r>
                  <w:r>
                    <w:rPr>
                      <w:rFonts w:ascii="Arial"/>
                      <w:b/>
                      <w:i/>
                      <w:color w:val="F3F4F4"/>
                      <w:sz w:val="28"/>
                    </w:rPr>
                    <w:t xml:space="preserve"> </w:t>
                  </w:r>
                  <w:r>
                    <w:rPr>
                      <w:rFonts w:ascii="Arial"/>
                      <w:b/>
                      <w:i/>
                      <w:color w:val="F3F4F4"/>
                      <w:spacing w:val="10"/>
                      <w:sz w:val="28"/>
                    </w:rPr>
                    <w:t xml:space="preserve"> </w:t>
                  </w:r>
                  <w:r>
                    <w:rPr>
                      <w:rFonts w:ascii="Arial"/>
                      <w:b/>
                      <w:i/>
                      <w:color w:val="F3F4F4"/>
                      <w:w w:val="95"/>
                      <w:sz w:val="28"/>
                    </w:rPr>
                    <w:t>e</w:t>
                  </w:r>
                  <w:r>
                    <w:rPr>
                      <w:rFonts w:ascii="Arial"/>
                      <w:b/>
                      <w:i/>
                      <w:color w:val="F3F4F4"/>
                      <w:sz w:val="28"/>
                    </w:rPr>
                    <w:t xml:space="preserve"> </w:t>
                  </w:r>
                  <w:r>
                    <w:rPr>
                      <w:rFonts w:ascii="Arial"/>
                      <w:b/>
                      <w:i/>
                      <w:color w:val="F3F4F4"/>
                      <w:spacing w:val="12"/>
                      <w:sz w:val="28"/>
                    </w:rPr>
                    <w:t xml:space="preserve"> </w:t>
                  </w:r>
                  <w:r>
                    <w:rPr>
                      <w:rFonts w:ascii="Arial"/>
                      <w:b/>
                      <w:i/>
                      <w:color w:val="F3F4F4"/>
                      <w:w w:val="92"/>
                      <w:sz w:val="28"/>
                    </w:rPr>
                    <w:t>n</w:t>
                  </w:r>
                  <w:r>
                    <w:rPr>
                      <w:rFonts w:ascii="Arial"/>
                      <w:b/>
                      <w:i/>
                      <w:color w:val="F3F4F4"/>
                      <w:sz w:val="28"/>
                    </w:rPr>
                    <w:t xml:space="preserve"> </w:t>
                  </w:r>
                  <w:r>
                    <w:rPr>
                      <w:rFonts w:ascii="Arial"/>
                      <w:b/>
                      <w:i/>
                      <w:color w:val="F3F4F4"/>
                      <w:spacing w:val="12"/>
                      <w:sz w:val="28"/>
                    </w:rPr>
                    <w:t xml:space="preserve"> </w:t>
                  </w:r>
                  <w:r>
                    <w:rPr>
                      <w:rFonts w:ascii="Arial"/>
                      <w:b/>
                      <w:i/>
                      <w:color w:val="F3F4F4"/>
                      <w:w w:val="124"/>
                      <w:sz w:val="28"/>
                    </w:rPr>
                    <w:t>t</w:t>
                  </w:r>
                  <w:r>
                    <w:rPr>
                      <w:rFonts w:ascii="Arial"/>
                      <w:b/>
                      <w:i/>
                      <w:color w:val="F3F4F4"/>
                      <w:sz w:val="28"/>
                    </w:rPr>
                    <w:t xml:space="preserve"> </w:t>
                  </w:r>
                  <w:r>
                    <w:rPr>
                      <w:rFonts w:ascii="Arial"/>
                      <w:b/>
                      <w:i/>
                      <w:color w:val="F3F4F4"/>
                      <w:spacing w:val="12"/>
                      <w:sz w:val="28"/>
                    </w:rPr>
                    <w:t xml:space="preserve"> </w:t>
                  </w:r>
                  <w:r>
                    <w:rPr>
                      <w:rFonts w:ascii="Arial"/>
                      <w:b/>
                      <w:i/>
                      <w:color w:val="F3F4F4"/>
                      <w:w w:val="86"/>
                      <w:sz w:val="28"/>
                    </w:rPr>
                    <w:t>s</w:t>
                  </w:r>
                </w:p>
              </w:txbxContent>
            </v:textbox>
            <w10:wrap anchorx="page"/>
          </v:shape>
        </w:pict>
      </w:r>
      <w:r>
        <w:rPr>
          <w:color w:val="00ACA1"/>
        </w:rPr>
        <w:pict w14:anchorId="7B6F2DE4">
          <v:shape id="docshape381" o:spid="_x0000_s3416" type="#_x0000_t202" style="position:absolute;left:0;text-align:left;margin-left:51.05pt;margin-top:11.55pt;width:43.95pt;height:81.4pt;z-index:-251585024;mso-position-horizontal-relative:page" filled="f" stroked="f">
            <v:textbox style="mso-next-textbox:#docshape381" inset="0,0,0,0">
              <w:txbxContent>
                <w:p w14:paraId="2B2CFAFA" w14:textId="77777777" w:rsidR="0055291C" w:rsidRDefault="00F23C61">
                  <w:pPr>
                    <w:spacing w:line="1628" w:lineRule="exact"/>
                    <w:rPr>
                      <w:rFonts w:ascii="Arial"/>
                      <w:b/>
                      <w:i/>
                      <w:sz w:val="145"/>
                    </w:rPr>
                  </w:pPr>
                  <w:r>
                    <w:rPr>
                      <w:rFonts w:ascii="Arial"/>
                      <w:b/>
                      <w:i/>
                      <w:color w:val="00ACA1"/>
                      <w:w w:val="90"/>
                      <w:sz w:val="145"/>
                    </w:rPr>
                    <w:t>P</w:t>
                  </w:r>
                </w:p>
              </w:txbxContent>
            </v:textbox>
            <w10:wrap anchorx="page"/>
          </v:shape>
        </w:pict>
      </w:r>
      <w:r w:rsidR="004048E5" w:rsidRPr="004048E5">
        <w:rPr>
          <w:rFonts w:ascii="ＭＳ ゴシック" w:eastAsia="ＭＳ ゴシック" w:hAnsi="ＭＳ ゴシック" w:cs="ＭＳ ゴシック" w:hint="eastAsia"/>
          <w:b/>
          <w:i/>
          <w:color w:val="00ACA1"/>
          <w:sz w:val="24"/>
          <w:lang w:eastAsia="ja-JP"/>
        </w:rPr>
        <w:t>はじめに</w:t>
      </w:r>
    </w:p>
    <w:p w14:paraId="7FFAD0CF" w14:textId="608A4CB9" w:rsidR="004048E5" w:rsidRPr="004048E5" w:rsidRDefault="004048E5" w:rsidP="004048E5">
      <w:pPr>
        <w:spacing w:before="1" w:line="364" w:lineRule="auto"/>
        <w:ind w:left="1133" w:right="1077" w:firstLineChars="100" w:firstLine="189"/>
        <w:jc w:val="both"/>
        <w:rPr>
          <w:rFonts w:ascii="Arial" w:hAnsi="Arial"/>
          <w:b/>
          <w:i/>
          <w:color w:val="545456"/>
          <w:w w:val="90"/>
          <w:sz w:val="21"/>
          <w:szCs w:val="20"/>
          <w:lang w:eastAsia="ja-JP"/>
        </w:rPr>
      </w:pPr>
      <w:r w:rsidRPr="004048E5">
        <w:rPr>
          <w:rFonts w:ascii="ＭＳ ゴシック" w:eastAsia="ＭＳ ゴシック" w:hAnsi="ＭＳ ゴシック" w:cs="ＭＳ ゴシック" w:hint="eastAsia"/>
          <w:b/>
          <w:i/>
          <w:color w:val="545456"/>
          <w:w w:val="90"/>
          <w:sz w:val="21"/>
          <w:szCs w:val="20"/>
          <w:lang w:eastAsia="ja-JP"/>
        </w:rPr>
        <w:t>製品ライフサイクル</w:t>
      </w:r>
      <w:r w:rsidRPr="004048E5">
        <w:rPr>
          <w:rFonts w:ascii="Arial" w:hAnsi="Arial"/>
          <w:b/>
          <w:i/>
          <w:color w:val="545456"/>
          <w:w w:val="90"/>
          <w:sz w:val="21"/>
          <w:szCs w:val="20"/>
          <w:lang w:eastAsia="ja-JP"/>
        </w:rPr>
        <w:t>GHG</w:t>
      </w:r>
      <w:r w:rsidRPr="004048E5">
        <w:rPr>
          <w:rFonts w:ascii="ＭＳ ゴシック" w:eastAsia="ＭＳ ゴシック" w:hAnsi="ＭＳ ゴシック" w:cs="ＭＳ ゴシック" w:hint="eastAsia"/>
          <w:b/>
          <w:i/>
          <w:color w:val="545456"/>
          <w:w w:val="90"/>
          <w:sz w:val="21"/>
          <w:szCs w:val="20"/>
          <w:lang w:eastAsia="ja-JP"/>
        </w:rPr>
        <w:t>算定は、ライフサイクルアセスメント（</w:t>
      </w:r>
      <w:r w:rsidRPr="004048E5">
        <w:rPr>
          <w:rFonts w:ascii="Arial" w:hAnsi="Arial"/>
          <w:b/>
          <w:i/>
          <w:color w:val="545456"/>
          <w:w w:val="90"/>
          <w:sz w:val="21"/>
          <w:szCs w:val="20"/>
          <w:lang w:eastAsia="ja-JP"/>
        </w:rPr>
        <w:t>LCA</w:t>
      </w:r>
      <w:r w:rsidRPr="004048E5">
        <w:rPr>
          <w:rFonts w:ascii="ＭＳ ゴシック" w:eastAsia="ＭＳ ゴシック" w:hAnsi="ＭＳ ゴシック" w:cs="ＭＳ ゴシック" w:hint="eastAsia"/>
          <w:b/>
          <w:i/>
          <w:color w:val="545456"/>
          <w:w w:val="90"/>
          <w:sz w:val="21"/>
          <w:szCs w:val="20"/>
          <w:lang w:eastAsia="ja-JP"/>
        </w:rPr>
        <w:t>）の一部であり、原料採取から廃棄物処理までの製品ライフサイクル全体における環境側面と潜在的環境影響の定量化と対処を目指すものです</w:t>
      </w:r>
      <w:r w:rsidR="007C49B2" w:rsidRPr="007C49B2">
        <w:rPr>
          <w:rFonts w:ascii="ＭＳ ゴシック" w:eastAsia="ＭＳ ゴシック" w:hAnsi="ＭＳ ゴシック" w:cs="ＭＳ ゴシック" w:hint="eastAsia"/>
          <w:vertAlign w:val="superscript"/>
          <w:lang w:eastAsia="ja-JP"/>
        </w:rPr>
        <w:t>１</w:t>
      </w:r>
      <w:r w:rsidRPr="004048E5">
        <w:rPr>
          <w:rFonts w:ascii="ＭＳ ゴシック" w:eastAsia="ＭＳ ゴシック" w:hAnsi="ＭＳ ゴシック" w:cs="ＭＳ ゴシック" w:hint="eastAsia"/>
          <w:b/>
          <w:i/>
          <w:color w:val="545456"/>
          <w:w w:val="90"/>
          <w:sz w:val="21"/>
          <w:szCs w:val="20"/>
          <w:lang w:eastAsia="ja-JP"/>
        </w:rPr>
        <w:t>。</w:t>
      </w:r>
    </w:p>
    <w:p w14:paraId="16C7D196" w14:textId="14C4150B" w:rsidR="0055291C" w:rsidRDefault="004048E5" w:rsidP="004048E5">
      <w:pPr>
        <w:spacing w:before="1" w:line="364" w:lineRule="auto"/>
        <w:ind w:left="1133" w:right="1077"/>
        <w:jc w:val="both"/>
        <w:rPr>
          <w:rFonts w:ascii="Arial"/>
          <w:b/>
          <w:i/>
          <w:sz w:val="14"/>
          <w:lang w:eastAsia="ja-JP"/>
        </w:rPr>
      </w:pPr>
      <w:r w:rsidRPr="004048E5">
        <w:rPr>
          <w:rFonts w:ascii="Arial" w:hAnsi="Arial"/>
          <w:b/>
          <w:i/>
          <w:color w:val="545456"/>
          <w:w w:val="90"/>
          <w:sz w:val="21"/>
          <w:szCs w:val="20"/>
          <w:lang w:eastAsia="ja-JP"/>
        </w:rPr>
        <w:t>LCA</w:t>
      </w:r>
      <w:r w:rsidRPr="004048E5">
        <w:rPr>
          <w:rFonts w:ascii="ＭＳ ゴシック" w:eastAsia="ＭＳ ゴシック" w:hAnsi="ＭＳ ゴシック" w:cs="ＭＳ ゴシック" w:hint="eastAsia"/>
          <w:b/>
          <w:i/>
          <w:color w:val="545456"/>
          <w:w w:val="90"/>
          <w:sz w:val="21"/>
          <w:szCs w:val="20"/>
          <w:lang w:eastAsia="ja-JP"/>
        </w:rPr>
        <w:t>は、国際標準化機構（</w:t>
      </w:r>
      <w:r w:rsidRPr="004048E5">
        <w:rPr>
          <w:rFonts w:ascii="Arial" w:hAnsi="Arial"/>
          <w:b/>
          <w:i/>
          <w:color w:val="545456"/>
          <w:w w:val="90"/>
          <w:sz w:val="21"/>
          <w:szCs w:val="20"/>
          <w:lang w:eastAsia="ja-JP"/>
        </w:rPr>
        <w:t>ISO</w:t>
      </w:r>
      <w:r w:rsidRPr="004048E5">
        <w:rPr>
          <w:rFonts w:ascii="ＭＳ ゴシック" w:eastAsia="ＭＳ ゴシック" w:hAnsi="ＭＳ ゴシック" w:cs="ＭＳ ゴシック" w:hint="eastAsia"/>
          <w:b/>
          <w:i/>
          <w:color w:val="545456"/>
          <w:w w:val="90"/>
          <w:sz w:val="21"/>
          <w:szCs w:val="20"/>
          <w:lang w:eastAsia="ja-JP"/>
        </w:rPr>
        <w:t>）がライフサイクルアセスメント規格、</w:t>
      </w:r>
      <w:r w:rsidRPr="004048E5">
        <w:rPr>
          <w:rFonts w:ascii="Arial" w:hAnsi="Arial"/>
          <w:b/>
          <w:i/>
          <w:color w:val="545456"/>
          <w:w w:val="90"/>
          <w:sz w:val="21"/>
          <w:szCs w:val="20"/>
          <w:lang w:eastAsia="ja-JP"/>
        </w:rPr>
        <w:t>ISO14040</w:t>
      </w:r>
      <w:r w:rsidRPr="004048E5">
        <w:rPr>
          <w:rFonts w:ascii="ＭＳ ゴシック" w:eastAsia="ＭＳ ゴシック" w:hAnsi="ＭＳ ゴシック" w:cs="ＭＳ ゴシック" w:hint="eastAsia"/>
          <w:b/>
          <w:i/>
          <w:color w:val="545456"/>
          <w:w w:val="90"/>
          <w:sz w:val="21"/>
          <w:szCs w:val="20"/>
          <w:lang w:eastAsia="ja-JP"/>
        </w:rPr>
        <w:t>を発表したことにより、国際的に標準化されました。</w:t>
      </w:r>
      <w:r w:rsidRPr="004048E5">
        <w:rPr>
          <w:rFonts w:ascii="Arial" w:hAnsi="Arial"/>
          <w:b/>
          <w:i/>
          <w:color w:val="545456"/>
          <w:w w:val="90"/>
          <w:sz w:val="21"/>
          <w:szCs w:val="20"/>
          <w:lang w:eastAsia="ja-JP"/>
        </w:rPr>
        <w:t>2008</w:t>
      </w:r>
      <w:r w:rsidRPr="004048E5">
        <w:rPr>
          <w:rFonts w:ascii="ＭＳ ゴシック" w:eastAsia="ＭＳ ゴシック" w:hAnsi="ＭＳ ゴシック" w:cs="ＭＳ ゴシック" w:hint="eastAsia"/>
          <w:b/>
          <w:i/>
          <w:color w:val="545456"/>
          <w:w w:val="90"/>
          <w:sz w:val="21"/>
          <w:szCs w:val="20"/>
          <w:lang w:eastAsia="ja-JP"/>
        </w:rPr>
        <w:t>年には、英国規格協会（</w:t>
      </w:r>
      <w:r w:rsidRPr="004048E5">
        <w:rPr>
          <w:rFonts w:ascii="Arial" w:hAnsi="Arial"/>
          <w:b/>
          <w:i/>
          <w:color w:val="545456"/>
          <w:w w:val="90"/>
          <w:sz w:val="21"/>
          <w:szCs w:val="20"/>
          <w:lang w:eastAsia="ja-JP"/>
        </w:rPr>
        <w:t>BSI</w:t>
      </w:r>
      <w:r w:rsidRPr="004048E5">
        <w:rPr>
          <w:rFonts w:ascii="ＭＳ ゴシック" w:eastAsia="ＭＳ ゴシック" w:hAnsi="ＭＳ ゴシック" w:cs="ＭＳ ゴシック" w:hint="eastAsia"/>
          <w:b/>
          <w:i/>
          <w:color w:val="545456"/>
          <w:w w:val="90"/>
          <w:sz w:val="21"/>
          <w:szCs w:val="20"/>
          <w:lang w:eastAsia="ja-JP"/>
        </w:rPr>
        <w:t>）が、英国環境・食料・農村地域省（</w:t>
      </w:r>
      <w:r w:rsidRPr="004048E5">
        <w:rPr>
          <w:rFonts w:ascii="Arial" w:hAnsi="Arial"/>
          <w:b/>
          <w:i/>
          <w:color w:val="545456"/>
          <w:w w:val="90"/>
          <w:sz w:val="21"/>
          <w:szCs w:val="20"/>
          <w:lang w:eastAsia="ja-JP"/>
        </w:rPr>
        <w:t>DEFRA</w:t>
      </w:r>
      <w:r w:rsidRPr="004048E5">
        <w:rPr>
          <w:rFonts w:ascii="ＭＳ ゴシック" w:eastAsia="ＭＳ ゴシック" w:hAnsi="ＭＳ ゴシック" w:cs="ＭＳ ゴシック" w:hint="eastAsia"/>
          <w:b/>
          <w:i/>
          <w:color w:val="545456"/>
          <w:w w:val="90"/>
          <w:sz w:val="21"/>
          <w:szCs w:val="20"/>
          <w:lang w:eastAsia="ja-JP"/>
        </w:rPr>
        <w:t>）およびカーボントラストと共同で、商品およびサービスのライフサイクル温室効果ガス排出量評価のための仕様書「</w:t>
      </w:r>
      <w:r w:rsidRPr="004048E5">
        <w:rPr>
          <w:rFonts w:ascii="Arial" w:hAnsi="Arial"/>
          <w:b/>
          <w:i/>
          <w:color w:val="545456"/>
          <w:w w:val="90"/>
          <w:sz w:val="21"/>
          <w:szCs w:val="20"/>
          <w:lang w:eastAsia="ja-JP"/>
        </w:rPr>
        <w:t>PAS2050</w:t>
      </w:r>
      <w:r w:rsidRPr="004048E5">
        <w:rPr>
          <w:rFonts w:ascii="ＭＳ ゴシック" w:eastAsia="ＭＳ ゴシック" w:hAnsi="ＭＳ ゴシック" w:cs="ＭＳ ゴシック" w:hint="eastAsia"/>
          <w:b/>
          <w:i/>
          <w:color w:val="545456"/>
          <w:w w:val="90"/>
          <w:sz w:val="21"/>
          <w:szCs w:val="20"/>
          <w:lang w:eastAsia="ja-JP"/>
        </w:rPr>
        <w:t>」を発行しました。</w:t>
      </w:r>
      <w:r w:rsidR="007C49B2" w:rsidRPr="007C49B2">
        <w:rPr>
          <w:rFonts w:ascii="ＭＳ ゴシック" w:eastAsia="ＭＳ ゴシック" w:hAnsi="ＭＳ ゴシック" w:cs="ＭＳ ゴシック" w:hint="eastAsia"/>
          <w:vertAlign w:val="superscript"/>
          <w:lang w:eastAsia="ja-JP"/>
        </w:rPr>
        <w:t>２</w:t>
      </w:r>
    </w:p>
    <w:p w14:paraId="0AC03472" w14:textId="7597FE85" w:rsidR="0055291C" w:rsidRDefault="0055291C">
      <w:pPr>
        <w:pStyle w:val="a3"/>
        <w:spacing w:before="1"/>
        <w:rPr>
          <w:rFonts w:ascii="Arial"/>
          <w:b/>
          <w:i/>
          <w:sz w:val="16"/>
          <w:lang w:eastAsia="ja-JP"/>
        </w:rPr>
      </w:pPr>
    </w:p>
    <w:p w14:paraId="0AA8C1CC" w14:textId="77777777" w:rsidR="0055291C" w:rsidRDefault="0055291C">
      <w:pPr>
        <w:rPr>
          <w:rFonts w:ascii="Arial"/>
          <w:sz w:val="16"/>
          <w:lang w:eastAsia="ja-JP"/>
        </w:rPr>
        <w:sectPr w:rsidR="0055291C">
          <w:headerReference w:type="default" r:id="rId101"/>
          <w:footerReference w:type="even" r:id="rId102"/>
          <w:footerReference w:type="default" r:id="rId103"/>
          <w:pgSz w:w="12240" w:h="15840"/>
          <w:pgMar w:top="0" w:right="0" w:bottom="1040" w:left="0" w:header="0" w:footer="859" w:gutter="0"/>
          <w:pgNumType w:start="21"/>
          <w:cols w:space="720"/>
        </w:sectPr>
      </w:pPr>
    </w:p>
    <w:p w14:paraId="5CC20762" w14:textId="263ECDD2" w:rsidR="0055291C" w:rsidRDefault="00895E8D" w:rsidP="00895E8D">
      <w:pPr>
        <w:pStyle w:val="a3"/>
        <w:spacing w:before="7" w:line="309" w:lineRule="auto"/>
        <w:ind w:left="1133" w:right="101" w:firstLineChars="100" w:firstLine="190"/>
        <w:rPr>
          <w:lang w:eastAsia="ja-JP"/>
        </w:rPr>
      </w:pPr>
      <w:r w:rsidRPr="00895E8D">
        <w:rPr>
          <w:rFonts w:ascii="ＭＳ ゴシック" w:eastAsia="ＭＳ ゴシック" w:hAnsi="ＭＳ ゴシック" w:cs="ＭＳ ゴシック" w:hint="eastAsia"/>
          <w:color w:val="545456"/>
          <w:szCs w:val="22"/>
          <w:lang w:eastAsia="ja-JP"/>
        </w:rPr>
        <w:t>この製品基準は、</w:t>
      </w:r>
      <w:r w:rsidRPr="00895E8D">
        <w:rPr>
          <w:color w:val="545456"/>
          <w:szCs w:val="22"/>
          <w:lang w:eastAsia="ja-JP"/>
        </w:rPr>
        <w:t xml:space="preserve">ISO LCA </w:t>
      </w:r>
      <w:r w:rsidRPr="00895E8D">
        <w:rPr>
          <w:rFonts w:ascii="ＭＳ ゴシック" w:eastAsia="ＭＳ ゴシック" w:hAnsi="ＭＳ ゴシック" w:cs="ＭＳ ゴシック" w:hint="eastAsia"/>
          <w:color w:val="545456"/>
          <w:szCs w:val="22"/>
          <w:lang w:eastAsia="ja-JP"/>
        </w:rPr>
        <w:t>規格（</w:t>
      </w:r>
      <w:r w:rsidRPr="00895E8D">
        <w:rPr>
          <w:color w:val="545456"/>
          <w:szCs w:val="22"/>
          <w:lang w:eastAsia="ja-JP"/>
        </w:rPr>
        <w:t>14040:2006</w:t>
      </w:r>
      <w:r w:rsidRPr="00895E8D">
        <w:rPr>
          <w:rFonts w:ascii="ＭＳ ゴシック" w:eastAsia="ＭＳ ゴシック" w:hAnsi="ＭＳ ゴシック" w:cs="ＭＳ ゴシック" w:hint="eastAsia"/>
          <w:color w:val="545456"/>
          <w:szCs w:val="22"/>
          <w:lang w:eastAsia="ja-JP"/>
        </w:rPr>
        <w:t>「ライフサイクルアセスメント：原則と枠組み」及</w:t>
      </w:r>
      <w:r>
        <w:rPr>
          <w:rFonts w:ascii="ＭＳ ゴシック" w:eastAsia="ＭＳ ゴシック" w:hAnsi="ＭＳ ゴシック" w:cs="ＭＳ ゴシック" w:hint="eastAsia"/>
          <w:color w:val="545456"/>
          <w:szCs w:val="22"/>
          <w:lang w:eastAsia="ja-JP"/>
        </w:rPr>
        <w:t>び</w:t>
      </w:r>
      <w:r w:rsidRPr="00895E8D">
        <w:rPr>
          <w:color w:val="545456"/>
          <w:szCs w:val="22"/>
          <w:lang w:eastAsia="ja-JP"/>
        </w:rPr>
        <w:t>14044:2006</w:t>
      </w:r>
      <w:r w:rsidRPr="00895E8D">
        <w:rPr>
          <w:rFonts w:ascii="ＭＳ ゴシック" w:eastAsia="ＭＳ ゴシック" w:hAnsi="ＭＳ ゴシック" w:cs="ＭＳ ゴシック" w:hint="eastAsia"/>
          <w:color w:val="545456"/>
          <w:szCs w:val="22"/>
          <w:lang w:eastAsia="ja-JP"/>
        </w:rPr>
        <w:t>「ライフサイクルアセスメント：要件と指針」）、及び製品ライフサイクル中の</w:t>
      </w:r>
      <w:r w:rsidRPr="00895E8D">
        <w:rPr>
          <w:color w:val="545456"/>
          <w:szCs w:val="22"/>
          <w:lang w:eastAsia="ja-JP"/>
        </w:rPr>
        <w:t>GHG</w:t>
      </w:r>
      <w:r w:rsidRPr="00895E8D">
        <w:rPr>
          <w:rFonts w:ascii="ＭＳ ゴシック" w:eastAsia="ＭＳ ゴシック" w:hAnsi="ＭＳ ゴシック" w:cs="ＭＳ ゴシック" w:hint="eastAsia"/>
          <w:color w:val="545456"/>
          <w:szCs w:val="22"/>
          <w:lang w:eastAsia="ja-JP"/>
        </w:rPr>
        <w:t>排出量の一貫した定量化及び公表を促進するための追加仕様とガイダンスを提供することを意図した</w:t>
      </w:r>
      <w:r w:rsidRPr="00895E8D">
        <w:rPr>
          <w:color w:val="545456"/>
          <w:szCs w:val="22"/>
          <w:lang w:eastAsia="ja-JP"/>
        </w:rPr>
        <w:t>PAS2050</w:t>
      </w:r>
      <w:r w:rsidRPr="00895E8D">
        <w:rPr>
          <w:rFonts w:ascii="ＭＳ ゴシック" w:eastAsia="ＭＳ ゴシック" w:hAnsi="ＭＳ ゴシック" w:cs="ＭＳ ゴシック" w:hint="eastAsia"/>
          <w:color w:val="545456"/>
          <w:szCs w:val="22"/>
          <w:lang w:eastAsia="ja-JP"/>
        </w:rPr>
        <w:t>、このふたつで確立された枠組みと要件を基に構築されています。</w:t>
      </w:r>
      <w:r w:rsidRPr="00895E8D">
        <w:rPr>
          <w:color w:val="545456"/>
          <w:szCs w:val="22"/>
          <w:lang w:eastAsia="ja-JP"/>
        </w:rPr>
        <w:t xml:space="preserve"> </w:t>
      </w:r>
      <w:r w:rsidRPr="00895E8D">
        <w:rPr>
          <w:rFonts w:ascii="ＭＳ ゴシック" w:eastAsia="ＭＳ ゴシック" w:hAnsi="ＭＳ ゴシック" w:cs="ＭＳ ゴシック" w:hint="eastAsia"/>
          <w:color w:val="545456"/>
          <w:szCs w:val="22"/>
          <w:lang w:eastAsia="ja-JP"/>
        </w:rPr>
        <w:t>また、</w:t>
      </w:r>
      <w:r w:rsidRPr="00895E8D">
        <w:rPr>
          <w:color w:val="545456"/>
          <w:szCs w:val="22"/>
          <w:lang w:eastAsia="ja-JP"/>
        </w:rPr>
        <w:t>ILCD</w:t>
      </w:r>
      <w:r w:rsidRPr="00895E8D">
        <w:rPr>
          <w:rFonts w:ascii="ＭＳ ゴシック" w:eastAsia="ＭＳ ゴシック" w:hAnsi="ＭＳ ゴシック" w:cs="ＭＳ ゴシック" w:hint="eastAsia"/>
          <w:color w:val="545456"/>
          <w:szCs w:val="22"/>
          <w:lang w:eastAsia="ja-JP"/>
        </w:rPr>
        <w:t>ハンドブック</w:t>
      </w:r>
      <w:r>
        <w:fldChar w:fldCharType="begin"/>
      </w:r>
      <w:r>
        <w:rPr>
          <w:lang w:eastAsia="ja-JP"/>
        </w:rPr>
        <w:instrText xml:space="preserve"> HYPERLINK \l "_Endnotes" </w:instrText>
      </w:r>
      <w:r>
        <w:fldChar w:fldCharType="separate"/>
      </w:r>
      <w:r w:rsidR="00217FB1">
        <w:rPr>
          <w:rStyle w:val="ac"/>
          <w:rFonts w:asciiTheme="minorEastAsia" w:eastAsiaTheme="minorEastAsia" w:hAnsiTheme="minorEastAsia" w:hint="eastAsia"/>
          <w:szCs w:val="22"/>
          <w:vertAlign w:val="superscript"/>
          <w:lang w:eastAsia="ja-JP"/>
        </w:rPr>
        <w:t>３</w:t>
      </w:r>
      <w:r>
        <w:rPr>
          <w:rStyle w:val="ac"/>
          <w:rFonts w:asciiTheme="minorEastAsia" w:eastAsiaTheme="minorEastAsia" w:hAnsiTheme="minorEastAsia"/>
          <w:szCs w:val="22"/>
          <w:vertAlign w:val="superscript"/>
          <w:lang w:eastAsia="ja-JP"/>
        </w:rPr>
        <w:fldChar w:fldCharType="end"/>
      </w:r>
      <w:r w:rsidRPr="00895E8D">
        <w:rPr>
          <w:rFonts w:ascii="ＭＳ ゴシック" w:eastAsia="ＭＳ ゴシック" w:hAnsi="ＭＳ ゴシック" w:cs="ＭＳ ゴシック" w:hint="eastAsia"/>
          <w:color w:val="545456"/>
          <w:szCs w:val="22"/>
          <w:lang w:eastAsia="ja-JP"/>
        </w:rPr>
        <w:t>などの他の規格・出版物も本基準の策定時に参考としました。以下の項では、</w:t>
      </w:r>
      <w:r w:rsidRPr="00895E8D">
        <w:rPr>
          <w:color w:val="545456"/>
          <w:szCs w:val="22"/>
          <w:lang w:eastAsia="ja-JP"/>
        </w:rPr>
        <w:t xml:space="preserve">ISO LCA </w:t>
      </w:r>
      <w:r w:rsidRPr="00895E8D">
        <w:rPr>
          <w:rFonts w:ascii="ＭＳ ゴシック" w:eastAsia="ＭＳ ゴシック" w:hAnsi="ＭＳ ゴシック" w:cs="ＭＳ ゴシック" w:hint="eastAsia"/>
          <w:color w:val="545456"/>
          <w:szCs w:val="22"/>
          <w:lang w:eastAsia="ja-JP"/>
        </w:rPr>
        <w:t>フレームワークと製品規格の関係を明らかにするとともに、製品規格の基礎となる</w:t>
      </w:r>
      <w:r w:rsidRPr="00895E8D">
        <w:rPr>
          <w:color w:val="545456"/>
          <w:szCs w:val="22"/>
          <w:lang w:eastAsia="ja-JP"/>
        </w:rPr>
        <w:t xml:space="preserve"> 2</w:t>
      </w:r>
      <w:r w:rsidRPr="00895E8D">
        <w:rPr>
          <w:rFonts w:ascii="ＭＳ ゴシック" w:eastAsia="ＭＳ ゴシック" w:hAnsi="ＭＳ ゴシック" w:cs="ＭＳ ゴシック" w:hint="eastAsia"/>
          <w:color w:val="545456"/>
          <w:szCs w:val="22"/>
          <w:lang w:eastAsia="ja-JP"/>
        </w:rPr>
        <w:t>つの基本的な要素、すなわち</w:t>
      </w:r>
      <w:r w:rsidRPr="00895E8D">
        <w:rPr>
          <w:color w:val="545456"/>
          <w:szCs w:val="22"/>
          <w:lang w:eastAsia="ja-JP"/>
        </w:rPr>
        <w:t xml:space="preserve"> GHG </w:t>
      </w:r>
      <w:r w:rsidRPr="00895E8D">
        <w:rPr>
          <w:rFonts w:ascii="ＭＳ ゴシック" w:eastAsia="ＭＳ ゴシック" w:hAnsi="ＭＳ ゴシック" w:cs="ＭＳ ゴシック" w:hint="eastAsia"/>
          <w:color w:val="545456"/>
          <w:szCs w:val="22"/>
          <w:lang w:eastAsia="ja-JP"/>
        </w:rPr>
        <w:t>算定におけるライフサイクルアプローチと属性的アプローチを明らかにしていきます。</w:t>
      </w:r>
    </w:p>
    <w:p w14:paraId="1AA224A1" w14:textId="1A544716" w:rsidR="0055291C" w:rsidRPr="009A6D47" w:rsidRDefault="00F23C61">
      <w:pPr>
        <w:pStyle w:val="3"/>
        <w:numPr>
          <w:ilvl w:val="1"/>
          <w:numId w:val="54"/>
        </w:numPr>
        <w:tabs>
          <w:tab w:val="left" w:pos="1054"/>
          <w:tab w:val="left" w:pos="1055"/>
        </w:tabs>
        <w:ind w:left="1054" w:hanging="721"/>
        <w:jc w:val="left"/>
        <w:rPr>
          <w:rFonts w:ascii="ＭＳ ゴシック" w:eastAsia="ＭＳ ゴシック" w:hAnsi="ＭＳ ゴシック"/>
        </w:rPr>
      </w:pPr>
      <w:r>
        <w:rPr>
          <w:color w:val="00ACA1"/>
          <w:spacing w:val="-10"/>
          <w:w w:val="90"/>
          <w:lang w:eastAsia="ja-JP"/>
        </w:rPr>
        <w:br w:type="column"/>
      </w:r>
      <w:r w:rsidR="00895E8D" w:rsidRPr="009A6D47">
        <w:rPr>
          <w:rFonts w:ascii="ＭＳ ゴシック" w:eastAsia="ＭＳ ゴシック" w:hAnsi="ＭＳ ゴシック" w:cs="ＭＳ 明朝" w:hint="eastAsia"/>
          <w:color w:val="00ACA1"/>
          <w:lang w:eastAsia="ja-JP"/>
        </w:rPr>
        <w:t>要求事項</w:t>
      </w:r>
    </w:p>
    <w:p w14:paraId="5963E8C9" w14:textId="4D8C1DAC" w:rsidR="0055291C" w:rsidRDefault="00BC17C0">
      <w:pPr>
        <w:pStyle w:val="a3"/>
        <w:spacing w:before="9"/>
        <w:rPr>
          <w:rFonts w:ascii="Arial"/>
          <w:b/>
          <w:i/>
          <w:sz w:val="23"/>
        </w:rPr>
      </w:pPr>
      <w:r w:rsidRPr="00BC17C0">
        <w:rPr>
          <w:rFonts w:ascii="Arial"/>
          <w:b/>
          <w:i/>
          <w:noProof/>
          <w:color w:val="00ACA1"/>
          <w:sz w:val="24"/>
          <w:szCs w:val="22"/>
        </w:rPr>
        <mc:AlternateContent>
          <mc:Choice Requires="wps">
            <w:drawing>
              <wp:anchor distT="0" distB="0" distL="114300" distR="114300" simplePos="0" relativeHeight="251448832" behindDoc="0" locked="0" layoutInCell="1" allowOverlap="1" wp14:anchorId="0980D2F2" wp14:editId="41AF352B">
                <wp:simplePos x="0" y="0"/>
                <wp:positionH relativeFrom="column">
                  <wp:posOffset>153035</wp:posOffset>
                </wp:positionH>
                <wp:positionV relativeFrom="paragraph">
                  <wp:posOffset>107984</wp:posOffset>
                </wp:positionV>
                <wp:extent cx="3338195" cy="631658"/>
                <wp:effectExtent l="0" t="0" r="0" b="0"/>
                <wp:wrapNone/>
                <wp:docPr id="46" name="四角形: 角を丸くする 46"/>
                <wp:cNvGraphicFramePr/>
                <a:graphic xmlns:a="http://schemas.openxmlformats.org/drawingml/2006/main">
                  <a:graphicData uri="http://schemas.microsoft.com/office/word/2010/wordprocessingShape">
                    <wps:wsp>
                      <wps:cNvSpPr/>
                      <wps:spPr>
                        <a:xfrm>
                          <a:off x="0" y="0"/>
                          <a:ext cx="3338195" cy="631658"/>
                        </a:xfrm>
                        <a:prstGeom prst="roundRect">
                          <a:avLst/>
                        </a:prstGeom>
                        <a:solidFill>
                          <a:srgbClr val="70029C">
                            <a:alpha val="25098"/>
                          </a:srgbClr>
                        </a:solidFill>
                        <a:ln w="25400" cap="flat" cmpd="sng" algn="ctr">
                          <a:noFill/>
                          <a:prstDash val="solid"/>
                        </a:ln>
                        <a:effectLst/>
                      </wps:spPr>
                      <wps:txbx>
                        <w:txbxContent>
                          <w:p w14:paraId="24695035" w14:textId="311402F2" w:rsidR="00BC17C0" w:rsidRPr="00BC17C0" w:rsidRDefault="00BC17C0" w:rsidP="00BC17C0">
                            <w:pPr>
                              <w:spacing w:before="154" w:line="278" w:lineRule="auto"/>
                              <w:ind w:left="253" w:right="349"/>
                              <w:rPr>
                                <w:rFonts w:ascii="ＭＳ ゴシック" w:eastAsia="ＭＳ ゴシック" w:hAnsi="ＭＳ ゴシック" w:cs="ＭＳ ゴシック"/>
                                <w:b/>
                                <w:i/>
                                <w:color w:val="545456"/>
                                <w:sz w:val="19"/>
                                <w:szCs w:val="19"/>
                                <w:lang w:eastAsia="ja-JP"/>
                              </w:rPr>
                            </w:pPr>
                            <w:r w:rsidRPr="00BC17C0">
                              <w:rPr>
                                <w:rFonts w:ascii="Arial"/>
                                <w:b/>
                                <w:i/>
                                <w:color w:val="545456"/>
                                <w:sz w:val="19"/>
                                <w:szCs w:val="19"/>
                                <w:lang w:eastAsia="ja-JP"/>
                              </w:rPr>
                              <w:t>GHG</w:t>
                            </w:r>
                            <w:r w:rsidRPr="00BC17C0">
                              <w:rPr>
                                <w:rFonts w:ascii="ＭＳ ゴシック" w:eastAsia="ＭＳ ゴシック" w:hAnsi="ＭＳ ゴシック" w:cs="ＭＳ ゴシック" w:hint="eastAsia"/>
                                <w:b/>
                                <w:i/>
                                <w:color w:val="545456"/>
                                <w:sz w:val="19"/>
                                <w:szCs w:val="19"/>
                                <w:lang w:eastAsia="ja-JP"/>
                              </w:rPr>
                              <w:t>排出量報告書は、ライフサイクルアプローチと属性アプローチに従わなければならない。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80D2F2" id="四角形: 角を丸くする 46" o:spid="_x0000_s1041" style="position:absolute;margin-left:12.05pt;margin-top:8.5pt;width:262.85pt;height:49.75pt;z-index:2514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" fillcolor="#70029c" stroked="f" strokeweight="2pt">
                <v:fill opacity="16448f"/>
                <v:textbox>
                  <w:txbxContent>
                    <w:p w14:paraId="24695035" w14:textId="311402F2" w:rsidR="00BC17C0" w:rsidRPr="00BC17C0" w:rsidRDefault="00BC17C0" w:rsidP="00BC17C0">
                      <w:pPr>
                        <w:spacing w:before="154" w:line="278" w:lineRule="auto"/>
                        <w:ind w:left="253" w:right="349"/>
                        <w:rPr>
                          <w:rFonts w:ascii="ＭＳ ゴシック" w:eastAsia="ＭＳ ゴシック" w:hAnsi="ＭＳ ゴシック" w:cs="ＭＳ ゴシック"/>
                          <w:b/>
                          <w:i/>
                          <w:color w:val="545456"/>
                          <w:sz w:val="19"/>
                          <w:szCs w:val="19"/>
                          <w:lang w:eastAsia="ja-JP"/>
                        </w:rPr>
                      </w:pPr>
                      <w:r w:rsidRPr="00BC17C0">
                        <w:rPr>
                          <w:rFonts w:ascii="Arial"/>
                          <w:b/>
                          <w:i/>
                          <w:color w:val="545456"/>
                          <w:sz w:val="19"/>
                          <w:szCs w:val="19"/>
                          <w:lang w:eastAsia="ja-JP"/>
                        </w:rPr>
                        <w:t>GHG</w:t>
                      </w:r>
                      <w:r w:rsidRPr="00BC17C0">
                        <w:rPr>
                          <w:rFonts w:ascii="ＭＳ ゴシック" w:eastAsia="ＭＳ ゴシック" w:hAnsi="ＭＳ ゴシック" w:cs="ＭＳ ゴシック" w:hint="eastAsia"/>
                          <w:b/>
                          <w:i/>
                          <w:color w:val="545456"/>
                          <w:sz w:val="19"/>
                          <w:szCs w:val="19"/>
                          <w:lang w:eastAsia="ja-JP"/>
                        </w:rPr>
                        <w:t>排出量報告書は、ライフサイクルアプローチと属性アプローチに従わなければならない。</w:t>
                      </w:r>
                    </w:p>
                  </w:txbxContent>
                </v:textbox>
              </v:roundrect>
            </w:pict>
          </mc:Fallback>
        </mc:AlternateContent>
      </w:r>
    </w:p>
    <w:p w14:paraId="68E65EFA" w14:textId="770CA78D" w:rsidR="0055291C" w:rsidRDefault="0055291C">
      <w:pPr>
        <w:pStyle w:val="a3"/>
        <w:spacing w:before="4"/>
        <w:rPr>
          <w:rFonts w:ascii="Arial"/>
          <w:b/>
          <w:i/>
          <w:sz w:val="34"/>
        </w:rPr>
      </w:pPr>
    </w:p>
    <w:p w14:paraId="3B84D6B1" w14:textId="6F7AFC5F" w:rsidR="00BC17C0" w:rsidRDefault="00BC17C0">
      <w:pPr>
        <w:pStyle w:val="a3"/>
        <w:spacing w:before="4"/>
        <w:rPr>
          <w:rFonts w:ascii="Arial"/>
          <w:b/>
          <w:i/>
          <w:sz w:val="34"/>
        </w:rPr>
      </w:pPr>
    </w:p>
    <w:p w14:paraId="5C30B3A8" w14:textId="77777777" w:rsidR="00BC17C0" w:rsidRDefault="00BC17C0">
      <w:pPr>
        <w:pStyle w:val="a3"/>
        <w:spacing w:before="4"/>
        <w:rPr>
          <w:rFonts w:ascii="Arial"/>
          <w:b/>
          <w:i/>
          <w:sz w:val="34"/>
        </w:rPr>
      </w:pPr>
    </w:p>
    <w:p w14:paraId="0B362DA9" w14:textId="7D6DACCC" w:rsidR="0055291C" w:rsidRPr="00895E8D" w:rsidRDefault="00895E8D" w:rsidP="00895E8D">
      <w:pPr>
        <w:pStyle w:val="a3"/>
        <w:spacing w:before="2" w:line="312" w:lineRule="auto"/>
        <w:ind w:left="334" w:right="1079" w:firstLineChars="100" w:firstLine="180"/>
        <w:jc w:val="both"/>
        <w:rPr>
          <w:rFonts w:ascii="ＭＳ ゴシック" w:eastAsia="ＭＳ ゴシック" w:hAnsi="ＭＳ ゴシック"/>
          <w:color w:val="545456"/>
          <w:w w:val="95"/>
          <w:lang w:eastAsia="ja-JP"/>
        </w:rPr>
      </w:pPr>
      <w:r w:rsidRPr="00895E8D">
        <w:rPr>
          <w:rFonts w:ascii="ＭＳ ゴシック" w:eastAsia="ＭＳ ゴシック" w:hAnsi="ＭＳ ゴシック" w:cs="ＭＳ ゴシック" w:hint="eastAsia"/>
          <w:color w:val="545456"/>
          <w:w w:val="95"/>
          <w:lang w:eastAsia="ja-JP"/>
        </w:rPr>
        <w:t>製品</w:t>
      </w:r>
      <w:r w:rsidRPr="00895E8D">
        <w:rPr>
          <w:rFonts w:ascii="ＭＳ ゴシック" w:eastAsia="ＭＳ ゴシック" w:hAnsi="ＭＳ ゴシック"/>
          <w:color w:val="545456"/>
          <w:w w:val="95"/>
          <w:lang w:eastAsia="ja-JP"/>
        </w:rPr>
        <w:t>GHG</w:t>
      </w:r>
      <w:r w:rsidRPr="00895E8D">
        <w:rPr>
          <w:rFonts w:ascii="ＭＳ ゴシック" w:eastAsia="ＭＳ ゴシック" w:hAnsi="ＭＳ ゴシック" w:cs="ＭＳ ゴシック" w:hint="eastAsia"/>
          <w:color w:val="545456"/>
          <w:w w:val="95"/>
          <w:lang w:eastAsia="ja-JP"/>
        </w:rPr>
        <w:t>インベントリ</w:t>
      </w:r>
      <w:r>
        <w:fldChar w:fldCharType="begin"/>
      </w:r>
      <w:r>
        <w:rPr>
          <w:lang w:eastAsia="ja-JP"/>
        </w:rPr>
        <w:instrText xml:space="preserve"> HYPERLINK \l "_Endnotes" </w:instrText>
      </w:r>
      <w:r>
        <w:fldChar w:fldCharType="separate"/>
      </w:r>
      <w:r w:rsidR="00217FB1">
        <w:rPr>
          <w:rStyle w:val="ac"/>
          <w:rFonts w:ascii="ＭＳ ゴシック" w:eastAsia="ＭＳ ゴシック" w:hAnsi="ＭＳ ゴシック" w:hint="eastAsia"/>
          <w:w w:val="95"/>
          <w:vertAlign w:val="superscript"/>
          <w:lang w:eastAsia="ja-JP"/>
        </w:rPr>
        <w:t>４</w:t>
      </w:r>
      <w:r>
        <w:rPr>
          <w:rStyle w:val="ac"/>
          <w:rFonts w:ascii="ＭＳ ゴシック" w:eastAsia="ＭＳ ゴシック" w:hAnsi="ＭＳ ゴシック"/>
          <w:w w:val="95"/>
          <w:vertAlign w:val="superscript"/>
          <w:lang w:eastAsia="ja-JP"/>
        </w:rPr>
        <w:fldChar w:fldCharType="end"/>
      </w:r>
      <w:r w:rsidRPr="00895E8D">
        <w:rPr>
          <w:rFonts w:ascii="ＭＳ ゴシック" w:eastAsia="ＭＳ ゴシック" w:hAnsi="ＭＳ ゴシック" w:cs="ＭＳ ゴシック" w:hint="eastAsia"/>
          <w:color w:val="545456"/>
          <w:w w:val="95"/>
          <w:lang w:eastAsia="ja-JP"/>
        </w:rPr>
        <w:t>は、一般に製品カーボンフットプリントとしても知られ、気候変動影響カテゴリのみに焦点を当てるため、</w:t>
      </w:r>
      <w:r w:rsidRPr="00895E8D">
        <w:rPr>
          <w:rFonts w:ascii="ＭＳ ゴシック" w:eastAsia="ＭＳ ゴシック" w:hAnsi="ＭＳ ゴシック"/>
          <w:color w:val="545456"/>
          <w:w w:val="95"/>
          <w:lang w:eastAsia="ja-JP"/>
        </w:rPr>
        <w:t>LCA</w:t>
      </w:r>
      <w:r w:rsidRPr="00895E8D">
        <w:rPr>
          <w:rFonts w:ascii="ＭＳ ゴシック" w:eastAsia="ＭＳ ゴシック" w:hAnsi="ＭＳ ゴシック" w:cs="ＭＳ ゴシック" w:hint="eastAsia"/>
          <w:color w:val="545456"/>
          <w:w w:val="95"/>
          <w:lang w:eastAsia="ja-JP"/>
        </w:rPr>
        <w:t>のサブセットとなっています（その限界については</w:t>
      </w:r>
      <w:r w:rsidRPr="00895E8D">
        <w:rPr>
          <w:rFonts w:ascii="ＭＳ ゴシック" w:eastAsia="ＭＳ ゴシック" w:hAnsi="ＭＳ ゴシック"/>
          <w:color w:val="545456"/>
          <w:w w:val="95"/>
          <w:lang w:eastAsia="ja-JP"/>
        </w:rPr>
        <w:t>1</w:t>
      </w:r>
      <w:r w:rsidRPr="00895E8D">
        <w:rPr>
          <w:rFonts w:ascii="ＭＳ ゴシック" w:eastAsia="ＭＳ ゴシック" w:hAnsi="ＭＳ ゴシック" w:cs="ＭＳ ゴシック" w:hint="eastAsia"/>
          <w:color w:val="545456"/>
          <w:w w:val="95"/>
          <w:lang w:eastAsia="ja-JP"/>
        </w:rPr>
        <w:t>章で議論されています）。しかし、本規格で示される算定方法と要件は、</w:t>
      </w:r>
      <w:r w:rsidRPr="00895E8D">
        <w:rPr>
          <w:rFonts w:ascii="ＭＳ ゴシック" w:eastAsia="ＭＳ ゴシック" w:hAnsi="ＭＳ ゴシック"/>
          <w:color w:val="545456"/>
          <w:w w:val="95"/>
          <w:lang w:eastAsia="ja-JP"/>
        </w:rPr>
        <w:t xml:space="preserve">ISO LCA </w:t>
      </w:r>
      <w:r w:rsidRPr="00895E8D">
        <w:rPr>
          <w:rFonts w:ascii="ＭＳ ゴシック" w:eastAsia="ＭＳ ゴシック" w:hAnsi="ＭＳ ゴシック" w:cs="ＭＳ ゴシック" w:hint="eastAsia"/>
          <w:color w:val="545456"/>
          <w:w w:val="95"/>
          <w:lang w:eastAsia="ja-JP"/>
        </w:rPr>
        <w:t>規格</w:t>
      </w:r>
      <w:r w:rsidRPr="00895E8D">
        <w:rPr>
          <w:rFonts w:ascii="ＭＳ ゴシック" w:eastAsia="ＭＳ ゴシック" w:hAnsi="ＭＳ ゴシック"/>
          <w:color w:val="545456"/>
          <w:w w:val="95"/>
          <w:lang w:eastAsia="ja-JP"/>
        </w:rPr>
        <w:t xml:space="preserve"> 14040 </w:t>
      </w:r>
      <w:r w:rsidRPr="00895E8D">
        <w:rPr>
          <w:rFonts w:ascii="ＭＳ ゴシック" w:eastAsia="ＭＳ ゴシック" w:hAnsi="ＭＳ ゴシック" w:cs="ＭＳ ゴシック" w:hint="eastAsia"/>
          <w:color w:val="545456"/>
          <w:w w:val="95"/>
          <w:lang w:eastAsia="ja-JP"/>
        </w:rPr>
        <w:t>および</w:t>
      </w:r>
      <w:r w:rsidRPr="00895E8D">
        <w:rPr>
          <w:rFonts w:ascii="ＭＳ ゴシック" w:eastAsia="ＭＳ ゴシック" w:hAnsi="ＭＳ ゴシック"/>
          <w:color w:val="545456"/>
          <w:w w:val="95"/>
          <w:lang w:eastAsia="ja-JP"/>
        </w:rPr>
        <w:t xml:space="preserve"> 14044 </w:t>
      </w:r>
      <w:r w:rsidRPr="00895E8D">
        <w:rPr>
          <w:rFonts w:ascii="ＭＳ ゴシック" w:eastAsia="ＭＳ ゴシック" w:hAnsi="ＭＳ ゴシック" w:cs="ＭＳ ゴシック" w:hint="eastAsia"/>
          <w:color w:val="545456"/>
          <w:w w:val="95"/>
          <w:lang w:eastAsia="ja-JP"/>
        </w:rPr>
        <w:t>で確立されたライフサイクルアプローチに準拠しています。</w:t>
      </w:r>
    </w:p>
    <w:p w14:paraId="38825169" w14:textId="77777777" w:rsidR="0055291C" w:rsidRDefault="0055291C">
      <w:pPr>
        <w:spacing w:line="312" w:lineRule="auto"/>
        <w:jc w:val="both"/>
        <w:rPr>
          <w:lang w:eastAsia="ja-JP"/>
        </w:rPr>
        <w:sectPr w:rsidR="0055291C">
          <w:type w:val="continuous"/>
          <w:pgSz w:w="12240" w:h="15840"/>
          <w:pgMar w:top="740" w:right="0" w:bottom="280" w:left="0" w:header="0" w:footer="859" w:gutter="0"/>
          <w:cols w:num="2" w:space="720" w:equalWidth="0">
            <w:col w:w="5914" w:space="40"/>
            <w:col w:w="6286"/>
          </w:cols>
        </w:sectPr>
      </w:pPr>
    </w:p>
    <w:p w14:paraId="7A79F8A4" w14:textId="491A4E4E" w:rsidR="0055291C" w:rsidRDefault="00000000">
      <w:pPr>
        <w:pStyle w:val="a3"/>
        <w:rPr>
          <w:sz w:val="20"/>
        </w:rPr>
      </w:pPr>
      <w:r>
        <w:rPr>
          <w:sz w:val="20"/>
        </w:rPr>
      </w:r>
      <w:r>
        <w:rPr>
          <w:sz w:val="20"/>
        </w:rPr>
        <w:pict w14:anchorId="01ED2DB8">
          <v:group id="docshapegroup385" o:spid="_x0000_s3410" style="width:297pt;height:31.8pt;mso-position-horizontal-relative:char;mso-position-vertical-relative:line" coordsize="5940,636">
            <v:shape id="docshape386" o:spid="_x0000_s3412" style="position:absolute;width:5940;height:636" coordsize="5940,636" path="m5940,l,,,635r5713,l5844,632r68,-25l5936,539r4,-131l5940,xe" fillcolor="#7f3f98" stroked="f">
              <v:path arrowok="t"/>
            </v:shape>
            <v:shape id="docshape387" o:spid="_x0000_s3411" type="#_x0000_t202" style="position:absolute;width:5940;height:636" filled="f" stroked="f">
              <v:textbox style="mso-next-textbox:#docshape387" inset="0,0,0,0">
                <w:txbxContent>
                  <w:p w14:paraId="5DFA9D1A" w14:textId="77777777" w:rsidR="0055291C" w:rsidRDefault="00F23C61">
                    <w:pPr>
                      <w:spacing w:before="219"/>
                      <w:ind w:left="1133"/>
                      <w:rPr>
                        <w:rFonts w:ascii="Arial"/>
                        <w:b/>
                        <w:i/>
                        <w:sz w:val="28"/>
                      </w:rPr>
                    </w:pPr>
                    <w:r>
                      <w:rPr>
                        <w:rFonts w:ascii="Arial"/>
                        <w:b/>
                        <w:i/>
                        <w:color w:val="F3F4F4"/>
                        <w:sz w:val="28"/>
                      </w:rPr>
                      <w:t>r</w:t>
                    </w:r>
                    <w:r>
                      <w:rPr>
                        <w:rFonts w:ascii="Arial"/>
                        <w:b/>
                        <w:i/>
                        <w:color w:val="F3F4F4"/>
                        <w:spacing w:val="3"/>
                        <w:sz w:val="28"/>
                      </w:rPr>
                      <w:t xml:space="preserve"> </w:t>
                    </w:r>
                    <w:r>
                      <w:rPr>
                        <w:rFonts w:ascii="Arial"/>
                        <w:b/>
                        <w:i/>
                        <w:color w:val="F3F4F4"/>
                        <w:sz w:val="28"/>
                      </w:rPr>
                      <w:t>e</w:t>
                    </w:r>
                    <w:r>
                      <w:rPr>
                        <w:rFonts w:ascii="Arial"/>
                        <w:b/>
                        <w:i/>
                        <w:color w:val="F3F4F4"/>
                        <w:spacing w:val="9"/>
                        <w:sz w:val="28"/>
                      </w:rPr>
                      <w:t xml:space="preserve"> </w:t>
                    </w:r>
                    <w:r>
                      <w:rPr>
                        <w:rFonts w:ascii="Arial"/>
                        <w:b/>
                        <w:i/>
                        <w:color w:val="F3F4F4"/>
                        <w:sz w:val="28"/>
                      </w:rPr>
                      <w:t>q</w:t>
                    </w:r>
                    <w:r>
                      <w:rPr>
                        <w:rFonts w:ascii="Arial"/>
                        <w:b/>
                        <w:i/>
                        <w:color w:val="F3F4F4"/>
                        <w:spacing w:val="86"/>
                        <w:sz w:val="28"/>
                      </w:rPr>
                      <w:t xml:space="preserve"> </w:t>
                    </w:r>
                    <w:r>
                      <w:rPr>
                        <w:rFonts w:ascii="Arial"/>
                        <w:b/>
                        <w:i/>
                        <w:color w:val="F3F4F4"/>
                        <w:sz w:val="28"/>
                      </w:rPr>
                      <w:t>u</w:t>
                    </w:r>
                    <w:r>
                      <w:rPr>
                        <w:rFonts w:ascii="Arial"/>
                        <w:b/>
                        <w:i/>
                        <w:color w:val="F3F4F4"/>
                        <w:spacing w:val="87"/>
                        <w:sz w:val="28"/>
                      </w:rPr>
                      <w:t xml:space="preserve"> </w:t>
                    </w:r>
                    <w:proofErr w:type="spellStart"/>
                    <w:r>
                      <w:rPr>
                        <w:rFonts w:ascii="Arial"/>
                        <w:b/>
                        <w:i/>
                        <w:color w:val="F3F4F4"/>
                        <w:sz w:val="28"/>
                      </w:rPr>
                      <w:t>i</w:t>
                    </w:r>
                    <w:proofErr w:type="spellEnd"/>
                    <w:r>
                      <w:rPr>
                        <w:rFonts w:ascii="Arial"/>
                        <w:b/>
                        <w:i/>
                        <w:color w:val="F3F4F4"/>
                        <w:spacing w:val="86"/>
                        <w:sz w:val="28"/>
                      </w:rPr>
                      <w:t xml:space="preserve"> </w:t>
                    </w:r>
                    <w:r>
                      <w:rPr>
                        <w:rFonts w:ascii="Arial"/>
                        <w:b/>
                        <w:i/>
                        <w:color w:val="F3F4F4"/>
                        <w:sz w:val="28"/>
                      </w:rPr>
                      <w:t>r</w:t>
                    </w:r>
                    <w:r>
                      <w:rPr>
                        <w:rFonts w:ascii="Arial"/>
                        <w:b/>
                        <w:i/>
                        <w:color w:val="F3F4F4"/>
                        <w:spacing w:val="80"/>
                        <w:sz w:val="28"/>
                      </w:rPr>
                      <w:t xml:space="preserve"> </w:t>
                    </w:r>
                    <w:r>
                      <w:rPr>
                        <w:rFonts w:ascii="Arial"/>
                        <w:b/>
                        <w:i/>
                        <w:color w:val="F3F4F4"/>
                        <w:sz w:val="28"/>
                      </w:rPr>
                      <w:t>e</w:t>
                    </w:r>
                    <w:r>
                      <w:rPr>
                        <w:rFonts w:ascii="Arial"/>
                        <w:b/>
                        <w:i/>
                        <w:color w:val="F3F4F4"/>
                        <w:spacing w:val="87"/>
                        <w:sz w:val="28"/>
                      </w:rPr>
                      <w:t xml:space="preserve"> </w:t>
                    </w:r>
                    <w:r>
                      <w:rPr>
                        <w:rFonts w:ascii="Arial"/>
                        <w:b/>
                        <w:i/>
                        <w:color w:val="F3F4F4"/>
                        <w:sz w:val="28"/>
                      </w:rPr>
                      <w:t>m</w:t>
                    </w:r>
                    <w:r>
                      <w:rPr>
                        <w:rFonts w:ascii="Arial"/>
                        <w:b/>
                        <w:i/>
                        <w:color w:val="F3F4F4"/>
                        <w:spacing w:val="86"/>
                        <w:sz w:val="28"/>
                      </w:rPr>
                      <w:t xml:space="preserve"> </w:t>
                    </w:r>
                    <w:r>
                      <w:rPr>
                        <w:rFonts w:ascii="Arial"/>
                        <w:b/>
                        <w:i/>
                        <w:color w:val="F3F4F4"/>
                        <w:sz w:val="28"/>
                      </w:rPr>
                      <w:t>e</w:t>
                    </w:r>
                    <w:r>
                      <w:rPr>
                        <w:rFonts w:ascii="Arial"/>
                        <w:b/>
                        <w:i/>
                        <w:color w:val="F3F4F4"/>
                        <w:spacing w:val="87"/>
                        <w:sz w:val="28"/>
                      </w:rPr>
                      <w:t xml:space="preserve"> </w:t>
                    </w:r>
                    <w:r>
                      <w:rPr>
                        <w:rFonts w:ascii="Arial"/>
                        <w:b/>
                        <w:i/>
                        <w:color w:val="F3F4F4"/>
                        <w:sz w:val="28"/>
                      </w:rPr>
                      <w:t>n</w:t>
                    </w:r>
                    <w:r>
                      <w:rPr>
                        <w:rFonts w:ascii="Arial"/>
                        <w:b/>
                        <w:i/>
                        <w:color w:val="F3F4F4"/>
                        <w:spacing w:val="85"/>
                        <w:sz w:val="28"/>
                      </w:rPr>
                      <w:t xml:space="preserve"> </w:t>
                    </w:r>
                    <w:r>
                      <w:rPr>
                        <w:rFonts w:ascii="Arial"/>
                        <w:b/>
                        <w:i/>
                        <w:color w:val="F3F4F4"/>
                        <w:sz w:val="28"/>
                      </w:rPr>
                      <w:t>t</w:t>
                    </w:r>
                    <w:r>
                      <w:rPr>
                        <w:rFonts w:ascii="Arial"/>
                        <w:b/>
                        <w:i/>
                        <w:color w:val="F3F4F4"/>
                        <w:spacing w:val="87"/>
                        <w:sz w:val="28"/>
                      </w:rPr>
                      <w:t xml:space="preserve"> </w:t>
                    </w:r>
                    <w:r>
                      <w:rPr>
                        <w:rFonts w:ascii="Arial"/>
                        <w:b/>
                        <w:i/>
                        <w:color w:val="F3F4F4"/>
                        <w:sz w:val="28"/>
                      </w:rPr>
                      <w:t>s</w:t>
                    </w:r>
                  </w:p>
                </w:txbxContent>
              </v:textbox>
            </v:shape>
            <w10:anchorlock/>
          </v:group>
        </w:pict>
      </w:r>
    </w:p>
    <w:p w14:paraId="3444A111" w14:textId="77777777" w:rsidR="0055291C" w:rsidRDefault="0055291C">
      <w:pPr>
        <w:pStyle w:val="a3"/>
        <w:rPr>
          <w:sz w:val="20"/>
        </w:rPr>
      </w:pPr>
    </w:p>
    <w:p w14:paraId="47E3DBD2" w14:textId="77777777" w:rsidR="0055291C" w:rsidRDefault="0055291C">
      <w:pPr>
        <w:pStyle w:val="a3"/>
        <w:rPr>
          <w:sz w:val="20"/>
        </w:rPr>
      </w:pPr>
    </w:p>
    <w:p w14:paraId="0B74EE8B" w14:textId="77777777" w:rsidR="0055291C" w:rsidRDefault="0055291C">
      <w:pPr>
        <w:pStyle w:val="a3"/>
        <w:rPr>
          <w:sz w:val="20"/>
        </w:rPr>
      </w:pPr>
    </w:p>
    <w:p w14:paraId="1FF00983" w14:textId="77777777" w:rsidR="0055291C" w:rsidRDefault="00F23C61">
      <w:pPr>
        <w:pStyle w:val="a3"/>
        <w:spacing w:before="10"/>
        <w:rPr>
          <w:sz w:val="28"/>
        </w:rPr>
      </w:pPr>
      <w:r>
        <w:rPr>
          <w:noProof/>
        </w:rPr>
        <w:drawing>
          <wp:anchor distT="0" distB="0" distL="0" distR="0" simplePos="0" relativeHeight="251444736" behindDoc="0" locked="0" layoutInCell="1" allowOverlap="1" wp14:anchorId="02FFA0BF" wp14:editId="5B07F0C4">
            <wp:simplePos x="0" y="0"/>
            <wp:positionH relativeFrom="page">
              <wp:posOffset>0</wp:posOffset>
            </wp:positionH>
            <wp:positionV relativeFrom="paragraph">
              <wp:posOffset>223315</wp:posOffset>
            </wp:positionV>
            <wp:extent cx="7067838" cy="4645152"/>
            <wp:effectExtent l="0" t="0" r="0" b="0"/>
            <wp:wrapTopAndBottom/>
            <wp:docPr id="11"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8.jpeg"/>
                    <pic:cNvPicPr/>
                  </pic:nvPicPr>
                  <pic:blipFill>
                    <a:blip r:embed="rId104" cstate="print"/>
                    <a:stretch>
                      <a:fillRect/>
                    </a:stretch>
                  </pic:blipFill>
                  <pic:spPr>
                    <a:xfrm>
                      <a:off x="0" y="0"/>
                      <a:ext cx="7067838" cy="4645152"/>
                    </a:xfrm>
                    <a:prstGeom prst="rect">
                      <a:avLst/>
                    </a:prstGeom>
                  </pic:spPr>
                </pic:pic>
              </a:graphicData>
            </a:graphic>
          </wp:anchor>
        </w:drawing>
      </w:r>
    </w:p>
    <w:p w14:paraId="56A9B736" w14:textId="77777777" w:rsidR="0055291C" w:rsidRDefault="0055291C">
      <w:pPr>
        <w:pStyle w:val="a3"/>
        <w:rPr>
          <w:sz w:val="20"/>
        </w:rPr>
      </w:pPr>
    </w:p>
    <w:p w14:paraId="47E67D8A" w14:textId="77777777" w:rsidR="0055291C" w:rsidRDefault="0055291C">
      <w:pPr>
        <w:rPr>
          <w:sz w:val="20"/>
        </w:rPr>
        <w:sectPr w:rsidR="0055291C">
          <w:headerReference w:type="even" r:id="rId105"/>
          <w:pgSz w:w="12240" w:h="15840"/>
          <w:pgMar w:top="0" w:right="0" w:bottom="1040" w:left="0" w:header="0" w:footer="859" w:gutter="0"/>
          <w:cols w:space="720"/>
        </w:sectPr>
      </w:pPr>
    </w:p>
    <w:p w14:paraId="706AF8B0" w14:textId="77777777" w:rsidR="0055291C" w:rsidRDefault="0055291C">
      <w:pPr>
        <w:pStyle w:val="a3"/>
        <w:spacing w:before="7"/>
        <w:rPr>
          <w:sz w:val="22"/>
        </w:rPr>
      </w:pPr>
    </w:p>
    <w:p w14:paraId="724E6312" w14:textId="77777777" w:rsidR="0068212A" w:rsidRPr="0068212A" w:rsidRDefault="0068212A" w:rsidP="0068212A">
      <w:pPr>
        <w:spacing w:before="6"/>
        <w:ind w:leftChars="322" w:left="708" w:rightChars="218" w:right="480" w:firstLineChars="100" w:firstLine="190"/>
        <w:rPr>
          <w:color w:val="545456"/>
          <w:sz w:val="19"/>
          <w:szCs w:val="19"/>
          <w:lang w:eastAsia="ja-JP"/>
        </w:rPr>
      </w:pPr>
      <w:r w:rsidRPr="0068212A">
        <w:rPr>
          <w:rFonts w:ascii="ＭＳ ゴシック" w:eastAsia="ＭＳ ゴシック" w:hAnsi="ＭＳ ゴシック" w:cs="ＭＳ ゴシック" w:hint="eastAsia"/>
          <w:color w:val="545456"/>
          <w:sz w:val="19"/>
          <w:szCs w:val="19"/>
          <w:lang w:eastAsia="ja-JP"/>
        </w:rPr>
        <w:t>この規格の要求事項と指針は、ライフサイクル内の</w:t>
      </w:r>
      <w:r w:rsidRPr="0068212A">
        <w:rPr>
          <w:color w:val="545456"/>
          <w:sz w:val="19"/>
          <w:szCs w:val="19"/>
          <w:lang w:eastAsia="ja-JP"/>
        </w:rPr>
        <w:t>GHG</w:t>
      </w:r>
      <w:r w:rsidRPr="0068212A">
        <w:rPr>
          <w:rFonts w:ascii="ＭＳ ゴシック" w:eastAsia="ＭＳ ゴシック" w:hAnsi="ＭＳ ゴシック" w:cs="ＭＳ ゴシック" w:hint="eastAsia"/>
          <w:color w:val="545456"/>
          <w:sz w:val="19"/>
          <w:szCs w:val="19"/>
          <w:lang w:eastAsia="ja-JP"/>
        </w:rPr>
        <w:t>計算の属性的アプローチに準拠しています。</w:t>
      </w:r>
    </w:p>
    <w:p w14:paraId="443B9882" w14:textId="46F8CDAC" w:rsidR="0068212A" w:rsidRPr="0068212A" w:rsidRDefault="0068212A" w:rsidP="0068212A">
      <w:pPr>
        <w:spacing w:before="6"/>
        <w:ind w:leftChars="322" w:left="708" w:rightChars="218" w:right="480" w:firstLineChars="100" w:firstLine="190"/>
        <w:rPr>
          <w:color w:val="545456"/>
          <w:sz w:val="19"/>
          <w:szCs w:val="19"/>
          <w:lang w:eastAsia="ja-JP"/>
        </w:rPr>
      </w:pPr>
      <w:r w:rsidRPr="0068212A">
        <w:rPr>
          <w:rFonts w:ascii="ＭＳ ゴシック" w:eastAsia="ＭＳ ゴシック" w:hAnsi="ＭＳ ゴシック" w:cs="ＭＳ ゴシック" w:hint="eastAsia"/>
          <w:color w:val="545456"/>
          <w:sz w:val="19"/>
          <w:szCs w:val="19"/>
          <w:lang w:eastAsia="ja-JP"/>
        </w:rPr>
        <w:t>帰属分析法は、</w:t>
      </w:r>
      <w:r w:rsidRPr="0068212A">
        <w:rPr>
          <w:color w:val="545456"/>
          <w:sz w:val="19"/>
          <w:szCs w:val="19"/>
          <w:lang w:eastAsia="ja-JP"/>
        </w:rPr>
        <w:t>GHG</w:t>
      </w:r>
      <w:r w:rsidRPr="0068212A">
        <w:rPr>
          <w:rFonts w:ascii="ＭＳ ゴシック" w:eastAsia="ＭＳ ゴシック" w:hAnsi="ＭＳ ゴシック" w:cs="ＭＳ ゴシック" w:hint="eastAsia"/>
          <w:color w:val="545456"/>
          <w:sz w:val="19"/>
          <w:szCs w:val="19"/>
          <w:lang w:eastAsia="ja-JP"/>
        </w:rPr>
        <w:t>排出と削減を、製品のライフサイクルに沿って帰属するプロセスを結びつけることによって、調査対象製品の分析単位に帰属させる方法と定義されます</w:t>
      </w:r>
      <w:r w:rsidR="00217FB1" w:rsidRPr="00217FB1">
        <w:rPr>
          <w:rFonts w:ascii="ＭＳ ゴシック" w:eastAsia="ＭＳ ゴシック" w:hAnsi="ＭＳ ゴシック" w:cs="ＭＳ ゴシック" w:hint="eastAsia"/>
          <w:vertAlign w:val="superscript"/>
          <w:lang w:eastAsia="ja-JP"/>
        </w:rPr>
        <w:t>５</w:t>
      </w:r>
      <w:r w:rsidRPr="0068212A">
        <w:rPr>
          <w:rFonts w:ascii="ＭＳ ゴシック" w:eastAsia="ＭＳ ゴシック" w:hAnsi="ＭＳ ゴシック" w:cs="ＭＳ ゴシック" w:hint="eastAsia"/>
          <w:color w:val="545456"/>
          <w:sz w:val="19"/>
          <w:szCs w:val="19"/>
          <w:lang w:eastAsia="ja-JP"/>
        </w:rPr>
        <w:t>。</w:t>
      </w:r>
    </w:p>
    <w:p w14:paraId="7B3449E0" w14:textId="3D568D84" w:rsidR="0055291C" w:rsidRDefault="0068212A" w:rsidP="0068212A">
      <w:pPr>
        <w:spacing w:before="6"/>
        <w:ind w:leftChars="322" w:left="708" w:rightChars="218" w:right="480" w:firstLineChars="100" w:firstLine="190"/>
        <w:rPr>
          <w:sz w:val="21"/>
          <w:lang w:eastAsia="ja-JP"/>
        </w:rPr>
      </w:pPr>
      <w:r w:rsidRPr="0068212A">
        <w:rPr>
          <w:rFonts w:ascii="ＭＳ ゴシック" w:eastAsia="ＭＳ ゴシック" w:hAnsi="ＭＳ ゴシック" w:cs="ＭＳ ゴシック" w:hint="eastAsia"/>
          <w:color w:val="545456"/>
          <w:sz w:val="19"/>
          <w:szCs w:val="19"/>
          <w:lang w:eastAsia="ja-JP"/>
        </w:rPr>
        <w:t>帰属分析法では、供給者や顧客から提供された一次データ、または、ある工程の平均的な（二次）データを利用します。なお、分析単位、帰属プロセス、一次データについては、それぞれ第</w:t>
      </w:r>
      <w:r w:rsidRPr="0068212A">
        <w:rPr>
          <w:color w:val="545456"/>
          <w:sz w:val="19"/>
          <w:szCs w:val="19"/>
          <w:lang w:eastAsia="ja-JP"/>
        </w:rPr>
        <w:t xml:space="preserve"> 6 </w:t>
      </w:r>
      <w:r w:rsidRPr="0068212A">
        <w:rPr>
          <w:rFonts w:ascii="ＭＳ ゴシック" w:eastAsia="ＭＳ ゴシック" w:hAnsi="ＭＳ ゴシック" w:cs="ＭＳ ゴシック" w:hint="eastAsia"/>
          <w:color w:val="545456"/>
          <w:sz w:val="19"/>
          <w:szCs w:val="19"/>
          <w:lang w:eastAsia="ja-JP"/>
        </w:rPr>
        <w:t>章、第</w:t>
      </w:r>
      <w:r w:rsidRPr="0068212A">
        <w:rPr>
          <w:color w:val="545456"/>
          <w:sz w:val="19"/>
          <w:szCs w:val="19"/>
          <w:lang w:eastAsia="ja-JP"/>
        </w:rPr>
        <w:t xml:space="preserve"> 7 </w:t>
      </w:r>
      <w:r w:rsidRPr="0068212A">
        <w:rPr>
          <w:rFonts w:ascii="ＭＳ ゴシック" w:eastAsia="ＭＳ ゴシック" w:hAnsi="ＭＳ ゴシック" w:cs="ＭＳ ゴシック" w:hint="eastAsia"/>
          <w:color w:val="545456"/>
          <w:sz w:val="19"/>
          <w:szCs w:val="19"/>
          <w:lang w:eastAsia="ja-JP"/>
        </w:rPr>
        <w:t>章、第</w:t>
      </w:r>
      <w:r w:rsidRPr="0068212A">
        <w:rPr>
          <w:color w:val="545456"/>
          <w:sz w:val="19"/>
          <w:szCs w:val="19"/>
          <w:lang w:eastAsia="ja-JP"/>
        </w:rPr>
        <w:t xml:space="preserve"> 8 </w:t>
      </w:r>
      <w:r w:rsidRPr="0068212A">
        <w:rPr>
          <w:rFonts w:ascii="ＭＳ ゴシック" w:eastAsia="ＭＳ ゴシック" w:hAnsi="ＭＳ ゴシック" w:cs="ＭＳ ゴシック" w:hint="eastAsia"/>
          <w:color w:val="545456"/>
          <w:sz w:val="19"/>
          <w:szCs w:val="19"/>
          <w:lang w:eastAsia="ja-JP"/>
        </w:rPr>
        <w:t>章で説明します。</w:t>
      </w:r>
      <w:r w:rsidR="00F23C61">
        <w:rPr>
          <w:lang w:eastAsia="ja-JP"/>
        </w:rPr>
        <w:br w:type="column"/>
      </w:r>
    </w:p>
    <w:p w14:paraId="20032318" w14:textId="3508C67F" w:rsidR="0055291C" w:rsidRPr="00720C52" w:rsidRDefault="00000000">
      <w:pPr>
        <w:pStyle w:val="6"/>
        <w:spacing w:before="0"/>
        <w:ind w:left="367"/>
        <w:rPr>
          <w:rFonts w:ascii="ＭＳ ゴシック" w:eastAsia="ＭＳ ゴシック" w:hAnsi="ＭＳ ゴシック"/>
        </w:rPr>
      </w:pPr>
      <w:r>
        <w:pict w14:anchorId="1090212E">
          <v:group id="docshapegroup388" o:spid="_x0000_s3407" style="position:absolute;left:0;text-align:left;margin-left:313.1pt;margin-top:23.75pt;width:241.1pt;height:231.2pt;z-index:251563520;mso-position-horizontal-relative:page" coordorigin="6262,475" coordsize="4822,4624">
            <v:shape id="docshape389" o:spid="_x0000_s3409" style="position:absolute;left:6261;top:474;width:4822;height:4624" coordorigin="6262,475" coordsize="4822,4624" path="m10857,475r-4368,l6357,478r-67,25l6265,570r-3,131l6262,4871r3,131l6290,5070r67,24l6489,5098r4368,l10988,5094r67,-24l11080,5002r3,-131l11083,701r-3,-131l11055,503r-67,-25l10857,475xe" fillcolor="#e4f3f1" stroked="f">
              <v:path arrowok="t"/>
            </v:shape>
            <v:shape id="docshape390" o:spid="_x0000_s3408" type="#_x0000_t202" style="position:absolute;left:6261;top:474;width:4822;height:4624" filled="f" stroked="f">
              <v:textbox style="mso-next-textbox:#docshape390" inset="0,0,0,0">
                <w:txbxContent>
                  <w:p w14:paraId="60941A69" w14:textId="77777777" w:rsidR="0055291C" w:rsidRDefault="0055291C">
                    <w:pPr>
                      <w:spacing w:before="5"/>
                      <w:rPr>
                        <w:rFonts w:ascii="Arial"/>
                        <w:b/>
                        <w:sz w:val="21"/>
                      </w:rPr>
                    </w:pPr>
                  </w:p>
                  <w:p w14:paraId="2CC629DA" w14:textId="33585A61" w:rsidR="0055291C" w:rsidRDefault="00720C52">
                    <w:pPr>
                      <w:spacing w:line="328" w:lineRule="auto"/>
                      <w:ind w:left="226" w:right="230"/>
                      <w:rPr>
                        <w:sz w:val="18"/>
                        <w:lang w:eastAsia="ja-JP"/>
                      </w:rPr>
                    </w:pPr>
                    <w:r w:rsidRPr="00720C52">
                      <w:rPr>
                        <w:rFonts w:ascii="ＭＳ ゴシック" w:eastAsia="ＭＳ ゴシック" w:hAnsi="ＭＳ ゴシック" w:cs="ＭＳ ゴシック" w:hint="eastAsia"/>
                        <w:color w:val="545456"/>
                        <w:sz w:val="18"/>
                        <w:lang w:eastAsia="ja-JP"/>
                      </w:rPr>
                      <w:t>ライフサイクル</w:t>
                    </w:r>
                    <w:r>
                      <w:rPr>
                        <w:rFonts w:ascii="ＭＳ ゴシック" w:eastAsia="ＭＳ ゴシック" w:hAnsi="ＭＳ ゴシック" w:cs="ＭＳ ゴシック" w:hint="eastAsia"/>
                        <w:color w:val="545456"/>
                        <w:sz w:val="18"/>
                        <w:lang w:eastAsia="ja-JP"/>
                      </w:rPr>
                      <w:t>内計算</w:t>
                    </w:r>
                    <w:r w:rsidRPr="00720C52">
                      <w:rPr>
                        <w:rFonts w:ascii="ＭＳ ゴシック" w:eastAsia="ＭＳ ゴシック" w:hAnsi="ＭＳ ゴシック" w:cs="ＭＳ ゴシック" w:hint="eastAsia"/>
                        <w:color w:val="545456"/>
                        <w:sz w:val="18"/>
                        <w:lang w:eastAsia="ja-JP"/>
                      </w:rPr>
                      <w:t>の手法には、帰属分析法に加え、結果分析法という考え方もあります。結果分析法は、分析単位に対する需要の変化の結果として変化が予想される範囲において、ライフサイクル境界にプロセスを含めるアプローチと定義されます</w:t>
                    </w:r>
                    <w:hyperlink w:anchor="_Endnotes_1" w:history="1">
                      <w:r w:rsidR="00217FB1">
                        <w:rPr>
                          <w:rStyle w:val="ac"/>
                          <w:rFonts w:asciiTheme="minorEastAsia" w:eastAsiaTheme="minorEastAsia" w:hAnsiTheme="minorEastAsia" w:hint="eastAsia"/>
                          <w:sz w:val="18"/>
                          <w:vertAlign w:val="superscript"/>
                          <w:lang w:eastAsia="ja-JP"/>
                        </w:rPr>
                        <w:t>６</w:t>
                      </w:r>
                    </w:hyperlink>
                    <w:r w:rsidRPr="00720C52">
                      <w:rPr>
                        <w:rFonts w:ascii="ＭＳ ゴシック" w:eastAsia="ＭＳ ゴシック" w:hAnsi="ＭＳ ゴシック" w:cs="ＭＳ ゴシック" w:hint="eastAsia"/>
                        <w:color w:val="545456"/>
                        <w:sz w:val="18"/>
                        <w:lang w:eastAsia="ja-JP"/>
                      </w:rPr>
                      <w:t>。結果分析法は、需要の変化が生産量、生産技術、公共政策、消費者行動の変化の結果として起こりうる場合、制約がなく需要の変化に対応できるデータ（例えば、限界技術情報）を利用するものです。本標準では扱っていませんが、削減計画の評価や公共政策の決定など、特定の用途におい</w:t>
                    </w:r>
                    <w:r w:rsidRPr="00720C52">
                      <w:rPr>
                        <w:color w:val="545456"/>
                        <w:sz w:val="18"/>
                        <w:lang w:eastAsia="ja-JP"/>
                      </w:rPr>
                      <w:t xml:space="preserve"> </w:t>
                    </w:r>
                    <w:r w:rsidRPr="00720C52">
                      <w:rPr>
                        <w:rFonts w:ascii="ＭＳ ゴシック" w:eastAsia="ＭＳ ゴシック" w:hAnsi="ＭＳ ゴシック" w:cs="ＭＳ ゴシック" w:hint="eastAsia"/>
                        <w:color w:val="545456"/>
                        <w:sz w:val="18"/>
                        <w:lang w:eastAsia="ja-JP"/>
                      </w:rPr>
                      <w:t>ては、結果分析法は貴重な知見を提供することができます</w:t>
                    </w:r>
                    <w:r>
                      <w:rPr>
                        <w:rFonts w:ascii="ＭＳ ゴシック" w:eastAsia="ＭＳ ゴシック" w:hAnsi="ＭＳ ゴシック" w:cs="ＭＳ ゴシック" w:hint="eastAsia"/>
                        <w:color w:val="545456"/>
                        <w:sz w:val="18"/>
                        <w:lang w:eastAsia="ja-JP"/>
                      </w:rPr>
                      <w:t>。</w:t>
                    </w:r>
                  </w:p>
                </w:txbxContent>
              </v:textbox>
            </v:shape>
            <w10:wrap anchorx="page"/>
          </v:group>
        </w:pict>
      </w:r>
      <w:r w:rsidR="00F23C61">
        <w:rPr>
          <w:color w:val="00ACA1"/>
          <w:w w:val="95"/>
        </w:rPr>
        <w:t>Box</w:t>
      </w:r>
      <w:r w:rsidR="00F23C61">
        <w:rPr>
          <w:color w:val="00ACA1"/>
          <w:spacing w:val="6"/>
          <w:w w:val="95"/>
        </w:rPr>
        <w:t xml:space="preserve"> </w:t>
      </w:r>
      <w:r w:rsidR="00F23C61">
        <w:rPr>
          <w:color w:val="00ACA1"/>
          <w:w w:val="95"/>
        </w:rPr>
        <w:t>[5.1]</w:t>
      </w:r>
      <w:r w:rsidR="00F23C61">
        <w:rPr>
          <w:color w:val="00ACA1"/>
          <w:spacing w:val="6"/>
          <w:w w:val="95"/>
        </w:rPr>
        <w:t xml:space="preserve"> </w:t>
      </w:r>
      <w:r w:rsidR="00720C52" w:rsidRPr="00720C52">
        <w:rPr>
          <w:rFonts w:ascii="ＭＳ ゴシック" w:eastAsia="ＭＳ ゴシック" w:hAnsi="ＭＳ ゴシック" w:cs="ＭＳ 明朝" w:hint="eastAsia"/>
          <w:color w:val="545456"/>
          <w:w w:val="95"/>
          <w:lang w:eastAsia="ja-JP"/>
        </w:rPr>
        <w:t>結果分析法</w:t>
      </w:r>
    </w:p>
    <w:p w14:paraId="336607FE" w14:textId="77777777" w:rsidR="0055291C" w:rsidRDefault="0055291C">
      <w:pPr>
        <w:sectPr w:rsidR="0055291C">
          <w:type w:val="continuous"/>
          <w:pgSz w:w="12240" w:h="15840"/>
          <w:pgMar w:top="740" w:right="0" w:bottom="280" w:left="0" w:header="0" w:footer="859" w:gutter="0"/>
          <w:cols w:num="2" w:space="720" w:equalWidth="0">
            <w:col w:w="5868" w:space="40"/>
            <w:col w:w="6332"/>
          </w:cols>
        </w:sectPr>
      </w:pPr>
    </w:p>
    <w:p w14:paraId="6C4D5E8F" w14:textId="77777777" w:rsidR="0055291C" w:rsidRDefault="0055291C">
      <w:pPr>
        <w:pStyle w:val="a3"/>
        <w:rPr>
          <w:rFonts w:ascii="Arial"/>
          <w:b/>
          <w:sz w:val="20"/>
        </w:rPr>
      </w:pPr>
    </w:p>
    <w:p w14:paraId="6F317222" w14:textId="77777777" w:rsidR="0055291C" w:rsidRDefault="0055291C">
      <w:pPr>
        <w:pStyle w:val="a3"/>
        <w:rPr>
          <w:rFonts w:ascii="Arial"/>
          <w:b/>
          <w:sz w:val="20"/>
        </w:rPr>
      </w:pPr>
    </w:p>
    <w:p w14:paraId="56F468A1" w14:textId="77777777" w:rsidR="0055291C" w:rsidRDefault="0055291C">
      <w:pPr>
        <w:pStyle w:val="a3"/>
        <w:rPr>
          <w:rFonts w:ascii="Arial"/>
          <w:b/>
          <w:sz w:val="20"/>
        </w:rPr>
      </w:pPr>
    </w:p>
    <w:p w14:paraId="795EC014" w14:textId="77777777" w:rsidR="0055291C" w:rsidRDefault="0055291C">
      <w:pPr>
        <w:pStyle w:val="a3"/>
        <w:spacing w:before="1"/>
        <w:rPr>
          <w:rFonts w:ascii="Arial"/>
          <w:b/>
          <w:sz w:val="23"/>
        </w:rPr>
      </w:pPr>
    </w:p>
    <w:p w14:paraId="42FBA611" w14:textId="77777777" w:rsidR="0055291C" w:rsidRDefault="00000000">
      <w:pPr>
        <w:ind w:left="5323"/>
        <w:rPr>
          <w:rFonts w:ascii="Arial"/>
          <w:i/>
          <w:sz w:val="19"/>
        </w:rPr>
      </w:pPr>
      <w:r>
        <w:pict w14:anchorId="0455A659">
          <v:shape id="docshape393" o:spid="_x0000_s3406" style="position:absolute;left:0;text-align:left;margin-left:580.75pt;margin-top:-47.8pt;width:31.3pt;height:285.85pt;z-index:251564544;mso-position-horizontal-relative:page" coordorigin="11615,-956" coordsize="626,5717" path="m12240,-956r-625,l11615,4534r3,131l11643,4732r67,25l11842,4760r398,l12240,-956xe" fillcolor="#00aca1" stroked="f">
            <v:path arrowok="t"/>
            <w10:wrap anchorx="page"/>
          </v:shape>
        </w:pict>
      </w:r>
      <w:r w:rsidR="00F23C61">
        <w:rPr>
          <w:rFonts w:ascii="Arial"/>
          <w:b/>
          <w:i/>
          <w:color w:val="7F3F98"/>
          <w:sz w:val="19"/>
        </w:rPr>
        <w:t>CHAPTER</w:t>
      </w:r>
      <w:r w:rsidR="00F23C61">
        <w:rPr>
          <w:rFonts w:ascii="Arial"/>
          <w:b/>
          <w:i/>
          <w:color w:val="7F3F98"/>
          <w:spacing w:val="5"/>
          <w:sz w:val="19"/>
        </w:rPr>
        <w:t xml:space="preserve"> </w:t>
      </w:r>
      <w:r w:rsidR="00F23C61">
        <w:rPr>
          <w:rFonts w:ascii="Arial"/>
          <w:b/>
          <w:i/>
          <w:color w:val="7F3F98"/>
          <w:sz w:val="19"/>
        </w:rPr>
        <w:t>05</w:t>
      </w:r>
      <w:r w:rsidR="00F23C61">
        <w:rPr>
          <w:rFonts w:ascii="Arial"/>
          <w:b/>
          <w:i/>
          <w:color w:val="7F3F98"/>
          <w:spacing w:val="5"/>
          <w:sz w:val="19"/>
        </w:rPr>
        <w:t xml:space="preserve"> </w:t>
      </w:r>
      <w:r w:rsidR="00F23C61">
        <w:rPr>
          <w:rFonts w:ascii="Arial"/>
          <w:i/>
          <w:color w:val="545456"/>
          <w:sz w:val="19"/>
        </w:rPr>
        <w:t>Fundamentals</w:t>
      </w:r>
      <w:r w:rsidR="00F23C61">
        <w:rPr>
          <w:rFonts w:ascii="Arial"/>
          <w:i/>
          <w:color w:val="545456"/>
          <w:spacing w:val="3"/>
          <w:sz w:val="19"/>
        </w:rPr>
        <w:t xml:space="preserve"> </w:t>
      </w:r>
      <w:r w:rsidR="00F23C61">
        <w:rPr>
          <w:rFonts w:ascii="Arial"/>
          <w:i/>
          <w:color w:val="545456"/>
          <w:sz w:val="19"/>
        </w:rPr>
        <w:t>of</w:t>
      </w:r>
      <w:r w:rsidR="00F23C61">
        <w:rPr>
          <w:rFonts w:ascii="Arial"/>
          <w:i/>
          <w:color w:val="545456"/>
          <w:spacing w:val="3"/>
          <w:sz w:val="19"/>
        </w:rPr>
        <w:t xml:space="preserve"> </w:t>
      </w:r>
      <w:r w:rsidR="00F23C61">
        <w:rPr>
          <w:rFonts w:ascii="Arial"/>
          <w:i/>
          <w:color w:val="545456"/>
          <w:sz w:val="19"/>
        </w:rPr>
        <w:t>Product</w:t>
      </w:r>
      <w:r w:rsidR="00F23C61">
        <w:rPr>
          <w:rFonts w:ascii="Arial"/>
          <w:i/>
          <w:color w:val="545456"/>
          <w:spacing w:val="4"/>
          <w:sz w:val="19"/>
        </w:rPr>
        <w:t xml:space="preserve"> </w:t>
      </w:r>
      <w:r w:rsidR="00F23C61">
        <w:rPr>
          <w:rFonts w:ascii="Arial"/>
          <w:i/>
          <w:color w:val="545456"/>
          <w:sz w:val="19"/>
        </w:rPr>
        <w:t>Life</w:t>
      </w:r>
      <w:r w:rsidR="00F23C61">
        <w:rPr>
          <w:rFonts w:ascii="Arial"/>
          <w:i/>
          <w:color w:val="545456"/>
          <w:spacing w:val="3"/>
          <w:sz w:val="19"/>
        </w:rPr>
        <w:t xml:space="preserve"> </w:t>
      </w:r>
      <w:r w:rsidR="00F23C61">
        <w:rPr>
          <w:rFonts w:ascii="Arial"/>
          <w:i/>
          <w:color w:val="545456"/>
          <w:sz w:val="19"/>
        </w:rPr>
        <w:t>Cycle</w:t>
      </w:r>
      <w:r w:rsidR="00F23C61">
        <w:rPr>
          <w:rFonts w:ascii="Arial"/>
          <w:i/>
          <w:color w:val="545456"/>
          <w:spacing w:val="3"/>
          <w:sz w:val="19"/>
        </w:rPr>
        <w:t xml:space="preserve"> </w:t>
      </w:r>
      <w:r w:rsidR="00F23C61">
        <w:rPr>
          <w:rFonts w:ascii="Arial"/>
          <w:i/>
          <w:color w:val="545456"/>
          <w:sz w:val="19"/>
        </w:rPr>
        <w:t>GHG</w:t>
      </w:r>
      <w:r w:rsidR="00F23C61">
        <w:rPr>
          <w:rFonts w:ascii="Arial"/>
          <w:i/>
          <w:color w:val="545456"/>
          <w:spacing w:val="3"/>
          <w:sz w:val="19"/>
        </w:rPr>
        <w:t xml:space="preserve"> </w:t>
      </w:r>
      <w:r w:rsidR="00F23C61">
        <w:rPr>
          <w:rFonts w:ascii="Arial"/>
          <w:i/>
          <w:color w:val="545456"/>
          <w:sz w:val="19"/>
        </w:rPr>
        <w:t>Accounting</w:t>
      </w:r>
    </w:p>
    <w:p w14:paraId="4B1EBC1B" w14:textId="77777777" w:rsidR="0055291C" w:rsidRDefault="0055291C">
      <w:pPr>
        <w:pStyle w:val="a3"/>
        <w:rPr>
          <w:rFonts w:ascii="Arial"/>
          <w:i/>
          <w:sz w:val="20"/>
        </w:rPr>
      </w:pPr>
    </w:p>
    <w:p w14:paraId="75234128" w14:textId="77777777" w:rsidR="0055291C" w:rsidRDefault="0055291C">
      <w:pPr>
        <w:pStyle w:val="a3"/>
        <w:spacing w:before="4"/>
        <w:rPr>
          <w:rFonts w:ascii="Arial"/>
          <w:i/>
          <w:sz w:val="21"/>
        </w:rPr>
      </w:pPr>
    </w:p>
    <w:p w14:paraId="64878434" w14:textId="77777777" w:rsidR="0055291C" w:rsidRDefault="0055291C">
      <w:pPr>
        <w:rPr>
          <w:rFonts w:ascii="Arial"/>
          <w:sz w:val="21"/>
        </w:rPr>
        <w:sectPr w:rsidR="0055291C">
          <w:headerReference w:type="default" r:id="rId106"/>
          <w:footerReference w:type="even" r:id="rId107"/>
          <w:footerReference w:type="default" r:id="rId108"/>
          <w:pgSz w:w="12240" w:h="15840"/>
          <w:pgMar w:top="0" w:right="0" w:bottom="1040" w:left="0" w:header="0" w:footer="859" w:gutter="0"/>
          <w:pgNumType w:start="23"/>
          <w:cols w:space="720"/>
        </w:sectPr>
      </w:pPr>
    </w:p>
    <w:p w14:paraId="3DE7B5A7" w14:textId="62D76FBA" w:rsidR="0055291C" w:rsidRPr="00720C52" w:rsidRDefault="00720C52">
      <w:pPr>
        <w:pStyle w:val="3"/>
        <w:numPr>
          <w:ilvl w:val="1"/>
          <w:numId w:val="54"/>
        </w:numPr>
        <w:tabs>
          <w:tab w:val="left" w:pos="1853"/>
          <w:tab w:val="left" w:pos="1854"/>
        </w:tabs>
        <w:ind w:hanging="721"/>
        <w:jc w:val="left"/>
        <w:rPr>
          <w:color w:val="00ACA1"/>
        </w:rPr>
      </w:pPr>
      <w:r w:rsidRPr="00720C52">
        <w:rPr>
          <w:rFonts w:ascii="ＭＳ 明朝" w:eastAsia="ＭＳ 明朝" w:hAnsi="ＭＳ 明朝" w:cs="ＭＳ 明朝" w:hint="eastAsia"/>
          <w:color w:val="00ACA1"/>
          <w:lang w:eastAsia="ja-JP"/>
        </w:rPr>
        <w:t>ガイダンス</w:t>
      </w:r>
    </w:p>
    <w:p w14:paraId="7D309DAF" w14:textId="667996F0" w:rsidR="0055291C" w:rsidRPr="009A6D47" w:rsidRDefault="009A6D47" w:rsidP="009A6D47">
      <w:pPr>
        <w:pStyle w:val="3"/>
        <w:ind w:left="1132"/>
        <w:rPr>
          <w:color w:val="00ACA1"/>
          <w:sz w:val="21"/>
          <w:szCs w:val="21"/>
          <w:lang w:eastAsia="ja-JP"/>
        </w:rPr>
      </w:pPr>
      <w:r w:rsidRPr="009A6D47">
        <w:rPr>
          <w:rFonts w:hint="eastAsia"/>
          <w:color w:val="00ACA1"/>
          <w:sz w:val="21"/>
          <w:szCs w:val="21"/>
          <w:lang w:eastAsia="ja-JP"/>
        </w:rPr>
        <w:t>5.3.1</w:t>
      </w:r>
      <w:r w:rsidRPr="009A6D47">
        <w:rPr>
          <w:rFonts w:ascii="ＭＳ 明朝" w:eastAsia="ＭＳ 明朝" w:hAnsi="ＭＳ 明朝" w:cs="ＭＳ 明朝" w:hint="eastAsia"/>
          <w:color w:val="00ACA1"/>
          <w:sz w:val="21"/>
          <w:szCs w:val="21"/>
          <w:lang w:eastAsia="ja-JP"/>
        </w:rPr>
        <w:t xml:space="preserve">　</w:t>
      </w:r>
      <w:r w:rsidR="00720C52" w:rsidRPr="009A6D47">
        <w:rPr>
          <w:rFonts w:hint="eastAsia"/>
          <w:color w:val="00ACA1"/>
          <w:sz w:val="21"/>
          <w:szCs w:val="21"/>
          <w:lang w:eastAsia="ja-JP"/>
        </w:rPr>
        <w:t>GHG</w:t>
      </w:r>
      <w:r w:rsidR="00720C52" w:rsidRPr="009A6D47">
        <w:rPr>
          <w:rFonts w:ascii="ＭＳ 明朝" w:eastAsia="ＭＳ 明朝" w:hAnsi="ＭＳ 明朝" w:cs="ＭＳ 明朝" w:hint="eastAsia"/>
          <w:color w:val="00ACA1"/>
          <w:sz w:val="21"/>
          <w:szCs w:val="21"/>
          <w:lang w:eastAsia="ja-JP"/>
        </w:rPr>
        <w:t>排出量計算の段階と手順</w:t>
      </w:r>
    </w:p>
    <w:p w14:paraId="4D1E307E" w14:textId="03D9D42B" w:rsidR="0055291C" w:rsidRPr="002712CC" w:rsidRDefault="00320E9D" w:rsidP="00207484">
      <w:pPr>
        <w:pStyle w:val="a3"/>
        <w:spacing w:before="62" w:line="312" w:lineRule="auto"/>
        <w:ind w:left="851" w:right="66" w:firstLineChars="100" w:firstLine="180"/>
        <w:rPr>
          <w:rFonts w:ascii="ＭＳ ゴシック" w:eastAsia="ＭＳ ゴシック" w:hAnsi="ＭＳ ゴシック"/>
          <w:lang w:eastAsia="ja-JP"/>
        </w:rPr>
      </w:pPr>
      <w:r w:rsidRPr="002712CC">
        <w:rPr>
          <w:rFonts w:ascii="ＭＳ ゴシック" w:eastAsia="ＭＳ ゴシック" w:hAnsi="ＭＳ ゴシック"/>
          <w:color w:val="545456"/>
          <w:w w:val="95"/>
          <w:lang w:eastAsia="ja-JP"/>
        </w:rPr>
        <w:t>ISO LCA</w:t>
      </w:r>
      <w:r w:rsidRPr="002712CC">
        <w:rPr>
          <w:rFonts w:ascii="ＭＳ ゴシック" w:eastAsia="ＭＳ ゴシック" w:hAnsi="ＭＳ ゴシック" w:cs="ＭＳ ゴシック" w:hint="eastAsia"/>
          <w:color w:val="545456"/>
          <w:w w:val="95"/>
          <w:lang w:eastAsia="ja-JP"/>
        </w:rPr>
        <w:t>規格では、</w:t>
      </w:r>
      <w:r w:rsidRPr="002712CC">
        <w:rPr>
          <w:rFonts w:ascii="ＭＳ ゴシック" w:eastAsia="ＭＳ ゴシック" w:hAnsi="ＭＳ ゴシック"/>
          <w:color w:val="545456"/>
          <w:w w:val="95"/>
          <w:lang w:eastAsia="ja-JP"/>
        </w:rPr>
        <w:t>LCA</w:t>
      </w:r>
      <w:r w:rsidRPr="002712CC">
        <w:rPr>
          <w:rFonts w:ascii="ＭＳ ゴシック" w:eastAsia="ＭＳ ゴシック" w:hAnsi="ＭＳ ゴシック" w:cs="ＭＳ ゴシック" w:hint="eastAsia"/>
          <w:color w:val="545456"/>
          <w:w w:val="95"/>
          <w:lang w:eastAsia="ja-JP"/>
        </w:rPr>
        <w:t>調査の</w:t>
      </w:r>
      <w:r w:rsidRPr="002712CC">
        <w:rPr>
          <w:rFonts w:ascii="ＭＳ ゴシック" w:eastAsia="ＭＳ ゴシック" w:hAnsi="ＭＳ ゴシック"/>
          <w:color w:val="545456"/>
          <w:w w:val="95"/>
          <w:lang w:eastAsia="ja-JP"/>
        </w:rPr>
        <w:t>4</w:t>
      </w:r>
      <w:r w:rsidRPr="002712CC">
        <w:rPr>
          <w:rFonts w:ascii="ＭＳ ゴシック" w:eastAsia="ＭＳ ゴシック" w:hAnsi="ＭＳ ゴシック" w:cs="ＭＳ ゴシック" w:hint="eastAsia"/>
          <w:color w:val="545456"/>
          <w:w w:val="95"/>
          <w:lang w:eastAsia="ja-JP"/>
        </w:rPr>
        <w:t>つの段階（目標と範囲の定義、排出量分析、影響評価、解釈）を定義しています。また、</w:t>
      </w:r>
      <w:r w:rsidRPr="002712CC">
        <w:rPr>
          <w:rFonts w:ascii="ＭＳ ゴシック" w:eastAsia="ＭＳ ゴシック" w:hAnsi="ＭＳ ゴシック"/>
          <w:color w:val="545456"/>
          <w:w w:val="95"/>
          <w:lang w:eastAsia="ja-JP"/>
        </w:rPr>
        <w:t>LCA</w:t>
      </w:r>
      <w:r w:rsidRPr="002712CC">
        <w:rPr>
          <w:rFonts w:ascii="ＭＳ ゴシック" w:eastAsia="ＭＳ ゴシック" w:hAnsi="ＭＳ ゴシック" w:cs="ＭＳ ゴシック" w:hint="eastAsia"/>
          <w:color w:val="545456"/>
          <w:w w:val="95"/>
          <w:lang w:eastAsia="ja-JP"/>
        </w:rPr>
        <w:t>調査の結果を報告するために、</w:t>
      </w:r>
      <w:r w:rsidRPr="002712CC">
        <w:rPr>
          <w:rFonts w:ascii="ＭＳ ゴシック" w:eastAsia="ＭＳ ゴシック" w:hAnsi="ＭＳ ゴシック"/>
          <w:color w:val="545456"/>
          <w:w w:val="95"/>
          <w:lang w:eastAsia="ja-JP"/>
        </w:rPr>
        <w:t>ISO</w:t>
      </w:r>
      <w:r w:rsidRPr="002712CC">
        <w:rPr>
          <w:rFonts w:ascii="ＭＳ ゴシック" w:eastAsia="ＭＳ ゴシック" w:hAnsi="ＭＳ ゴシック" w:cs="ＭＳ ゴシック" w:hint="eastAsia"/>
          <w:color w:val="545456"/>
          <w:w w:val="95"/>
          <w:lang w:eastAsia="ja-JP"/>
        </w:rPr>
        <w:t>では批評と公表を追加の段階として定義しています。図</w:t>
      </w:r>
      <w:r w:rsidRPr="002712CC">
        <w:rPr>
          <w:rFonts w:ascii="ＭＳ ゴシック" w:eastAsia="ＭＳ ゴシック" w:hAnsi="ＭＳ ゴシック"/>
          <w:color w:val="545456"/>
          <w:w w:val="95"/>
          <w:lang w:eastAsia="ja-JP"/>
        </w:rPr>
        <w:t>5.1</w:t>
      </w:r>
      <w:r w:rsidRPr="002712CC">
        <w:rPr>
          <w:rFonts w:ascii="ＭＳ ゴシック" w:eastAsia="ＭＳ ゴシック" w:hAnsi="ＭＳ ゴシック" w:cs="ＭＳ ゴシック" w:hint="eastAsia"/>
          <w:color w:val="545456"/>
          <w:w w:val="95"/>
          <w:lang w:eastAsia="ja-JP"/>
        </w:rPr>
        <w:t>に、</w:t>
      </w:r>
      <w:r w:rsidRPr="002712CC">
        <w:rPr>
          <w:rFonts w:ascii="ＭＳ ゴシック" w:eastAsia="ＭＳ ゴシック" w:hAnsi="ＭＳ ゴシック"/>
          <w:color w:val="545456"/>
          <w:w w:val="95"/>
          <w:lang w:eastAsia="ja-JP"/>
        </w:rPr>
        <w:t>ISO</w:t>
      </w:r>
      <w:r w:rsidRPr="002712CC">
        <w:rPr>
          <w:rFonts w:ascii="ＭＳ ゴシック" w:eastAsia="ＭＳ ゴシック" w:hAnsi="ＭＳ ゴシック" w:cs="ＭＳ ゴシック" w:hint="eastAsia"/>
          <w:color w:val="545456"/>
          <w:w w:val="95"/>
          <w:lang w:eastAsia="ja-JP"/>
        </w:rPr>
        <w:t>が定義する</w:t>
      </w:r>
      <w:r w:rsidRPr="002712CC">
        <w:rPr>
          <w:rFonts w:ascii="ＭＳ ゴシック" w:eastAsia="ＭＳ ゴシック" w:hAnsi="ＭＳ ゴシック"/>
          <w:color w:val="545456"/>
          <w:w w:val="95"/>
          <w:lang w:eastAsia="ja-JP"/>
        </w:rPr>
        <w:t>LCA</w:t>
      </w:r>
      <w:r w:rsidR="00A64F66">
        <w:rPr>
          <w:rFonts w:ascii="ＭＳ ゴシック" w:eastAsia="ＭＳ ゴシック" w:hAnsi="ＭＳ ゴシック" w:cs="ＭＳ ゴシック" w:hint="eastAsia"/>
          <w:color w:val="545456"/>
          <w:w w:val="95"/>
          <w:lang w:eastAsia="ja-JP"/>
        </w:rPr>
        <w:t>調査</w:t>
      </w:r>
      <w:r w:rsidRPr="002712CC">
        <w:rPr>
          <w:rFonts w:ascii="ＭＳ ゴシック" w:eastAsia="ＭＳ ゴシック" w:hAnsi="ＭＳ ゴシック" w:cs="ＭＳ ゴシック" w:hint="eastAsia"/>
          <w:color w:val="545456"/>
          <w:w w:val="95"/>
          <w:lang w:eastAsia="ja-JP"/>
        </w:rPr>
        <w:t>の各段階と、本規格に準拠した</w:t>
      </w:r>
      <w:r w:rsidRPr="002712CC">
        <w:rPr>
          <w:rFonts w:ascii="ＭＳ ゴシック" w:eastAsia="ＭＳ ゴシック" w:hAnsi="ＭＳ ゴシック"/>
          <w:color w:val="545456"/>
          <w:w w:val="95"/>
          <w:lang w:eastAsia="ja-JP"/>
        </w:rPr>
        <w:t>GHG</w:t>
      </w:r>
      <w:r w:rsidRPr="002712CC">
        <w:rPr>
          <w:rFonts w:ascii="ＭＳ ゴシック" w:eastAsia="ＭＳ ゴシック" w:hAnsi="ＭＳ ゴシック" w:cs="ＭＳ ゴシック" w:hint="eastAsia"/>
          <w:color w:val="545456"/>
          <w:w w:val="95"/>
          <w:lang w:eastAsia="ja-JP"/>
        </w:rPr>
        <w:t>排出量報告書の完成までのステップとの一般的な関係を示します。</w:t>
      </w:r>
    </w:p>
    <w:p w14:paraId="282C18CE" w14:textId="77777777" w:rsidR="006D7ED2" w:rsidRDefault="00320E9D" w:rsidP="00207484">
      <w:pPr>
        <w:pStyle w:val="a3"/>
        <w:spacing w:before="144" w:line="312" w:lineRule="auto"/>
        <w:ind w:left="851" w:rightChars="58" w:right="128" w:firstLineChars="100" w:firstLine="190"/>
        <w:rPr>
          <w:rFonts w:ascii="ＭＳ ゴシック" w:eastAsia="ＭＳ ゴシック" w:hAnsi="ＭＳ ゴシック" w:cs="ＭＳ ゴシック"/>
          <w:color w:val="545456"/>
          <w:lang w:eastAsia="ja-JP"/>
        </w:rPr>
      </w:pPr>
      <w:bookmarkStart w:id="3" w:name="_Hlk109038775"/>
      <w:r w:rsidRPr="00320E9D">
        <w:rPr>
          <w:rFonts w:ascii="ＭＳ ゴシック" w:eastAsia="ＭＳ ゴシック" w:hAnsi="ＭＳ ゴシック" w:cs="ＭＳ ゴシック" w:hint="eastAsia"/>
          <w:color w:val="545456"/>
          <w:lang w:eastAsia="ja-JP"/>
        </w:rPr>
        <w:t>ライフサイクルアプローチは、本来、反復技法であり、各段階やステップは、別の（前または後の）段階やステップで使用された結果や方法論に依存するものとなっています。</w:t>
      </w:r>
      <w:bookmarkEnd w:id="3"/>
      <w:r w:rsidRPr="00320E9D">
        <w:rPr>
          <w:rFonts w:ascii="ＭＳ ゴシック" w:eastAsia="ＭＳ ゴシック" w:hAnsi="ＭＳ ゴシック" w:cs="ＭＳ ゴシック" w:hint="eastAsia"/>
          <w:color w:val="545456"/>
          <w:lang w:eastAsia="ja-JP"/>
        </w:rPr>
        <w:t>例えば、分析単位の定義（第</w:t>
      </w:r>
      <w:r w:rsidRPr="00320E9D">
        <w:rPr>
          <w:color w:val="545456"/>
          <w:lang w:eastAsia="ja-JP"/>
        </w:rPr>
        <w:t>6</w:t>
      </w:r>
      <w:r w:rsidRPr="00320E9D">
        <w:rPr>
          <w:rFonts w:ascii="ＭＳ ゴシック" w:eastAsia="ＭＳ ゴシック" w:hAnsi="ＭＳ ゴシック" w:cs="ＭＳ ゴシック" w:hint="eastAsia"/>
          <w:color w:val="545456"/>
          <w:lang w:eastAsia="ja-JP"/>
        </w:rPr>
        <w:t>章で定義）は、その後の境界設定、データ収集、および配分に直接影響を与えるステップです。しかし、企業は、配分（第</w:t>
      </w:r>
      <w:r w:rsidRPr="00320E9D">
        <w:rPr>
          <w:color w:val="545456"/>
          <w:lang w:eastAsia="ja-JP"/>
        </w:rPr>
        <w:t>9</w:t>
      </w:r>
      <w:r w:rsidRPr="00320E9D">
        <w:rPr>
          <w:rFonts w:ascii="ＭＳ ゴシック" w:eastAsia="ＭＳ ゴシック" w:hAnsi="ＭＳ ゴシック" w:cs="ＭＳ ゴシック" w:hint="eastAsia"/>
          <w:color w:val="545456"/>
          <w:lang w:eastAsia="ja-JP"/>
        </w:rPr>
        <w:t>章で定義）を避けるために分析単位を再定義する必要があ</w:t>
      </w:r>
    </w:p>
    <w:p w14:paraId="237EF9E8" w14:textId="1D7B8F10" w:rsidR="0055291C" w:rsidRPr="00207484" w:rsidRDefault="00320E9D" w:rsidP="006D7ED2">
      <w:pPr>
        <w:pStyle w:val="a3"/>
        <w:spacing w:before="144" w:line="312" w:lineRule="auto"/>
        <w:ind w:leftChars="193" w:left="425" w:rightChars="58" w:right="128"/>
        <w:rPr>
          <w:lang w:eastAsia="ja-JP"/>
        </w:rPr>
      </w:pPr>
      <w:r w:rsidRPr="00320E9D">
        <w:rPr>
          <w:rFonts w:ascii="ＭＳ ゴシック" w:eastAsia="ＭＳ ゴシック" w:hAnsi="ＭＳ ゴシック" w:cs="ＭＳ ゴシック" w:hint="eastAsia"/>
          <w:color w:val="545456"/>
          <w:lang w:eastAsia="ja-JP"/>
        </w:rPr>
        <w:t>る可能性があります。</w:t>
      </w:r>
      <w:r w:rsidR="00F23C61">
        <w:rPr>
          <w:color w:val="545456"/>
          <w:spacing w:val="1"/>
          <w:lang w:eastAsia="ja-JP"/>
        </w:rPr>
        <w:t xml:space="preserve"> </w:t>
      </w:r>
    </w:p>
    <w:p w14:paraId="6AD4FD6E" w14:textId="603BE0D8" w:rsidR="0055291C" w:rsidRDefault="00207484" w:rsidP="006D7ED2">
      <w:pPr>
        <w:pStyle w:val="a3"/>
        <w:spacing w:before="3" w:line="312" w:lineRule="auto"/>
        <w:ind w:left="426" w:right="1155" w:firstLineChars="100" w:firstLine="190"/>
        <w:jc w:val="both"/>
        <w:rPr>
          <w:lang w:eastAsia="ja-JP"/>
        </w:rPr>
      </w:pPr>
      <w:r w:rsidRPr="00207484">
        <w:rPr>
          <w:rFonts w:ascii="ＭＳ ゴシック" w:eastAsia="ＭＳ ゴシック" w:hAnsi="ＭＳ ゴシック" w:cs="ＭＳ ゴシック" w:hint="eastAsia"/>
          <w:color w:val="545456"/>
          <w:lang w:eastAsia="ja-JP"/>
        </w:rPr>
        <w:t>同様に、境界の設定（第</w:t>
      </w:r>
      <w:r w:rsidRPr="00207484">
        <w:rPr>
          <w:color w:val="545456"/>
          <w:lang w:eastAsia="ja-JP"/>
        </w:rPr>
        <w:t>7</w:t>
      </w:r>
      <w:r w:rsidRPr="00207484">
        <w:rPr>
          <w:rFonts w:ascii="ＭＳ ゴシック" w:eastAsia="ＭＳ ゴシック" w:hAnsi="ＭＳ ゴシック" w:cs="ＭＳ ゴシック" w:hint="eastAsia"/>
          <w:color w:val="545456"/>
          <w:lang w:eastAsia="ja-JP"/>
        </w:rPr>
        <w:t>章）は、帰属す</w:t>
      </w:r>
      <w:r>
        <w:rPr>
          <w:rFonts w:ascii="ＭＳ ゴシック" w:eastAsia="ＭＳ ゴシック" w:hAnsi="ＭＳ ゴシック" w:cs="ＭＳ ゴシック" w:hint="eastAsia"/>
          <w:color w:val="545456"/>
          <w:lang w:eastAsia="ja-JP"/>
        </w:rPr>
        <w:t>る</w:t>
      </w:r>
      <w:r w:rsidRPr="00207484">
        <w:rPr>
          <w:rFonts w:ascii="ＭＳ ゴシック" w:eastAsia="ＭＳ ゴシック" w:hAnsi="ＭＳ ゴシック" w:cs="ＭＳ ゴシック" w:hint="eastAsia"/>
          <w:color w:val="545456"/>
          <w:lang w:eastAsia="ja-JP"/>
        </w:rPr>
        <w:t>プロセスを決定することにより、どのようなデータが必要かを特定する最初のステップですが、データ収集の限界</w:t>
      </w:r>
      <w:r w:rsidRPr="00207484">
        <w:rPr>
          <w:color w:val="545456"/>
          <w:lang w:eastAsia="ja-JP"/>
        </w:rPr>
        <w:t xml:space="preserve"> </w:t>
      </w:r>
      <w:r w:rsidRPr="00207484">
        <w:rPr>
          <w:rFonts w:ascii="ＭＳ ゴシック" w:eastAsia="ＭＳ ゴシック" w:hAnsi="ＭＳ ゴシック" w:cs="ＭＳ ゴシック" w:hint="eastAsia"/>
          <w:color w:val="545456"/>
          <w:lang w:eastAsia="ja-JP"/>
        </w:rPr>
        <w:t>（第</w:t>
      </w:r>
      <w:r w:rsidRPr="00207484">
        <w:rPr>
          <w:color w:val="545456"/>
          <w:lang w:eastAsia="ja-JP"/>
        </w:rPr>
        <w:t>8</w:t>
      </w:r>
      <w:r w:rsidRPr="00207484">
        <w:rPr>
          <w:rFonts w:ascii="ＭＳ ゴシック" w:eastAsia="ＭＳ ゴシック" w:hAnsi="ＭＳ ゴシック" w:cs="ＭＳ ゴシック" w:hint="eastAsia"/>
          <w:color w:val="545456"/>
          <w:lang w:eastAsia="ja-JP"/>
        </w:rPr>
        <w:t>章の定義）により、一部のプロセスをインベントリ結果から除外し、インベントリ報告書でそれらの除外を正当化することがあります。本規格の原則を適用し、事業目標を明確に設定することで、企業は、算出の実施から最終結果の解釈までの間に取られた決定が、それらの目標に関連するものであることを確認することができます。</w:t>
      </w:r>
    </w:p>
    <w:p w14:paraId="1F2542F7" w14:textId="77777777" w:rsidR="00207484" w:rsidRPr="009A6D47" w:rsidRDefault="00207484" w:rsidP="006D7ED2">
      <w:pPr>
        <w:pStyle w:val="3"/>
        <w:ind w:left="426" w:right="1155"/>
        <w:rPr>
          <w:spacing w:val="-49"/>
          <w:w w:val="95"/>
          <w:sz w:val="21"/>
          <w:szCs w:val="21"/>
          <w:lang w:eastAsia="ja-JP"/>
        </w:rPr>
      </w:pPr>
      <w:r w:rsidRPr="009A6D47">
        <w:rPr>
          <w:color w:val="00ACA1"/>
          <w:w w:val="95"/>
          <w:sz w:val="21"/>
          <w:szCs w:val="21"/>
          <w:lang w:eastAsia="ja-JP"/>
        </w:rPr>
        <w:t xml:space="preserve">5.3.2 </w:t>
      </w:r>
      <w:r w:rsidRPr="009A6D47">
        <w:rPr>
          <w:rFonts w:ascii="ＭＳ 明朝" w:eastAsia="ＭＳ 明朝" w:hAnsi="ＭＳ 明朝" w:cs="ＭＳ 明朝" w:hint="eastAsia"/>
          <w:color w:val="00ACA1"/>
          <w:w w:val="95"/>
          <w:sz w:val="21"/>
          <w:szCs w:val="21"/>
          <w:lang w:eastAsia="ja-JP"/>
        </w:rPr>
        <w:t>製品規則とセクターガイダンスの使用</w:t>
      </w:r>
      <w:r w:rsidR="00F23C61" w:rsidRPr="009A6D47">
        <w:rPr>
          <w:spacing w:val="-49"/>
          <w:w w:val="95"/>
          <w:sz w:val="21"/>
          <w:szCs w:val="21"/>
          <w:lang w:eastAsia="ja-JP"/>
        </w:rPr>
        <w:t xml:space="preserve"> </w:t>
      </w:r>
    </w:p>
    <w:p w14:paraId="080B5AE7" w14:textId="4B0C5D26" w:rsidR="0055291C" w:rsidRDefault="00724EFB" w:rsidP="006D7ED2">
      <w:pPr>
        <w:pStyle w:val="a5"/>
        <w:tabs>
          <w:tab w:val="left" w:pos="1144"/>
          <w:tab w:val="left" w:pos="1145"/>
        </w:tabs>
        <w:spacing w:before="129" w:line="312" w:lineRule="auto"/>
        <w:ind w:left="426" w:right="1155" w:firstLineChars="100" w:firstLine="190"/>
        <w:rPr>
          <w:sz w:val="19"/>
          <w:lang w:eastAsia="ja-JP"/>
        </w:rPr>
      </w:pPr>
      <w:r w:rsidRPr="00724EFB">
        <w:rPr>
          <w:rFonts w:ascii="ＭＳ ゴシック" w:eastAsia="ＭＳ ゴシック" w:hAnsi="ＭＳ ゴシック" w:cs="ＭＳ ゴシック" w:hint="eastAsia"/>
          <w:sz w:val="19"/>
          <w:lang w:eastAsia="ja-JP"/>
        </w:rPr>
        <w:t>第</w:t>
      </w:r>
      <w:r w:rsidRPr="00724EFB">
        <w:rPr>
          <w:sz w:val="19"/>
          <w:lang w:eastAsia="ja-JP"/>
        </w:rPr>
        <w:t>1</w:t>
      </w:r>
      <w:r w:rsidRPr="00724EFB">
        <w:rPr>
          <w:rFonts w:ascii="ＭＳ ゴシック" w:eastAsia="ＭＳ ゴシック" w:hAnsi="ＭＳ ゴシック" w:cs="ＭＳ ゴシック" w:hint="eastAsia"/>
          <w:sz w:val="19"/>
          <w:lang w:eastAsia="ja-JP"/>
        </w:rPr>
        <w:t>章で述べたように、製品比較は、製品性能を経時的に追跡する以上に、製品または製品分類に対してこの規格の一貫した適用を保証するための追加仕様を必要とします。</w:t>
      </w:r>
    </w:p>
    <w:p w14:paraId="36AAFFCC" w14:textId="77777777" w:rsidR="0055291C" w:rsidRDefault="0055291C">
      <w:pPr>
        <w:spacing w:line="312" w:lineRule="auto"/>
        <w:rPr>
          <w:sz w:val="19"/>
          <w:lang w:eastAsia="ja-JP"/>
        </w:rPr>
        <w:sectPr w:rsidR="0055291C">
          <w:type w:val="continuous"/>
          <w:pgSz w:w="12240" w:h="15840"/>
          <w:pgMar w:top="740" w:right="0" w:bottom="280" w:left="0" w:header="0" w:footer="859" w:gutter="0"/>
          <w:cols w:num="2" w:space="720" w:equalWidth="0">
            <w:col w:w="5798" w:space="40"/>
            <w:col w:w="6402"/>
          </w:cols>
        </w:sectPr>
      </w:pPr>
    </w:p>
    <w:p w14:paraId="59241192" w14:textId="3497EC5B" w:rsidR="0055291C" w:rsidRDefault="0055291C">
      <w:pPr>
        <w:pStyle w:val="a3"/>
        <w:spacing w:before="7"/>
        <w:rPr>
          <w:sz w:val="14"/>
          <w:lang w:eastAsia="ja-JP"/>
        </w:rPr>
      </w:pPr>
    </w:p>
    <w:p w14:paraId="57C2ED6C" w14:textId="77777777" w:rsidR="0055291C" w:rsidRDefault="0055291C">
      <w:pPr>
        <w:rPr>
          <w:sz w:val="14"/>
          <w:lang w:eastAsia="ja-JP"/>
        </w:rPr>
        <w:sectPr w:rsidR="0055291C">
          <w:type w:val="continuous"/>
          <w:pgSz w:w="12240" w:h="15840"/>
          <w:pgMar w:top="740" w:right="0" w:bottom="280" w:left="0" w:header="0" w:footer="859" w:gutter="0"/>
          <w:cols w:space="720"/>
        </w:sectPr>
      </w:pPr>
    </w:p>
    <w:p w14:paraId="31AF8FA2" w14:textId="0E87FA0E" w:rsidR="0055291C" w:rsidRDefault="00A64F66">
      <w:pPr>
        <w:rPr>
          <w:rFonts w:ascii="Arial"/>
          <w:sz w:val="20"/>
          <w:lang w:eastAsia="ja-JP"/>
        </w:rPr>
        <w:sectPr w:rsidR="0055291C">
          <w:type w:val="continuous"/>
          <w:pgSz w:w="12240" w:h="15840"/>
          <w:pgMar w:top="740" w:right="0" w:bottom="280" w:left="0" w:header="0" w:footer="859" w:gutter="0"/>
          <w:cols w:space="720"/>
        </w:sectPr>
      </w:pPr>
      <w:r>
        <w:rPr>
          <w:rFonts w:ascii="Arial"/>
          <w:noProof/>
          <w:sz w:val="20"/>
        </w:rPr>
        <w:drawing>
          <wp:anchor distT="0" distB="0" distL="114300" distR="114300" simplePos="0" relativeHeight="251445760" behindDoc="0" locked="0" layoutInCell="1" allowOverlap="1" wp14:anchorId="0AD101CF" wp14:editId="5AAC8836">
            <wp:simplePos x="0" y="0"/>
            <wp:positionH relativeFrom="column">
              <wp:posOffset>520700</wp:posOffset>
            </wp:positionH>
            <wp:positionV relativeFrom="paragraph">
              <wp:posOffset>45720</wp:posOffset>
            </wp:positionV>
            <wp:extent cx="6858635" cy="4761230"/>
            <wp:effectExtent l="0" t="0" r="0" b="1270"/>
            <wp:wrapTopAndBottom/>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858635" cy="4761230"/>
                    </a:xfrm>
                    <a:prstGeom prst="rect">
                      <a:avLst/>
                    </a:prstGeom>
                    <a:noFill/>
                    <a:ln>
                      <a:noFill/>
                    </a:ln>
                  </pic:spPr>
                </pic:pic>
              </a:graphicData>
            </a:graphic>
          </wp:anchor>
        </w:drawing>
      </w:r>
    </w:p>
    <w:p w14:paraId="37260096" w14:textId="19721EA3" w:rsidR="0055291C" w:rsidRDefault="00000000">
      <w:pPr>
        <w:pStyle w:val="a3"/>
        <w:rPr>
          <w:rFonts w:ascii="Arial"/>
          <w:sz w:val="20"/>
        </w:rPr>
      </w:pPr>
      <w:r>
        <w:rPr>
          <w:rFonts w:ascii="Arial"/>
          <w:sz w:val="20"/>
        </w:rPr>
      </w:r>
      <w:r>
        <w:rPr>
          <w:rFonts w:ascii="Arial"/>
          <w:sz w:val="20"/>
        </w:rPr>
        <w:pict w14:anchorId="7881A9EB">
          <v:group id="docshapegroup433" o:spid="_x0000_s3364" style="width:297pt;height:31.8pt;mso-position-horizontal-relative:char;mso-position-vertical-relative:line" coordsize="5940,636">
            <v:shape id="docshape434" o:spid="_x0000_s3366" style="position:absolute;width:5940;height:636" coordsize="5940,636" path="m5940,l,,,635r5713,l5844,632r68,-25l5936,539r4,-131l5940,xe" fillcolor="#00aca1" stroked="f">
              <v:path arrowok="t"/>
            </v:shape>
            <v:shape id="docshape435" o:spid="_x0000_s3365" type="#_x0000_t202" style="position:absolute;width:5940;height:636" filled="f" stroked="f">
              <v:textbox style="mso-next-textbox:#docshape435" inset="0,0,0,0">
                <w:txbxContent>
                  <w:p w14:paraId="1FBBD766" w14:textId="77777777" w:rsidR="0055291C" w:rsidRDefault="00F23C61">
                    <w:pPr>
                      <w:spacing w:before="219"/>
                      <w:ind w:left="1133"/>
                      <w:rPr>
                        <w:rFonts w:ascii="Arial"/>
                        <w:b/>
                        <w:i/>
                        <w:sz w:val="28"/>
                      </w:rPr>
                    </w:pPr>
                    <w:r>
                      <w:rPr>
                        <w:rFonts w:ascii="Arial"/>
                        <w:b/>
                        <w:i/>
                        <w:color w:val="F3F4F4"/>
                        <w:sz w:val="28"/>
                      </w:rPr>
                      <w:t>g</w:t>
                    </w:r>
                    <w:r>
                      <w:rPr>
                        <w:rFonts w:ascii="Arial"/>
                        <w:b/>
                        <w:i/>
                        <w:color w:val="F3F4F4"/>
                        <w:spacing w:val="5"/>
                        <w:sz w:val="28"/>
                      </w:rPr>
                      <w:t xml:space="preserve"> </w:t>
                    </w:r>
                    <w:r>
                      <w:rPr>
                        <w:rFonts w:ascii="Arial"/>
                        <w:b/>
                        <w:i/>
                        <w:color w:val="F3F4F4"/>
                        <w:sz w:val="28"/>
                      </w:rPr>
                      <w:t>u</w:t>
                    </w:r>
                    <w:r>
                      <w:rPr>
                        <w:rFonts w:ascii="Arial"/>
                        <w:b/>
                        <w:i/>
                        <w:color w:val="F3F4F4"/>
                        <w:spacing w:val="5"/>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2"/>
                        <w:sz w:val="28"/>
                      </w:rPr>
                      <w:t xml:space="preserve"> </w:t>
                    </w:r>
                    <w:r>
                      <w:rPr>
                        <w:rFonts w:ascii="Arial"/>
                        <w:b/>
                        <w:i/>
                        <w:color w:val="F3F4F4"/>
                        <w:sz w:val="28"/>
                      </w:rPr>
                      <w:t>n</w:t>
                    </w:r>
                    <w:r>
                      <w:rPr>
                        <w:rFonts w:ascii="Arial"/>
                        <w:b/>
                        <w:i/>
                        <w:color w:val="F3F4F4"/>
                        <w:spacing w:val="83"/>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v:shape>
            <w10:anchorlock/>
          </v:group>
        </w:pict>
      </w:r>
    </w:p>
    <w:p w14:paraId="47F13FF3" w14:textId="77777777" w:rsidR="0055291C" w:rsidRDefault="0055291C">
      <w:pPr>
        <w:pStyle w:val="a3"/>
        <w:rPr>
          <w:rFonts w:ascii="Arial"/>
          <w:b/>
          <w:i/>
          <w:sz w:val="20"/>
        </w:rPr>
      </w:pPr>
    </w:p>
    <w:p w14:paraId="0D2F35BB" w14:textId="77777777" w:rsidR="0055291C" w:rsidRDefault="0055291C">
      <w:pPr>
        <w:pStyle w:val="a3"/>
        <w:rPr>
          <w:rFonts w:ascii="Arial"/>
          <w:b/>
          <w:i/>
          <w:sz w:val="20"/>
        </w:rPr>
      </w:pPr>
    </w:p>
    <w:p w14:paraId="672D025A" w14:textId="77777777" w:rsidR="0055291C" w:rsidRDefault="0055291C">
      <w:pPr>
        <w:pStyle w:val="a3"/>
        <w:rPr>
          <w:rFonts w:ascii="Arial"/>
          <w:b/>
          <w:i/>
          <w:sz w:val="20"/>
        </w:rPr>
      </w:pPr>
    </w:p>
    <w:p w14:paraId="44C0121C" w14:textId="1182DEA7" w:rsidR="0055291C" w:rsidRDefault="0055291C">
      <w:pPr>
        <w:pStyle w:val="a3"/>
        <w:spacing w:before="3"/>
        <w:rPr>
          <w:rFonts w:ascii="Arial"/>
          <w:b/>
          <w:i/>
          <w:sz w:val="29"/>
        </w:rPr>
      </w:pPr>
    </w:p>
    <w:p w14:paraId="178386BA" w14:textId="77777777" w:rsidR="0055291C" w:rsidRDefault="0055291C">
      <w:pPr>
        <w:rPr>
          <w:rFonts w:ascii="Arial"/>
          <w:sz w:val="29"/>
        </w:rPr>
        <w:sectPr w:rsidR="0055291C">
          <w:headerReference w:type="even" r:id="rId110"/>
          <w:pgSz w:w="12240" w:h="15840"/>
          <w:pgMar w:top="0" w:right="0" w:bottom="1040" w:left="0" w:header="0" w:footer="859" w:gutter="0"/>
          <w:cols w:space="720"/>
        </w:sectPr>
      </w:pPr>
    </w:p>
    <w:p w14:paraId="2BD45D25" w14:textId="3EDAEA67" w:rsidR="0055291C" w:rsidRDefault="00724EFB" w:rsidP="005E0613">
      <w:pPr>
        <w:pStyle w:val="a3"/>
        <w:spacing w:before="102" w:line="312" w:lineRule="auto"/>
        <w:ind w:left="993" w:right="681"/>
        <w:rPr>
          <w:lang w:eastAsia="ja-JP"/>
        </w:rPr>
      </w:pPr>
      <w:r w:rsidRPr="00724EFB">
        <w:rPr>
          <w:rFonts w:ascii="ＭＳ ゴシック" w:eastAsia="ＭＳ ゴシック" w:hAnsi="ＭＳ ゴシック" w:cs="ＭＳ ゴシック" w:hint="eastAsia"/>
          <w:lang w:eastAsia="ja-JP"/>
        </w:rPr>
        <w:t>これらの仕様は製品規則の中で提供されます。製品規則は、特定の製品または製品分類に関心を持ち、その製品に関する比較や宣言を可能にするために必要な追加仕様について合意を形成することを目的とした関係者のグループによって作成される文書です。例として、</w:t>
      </w:r>
      <w:r w:rsidRPr="00724EFB">
        <w:rPr>
          <w:lang w:eastAsia="ja-JP"/>
        </w:rPr>
        <w:t xml:space="preserve">ISO 14025:2006 </w:t>
      </w:r>
      <w:r w:rsidRPr="00724EFB">
        <w:rPr>
          <w:rFonts w:ascii="ＭＳ ゴシック" w:eastAsia="ＭＳ ゴシック" w:hAnsi="ＭＳ ゴシック" w:cs="ＭＳ ゴシック" w:hint="eastAsia"/>
          <w:lang w:eastAsia="ja-JP"/>
        </w:rPr>
        <w:t>で定義されている製品分類規則（</w:t>
      </w:r>
      <w:r w:rsidRPr="00724EFB">
        <w:rPr>
          <w:lang w:eastAsia="ja-JP"/>
        </w:rPr>
        <w:t>PCR</w:t>
      </w:r>
      <w:r w:rsidRPr="00724EFB">
        <w:rPr>
          <w:rFonts w:ascii="ＭＳ ゴシック" w:eastAsia="ＭＳ ゴシック" w:hAnsi="ＭＳ ゴシック" w:cs="ＭＳ ゴシック" w:hint="eastAsia"/>
          <w:lang w:eastAsia="ja-JP"/>
        </w:rPr>
        <w:t>）があります。付録</w:t>
      </w:r>
      <w:r w:rsidRPr="00724EFB">
        <w:rPr>
          <w:lang w:eastAsia="ja-JP"/>
        </w:rPr>
        <w:t xml:space="preserve"> A </w:t>
      </w:r>
      <w:r w:rsidRPr="00724EFB">
        <w:rPr>
          <w:rFonts w:ascii="ＭＳ ゴシック" w:eastAsia="ＭＳ ゴシック" w:hAnsi="ＭＳ ゴシック" w:cs="ＭＳ ゴシック" w:hint="eastAsia"/>
          <w:lang w:eastAsia="ja-JP"/>
        </w:rPr>
        <w:t>には、さまざまな</w:t>
      </w:r>
      <w:r w:rsidRPr="00724EFB">
        <w:rPr>
          <w:rFonts w:ascii="ＭＳ ゴシック" w:eastAsia="ＭＳ ゴシック" w:hAnsi="ＭＳ ゴシック" w:cs="ＭＳ ゴシック" w:hint="eastAsia"/>
          <w:lang w:eastAsia="ja-JP"/>
        </w:rPr>
        <w:t>種類の比較を可能にするために製品規則にどのような仕様が必要であるかの詳細と、製品規則の作成に関するガイダンスが記載されています</w:t>
      </w:r>
      <w:r>
        <w:rPr>
          <w:rFonts w:ascii="ＭＳ ゴシック" w:eastAsia="ＭＳ ゴシック" w:hAnsi="ＭＳ ゴシック" w:cs="ＭＳ ゴシック" w:hint="eastAsia"/>
          <w:color w:val="545456"/>
          <w:lang w:eastAsia="ja-JP"/>
        </w:rPr>
        <w:t>。</w:t>
      </w:r>
    </w:p>
    <w:p w14:paraId="409A984B" w14:textId="7CF2D335" w:rsidR="0055291C" w:rsidRPr="009A6D47" w:rsidRDefault="00B72C52" w:rsidP="005E0613">
      <w:pPr>
        <w:pStyle w:val="a3"/>
        <w:spacing w:before="102" w:line="312" w:lineRule="auto"/>
        <w:ind w:leftChars="451" w:left="992" w:right="821" w:firstLineChars="100" w:firstLine="190"/>
        <w:rPr>
          <w:rFonts w:eastAsiaTheme="minorEastAsia"/>
          <w:lang w:eastAsia="ja-JP"/>
        </w:rPr>
      </w:pPr>
      <w:r w:rsidRPr="00B72C52">
        <w:rPr>
          <w:rFonts w:ascii="ＭＳ ゴシック" w:eastAsia="ＭＳ ゴシック" w:hAnsi="ＭＳ ゴシック" w:cs="ＭＳ ゴシック" w:hint="eastAsia"/>
          <w:color w:val="545456"/>
          <w:lang w:eastAsia="ja-JP"/>
        </w:rPr>
        <w:t>セクターガイダンスは、通常、利害関係者とセクターの代表者が、そのセクター内で製品の</w:t>
      </w:r>
      <w:r w:rsidRPr="00B72C52">
        <w:rPr>
          <w:color w:val="545456"/>
          <w:lang w:eastAsia="ja-JP"/>
        </w:rPr>
        <w:t>GHG</w:t>
      </w:r>
      <w:r w:rsidRPr="00B72C52">
        <w:rPr>
          <w:rFonts w:ascii="ＭＳ ゴシック" w:eastAsia="ＭＳ ゴシック" w:hAnsi="ＭＳ ゴシック" w:cs="ＭＳ ゴシック" w:hint="eastAsia"/>
          <w:color w:val="545456"/>
          <w:lang w:eastAsia="ja-JP"/>
        </w:rPr>
        <w:t>インベントリを実行するための指針について合意を得るために招集されたグループによって作成されますが、製品の比較を可能にするという目標はありません。</w:t>
      </w:r>
    </w:p>
    <w:p w14:paraId="05D15CE0"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849" w:space="40"/>
            <w:col w:w="6351"/>
          </w:cols>
        </w:sectPr>
      </w:pPr>
    </w:p>
    <w:p w14:paraId="638BEF00" w14:textId="0A9D9A7C" w:rsidR="0055291C" w:rsidRDefault="005E0613">
      <w:pPr>
        <w:spacing w:line="258" w:lineRule="exact"/>
        <w:rPr>
          <w:sz w:val="19"/>
          <w:lang w:eastAsia="ja-JP"/>
        </w:rPr>
        <w:sectPr w:rsidR="0055291C">
          <w:type w:val="continuous"/>
          <w:pgSz w:w="12240" w:h="15840"/>
          <w:pgMar w:top="740" w:right="0" w:bottom="280" w:left="0" w:header="0" w:footer="859" w:gutter="0"/>
          <w:cols w:num="2" w:space="720" w:equalWidth="0">
            <w:col w:w="3302" w:space="40"/>
            <w:col w:w="8898"/>
          </w:cols>
        </w:sectPr>
      </w:pPr>
      <w:r>
        <w:rPr>
          <w:noProof/>
          <w:lang w:eastAsia="ja-JP"/>
        </w:rPr>
        <w:drawing>
          <wp:anchor distT="0" distB="0" distL="114300" distR="114300" simplePos="0" relativeHeight="251446784" behindDoc="0" locked="0" layoutInCell="1" allowOverlap="1" wp14:anchorId="3C3498CF" wp14:editId="27F266DF">
            <wp:simplePos x="0" y="0"/>
            <wp:positionH relativeFrom="column">
              <wp:posOffset>565150</wp:posOffset>
            </wp:positionH>
            <wp:positionV relativeFrom="paragraph">
              <wp:posOffset>132715</wp:posOffset>
            </wp:positionV>
            <wp:extent cx="6645275" cy="6816090"/>
            <wp:effectExtent l="0" t="0" r="3175" b="0"/>
            <wp:wrapTopAndBottom/>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645275" cy="6816090"/>
                    </a:xfrm>
                    <a:prstGeom prst="rect">
                      <a:avLst/>
                    </a:prstGeom>
                    <a:noFill/>
                    <a:ln>
                      <a:noFill/>
                    </a:ln>
                  </pic:spPr>
                </pic:pic>
              </a:graphicData>
            </a:graphic>
          </wp:anchor>
        </w:drawing>
      </w:r>
    </w:p>
    <w:p w14:paraId="0A5CC6D8" w14:textId="77777777" w:rsidR="0055291C" w:rsidRDefault="0055291C">
      <w:pPr>
        <w:pStyle w:val="a3"/>
        <w:rPr>
          <w:sz w:val="20"/>
          <w:lang w:eastAsia="ja-JP"/>
        </w:rPr>
      </w:pPr>
    </w:p>
    <w:p w14:paraId="2444F8E7" w14:textId="77777777" w:rsidR="0055291C" w:rsidRDefault="0055291C">
      <w:pPr>
        <w:pStyle w:val="a3"/>
        <w:rPr>
          <w:sz w:val="20"/>
          <w:lang w:eastAsia="ja-JP"/>
        </w:rPr>
      </w:pPr>
    </w:p>
    <w:p w14:paraId="050D84BF" w14:textId="77777777" w:rsidR="0055291C" w:rsidRDefault="0055291C">
      <w:pPr>
        <w:pStyle w:val="a3"/>
        <w:rPr>
          <w:sz w:val="20"/>
          <w:lang w:eastAsia="ja-JP"/>
        </w:rPr>
      </w:pPr>
    </w:p>
    <w:p w14:paraId="72AA4A28" w14:textId="77777777" w:rsidR="0055291C" w:rsidRDefault="0055291C">
      <w:pPr>
        <w:pStyle w:val="a3"/>
        <w:spacing w:before="4"/>
        <w:rPr>
          <w:sz w:val="24"/>
          <w:lang w:eastAsia="ja-JP"/>
        </w:rPr>
      </w:pPr>
    </w:p>
    <w:p w14:paraId="09EBD845" w14:textId="77777777" w:rsidR="0055291C" w:rsidRDefault="00000000">
      <w:pPr>
        <w:spacing w:before="1"/>
        <w:ind w:left="5323"/>
        <w:rPr>
          <w:rFonts w:ascii="Arial"/>
          <w:i/>
          <w:sz w:val="19"/>
        </w:rPr>
      </w:pPr>
      <w:r>
        <w:pict w14:anchorId="0EE58D4C">
          <v:shape id="docshape442" o:spid="_x0000_s3350" style="position:absolute;left:0;text-align:left;margin-left:580.75pt;margin-top:-47.75pt;width:31.3pt;height:285.85pt;z-index:251565568;mso-position-horizontal-relative:page" coordorigin="11615,-955" coordsize="626,5717" path="m12240,-955r-625,l11615,4535r3,131l11643,4733r67,25l11842,4761r398,l12240,-955xe" fillcolor="#00aca1" stroked="f">
            <v:path arrowok="t"/>
            <w10:wrap anchorx="page"/>
          </v:shape>
        </w:pict>
      </w:r>
      <w:r w:rsidR="00F23C61">
        <w:rPr>
          <w:rFonts w:ascii="Arial"/>
          <w:b/>
          <w:i/>
          <w:color w:val="7F3F98"/>
          <w:sz w:val="19"/>
        </w:rPr>
        <w:t>CHAPTER</w:t>
      </w:r>
      <w:r w:rsidR="00F23C61">
        <w:rPr>
          <w:rFonts w:ascii="Arial"/>
          <w:b/>
          <w:i/>
          <w:color w:val="7F3F98"/>
          <w:spacing w:val="5"/>
          <w:sz w:val="19"/>
        </w:rPr>
        <w:t xml:space="preserve"> </w:t>
      </w:r>
      <w:r w:rsidR="00F23C61">
        <w:rPr>
          <w:rFonts w:ascii="Arial"/>
          <w:b/>
          <w:i/>
          <w:color w:val="7F3F98"/>
          <w:sz w:val="19"/>
        </w:rPr>
        <w:t>05</w:t>
      </w:r>
      <w:r w:rsidR="00F23C61">
        <w:rPr>
          <w:rFonts w:ascii="Arial"/>
          <w:b/>
          <w:i/>
          <w:color w:val="7F3F98"/>
          <w:spacing w:val="5"/>
          <w:sz w:val="19"/>
        </w:rPr>
        <w:t xml:space="preserve"> </w:t>
      </w:r>
      <w:r w:rsidR="00F23C61">
        <w:rPr>
          <w:rFonts w:ascii="Arial"/>
          <w:i/>
          <w:color w:val="545456"/>
          <w:sz w:val="19"/>
        </w:rPr>
        <w:t>Fundamentals</w:t>
      </w:r>
      <w:r w:rsidR="00F23C61">
        <w:rPr>
          <w:rFonts w:ascii="Arial"/>
          <w:i/>
          <w:color w:val="545456"/>
          <w:spacing w:val="3"/>
          <w:sz w:val="19"/>
        </w:rPr>
        <w:t xml:space="preserve"> </w:t>
      </w:r>
      <w:r w:rsidR="00F23C61">
        <w:rPr>
          <w:rFonts w:ascii="Arial"/>
          <w:i/>
          <w:color w:val="545456"/>
          <w:sz w:val="19"/>
        </w:rPr>
        <w:t>of</w:t>
      </w:r>
      <w:r w:rsidR="00F23C61">
        <w:rPr>
          <w:rFonts w:ascii="Arial"/>
          <w:i/>
          <w:color w:val="545456"/>
          <w:spacing w:val="3"/>
          <w:sz w:val="19"/>
        </w:rPr>
        <w:t xml:space="preserve"> </w:t>
      </w:r>
      <w:r w:rsidR="00F23C61">
        <w:rPr>
          <w:rFonts w:ascii="Arial"/>
          <w:i/>
          <w:color w:val="545456"/>
          <w:sz w:val="19"/>
        </w:rPr>
        <w:t>Product</w:t>
      </w:r>
      <w:r w:rsidR="00F23C61">
        <w:rPr>
          <w:rFonts w:ascii="Arial"/>
          <w:i/>
          <w:color w:val="545456"/>
          <w:spacing w:val="4"/>
          <w:sz w:val="19"/>
        </w:rPr>
        <w:t xml:space="preserve"> </w:t>
      </w:r>
      <w:r w:rsidR="00F23C61">
        <w:rPr>
          <w:rFonts w:ascii="Arial"/>
          <w:i/>
          <w:color w:val="545456"/>
          <w:sz w:val="19"/>
        </w:rPr>
        <w:t>Life</w:t>
      </w:r>
      <w:r w:rsidR="00F23C61">
        <w:rPr>
          <w:rFonts w:ascii="Arial"/>
          <w:i/>
          <w:color w:val="545456"/>
          <w:spacing w:val="3"/>
          <w:sz w:val="19"/>
        </w:rPr>
        <w:t xml:space="preserve"> </w:t>
      </w:r>
      <w:r w:rsidR="00F23C61">
        <w:rPr>
          <w:rFonts w:ascii="Arial"/>
          <w:i/>
          <w:color w:val="545456"/>
          <w:sz w:val="19"/>
        </w:rPr>
        <w:t>Cycle</w:t>
      </w:r>
      <w:r w:rsidR="00F23C61">
        <w:rPr>
          <w:rFonts w:ascii="Arial"/>
          <w:i/>
          <w:color w:val="545456"/>
          <w:spacing w:val="3"/>
          <w:sz w:val="19"/>
        </w:rPr>
        <w:t xml:space="preserve"> </w:t>
      </w:r>
      <w:r w:rsidR="00F23C61">
        <w:rPr>
          <w:rFonts w:ascii="Arial"/>
          <w:i/>
          <w:color w:val="545456"/>
          <w:sz w:val="19"/>
        </w:rPr>
        <w:t>GHG</w:t>
      </w:r>
      <w:r w:rsidR="00F23C61">
        <w:rPr>
          <w:rFonts w:ascii="Arial"/>
          <w:i/>
          <w:color w:val="545456"/>
          <w:spacing w:val="3"/>
          <w:sz w:val="19"/>
        </w:rPr>
        <w:t xml:space="preserve"> </w:t>
      </w:r>
      <w:r w:rsidR="00F23C61">
        <w:rPr>
          <w:rFonts w:ascii="Arial"/>
          <w:i/>
          <w:color w:val="545456"/>
          <w:sz w:val="19"/>
        </w:rPr>
        <w:t>Accounting</w:t>
      </w:r>
    </w:p>
    <w:p w14:paraId="37D48CBC" w14:textId="77777777" w:rsidR="0055291C" w:rsidRDefault="0055291C">
      <w:pPr>
        <w:pStyle w:val="a3"/>
        <w:rPr>
          <w:rFonts w:ascii="Arial"/>
          <w:i/>
          <w:sz w:val="20"/>
        </w:rPr>
      </w:pPr>
    </w:p>
    <w:p w14:paraId="7027CE94" w14:textId="77777777" w:rsidR="0055291C" w:rsidRDefault="0055291C">
      <w:pPr>
        <w:pStyle w:val="a3"/>
        <w:spacing w:before="4"/>
        <w:rPr>
          <w:rFonts w:ascii="Arial"/>
          <w:i/>
          <w:sz w:val="21"/>
        </w:rPr>
      </w:pPr>
    </w:p>
    <w:p w14:paraId="422CEC24" w14:textId="77777777" w:rsidR="0055291C" w:rsidRDefault="0055291C">
      <w:pPr>
        <w:rPr>
          <w:rFonts w:ascii="Arial"/>
          <w:sz w:val="21"/>
        </w:rPr>
        <w:sectPr w:rsidR="0055291C">
          <w:headerReference w:type="default" r:id="rId112"/>
          <w:footerReference w:type="default" r:id="rId113"/>
          <w:pgSz w:w="12240" w:h="15840"/>
          <w:pgMar w:top="0" w:right="0" w:bottom="1040" w:left="0" w:header="0" w:footer="859" w:gutter="0"/>
          <w:pgNumType w:start="25"/>
          <w:cols w:space="720"/>
        </w:sectPr>
      </w:pPr>
    </w:p>
    <w:p w14:paraId="506BFBF7" w14:textId="58EC2267" w:rsidR="0055291C" w:rsidRDefault="00DE55C6">
      <w:pPr>
        <w:pStyle w:val="a3"/>
        <w:spacing w:before="149" w:line="312" w:lineRule="auto"/>
        <w:ind w:left="1153" w:right="76"/>
        <w:rPr>
          <w:lang w:eastAsia="ja-JP"/>
        </w:rPr>
      </w:pPr>
      <w:r w:rsidRPr="00DE55C6">
        <w:rPr>
          <w:rFonts w:ascii="ＭＳ ゴシック" w:eastAsia="ＭＳ ゴシック" w:hAnsi="ＭＳ ゴシック" w:cs="ＭＳ ゴシック" w:hint="eastAsia"/>
          <w:color w:val="545456"/>
          <w:spacing w:val="-2"/>
          <w:lang w:eastAsia="ja-JP"/>
        </w:rPr>
        <w:t>製品規則およびセクターガイダンスの使用は本基準への適合のために必須ではありませんが、それぞれが報告書を作成する際に有用な追加仕様を提供しています。表</w:t>
      </w:r>
      <w:r w:rsidRPr="00DE55C6">
        <w:rPr>
          <w:color w:val="545456"/>
          <w:spacing w:val="-2"/>
          <w:lang w:eastAsia="ja-JP"/>
        </w:rPr>
        <w:t>5.1</w:t>
      </w:r>
      <w:r w:rsidRPr="00DE55C6">
        <w:rPr>
          <w:rFonts w:ascii="ＭＳ ゴシック" w:eastAsia="ＭＳ ゴシック" w:hAnsi="ＭＳ ゴシック" w:cs="ＭＳ ゴシック" w:hint="eastAsia"/>
          <w:color w:val="545456"/>
          <w:spacing w:val="-2"/>
          <w:lang w:eastAsia="ja-JP"/>
        </w:rPr>
        <w:t>は、主要な作成手順に対するいくつかの追加的な仕様の例を示しています。表中に含まれる用語の定義と説明については、各章を参照してください。</w:t>
      </w:r>
    </w:p>
    <w:p w14:paraId="462E1D07" w14:textId="4E763E0F" w:rsidR="0055291C" w:rsidRDefault="00EC4883" w:rsidP="00EC4883">
      <w:pPr>
        <w:pStyle w:val="a3"/>
        <w:spacing w:before="2" w:line="312" w:lineRule="auto"/>
        <w:ind w:left="1153" w:right="-5" w:firstLineChars="100" w:firstLine="190"/>
        <w:rPr>
          <w:lang w:eastAsia="ja-JP"/>
        </w:rPr>
      </w:pPr>
      <w:r w:rsidRPr="00EC4883">
        <w:rPr>
          <w:rFonts w:ascii="ＭＳ ゴシック" w:eastAsia="ＭＳ ゴシック" w:hAnsi="ＭＳ ゴシック" w:cs="ＭＳ ゴシック" w:hint="eastAsia"/>
          <w:color w:val="545456"/>
          <w:lang w:eastAsia="ja-JP"/>
        </w:rPr>
        <w:t>セクターガイダンスや製品規則を使用する企業も、製品基準の要求事項を遵守する必要があります。例えば、企業は、割当方法が第</w:t>
      </w:r>
      <w:r w:rsidRPr="00EC4883">
        <w:rPr>
          <w:color w:val="545456"/>
          <w:lang w:eastAsia="ja-JP"/>
        </w:rPr>
        <w:t>9</w:t>
      </w:r>
      <w:r w:rsidRPr="00EC4883">
        <w:rPr>
          <w:rFonts w:ascii="ＭＳ ゴシック" w:eastAsia="ＭＳ ゴシック" w:hAnsi="ＭＳ ゴシック" w:cs="ＭＳ ゴシック" w:hint="eastAsia"/>
          <w:color w:val="545456"/>
          <w:lang w:eastAsia="ja-JP"/>
        </w:rPr>
        <w:t>章に適合し、かつ帰属分析法（例えば、一次供給者または平均データ）を用いて実施される限り、製品規則を使用して割当方法を選択することができます。企業は、セクターガイダンスや製品規則を用いて、正当な理由なく帰属するプロセスを除外することはできません。算出過程で使用されたセクターガイダンスや製品規則は、報告要件（第</w:t>
      </w:r>
      <w:r w:rsidRPr="00EC4883">
        <w:rPr>
          <w:color w:val="545456"/>
          <w:lang w:eastAsia="ja-JP"/>
        </w:rPr>
        <w:t>13</w:t>
      </w:r>
      <w:r w:rsidRPr="00EC4883">
        <w:rPr>
          <w:rFonts w:ascii="ＭＳ ゴシック" w:eastAsia="ＭＳ ゴシック" w:hAnsi="ＭＳ ゴシック" w:cs="ＭＳ ゴシック" w:hint="eastAsia"/>
          <w:color w:val="545456"/>
          <w:lang w:eastAsia="ja-JP"/>
        </w:rPr>
        <w:t>章）に従い、報告書で開示されます。</w:t>
      </w:r>
    </w:p>
    <w:p w14:paraId="721C7CB7" w14:textId="08EB980E" w:rsidR="0055291C" w:rsidRDefault="002712CC">
      <w:pPr>
        <w:pStyle w:val="a3"/>
        <w:spacing w:before="142" w:line="312" w:lineRule="auto"/>
        <w:ind w:left="1153" w:right="-5"/>
        <w:rPr>
          <w:lang w:eastAsia="ja-JP"/>
        </w:rPr>
      </w:pPr>
      <w:r w:rsidRPr="002712CC">
        <w:rPr>
          <w:rFonts w:ascii="ＭＳ ゴシック" w:eastAsia="ＭＳ ゴシック" w:hAnsi="ＭＳ ゴシック" w:cs="ＭＳ ゴシック" w:hint="eastAsia"/>
          <w:color w:val="545456"/>
          <w:spacing w:val="-1"/>
          <w:lang w:eastAsia="ja-JP"/>
        </w:rPr>
        <w:t>製品規則とセクターガイダンスは、広く受け入れられるように、また一貫性と信頼性の向上のために、包括的な多角的過程を通じて開発されるべきです。</w:t>
      </w:r>
    </w:p>
    <w:p w14:paraId="7C94DC1B" w14:textId="04F0D0C0" w:rsidR="002712CC" w:rsidRPr="002712CC" w:rsidRDefault="00F23C61" w:rsidP="002712CC">
      <w:pPr>
        <w:pStyle w:val="3"/>
        <w:ind w:left="244" w:rightChars="568" w:right="1250"/>
        <w:rPr>
          <w:rFonts w:ascii="ＭＳ ゴシック" w:eastAsia="ＭＳ ゴシック" w:hAnsi="ＭＳ ゴシック"/>
          <w:b w:val="0"/>
          <w:i w:val="0"/>
          <w:sz w:val="19"/>
          <w:szCs w:val="19"/>
          <w:lang w:eastAsia="ja-JP"/>
        </w:rPr>
      </w:pPr>
      <w:bookmarkStart w:id="4" w:name="_Endnotes"/>
      <w:bookmarkEnd w:id="4"/>
      <w:r>
        <w:rPr>
          <w:b w:val="0"/>
          <w:i w:val="0"/>
          <w:lang w:eastAsia="ja-JP"/>
        </w:rPr>
        <w:br w:type="column"/>
      </w:r>
      <w:r w:rsidR="002712CC" w:rsidRPr="002712CC">
        <w:rPr>
          <w:rFonts w:ascii="ＭＳ ゴシック" w:eastAsia="ＭＳ ゴシック" w:hAnsi="ＭＳ ゴシック" w:cs="ＭＳ 明朝" w:hint="eastAsia"/>
          <w:b w:val="0"/>
          <w:i w:val="0"/>
          <w:sz w:val="19"/>
          <w:szCs w:val="19"/>
          <w:lang w:eastAsia="ja-JP"/>
        </w:rPr>
        <w:t>製品規格に準拠したガイダンスやツールは、</w:t>
      </w:r>
      <w:r w:rsidR="002712CC" w:rsidRPr="002712CC">
        <w:rPr>
          <w:rFonts w:ascii="ＭＳ ゴシック" w:eastAsia="ＭＳ ゴシック" w:hAnsi="ＭＳ ゴシック"/>
          <w:b w:val="0"/>
          <w:i w:val="0"/>
          <w:sz w:val="19"/>
          <w:szCs w:val="19"/>
          <w:lang w:eastAsia="ja-JP"/>
        </w:rPr>
        <w:t>(www.ghgprotocol.org)</w:t>
      </w:r>
      <w:r w:rsidR="002712CC" w:rsidRPr="002712CC">
        <w:rPr>
          <w:rFonts w:ascii="ＭＳ ゴシック" w:eastAsia="ＭＳ ゴシック" w:hAnsi="ＭＳ ゴシック" w:cs="ＭＳ 明朝" w:hint="eastAsia"/>
          <w:b w:val="0"/>
          <w:i w:val="0"/>
          <w:sz w:val="19"/>
          <w:szCs w:val="19"/>
          <w:lang w:eastAsia="ja-JP"/>
        </w:rPr>
        <w:t>で見ることができます。</w:t>
      </w:r>
    </w:p>
    <w:p w14:paraId="49E97D41" w14:textId="6315BDDB" w:rsidR="0055291C" w:rsidRDefault="005E0613">
      <w:pPr>
        <w:pStyle w:val="3"/>
        <w:ind w:left="244"/>
      </w:pPr>
      <w:bookmarkStart w:id="5" w:name="_Endnotes_1"/>
      <w:bookmarkEnd w:id="5"/>
      <w:r>
        <w:rPr>
          <w:rFonts w:ascii="ＭＳ 明朝" w:eastAsia="ＭＳ 明朝" w:hAnsi="ＭＳ 明朝" w:cs="ＭＳ 明朝" w:hint="eastAsia"/>
          <w:color w:val="00ACA1"/>
          <w:lang w:eastAsia="ja-JP"/>
        </w:rPr>
        <w:t>脚注</w:t>
      </w:r>
    </w:p>
    <w:p w14:paraId="1D76FB5C" w14:textId="77777777" w:rsidR="0055291C" w:rsidRDefault="00F23C61">
      <w:pPr>
        <w:pStyle w:val="a5"/>
        <w:numPr>
          <w:ilvl w:val="0"/>
          <w:numId w:val="53"/>
        </w:numPr>
        <w:tabs>
          <w:tab w:val="left" w:pos="472"/>
        </w:tabs>
        <w:spacing w:before="61" w:line="345" w:lineRule="auto"/>
        <w:ind w:right="1253"/>
        <w:rPr>
          <w:sz w:val="16"/>
        </w:rPr>
      </w:pPr>
      <w:r>
        <w:rPr>
          <w:color w:val="545456"/>
          <w:sz w:val="16"/>
        </w:rPr>
        <w:t>International</w:t>
      </w:r>
      <w:r>
        <w:rPr>
          <w:color w:val="545456"/>
          <w:spacing w:val="-9"/>
          <w:sz w:val="16"/>
        </w:rPr>
        <w:t xml:space="preserve"> </w:t>
      </w:r>
      <w:r>
        <w:rPr>
          <w:color w:val="545456"/>
          <w:sz w:val="16"/>
        </w:rPr>
        <w:t>Organization</w:t>
      </w:r>
      <w:r>
        <w:rPr>
          <w:color w:val="545456"/>
          <w:spacing w:val="-8"/>
          <w:sz w:val="16"/>
        </w:rPr>
        <w:t xml:space="preserve"> </w:t>
      </w:r>
      <w:r>
        <w:rPr>
          <w:color w:val="545456"/>
          <w:sz w:val="16"/>
        </w:rPr>
        <w:t>for</w:t>
      </w:r>
      <w:r>
        <w:rPr>
          <w:color w:val="545456"/>
          <w:spacing w:val="-8"/>
          <w:sz w:val="16"/>
        </w:rPr>
        <w:t xml:space="preserve"> </w:t>
      </w:r>
      <w:r>
        <w:rPr>
          <w:color w:val="545456"/>
          <w:sz w:val="16"/>
        </w:rPr>
        <w:t>Standardization,</w:t>
      </w:r>
      <w:r>
        <w:rPr>
          <w:color w:val="545456"/>
          <w:spacing w:val="-8"/>
          <w:sz w:val="16"/>
        </w:rPr>
        <w:t xml:space="preserve"> </w:t>
      </w:r>
      <w:r>
        <w:rPr>
          <w:color w:val="545456"/>
          <w:sz w:val="16"/>
        </w:rPr>
        <w:t>ISO</w:t>
      </w:r>
      <w:r>
        <w:rPr>
          <w:color w:val="545456"/>
          <w:spacing w:val="-9"/>
          <w:sz w:val="16"/>
        </w:rPr>
        <w:t xml:space="preserve"> </w:t>
      </w:r>
      <w:r>
        <w:rPr>
          <w:color w:val="545456"/>
          <w:sz w:val="16"/>
        </w:rPr>
        <w:t>14044:2006,</w:t>
      </w:r>
      <w:r>
        <w:rPr>
          <w:color w:val="545456"/>
          <w:spacing w:val="-39"/>
          <w:sz w:val="16"/>
        </w:rPr>
        <w:t xml:space="preserve"> </w:t>
      </w:r>
      <w:r>
        <w:rPr>
          <w:color w:val="545456"/>
          <w:w w:val="95"/>
          <w:sz w:val="16"/>
        </w:rPr>
        <w:t>Life</w:t>
      </w:r>
      <w:r>
        <w:rPr>
          <w:color w:val="545456"/>
          <w:spacing w:val="-1"/>
          <w:w w:val="95"/>
          <w:sz w:val="16"/>
        </w:rPr>
        <w:t xml:space="preserve"> </w:t>
      </w:r>
      <w:r>
        <w:rPr>
          <w:color w:val="545456"/>
          <w:w w:val="95"/>
          <w:sz w:val="16"/>
        </w:rPr>
        <w:t>Cycle Assessment:</w:t>
      </w:r>
      <w:r>
        <w:rPr>
          <w:color w:val="545456"/>
          <w:spacing w:val="-1"/>
          <w:w w:val="95"/>
          <w:sz w:val="16"/>
        </w:rPr>
        <w:t xml:space="preserve"> </w:t>
      </w:r>
      <w:r>
        <w:rPr>
          <w:color w:val="545456"/>
          <w:w w:val="95"/>
          <w:sz w:val="16"/>
        </w:rPr>
        <w:t>Requirements and Guidelines.</w:t>
      </w:r>
      <w:r>
        <w:rPr>
          <w:color w:val="545456"/>
          <w:spacing w:val="-1"/>
          <w:w w:val="95"/>
          <w:sz w:val="16"/>
        </w:rPr>
        <w:t xml:space="preserve"> </w:t>
      </w:r>
      <w:r>
        <w:rPr>
          <w:color w:val="545456"/>
          <w:w w:val="95"/>
          <w:sz w:val="16"/>
        </w:rPr>
        <w:t>Geneva.</w:t>
      </w:r>
    </w:p>
    <w:p w14:paraId="7895BC9A" w14:textId="77777777" w:rsidR="0055291C" w:rsidRDefault="00000000">
      <w:pPr>
        <w:pStyle w:val="a5"/>
        <w:numPr>
          <w:ilvl w:val="0"/>
          <w:numId w:val="53"/>
        </w:numPr>
        <w:tabs>
          <w:tab w:val="left" w:pos="472"/>
        </w:tabs>
        <w:spacing w:line="345" w:lineRule="auto"/>
        <w:ind w:right="1327"/>
        <w:rPr>
          <w:sz w:val="16"/>
        </w:rPr>
      </w:pPr>
      <w:r>
        <w:pict w14:anchorId="176A5F4C">
          <v:shape id="docshape443" o:spid="_x0000_s3349" type="#_x0000_t202" style="position:absolute;left:0;text-align:left;margin-left:585.65pt;margin-top:4.75pt;width:17.7pt;height:119.1pt;z-index:251566592;mso-position-horizontal-relative:page" filled="f" stroked="f">
            <v:textbox style="layout-flow:vertical;mso-layout-flow-alt:bottom-to-top;mso-next-textbox:#docshape443" inset="0,0,0,0">
              <w:txbxContent>
                <w:p w14:paraId="1DAE0549"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v:shape>
        </w:pict>
      </w:r>
      <w:r w:rsidR="00F23C61">
        <w:rPr>
          <w:color w:val="545456"/>
          <w:spacing w:val="-1"/>
          <w:sz w:val="16"/>
        </w:rPr>
        <w:t>British</w:t>
      </w:r>
      <w:r w:rsidR="00F23C61">
        <w:rPr>
          <w:color w:val="545456"/>
          <w:spacing w:val="-10"/>
          <w:sz w:val="16"/>
        </w:rPr>
        <w:t xml:space="preserve"> </w:t>
      </w:r>
      <w:r w:rsidR="00F23C61">
        <w:rPr>
          <w:color w:val="545456"/>
          <w:spacing w:val="-1"/>
          <w:sz w:val="16"/>
        </w:rPr>
        <w:t>Standards</w:t>
      </w:r>
      <w:r w:rsidR="00F23C61">
        <w:rPr>
          <w:color w:val="545456"/>
          <w:spacing w:val="-9"/>
          <w:sz w:val="16"/>
        </w:rPr>
        <w:t xml:space="preserve"> </w:t>
      </w:r>
      <w:r w:rsidR="00F23C61">
        <w:rPr>
          <w:color w:val="545456"/>
          <w:spacing w:val="-1"/>
          <w:sz w:val="16"/>
        </w:rPr>
        <w:t>Institution</w:t>
      </w:r>
      <w:r w:rsidR="00F23C61">
        <w:rPr>
          <w:color w:val="545456"/>
          <w:spacing w:val="-9"/>
          <w:sz w:val="16"/>
        </w:rPr>
        <w:t xml:space="preserve"> </w:t>
      </w:r>
      <w:r w:rsidR="00F23C61">
        <w:rPr>
          <w:color w:val="545456"/>
          <w:spacing w:val="-1"/>
          <w:sz w:val="16"/>
        </w:rPr>
        <w:t>et</w:t>
      </w:r>
      <w:r w:rsidR="00F23C61">
        <w:rPr>
          <w:color w:val="545456"/>
          <w:spacing w:val="-9"/>
          <w:sz w:val="16"/>
        </w:rPr>
        <w:t xml:space="preserve"> </w:t>
      </w:r>
      <w:r w:rsidR="00F23C61">
        <w:rPr>
          <w:color w:val="545456"/>
          <w:spacing w:val="-1"/>
          <w:sz w:val="16"/>
        </w:rPr>
        <w:t>al.</w:t>
      </w:r>
      <w:r w:rsidR="00F23C61">
        <w:rPr>
          <w:color w:val="545456"/>
          <w:spacing w:val="-10"/>
          <w:sz w:val="16"/>
        </w:rPr>
        <w:t xml:space="preserve"> </w:t>
      </w:r>
      <w:r w:rsidR="00F23C61">
        <w:rPr>
          <w:color w:val="545456"/>
          <w:sz w:val="16"/>
        </w:rPr>
        <w:t>PAS</w:t>
      </w:r>
      <w:r w:rsidR="00F23C61">
        <w:rPr>
          <w:color w:val="545456"/>
          <w:spacing w:val="-9"/>
          <w:sz w:val="16"/>
        </w:rPr>
        <w:t xml:space="preserve"> </w:t>
      </w:r>
      <w:r w:rsidR="00F23C61">
        <w:rPr>
          <w:color w:val="545456"/>
          <w:sz w:val="16"/>
        </w:rPr>
        <w:t>2050:2008:</w:t>
      </w:r>
      <w:r w:rsidR="00F23C61">
        <w:rPr>
          <w:color w:val="545456"/>
          <w:spacing w:val="-9"/>
          <w:sz w:val="16"/>
        </w:rPr>
        <w:t xml:space="preserve"> </w:t>
      </w:r>
      <w:r w:rsidR="00F23C61">
        <w:rPr>
          <w:color w:val="545456"/>
          <w:sz w:val="16"/>
        </w:rPr>
        <w:t>Specification</w:t>
      </w:r>
      <w:r w:rsidR="00F23C61">
        <w:rPr>
          <w:color w:val="545456"/>
          <w:spacing w:val="-40"/>
          <w:sz w:val="16"/>
        </w:rPr>
        <w:t xml:space="preserve"> </w:t>
      </w:r>
      <w:r w:rsidR="00F23C61">
        <w:rPr>
          <w:color w:val="545456"/>
          <w:sz w:val="16"/>
        </w:rPr>
        <w:t>for the assessment of life cycle greenhouse gas emissions of</w:t>
      </w:r>
      <w:r w:rsidR="00F23C61">
        <w:rPr>
          <w:color w:val="545456"/>
          <w:spacing w:val="1"/>
          <w:sz w:val="16"/>
        </w:rPr>
        <w:t xml:space="preserve"> </w:t>
      </w:r>
      <w:r w:rsidR="00F23C61">
        <w:rPr>
          <w:color w:val="545456"/>
          <w:sz w:val="16"/>
        </w:rPr>
        <w:t>goods</w:t>
      </w:r>
      <w:r w:rsidR="00F23C61">
        <w:rPr>
          <w:color w:val="545456"/>
          <w:spacing w:val="-9"/>
          <w:sz w:val="16"/>
        </w:rPr>
        <w:t xml:space="preserve"> </w:t>
      </w:r>
      <w:r w:rsidR="00F23C61">
        <w:rPr>
          <w:color w:val="545456"/>
          <w:sz w:val="16"/>
        </w:rPr>
        <w:t>and</w:t>
      </w:r>
      <w:r w:rsidR="00F23C61">
        <w:rPr>
          <w:color w:val="545456"/>
          <w:spacing w:val="-8"/>
          <w:sz w:val="16"/>
        </w:rPr>
        <w:t xml:space="preserve"> </w:t>
      </w:r>
      <w:r w:rsidR="00F23C61">
        <w:rPr>
          <w:color w:val="545456"/>
          <w:sz w:val="16"/>
        </w:rPr>
        <w:t>services.</w:t>
      </w:r>
    </w:p>
    <w:p w14:paraId="23716B64" w14:textId="77777777" w:rsidR="0055291C" w:rsidRDefault="00F23C61">
      <w:pPr>
        <w:pStyle w:val="a5"/>
        <w:numPr>
          <w:ilvl w:val="0"/>
          <w:numId w:val="53"/>
        </w:numPr>
        <w:tabs>
          <w:tab w:val="left" w:pos="472"/>
        </w:tabs>
        <w:spacing w:line="340" w:lineRule="auto"/>
        <w:ind w:right="1337"/>
        <w:rPr>
          <w:sz w:val="16"/>
        </w:rPr>
      </w:pPr>
      <w:r>
        <w:rPr>
          <w:color w:val="545456"/>
          <w:sz w:val="16"/>
        </w:rPr>
        <w:t>European Commission - Joint Research Centre - Institute for</w:t>
      </w:r>
      <w:r>
        <w:rPr>
          <w:color w:val="545456"/>
          <w:spacing w:val="1"/>
          <w:sz w:val="16"/>
        </w:rPr>
        <w:t xml:space="preserve"> </w:t>
      </w:r>
      <w:r>
        <w:rPr>
          <w:color w:val="545456"/>
          <w:w w:val="95"/>
          <w:sz w:val="16"/>
        </w:rPr>
        <w:t>Environment</w:t>
      </w:r>
      <w:r>
        <w:rPr>
          <w:color w:val="545456"/>
          <w:spacing w:val="1"/>
          <w:w w:val="95"/>
          <w:sz w:val="16"/>
        </w:rPr>
        <w:t xml:space="preserve"> </w:t>
      </w:r>
      <w:r>
        <w:rPr>
          <w:color w:val="545456"/>
          <w:w w:val="95"/>
          <w:sz w:val="16"/>
        </w:rPr>
        <w:t>and</w:t>
      </w:r>
      <w:r>
        <w:rPr>
          <w:color w:val="545456"/>
          <w:spacing w:val="2"/>
          <w:w w:val="95"/>
          <w:sz w:val="16"/>
        </w:rPr>
        <w:t xml:space="preserve"> </w:t>
      </w:r>
      <w:r>
        <w:rPr>
          <w:color w:val="545456"/>
          <w:w w:val="95"/>
          <w:sz w:val="16"/>
        </w:rPr>
        <w:t>Sustainability,</w:t>
      </w:r>
      <w:r>
        <w:rPr>
          <w:color w:val="545456"/>
          <w:spacing w:val="1"/>
          <w:w w:val="95"/>
          <w:sz w:val="16"/>
        </w:rPr>
        <w:t xml:space="preserve"> </w:t>
      </w:r>
      <w:r>
        <w:rPr>
          <w:rFonts w:ascii="Arial"/>
          <w:i/>
          <w:color w:val="545456"/>
          <w:w w:val="95"/>
          <w:sz w:val="16"/>
        </w:rPr>
        <w:t>International</w:t>
      </w:r>
      <w:r>
        <w:rPr>
          <w:rFonts w:ascii="Arial"/>
          <w:i/>
          <w:color w:val="545456"/>
          <w:spacing w:val="1"/>
          <w:w w:val="95"/>
          <w:sz w:val="16"/>
        </w:rPr>
        <w:t xml:space="preserve"> </w:t>
      </w:r>
      <w:r>
        <w:rPr>
          <w:rFonts w:ascii="Arial"/>
          <w:i/>
          <w:color w:val="545456"/>
          <w:w w:val="95"/>
          <w:sz w:val="16"/>
        </w:rPr>
        <w:t>Reference</w:t>
      </w:r>
      <w:r>
        <w:rPr>
          <w:rFonts w:ascii="Arial"/>
          <w:i/>
          <w:color w:val="545456"/>
          <w:spacing w:val="1"/>
          <w:w w:val="95"/>
          <w:sz w:val="16"/>
        </w:rPr>
        <w:t xml:space="preserve"> </w:t>
      </w:r>
      <w:r>
        <w:rPr>
          <w:rFonts w:ascii="Arial"/>
          <w:i/>
          <w:color w:val="545456"/>
          <w:w w:val="95"/>
          <w:sz w:val="16"/>
        </w:rPr>
        <w:t>Life</w:t>
      </w:r>
      <w:r>
        <w:rPr>
          <w:rFonts w:ascii="Arial"/>
          <w:i/>
          <w:color w:val="545456"/>
          <w:spacing w:val="1"/>
          <w:w w:val="95"/>
          <w:sz w:val="16"/>
        </w:rPr>
        <w:t xml:space="preserve"> </w:t>
      </w:r>
      <w:r>
        <w:rPr>
          <w:rFonts w:ascii="Arial"/>
          <w:i/>
          <w:color w:val="545456"/>
          <w:w w:val="90"/>
          <w:sz w:val="16"/>
        </w:rPr>
        <w:t>Cycle</w:t>
      </w:r>
      <w:r>
        <w:rPr>
          <w:rFonts w:ascii="Arial"/>
          <w:i/>
          <w:color w:val="545456"/>
          <w:spacing w:val="2"/>
          <w:w w:val="90"/>
          <w:sz w:val="16"/>
        </w:rPr>
        <w:t xml:space="preserve"> </w:t>
      </w:r>
      <w:r>
        <w:rPr>
          <w:rFonts w:ascii="Arial"/>
          <w:i/>
          <w:color w:val="545456"/>
          <w:w w:val="90"/>
          <w:sz w:val="16"/>
        </w:rPr>
        <w:t>Data</w:t>
      </w:r>
      <w:r>
        <w:rPr>
          <w:rFonts w:ascii="Arial"/>
          <w:i/>
          <w:color w:val="545456"/>
          <w:spacing w:val="3"/>
          <w:w w:val="90"/>
          <w:sz w:val="16"/>
        </w:rPr>
        <w:t xml:space="preserve"> </w:t>
      </w:r>
      <w:r>
        <w:rPr>
          <w:rFonts w:ascii="Arial"/>
          <w:i/>
          <w:color w:val="545456"/>
          <w:w w:val="90"/>
          <w:sz w:val="16"/>
        </w:rPr>
        <w:t>System</w:t>
      </w:r>
      <w:r>
        <w:rPr>
          <w:rFonts w:ascii="Arial"/>
          <w:i/>
          <w:color w:val="545456"/>
          <w:spacing w:val="2"/>
          <w:w w:val="90"/>
          <w:sz w:val="16"/>
        </w:rPr>
        <w:t xml:space="preserve"> </w:t>
      </w:r>
      <w:r>
        <w:rPr>
          <w:rFonts w:ascii="Arial"/>
          <w:i/>
          <w:color w:val="545456"/>
          <w:w w:val="90"/>
          <w:sz w:val="16"/>
        </w:rPr>
        <w:t>(ILCD)</w:t>
      </w:r>
      <w:r>
        <w:rPr>
          <w:rFonts w:ascii="Arial"/>
          <w:i/>
          <w:color w:val="545456"/>
          <w:spacing w:val="3"/>
          <w:w w:val="90"/>
          <w:sz w:val="16"/>
        </w:rPr>
        <w:t xml:space="preserve"> </w:t>
      </w:r>
      <w:r>
        <w:rPr>
          <w:rFonts w:ascii="Arial"/>
          <w:i/>
          <w:color w:val="545456"/>
          <w:w w:val="90"/>
          <w:sz w:val="16"/>
        </w:rPr>
        <w:t>Handbook</w:t>
      </w:r>
      <w:r>
        <w:rPr>
          <w:rFonts w:ascii="Arial"/>
          <w:i/>
          <w:color w:val="545456"/>
          <w:spacing w:val="2"/>
          <w:w w:val="90"/>
          <w:sz w:val="16"/>
        </w:rPr>
        <w:t xml:space="preserve"> </w:t>
      </w:r>
      <w:r>
        <w:rPr>
          <w:rFonts w:ascii="Arial"/>
          <w:i/>
          <w:color w:val="545456"/>
          <w:w w:val="90"/>
          <w:sz w:val="16"/>
        </w:rPr>
        <w:t>-</w:t>
      </w:r>
      <w:r>
        <w:rPr>
          <w:rFonts w:ascii="Arial"/>
          <w:i/>
          <w:color w:val="545456"/>
          <w:spacing w:val="3"/>
          <w:w w:val="90"/>
          <w:sz w:val="16"/>
        </w:rPr>
        <w:t xml:space="preserve"> </w:t>
      </w:r>
      <w:r>
        <w:rPr>
          <w:rFonts w:ascii="Arial"/>
          <w:i/>
          <w:color w:val="545456"/>
          <w:w w:val="90"/>
          <w:sz w:val="16"/>
        </w:rPr>
        <w:t>General</w:t>
      </w:r>
      <w:r>
        <w:rPr>
          <w:rFonts w:ascii="Arial"/>
          <w:i/>
          <w:color w:val="545456"/>
          <w:spacing w:val="3"/>
          <w:w w:val="90"/>
          <w:sz w:val="16"/>
        </w:rPr>
        <w:t xml:space="preserve"> </w:t>
      </w:r>
      <w:r>
        <w:rPr>
          <w:rFonts w:ascii="Arial"/>
          <w:i/>
          <w:color w:val="545456"/>
          <w:w w:val="90"/>
          <w:sz w:val="16"/>
        </w:rPr>
        <w:t>guide</w:t>
      </w:r>
      <w:r>
        <w:rPr>
          <w:rFonts w:ascii="Arial"/>
          <w:i/>
          <w:color w:val="545456"/>
          <w:spacing w:val="2"/>
          <w:w w:val="90"/>
          <w:sz w:val="16"/>
        </w:rPr>
        <w:t xml:space="preserve"> </w:t>
      </w:r>
      <w:r>
        <w:rPr>
          <w:rFonts w:ascii="Arial"/>
          <w:i/>
          <w:color w:val="545456"/>
          <w:w w:val="90"/>
          <w:sz w:val="16"/>
        </w:rPr>
        <w:t>for</w:t>
      </w:r>
      <w:r>
        <w:rPr>
          <w:rFonts w:ascii="Arial"/>
          <w:i/>
          <w:color w:val="545456"/>
          <w:spacing w:val="3"/>
          <w:w w:val="90"/>
          <w:sz w:val="16"/>
        </w:rPr>
        <w:t xml:space="preserve"> </w:t>
      </w:r>
      <w:r>
        <w:rPr>
          <w:rFonts w:ascii="Arial"/>
          <w:i/>
          <w:color w:val="545456"/>
          <w:w w:val="90"/>
          <w:sz w:val="16"/>
        </w:rPr>
        <w:t>Life</w:t>
      </w:r>
      <w:r>
        <w:rPr>
          <w:rFonts w:ascii="Arial"/>
          <w:i/>
          <w:color w:val="545456"/>
          <w:spacing w:val="2"/>
          <w:w w:val="90"/>
          <w:sz w:val="16"/>
        </w:rPr>
        <w:t xml:space="preserve"> </w:t>
      </w:r>
      <w:r>
        <w:rPr>
          <w:rFonts w:ascii="Arial"/>
          <w:i/>
          <w:color w:val="545456"/>
          <w:w w:val="90"/>
          <w:sz w:val="16"/>
        </w:rPr>
        <w:t>Cycle</w:t>
      </w:r>
      <w:r>
        <w:rPr>
          <w:rFonts w:ascii="Arial"/>
          <w:i/>
          <w:color w:val="545456"/>
          <w:spacing w:val="1"/>
          <w:w w:val="90"/>
          <w:sz w:val="16"/>
        </w:rPr>
        <w:t xml:space="preserve"> </w:t>
      </w:r>
      <w:r>
        <w:rPr>
          <w:rFonts w:ascii="Arial"/>
          <w:i/>
          <w:color w:val="545456"/>
          <w:w w:val="95"/>
          <w:sz w:val="16"/>
        </w:rPr>
        <w:t>Assessment</w:t>
      </w:r>
      <w:r>
        <w:rPr>
          <w:rFonts w:ascii="Arial"/>
          <w:i/>
          <w:color w:val="545456"/>
          <w:spacing w:val="1"/>
          <w:w w:val="95"/>
          <w:sz w:val="16"/>
        </w:rPr>
        <w:t xml:space="preserve"> </w:t>
      </w:r>
      <w:r>
        <w:rPr>
          <w:rFonts w:ascii="Arial"/>
          <w:i/>
          <w:color w:val="545456"/>
          <w:w w:val="95"/>
          <w:sz w:val="16"/>
        </w:rPr>
        <w:t xml:space="preserve">- Detailed guidance. </w:t>
      </w:r>
      <w:r>
        <w:rPr>
          <w:color w:val="545456"/>
          <w:w w:val="95"/>
          <w:sz w:val="16"/>
        </w:rPr>
        <w:t>First edition, March 2010.</w:t>
      </w:r>
      <w:r>
        <w:rPr>
          <w:color w:val="545456"/>
          <w:spacing w:val="1"/>
          <w:w w:val="95"/>
          <w:sz w:val="16"/>
        </w:rPr>
        <w:t xml:space="preserve"> </w:t>
      </w:r>
      <w:r>
        <w:rPr>
          <w:color w:val="545456"/>
          <w:sz w:val="16"/>
        </w:rPr>
        <w:t>Luxembourg:</w:t>
      </w:r>
      <w:r>
        <w:rPr>
          <w:color w:val="545456"/>
          <w:spacing w:val="-7"/>
          <w:sz w:val="16"/>
        </w:rPr>
        <w:t xml:space="preserve"> </w:t>
      </w:r>
      <w:r>
        <w:rPr>
          <w:color w:val="545456"/>
          <w:sz w:val="16"/>
        </w:rPr>
        <w:t>Publications</w:t>
      </w:r>
      <w:r>
        <w:rPr>
          <w:color w:val="545456"/>
          <w:spacing w:val="-6"/>
          <w:sz w:val="16"/>
        </w:rPr>
        <w:t xml:space="preserve"> </w:t>
      </w:r>
      <w:r>
        <w:rPr>
          <w:color w:val="545456"/>
          <w:sz w:val="16"/>
        </w:rPr>
        <w:t>Office</w:t>
      </w:r>
      <w:r>
        <w:rPr>
          <w:color w:val="545456"/>
          <w:spacing w:val="-6"/>
          <w:sz w:val="16"/>
        </w:rPr>
        <w:t xml:space="preserve"> </w:t>
      </w:r>
      <w:r>
        <w:rPr>
          <w:color w:val="545456"/>
          <w:sz w:val="16"/>
        </w:rPr>
        <w:t>of</w:t>
      </w:r>
      <w:r>
        <w:rPr>
          <w:color w:val="545456"/>
          <w:spacing w:val="-6"/>
          <w:sz w:val="16"/>
        </w:rPr>
        <w:t xml:space="preserve"> </w:t>
      </w:r>
      <w:r>
        <w:rPr>
          <w:color w:val="545456"/>
          <w:sz w:val="16"/>
        </w:rPr>
        <w:t>the</w:t>
      </w:r>
      <w:r>
        <w:rPr>
          <w:color w:val="545456"/>
          <w:spacing w:val="-6"/>
          <w:sz w:val="16"/>
        </w:rPr>
        <w:t xml:space="preserve"> </w:t>
      </w:r>
      <w:r>
        <w:rPr>
          <w:color w:val="545456"/>
          <w:sz w:val="16"/>
        </w:rPr>
        <w:t>European</w:t>
      </w:r>
      <w:r>
        <w:rPr>
          <w:color w:val="545456"/>
          <w:spacing w:val="-6"/>
          <w:sz w:val="16"/>
        </w:rPr>
        <w:t xml:space="preserve"> </w:t>
      </w:r>
      <w:r>
        <w:rPr>
          <w:color w:val="545456"/>
          <w:sz w:val="16"/>
        </w:rPr>
        <w:t>Union,</w:t>
      </w:r>
      <w:r>
        <w:rPr>
          <w:color w:val="545456"/>
          <w:spacing w:val="-7"/>
          <w:sz w:val="16"/>
        </w:rPr>
        <w:t xml:space="preserve"> </w:t>
      </w:r>
      <w:r>
        <w:rPr>
          <w:color w:val="545456"/>
          <w:sz w:val="16"/>
        </w:rPr>
        <w:t>2010.</w:t>
      </w:r>
    </w:p>
    <w:p w14:paraId="51319027" w14:textId="638B98C8" w:rsidR="0055291C" w:rsidRDefault="0068212A">
      <w:pPr>
        <w:pStyle w:val="a5"/>
        <w:numPr>
          <w:ilvl w:val="0"/>
          <w:numId w:val="53"/>
        </w:numPr>
        <w:tabs>
          <w:tab w:val="left" w:pos="472"/>
        </w:tabs>
        <w:spacing w:line="345" w:lineRule="auto"/>
        <w:ind w:right="1245"/>
        <w:rPr>
          <w:sz w:val="16"/>
          <w:lang w:eastAsia="ja-JP"/>
        </w:rPr>
      </w:pPr>
      <w:r w:rsidRPr="0068212A">
        <w:rPr>
          <w:rFonts w:ascii="ＭＳ ゴシック" w:eastAsia="ＭＳ ゴシック" w:hAnsi="ＭＳ ゴシック" w:cs="ＭＳ ゴシック" w:hint="eastAsia"/>
          <w:color w:val="545456"/>
          <w:w w:val="95"/>
          <w:sz w:val="16"/>
          <w:lang w:eastAsia="ja-JP"/>
        </w:rPr>
        <w:t>製品基準では、企業レベルの</w:t>
      </w:r>
      <w:r w:rsidRPr="0068212A">
        <w:rPr>
          <w:color w:val="545456"/>
          <w:w w:val="95"/>
          <w:sz w:val="16"/>
          <w:lang w:eastAsia="ja-JP"/>
        </w:rPr>
        <w:t>GHG</w:t>
      </w:r>
      <w:r w:rsidR="00364979">
        <w:rPr>
          <w:rFonts w:ascii="ＭＳ ゴシック" w:eastAsia="ＭＳ ゴシック" w:hAnsi="ＭＳ ゴシック" w:cs="ＭＳ ゴシック" w:hint="eastAsia"/>
          <w:color w:val="545456"/>
          <w:w w:val="95"/>
          <w:sz w:val="16"/>
          <w:lang w:eastAsia="ja-JP"/>
        </w:rPr>
        <w:t>算出</w:t>
      </w:r>
      <w:r w:rsidRPr="0068212A">
        <w:rPr>
          <w:rFonts w:ascii="ＭＳ ゴシック" w:eastAsia="ＭＳ ゴシック" w:hAnsi="ＭＳ ゴシック" w:cs="ＭＳ ゴシック" w:hint="eastAsia"/>
          <w:color w:val="545456"/>
          <w:w w:val="95"/>
          <w:sz w:val="16"/>
          <w:lang w:eastAsia="ja-JP"/>
        </w:rPr>
        <w:t>と整合させるため、完成した</w:t>
      </w:r>
      <w:r w:rsidRPr="0068212A">
        <w:rPr>
          <w:color w:val="545456"/>
          <w:w w:val="95"/>
          <w:sz w:val="16"/>
          <w:lang w:eastAsia="ja-JP"/>
        </w:rPr>
        <w:t>GHG</w:t>
      </w:r>
      <w:r w:rsidRPr="0068212A">
        <w:rPr>
          <w:rFonts w:ascii="ＭＳ ゴシック" w:eastAsia="ＭＳ ゴシック" w:hAnsi="ＭＳ ゴシック" w:cs="ＭＳ ゴシック" w:hint="eastAsia"/>
          <w:color w:val="545456"/>
          <w:w w:val="95"/>
          <w:sz w:val="16"/>
          <w:lang w:eastAsia="ja-JP"/>
        </w:rPr>
        <w:t>評価を</w:t>
      </w:r>
      <w:r w:rsidRPr="0068212A">
        <w:rPr>
          <w:color w:val="545456"/>
          <w:w w:val="95"/>
          <w:sz w:val="16"/>
          <w:lang w:eastAsia="ja-JP"/>
        </w:rPr>
        <w:t>GHG</w:t>
      </w:r>
      <w:r w:rsidRPr="0068212A">
        <w:rPr>
          <w:rFonts w:ascii="ＭＳ ゴシック" w:eastAsia="ＭＳ ゴシック" w:hAnsi="ＭＳ ゴシック" w:cs="ＭＳ ゴシック" w:hint="eastAsia"/>
          <w:color w:val="545456"/>
          <w:w w:val="95"/>
          <w:sz w:val="16"/>
          <w:lang w:eastAsia="ja-JP"/>
        </w:rPr>
        <w:t>インベントリと呼んでいます。</w:t>
      </w:r>
      <w:r w:rsidRPr="0068212A">
        <w:rPr>
          <w:color w:val="545456"/>
          <w:w w:val="95"/>
          <w:sz w:val="16"/>
          <w:lang w:eastAsia="ja-JP"/>
        </w:rPr>
        <w:t>GHG</w:t>
      </w:r>
      <w:r w:rsidRPr="0068212A">
        <w:rPr>
          <w:rFonts w:ascii="ＭＳ ゴシック" w:eastAsia="ＭＳ ゴシック" w:hAnsi="ＭＳ ゴシック" w:cs="ＭＳ ゴシック" w:hint="eastAsia"/>
          <w:color w:val="545456"/>
          <w:w w:val="95"/>
          <w:sz w:val="16"/>
          <w:lang w:eastAsia="ja-JP"/>
        </w:rPr>
        <w:t>インベントリには、データの収集と地球温暖化影響の計算の両方が含まれます。これは、インベントリをデータの収集のみと定義する</w:t>
      </w:r>
      <w:r w:rsidRPr="0068212A">
        <w:rPr>
          <w:color w:val="545456"/>
          <w:w w:val="95"/>
          <w:sz w:val="16"/>
          <w:lang w:eastAsia="ja-JP"/>
        </w:rPr>
        <w:t>ISO LCA</w:t>
      </w:r>
      <w:r w:rsidRPr="0068212A">
        <w:rPr>
          <w:rFonts w:ascii="ＭＳ ゴシック" w:eastAsia="ＭＳ ゴシック" w:hAnsi="ＭＳ ゴシック" w:cs="ＭＳ ゴシック" w:hint="eastAsia"/>
          <w:color w:val="545456"/>
          <w:w w:val="95"/>
          <w:sz w:val="16"/>
          <w:lang w:eastAsia="ja-JP"/>
        </w:rPr>
        <w:t>の用語とは異なります。</w:t>
      </w:r>
    </w:p>
    <w:p w14:paraId="7574042D" w14:textId="77777777" w:rsidR="0055291C" w:rsidRDefault="00F23C61">
      <w:pPr>
        <w:pStyle w:val="a5"/>
        <w:numPr>
          <w:ilvl w:val="0"/>
          <w:numId w:val="53"/>
        </w:numPr>
        <w:tabs>
          <w:tab w:val="left" w:pos="472"/>
        </w:tabs>
        <w:spacing w:line="338" w:lineRule="auto"/>
        <w:ind w:right="1168"/>
        <w:rPr>
          <w:sz w:val="16"/>
        </w:rPr>
      </w:pPr>
      <w:r>
        <w:rPr>
          <w:color w:val="545456"/>
          <w:spacing w:val="-1"/>
          <w:w w:val="95"/>
          <w:sz w:val="16"/>
        </w:rPr>
        <w:t>Adapted</w:t>
      </w:r>
      <w:r>
        <w:rPr>
          <w:color w:val="545456"/>
          <w:spacing w:val="-8"/>
          <w:w w:val="95"/>
          <w:sz w:val="16"/>
        </w:rPr>
        <w:t xml:space="preserve"> </w:t>
      </w:r>
      <w:r>
        <w:rPr>
          <w:color w:val="545456"/>
          <w:spacing w:val="-1"/>
          <w:w w:val="95"/>
          <w:sz w:val="16"/>
        </w:rPr>
        <w:t>from</w:t>
      </w:r>
      <w:r>
        <w:rPr>
          <w:color w:val="545456"/>
          <w:spacing w:val="-7"/>
          <w:w w:val="95"/>
          <w:sz w:val="16"/>
        </w:rPr>
        <w:t xml:space="preserve"> </w:t>
      </w:r>
      <w:r>
        <w:rPr>
          <w:color w:val="545456"/>
          <w:w w:val="95"/>
          <w:sz w:val="16"/>
        </w:rPr>
        <w:t>UNEP</w:t>
      </w:r>
      <w:r>
        <w:rPr>
          <w:color w:val="545456"/>
          <w:spacing w:val="-7"/>
          <w:w w:val="95"/>
          <w:sz w:val="16"/>
        </w:rPr>
        <w:t xml:space="preserve"> </w:t>
      </w:r>
      <w:r>
        <w:rPr>
          <w:color w:val="545456"/>
          <w:w w:val="95"/>
          <w:sz w:val="16"/>
        </w:rPr>
        <w:t>and</w:t>
      </w:r>
      <w:r>
        <w:rPr>
          <w:color w:val="545456"/>
          <w:spacing w:val="-8"/>
          <w:w w:val="95"/>
          <w:sz w:val="16"/>
        </w:rPr>
        <w:t xml:space="preserve"> </w:t>
      </w:r>
      <w:r>
        <w:rPr>
          <w:color w:val="545456"/>
          <w:w w:val="95"/>
          <w:sz w:val="16"/>
        </w:rPr>
        <w:t>SETAC,</w:t>
      </w:r>
      <w:r>
        <w:rPr>
          <w:color w:val="545456"/>
          <w:spacing w:val="-7"/>
          <w:w w:val="95"/>
          <w:sz w:val="16"/>
        </w:rPr>
        <w:t xml:space="preserve"> </w:t>
      </w:r>
      <w:r>
        <w:rPr>
          <w:rFonts w:ascii="Arial"/>
          <w:i/>
          <w:color w:val="545456"/>
          <w:w w:val="95"/>
          <w:sz w:val="16"/>
        </w:rPr>
        <w:t>Global</w:t>
      </w:r>
      <w:r>
        <w:rPr>
          <w:rFonts w:ascii="Arial"/>
          <w:i/>
          <w:color w:val="545456"/>
          <w:spacing w:val="-8"/>
          <w:w w:val="95"/>
          <w:sz w:val="16"/>
        </w:rPr>
        <w:t xml:space="preserve"> </w:t>
      </w:r>
      <w:r>
        <w:rPr>
          <w:rFonts w:ascii="Arial"/>
          <w:i/>
          <w:color w:val="545456"/>
          <w:w w:val="95"/>
          <w:sz w:val="16"/>
        </w:rPr>
        <w:t>Guidance</w:t>
      </w:r>
      <w:r>
        <w:rPr>
          <w:rFonts w:ascii="Arial"/>
          <w:i/>
          <w:color w:val="545456"/>
          <w:spacing w:val="-8"/>
          <w:w w:val="95"/>
          <w:sz w:val="16"/>
        </w:rPr>
        <w:t xml:space="preserve"> </w:t>
      </w:r>
      <w:r>
        <w:rPr>
          <w:rFonts w:ascii="Arial"/>
          <w:i/>
          <w:color w:val="545456"/>
          <w:w w:val="95"/>
          <w:sz w:val="16"/>
        </w:rPr>
        <w:t>Principles</w:t>
      </w:r>
      <w:r>
        <w:rPr>
          <w:rFonts w:ascii="Arial"/>
          <w:i/>
          <w:color w:val="545456"/>
          <w:spacing w:val="-9"/>
          <w:w w:val="95"/>
          <w:sz w:val="16"/>
        </w:rPr>
        <w:t xml:space="preserve"> </w:t>
      </w:r>
      <w:r>
        <w:rPr>
          <w:rFonts w:ascii="Arial"/>
          <w:i/>
          <w:color w:val="545456"/>
          <w:w w:val="95"/>
          <w:sz w:val="16"/>
        </w:rPr>
        <w:t>for</w:t>
      </w:r>
      <w:r>
        <w:rPr>
          <w:rFonts w:ascii="Arial"/>
          <w:i/>
          <w:color w:val="545456"/>
          <w:spacing w:val="-8"/>
          <w:w w:val="95"/>
          <w:sz w:val="16"/>
        </w:rPr>
        <w:t xml:space="preserve"> </w:t>
      </w:r>
      <w:r>
        <w:rPr>
          <w:rFonts w:ascii="Arial"/>
          <w:i/>
          <w:color w:val="545456"/>
          <w:w w:val="95"/>
          <w:sz w:val="16"/>
        </w:rPr>
        <w:t>Life</w:t>
      </w:r>
      <w:r>
        <w:rPr>
          <w:rFonts w:ascii="Arial"/>
          <w:i/>
          <w:color w:val="545456"/>
          <w:spacing w:val="-39"/>
          <w:w w:val="95"/>
          <w:sz w:val="16"/>
        </w:rPr>
        <w:t xml:space="preserve"> </w:t>
      </w:r>
      <w:r>
        <w:rPr>
          <w:rFonts w:ascii="Arial"/>
          <w:i/>
          <w:color w:val="545456"/>
          <w:w w:val="90"/>
          <w:sz w:val="16"/>
        </w:rPr>
        <w:t>Cycle</w:t>
      </w:r>
      <w:r>
        <w:rPr>
          <w:rFonts w:ascii="Arial"/>
          <w:i/>
          <w:color w:val="545456"/>
          <w:spacing w:val="-4"/>
          <w:w w:val="90"/>
          <w:sz w:val="16"/>
        </w:rPr>
        <w:t xml:space="preserve"> </w:t>
      </w:r>
      <w:r>
        <w:rPr>
          <w:rFonts w:ascii="Arial"/>
          <w:i/>
          <w:color w:val="545456"/>
          <w:w w:val="90"/>
          <w:sz w:val="16"/>
        </w:rPr>
        <w:t>Assessment</w:t>
      </w:r>
      <w:r>
        <w:rPr>
          <w:rFonts w:ascii="Arial"/>
          <w:i/>
          <w:color w:val="545456"/>
          <w:spacing w:val="-4"/>
          <w:w w:val="90"/>
          <w:sz w:val="16"/>
        </w:rPr>
        <w:t xml:space="preserve"> </w:t>
      </w:r>
      <w:r>
        <w:rPr>
          <w:rFonts w:ascii="Arial"/>
          <w:i/>
          <w:color w:val="545456"/>
          <w:w w:val="90"/>
          <w:sz w:val="16"/>
        </w:rPr>
        <w:t>Databases</w:t>
      </w:r>
      <w:r>
        <w:rPr>
          <w:color w:val="545456"/>
          <w:w w:val="90"/>
          <w:sz w:val="16"/>
        </w:rPr>
        <w:t>.</w:t>
      </w:r>
      <w:r>
        <w:rPr>
          <w:color w:val="545456"/>
          <w:spacing w:val="-3"/>
          <w:w w:val="90"/>
          <w:sz w:val="16"/>
        </w:rPr>
        <w:t xml:space="preserve"> </w:t>
      </w:r>
      <w:r>
        <w:rPr>
          <w:color w:val="545456"/>
          <w:w w:val="90"/>
          <w:sz w:val="16"/>
        </w:rPr>
        <w:t>2011.</w:t>
      </w:r>
    </w:p>
    <w:p w14:paraId="7ED134A5" w14:textId="77777777" w:rsidR="0055291C" w:rsidRDefault="00F23C61">
      <w:pPr>
        <w:pStyle w:val="a5"/>
        <w:numPr>
          <w:ilvl w:val="0"/>
          <w:numId w:val="53"/>
        </w:numPr>
        <w:tabs>
          <w:tab w:val="left" w:pos="472"/>
        </w:tabs>
        <w:spacing w:line="338" w:lineRule="auto"/>
        <w:ind w:right="1167"/>
        <w:rPr>
          <w:sz w:val="16"/>
        </w:rPr>
      </w:pPr>
      <w:r>
        <w:rPr>
          <w:color w:val="545456"/>
          <w:spacing w:val="-1"/>
          <w:w w:val="95"/>
          <w:sz w:val="16"/>
        </w:rPr>
        <w:t>Adapted</w:t>
      </w:r>
      <w:r>
        <w:rPr>
          <w:color w:val="545456"/>
          <w:spacing w:val="-8"/>
          <w:w w:val="95"/>
          <w:sz w:val="16"/>
        </w:rPr>
        <w:t xml:space="preserve"> </w:t>
      </w:r>
      <w:r>
        <w:rPr>
          <w:color w:val="545456"/>
          <w:spacing w:val="-1"/>
          <w:w w:val="95"/>
          <w:sz w:val="16"/>
        </w:rPr>
        <w:t>from</w:t>
      </w:r>
      <w:r>
        <w:rPr>
          <w:color w:val="545456"/>
          <w:spacing w:val="-7"/>
          <w:w w:val="95"/>
          <w:sz w:val="16"/>
        </w:rPr>
        <w:t xml:space="preserve"> </w:t>
      </w:r>
      <w:r>
        <w:rPr>
          <w:color w:val="545456"/>
          <w:w w:val="95"/>
          <w:sz w:val="16"/>
        </w:rPr>
        <w:t>UNEP</w:t>
      </w:r>
      <w:r>
        <w:rPr>
          <w:color w:val="545456"/>
          <w:spacing w:val="-7"/>
          <w:w w:val="95"/>
          <w:sz w:val="16"/>
        </w:rPr>
        <w:t xml:space="preserve"> </w:t>
      </w:r>
      <w:r>
        <w:rPr>
          <w:color w:val="545456"/>
          <w:w w:val="95"/>
          <w:sz w:val="16"/>
        </w:rPr>
        <w:t>and</w:t>
      </w:r>
      <w:r>
        <w:rPr>
          <w:color w:val="545456"/>
          <w:spacing w:val="-8"/>
          <w:w w:val="95"/>
          <w:sz w:val="16"/>
        </w:rPr>
        <w:t xml:space="preserve"> </w:t>
      </w:r>
      <w:r>
        <w:rPr>
          <w:color w:val="545456"/>
          <w:w w:val="95"/>
          <w:sz w:val="16"/>
        </w:rPr>
        <w:t>SETAC,</w:t>
      </w:r>
      <w:r>
        <w:rPr>
          <w:color w:val="545456"/>
          <w:spacing w:val="-6"/>
          <w:w w:val="95"/>
          <w:sz w:val="16"/>
        </w:rPr>
        <w:t xml:space="preserve"> </w:t>
      </w:r>
      <w:r>
        <w:rPr>
          <w:rFonts w:ascii="Arial"/>
          <w:i/>
          <w:color w:val="545456"/>
          <w:w w:val="95"/>
          <w:sz w:val="16"/>
        </w:rPr>
        <w:t>Global</w:t>
      </w:r>
      <w:r>
        <w:rPr>
          <w:rFonts w:ascii="Arial"/>
          <w:i/>
          <w:color w:val="545456"/>
          <w:spacing w:val="-8"/>
          <w:w w:val="95"/>
          <w:sz w:val="16"/>
        </w:rPr>
        <w:t xml:space="preserve"> </w:t>
      </w:r>
      <w:r>
        <w:rPr>
          <w:rFonts w:ascii="Arial"/>
          <w:i/>
          <w:color w:val="545456"/>
          <w:w w:val="95"/>
          <w:sz w:val="16"/>
        </w:rPr>
        <w:t>Guidance</w:t>
      </w:r>
      <w:r>
        <w:rPr>
          <w:rFonts w:ascii="Arial"/>
          <w:i/>
          <w:color w:val="545456"/>
          <w:spacing w:val="-8"/>
          <w:w w:val="95"/>
          <w:sz w:val="16"/>
        </w:rPr>
        <w:t xml:space="preserve"> </w:t>
      </w:r>
      <w:r>
        <w:rPr>
          <w:rFonts w:ascii="Arial"/>
          <w:i/>
          <w:color w:val="545456"/>
          <w:w w:val="95"/>
          <w:sz w:val="16"/>
        </w:rPr>
        <w:t>Principles</w:t>
      </w:r>
      <w:r>
        <w:rPr>
          <w:rFonts w:ascii="Arial"/>
          <w:i/>
          <w:color w:val="545456"/>
          <w:spacing w:val="-9"/>
          <w:w w:val="95"/>
          <w:sz w:val="16"/>
        </w:rPr>
        <w:t xml:space="preserve"> </w:t>
      </w:r>
      <w:r>
        <w:rPr>
          <w:rFonts w:ascii="Arial"/>
          <w:i/>
          <w:color w:val="545456"/>
          <w:w w:val="95"/>
          <w:sz w:val="16"/>
        </w:rPr>
        <w:t>for</w:t>
      </w:r>
      <w:r>
        <w:rPr>
          <w:rFonts w:ascii="Arial"/>
          <w:i/>
          <w:color w:val="545456"/>
          <w:spacing w:val="-8"/>
          <w:w w:val="95"/>
          <w:sz w:val="16"/>
        </w:rPr>
        <w:t xml:space="preserve"> </w:t>
      </w:r>
      <w:r>
        <w:rPr>
          <w:rFonts w:ascii="Arial"/>
          <w:i/>
          <w:color w:val="545456"/>
          <w:w w:val="95"/>
          <w:sz w:val="16"/>
        </w:rPr>
        <w:t>Life</w:t>
      </w:r>
      <w:r>
        <w:rPr>
          <w:rFonts w:ascii="Arial"/>
          <w:i/>
          <w:color w:val="545456"/>
          <w:spacing w:val="-39"/>
          <w:w w:val="95"/>
          <w:sz w:val="16"/>
        </w:rPr>
        <w:t xml:space="preserve"> </w:t>
      </w:r>
      <w:r>
        <w:rPr>
          <w:rFonts w:ascii="Arial"/>
          <w:i/>
          <w:color w:val="545456"/>
          <w:w w:val="90"/>
          <w:sz w:val="16"/>
        </w:rPr>
        <w:t>Cycle</w:t>
      </w:r>
      <w:r>
        <w:rPr>
          <w:rFonts w:ascii="Arial"/>
          <w:i/>
          <w:color w:val="545456"/>
          <w:spacing w:val="-4"/>
          <w:w w:val="90"/>
          <w:sz w:val="16"/>
        </w:rPr>
        <w:t xml:space="preserve"> </w:t>
      </w:r>
      <w:r>
        <w:rPr>
          <w:rFonts w:ascii="Arial"/>
          <w:i/>
          <w:color w:val="545456"/>
          <w:w w:val="90"/>
          <w:sz w:val="16"/>
        </w:rPr>
        <w:t>Assessment</w:t>
      </w:r>
      <w:r>
        <w:rPr>
          <w:rFonts w:ascii="Arial"/>
          <w:i/>
          <w:color w:val="545456"/>
          <w:spacing w:val="-4"/>
          <w:w w:val="90"/>
          <w:sz w:val="16"/>
        </w:rPr>
        <w:t xml:space="preserve"> </w:t>
      </w:r>
      <w:r>
        <w:rPr>
          <w:rFonts w:ascii="Arial"/>
          <w:i/>
          <w:color w:val="545456"/>
          <w:w w:val="90"/>
          <w:sz w:val="16"/>
        </w:rPr>
        <w:t>Databases.</w:t>
      </w:r>
      <w:r>
        <w:rPr>
          <w:rFonts w:ascii="Arial"/>
          <w:i/>
          <w:color w:val="545456"/>
          <w:spacing w:val="-5"/>
          <w:w w:val="90"/>
          <w:sz w:val="16"/>
        </w:rPr>
        <w:t xml:space="preserve"> </w:t>
      </w:r>
      <w:r>
        <w:rPr>
          <w:color w:val="545456"/>
          <w:w w:val="90"/>
          <w:sz w:val="16"/>
        </w:rPr>
        <w:t>2011.</w:t>
      </w:r>
    </w:p>
    <w:p w14:paraId="3ADD9959" w14:textId="77777777" w:rsidR="0055291C" w:rsidRDefault="0055291C">
      <w:pPr>
        <w:spacing w:line="338" w:lineRule="auto"/>
        <w:rPr>
          <w:sz w:val="16"/>
        </w:rPr>
        <w:sectPr w:rsidR="0055291C">
          <w:type w:val="continuous"/>
          <w:pgSz w:w="12240" w:h="15840"/>
          <w:pgMar w:top="740" w:right="0" w:bottom="280" w:left="0" w:header="0" w:footer="859" w:gutter="0"/>
          <w:cols w:num="2" w:space="720" w:equalWidth="0">
            <w:col w:w="5988" w:space="40"/>
            <w:col w:w="6212"/>
          </w:cols>
        </w:sectPr>
      </w:pPr>
    </w:p>
    <w:p w14:paraId="6250CB77" w14:textId="77777777" w:rsidR="0055291C" w:rsidRDefault="0055291C">
      <w:pPr>
        <w:pStyle w:val="a3"/>
        <w:spacing w:before="10"/>
        <w:rPr>
          <w:sz w:val="29"/>
        </w:rPr>
      </w:pPr>
    </w:p>
    <w:p w14:paraId="509A6FCB" w14:textId="77777777" w:rsidR="0055291C" w:rsidRDefault="00F23C61">
      <w:pPr>
        <w:pStyle w:val="a3"/>
        <w:ind w:left="1138"/>
        <w:rPr>
          <w:sz w:val="20"/>
        </w:rPr>
      </w:pPr>
      <w:r>
        <w:rPr>
          <w:noProof/>
          <w:sz w:val="20"/>
        </w:rPr>
        <w:drawing>
          <wp:inline distT="0" distB="0" distL="0" distR="0" wp14:anchorId="66D6B369" wp14:editId="1FA285D1">
            <wp:extent cx="6280660" cy="3782377"/>
            <wp:effectExtent l="0" t="0" r="0" b="0"/>
            <wp:docPr id="13"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59.jpeg"/>
                    <pic:cNvPicPr/>
                  </pic:nvPicPr>
                  <pic:blipFill>
                    <a:blip r:embed="rId114" cstate="print"/>
                    <a:stretch>
                      <a:fillRect/>
                    </a:stretch>
                  </pic:blipFill>
                  <pic:spPr>
                    <a:xfrm>
                      <a:off x="0" y="0"/>
                      <a:ext cx="6280660" cy="3782377"/>
                    </a:xfrm>
                    <a:prstGeom prst="rect">
                      <a:avLst/>
                    </a:prstGeom>
                  </pic:spPr>
                </pic:pic>
              </a:graphicData>
            </a:graphic>
          </wp:inline>
        </w:drawing>
      </w:r>
    </w:p>
    <w:p w14:paraId="4FBF973C" w14:textId="77777777" w:rsidR="0055291C" w:rsidRDefault="0055291C">
      <w:pPr>
        <w:rPr>
          <w:sz w:val="20"/>
        </w:rPr>
        <w:sectPr w:rsidR="0055291C">
          <w:type w:val="continuous"/>
          <w:pgSz w:w="12240" w:h="15840"/>
          <w:pgMar w:top="740" w:right="0" w:bottom="280" w:left="0" w:header="0" w:footer="859" w:gutter="0"/>
          <w:cols w:space="720"/>
        </w:sectPr>
      </w:pPr>
    </w:p>
    <w:p w14:paraId="6BE0A69D" w14:textId="58C1772B" w:rsidR="0055291C" w:rsidRDefault="00000000" w:rsidP="004F2121">
      <w:pPr>
        <w:pStyle w:val="1"/>
        <w:spacing w:before="216" w:line="180" w:lineRule="auto"/>
        <w:ind w:right="2034"/>
        <w:rPr>
          <w:lang w:eastAsia="ja-JP"/>
        </w:rPr>
        <w:sectPr w:rsidR="0055291C">
          <w:headerReference w:type="even" r:id="rId115"/>
          <w:footerReference w:type="even" r:id="rId116"/>
          <w:pgSz w:w="12240" w:h="15840"/>
          <w:pgMar w:top="820" w:right="0" w:bottom="280" w:left="0" w:header="0" w:footer="0" w:gutter="0"/>
          <w:cols w:space="720"/>
        </w:sectPr>
      </w:pPr>
      <w:r>
        <w:lastRenderedPageBreak/>
        <w:pict w14:anchorId="01779532">
          <v:group id="docshapegroup444" o:spid="_x0000_s3345" style="position:absolute;left:0;text-align:left;margin-left:0;margin-top:0;width:612pt;height:11in;z-index:-251584000;mso-position-horizontal-relative:page;mso-position-vertical-relative:page" coordsize="12240,15840">
            <v:shape id="docshape445" o:spid="_x0000_s3348" type="#_x0000_t75" style="position:absolute;width:12240;height:15840">
              <v:imagedata r:id="rId117" o:title=""/>
            </v:shape>
            <v:rect id="docshape446" o:spid="_x0000_s3347" style="position:absolute;width:12240;height:2015" fillcolor="#f3f4f4" stroked="f">
              <v:fill opacity="45875f"/>
            </v:rect>
            <v:shape id="docshape447" o:spid="_x0000_s3346" style="position:absolute;width:2133;height:2015" coordsize="2133,2015" path="m2132,l,,,2014r1892,l2031,2011r71,-27l2129,1913r3,-139l2132,xe" fillcolor="#00aca1" stroked="f">
              <v:path arrowok="t"/>
            </v:shape>
            <w10:wrap anchorx="page" anchory="page"/>
          </v:group>
        </w:pict>
      </w:r>
      <w:r>
        <w:pict w14:anchorId="63A35290">
          <v:shape id="docshape448" o:spid="_x0000_s3344" type="#_x0000_t202" style="position:absolute;left:0;text-align:left;margin-left:56.4pt;margin-top:13.9pt;width:36.4pt;height:35.9pt;z-index:251567616;mso-position-horizontal-relative:page" filled="f" stroked="f">
            <v:textbox style="mso-next-textbox:#docshape448" inset="0,0,0,0">
              <w:txbxContent>
                <w:p w14:paraId="7B3C3F0B" w14:textId="77777777" w:rsidR="0055291C" w:rsidRDefault="00F23C61">
                  <w:pPr>
                    <w:spacing w:line="717" w:lineRule="exact"/>
                    <w:rPr>
                      <w:rFonts w:ascii="Arial"/>
                      <w:b/>
                      <w:i/>
                      <w:sz w:val="64"/>
                    </w:rPr>
                  </w:pPr>
                  <w:r>
                    <w:rPr>
                      <w:rFonts w:ascii="Arial"/>
                      <w:b/>
                      <w:i/>
                      <w:color w:val="F3F4F4"/>
                      <w:sz w:val="64"/>
                    </w:rPr>
                    <w:t>06</w:t>
                  </w:r>
                </w:p>
              </w:txbxContent>
            </v:textbox>
            <w10:wrap anchorx="page"/>
          </v:shape>
        </w:pict>
      </w:r>
      <w:r w:rsidR="00570DAA">
        <w:rPr>
          <w:rFonts w:ascii="ＭＳ 明朝" w:eastAsia="ＭＳ 明朝" w:hAnsi="ＭＳ 明朝" w:cs="ＭＳ 明朝" w:hint="eastAsia"/>
          <w:color w:val="545456"/>
          <w:w w:val="95"/>
          <w:lang w:eastAsia="ja-JP"/>
        </w:rPr>
        <w:t>排出量算出</w:t>
      </w:r>
      <w:r w:rsidR="005E0613" w:rsidRPr="005E0613">
        <w:rPr>
          <w:rFonts w:ascii="ＭＳ 明朝" w:eastAsia="ＭＳ 明朝" w:hAnsi="ＭＳ 明朝" w:cs="ＭＳ 明朝" w:hint="eastAsia"/>
          <w:color w:val="545456"/>
          <w:w w:val="95"/>
          <w:lang w:eastAsia="ja-JP"/>
        </w:rPr>
        <w:t>の範囲設定</w:t>
      </w:r>
    </w:p>
    <w:p w14:paraId="2464C2E2" w14:textId="77777777" w:rsidR="0055291C" w:rsidRDefault="0055291C">
      <w:pPr>
        <w:pStyle w:val="a3"/>
        <w:rPr>
          <w:rFonts w:ascii="Arial"/>
          <w:b/>
          <w:i/>
          <w:sz w:val="20"/>
          <w:lang w:eastAsia="ja-JP"/>
        </w:rPr>
      </w:pPr>
    </w:p>
    <w:p w14:paraId="489516AB" w14:textId="77777777" w:rsidR="0055291C" w:rsidRDefault="0055291C">
      <w:pPr>
        <w:pStyle w:val="a3"/>
        <w:rPr>
          <w:rFonts w:ascii="Arial"/>
          <w:b/>
          <w:i/>
          <w:sz w:val="20"/>
          <w:lang w:eastAsia="ja-JP"/>
        </w:rPr>
      </w:pPr>
    </w:p>
    <w:p w14:paraId="1A936B4D" w14:textId="77777777" w:rsidR="0055291C" w:rsidRDefault="0055291C">
      <w:pPr>
        <w:pStyle w:val="a3"/>
        <w:rPr>
          <w:rFonts w:ascii="Arial"/>
          <w:b/>
          <w:i/>
          <w:sz w:val="20"/>
          <w:lang w:eastAsia="ja-JP"/>
        </w:rPr>
      </w:pPr>
    </w:p>
    <w:p w14:paraId="24881FE6" w14:textId="77777777" w:rsidR="0055291C" w:rsidRDefault="0055291C">
      <w:pPr>
        <w:pStyle w:val="a3"/>
        <w:rPr>
          <w:rFonts w:ascii="Arial"/>
          <w:b/>
          <w:i/>
          <w:sz w:val="20"/>
          <w:lang w:eastAsia="ja-JP"/>
        </w:rPr>
      </w:pPr>
    </w:p>
    <w:p w14:paraId="153C7381" w14:textId="77777777" w:rsidR="0055291C" w:rsidRDefault="0055291C">
      <w:pPr>
        <w:pStyle w:val="a3"/>
        <w:rPr>
          <w:rFonts w:ascii="Arial"/>
          <w:b/>
          <w:i/>
          <w:sz w:val="20"/>
          <w:lang w:eastAsia="ja-JP"/>
        </w:rPr>
      </w:pPr>
    </w:p>
    <w:p w14:paraId="4B27D123" w14:textId="77777777" w:rsidR="0055291C" w:rsidRDefault="0055291C">
      <w:pPr>
        <w:pStyle w:val="a3"/>
        <w:rPr>
          <w:rFonts w:ascii="Arial"/>
          <w:b/>
          <w:i/>
          <w:sz w:val="20"/>
          <w:lang w:eastAsia="ja-JP"/>
        </w:rPr>
      </w:pPr>
    </w:p>
    <w:p w14:paraId="518F0B2C" w14:textId="77777777" w:rsidR="0055291C" w:rsidRDefault="0055291C">
      <w:pPr>
        <w:pStyle w:val="a3"/>
        <w:rPr>
          <w:rFonts w:ascii="Arial"/>
          <w:b/>
          <w:i/>
          <w:sz w:val="20"/>
          <w:lang w:eastAsia="ja-JP"/>
        </w:rPr>
      </w:pPr>
    </w:p>
    <w:p w14:paraId="77AC808E" w14:textId="77777777" w:rsidR="0055291C" w:rsidRDefault="0055291C">
      <w:pPr>
        <w:pStyle w:val="a3"/>
        <w:rPr>
          <w:rFonts w:ascii="Arial"/>
          <w:b/>
          <w:i/>
          <w:sz w:val="20"/>
          <w:lang w:eastAsia="ja-JP"/>
        </w:rPr>
      </w:pPr>
    </w:p>
    <w:p w14:paraId="2FCCC52B" w14:textId="77777777" w:rsidR="0055291C" w:rsidRDefault="0055291C">
      <w:pPr>
        <w:pStyle w:val="a3"/>
        <w:rPr>
          <w:rFonts w:ascii="Arial"/>
          <w:b/>
          <w:i/>
          <w:sz w:val="20"/>
          <w:lang w:eastAsia="ja-JP"/>
        </w:rPr>
      </w:pPr>
    </w:p>
    <w:p w14:paraId="5DB4C694" w14:textId="77777777" w:rsidR="0055291C" w:rsidRDefault="0055291C">
      <w:pPr>
        <w:pStyle w:val="a3"/>
        <w:rPr>
          <w:rFonts w:ascii="Arial"/>
          <w:b/>
          <w:i/>
          <w:sz w:val="20"/>
          <w:lang w:eastAsia="ja-JP"/>
        </w:rPr>
      </w:pPr>
    </w:p>
    <w:p w14:paraId="7B33124D" w14:textId="77777777" w:rsidR="0055291C" w:rsidRDefault="0055291C">
      <w:pPr>
        <w:pStyle w:val="a3"/>
        <w:rPr>
          <w:rFonts w:ascii="Arial"/>
          <w:b/>
          <w:i/>
          <w:sz w:val="20"/>
          <w:lang w:eastAsia="ja-JP"/>
        </w:rPr>
      </w:pPr>
    </w:p>
    <w:p w14:paraId="7151FB72" w14:textId="77777777" w:rsidR="0055291C" w:rsidRDefault="0055291C">
      <w:pPr>
        <w:pStyle w:val="a3"/>
        <w:rPr>
          <w:rFonts w:ascii="Arial"/>
          <w:b/>
          <w:i/>
          <w:sz w:val="20"/>
          <w:lang w:eastAsia="ja-JP"/>
        </w:rPr>
      </w:pPr>
    </w:p>
    <w:p w14:paraId="71283EC5" w14:textId="77777777" w:rsidR="0055291C" w:rsidRDefault="0055291C">
      <w:pPr>
        <w:pStyle w:val="a3"/>
        <w:rPr>
          <w:rFonts w:ascii="Arial"/>
          <w:b/>
          <w:i/>
          <w:sz w:val="20"/>
          <w:lang w:eastAsia="ja-JP"/>
        </w:rPr>
      </w:pPr>
    </w:p>
    <w:p w14:paraId="2FFCFD3C" w14:textId="77777777" w:rsidR="0055291C" w:rsidRDefault="0055291C">
      <w:pPr>
        <w:pStyle w:val="a3"/>
        <w:rPr>
          <w:rFonts w:ascii="Arial"/>
          <w:b/>
          <w:i/>
          <w:sz w:val="20"/>
          <w:lang w:eastAsia="ja-JP"/>
        </w:rPr>
      </w:pPr>
    </w:p>
    <w:p w14:paraId="178BAF68" w14:textId="77777777" w:rsidR="0055291C" w:rsidRDefault="0055291C">
      <w:pPr>
        <w:pStyle w:val="a3"/>
        <w:rPr>
          <w:rFonts w:ascii="Arial"/>
          <w:b/>
          <w:i/>
          <w:sz w:val="20"/>
          <w:lang w:eastAsia="ja-JP"/>
        </w:rPr>
      </w:pPr>
    </w:p>
    <w:p w14:paraId="64D4DCA1" w14:textId="77777777" w:rsidR="0055291C" w:rsidRDefault="0055291C">
      <w:pPr>
        <w:pStyle w:val="a3"/>
        <w:rPr>
          <w:rFonts w:ascii="Arial"/>
          <w:b/>
          <w:i/>
          <w:sz w:val="20"/>
          <w:lang w:eastAsia="ja-JP"/>
        </w:rPr>
      </w:pPr>
    </w:p>
    <w:p w14:paraId="55210100" w14:textId="77777777" w:rsidR="0055291C" w:rsidRDefault="0055291C">
      <w:pPr>
        <w:pStyle w:val="a3"/>
        <w:rPr>
          <w:rFonts w:ascii="Arial"/>
          <w:b/>
          <w:i/>
          <w:sz w:val="20"/>
          <w:lang w:eastAsia="ja-JP"/>
        </w:rPr>
      </w:pPr>
    </w:p>
    <w:p w14:paraId="6E304825" w14:textId="77777777" w:rsidR="0055291C" w:rsidRDefault="0055291C">
      <w:pPr>
        <w:pStyle w:val="a3"/>
        <w:rPr>
          <w:rFonts w:ascii="Arial"/>
          <w:b/>
          <w:i/>
          <w:sz w:val="20"/>
          <w:lang w:eastAsia="ja-JP"/>
        </w:rPr>
      </w:pPr>
    </w:p>
    <w:p w14:paraId="4D4CA9E7" w14:textId="77777777" w:rsidR="0055291C" w:rsidRDefault="0055291C">
      <w:pPr>
        <w:pStyle w:val="a3"/>
        <w:rPr>
          <w:rFonts w:ascii="Arial"/>
          <w:b/>
          <w:i/>
          <w:sz w:val="20"/>
          <w:lang w:eastAsia="ja-JP"/>
        </w:rPr>
      </w:pPr>
    </w:p>
    <w:p w14:paraId="111EE381" w14:textId="77777777" w:rsidR="0055291C" w:rsidRDefault="0055291C">
      <w:pPr>
        <w:pStyle w:val="a3"/>
        <w:rPr>
          <w:rFonts w:ascii="Arial"/>
          <w:b/>
          <w:i/>
          <w:sz w:val="20"/>
          <w:lang w:eastAsia="ja-JP"/>
        </w:rPr>
      </w:pPr>
    </w:p>
    <w:p w14:paraId="690A8482" w14:textId="77777777" w:rsidR="0055291C" w:rsidRDefault="0055291C">
      <w:pPr>
        <w:pStyle w:val="a3"/>
        <w:rPr>
          <w:rFonts w:ascii="Arial"/>
          <w:b/>
          <w:i/>
          <w:sz w:val="20"/>
          <w:lang w:eastAsia="ja-JP"/>
        </w:rPr>
      </w:pPr>
    </w:p>
    <w:p w14:paraId="538A555A" w14:textId="77777777" w:rsidR="0055291C" w:rsidRDefault="0055291C">
      <w:pPr>
        <w:pStyle w:val="a3"/>
        <w:rPr>
          <w:rFonts w:ascii="Arial"/>
          <w:b/>
          <w:i/>
          <w:sz w:val="20"/>
          <w:lang w:eastAsia="ja-JP"/>
        </w:rPr>
      </w:pPr>
    </w:p>
    <w:p w14:paraId="7CF94DA3" w14:textId="77777777" w:rsidR="0055291C" w:rsidRDefault="0055291C">
      <w:pPr>
        <w:pStyle w:val="a3"/>
        <w:rPr>
          <w:rFonts w:ascii="Arial"/>
          <w:b/>
          <w:i/>
          <w:sz w:val="20"/>
          <w:lang w:eastAsia="ja-JP"/>
        </w:rPr>
      </w:pPr>
    </w:p>
    <w:p w14:paraId="03244E4B" w14:textId="77777777" w:rsidR="0055291C" w:rsidRDefault="0055291C">
      <w:pPr>
        <w:pStyle w:val="a3"/>
        <w:rPr>
          <w:rFonts w:ascii="Arial"/>
          <w:b/>
          <w:i/>
          <w:sz w:val="20"/>
          <w:lang w:eastAsia="ja-JP"/>
        </w:rPr>
      </w:pPr>
    </w:p>
    <w:p w14:paraId="22DC5243" w14:textId="77777777" w:rsidR="0055291C" w:rsidRDefault="0055291C">
      <w:pPr>
        <w:pStyle w:val="a3"/>
        <w:spacing w:before="6"/>
        <w:rPr>
          <w:rFonts w:ascii="Arial"/>
          <w:b/>
          <w:i/>
          <w:sz w:val="16"/>
          <w:lang w:eastAsia="ja-JP"/>
        </w:rPr>
      </w:pPr>
    </w:p>
    <w:p w14:paraId="794CA4F6" w14:textId="5661DECB" w:rsidR="0055291C" w:rsidRDefault="00000000">
      <w:pPr>
        <w:pStyle w:val="a5"/>
        <w:numPr>
          <w:ilvl w:val="1"/>
          <w:numId w:val="53"/>
        </w:numPr>
        <w:tabs>
          <w:tab w:val="left" w:pos="1853"/>
          <w:tab w:val="left" w:pos="1854"/>
        </w:tabs>
        <w:spacing w:before="99"/>
        <w:ind w:hanging="721"/>
        <w:rPr>
          <w:rFonts w:ascii="Arial"/>
          <w:b/>
          <w:i/>
          <w:sz w:val="24"/>
        </w:rPr>
      </w:pPr>
      <w:r>
        <w:pict w14:anchorId="0BA34F62">
          <v:group id="docshapegroup451" o:spid="_x0000_s3340" style="position:absolute;left:0;text-align:left;margin-left:253.7pt;margin-top:-285.75pt;width:358.55pt;height:382.95pt;z-index:-251582976;mso-position-horizontal-relative:page" coordorigin="5074,-5715" coordsize="7171,7659">
            <v:shape id="docshape452" o:spid="_x0000_s3343" style="position:absolute;left:11614;top:-5710;width:626;height:5717" coordorigin="11615,-5710" coordsize="626,5717" path="m12240,-5710r-625,l11615,-220r3,131l11643,-22r67,25l11842,6r398,l12240,-5710xe" fillcolor="#00aca1" stroked="f">
              <v:path arrowok="t"/>
            </v:shape>
            <v:shape id="docshape453" o:spid="_x0000_s3342" style="position:absolute;left:5079;top:-5710;width:7161;height:7649" coordorigin="5079,-5710" coordsize="7161,7649" o:spt="100" adj="0,,0" path="m6524,-5710r-36,32l6436,-5628r-51,49l5945,-5073r-301,460l5472,-4279r-55,128l8039,-4355r1645,189l10536,-3855r244,164l10738,-3755r-44,-64l10650,-3883r-46,-64l10558,-4010r-48,-64l10462,-4137r-50,-62l10362,-4261r-52,-62l10258,-4385r-52,-61l10152,-4507r-54,-60l10044,-4627r-55,-59l9933,-4745r-56,-58l9821,-4861r-56,-57l9708,-4975r-57,-56l9595,-5086r-57,-55l8910,-5703r-9,-7m8810,-5710r1022,862l10860,-3566r380,816l11295,-2464r16,-75l11327,-2614r14,-76l11354,-2767r13,-78l11378,-2923r11,-78l11398,-3080r9,-79l11415,-3239r8,-80l11429,-3399r6,-80l11440,-3560r4,-80l11448,-3720r3,-81l11453,-3881r1,-80l11456,-4041r,-79l11456,-4199r-1,-79l11454,-4357r-42,-835l11360,-5710t-49,l11452,-3944r-191,1625l10946,-1477r-166,241l10845,-1278r65,-43l10975,-1365r64,-45l11103,-1456r64,-47l11231,-1551r63,-49l11358,-1650r62,-50l11483,-1752r62,-52l11606,-1857r61,-53l11728,-1964r60,-54l11847,-2073r59,-55l11965,-2183r58,-56l12080,-2295r56,-56l12192,-2407r48,-49m12240,-2509r-289,334l10653,-1159r-826,375l9538,-729r75,16l9690,-698r77,14l9845,-671r78,12l10002,-647r80,10l10162,-627r80,9l10323,-610r81,7l10485,-597r81,6l10647,-586r81,4l10810,-578r81,3l10972,-573r81,1l11134,-570r81,l11295,-570r80,-1l11454,-572r786,-38m11244,1605r81,-34l11405,1535r78,-36l11560,1461r75,-39l11708,1383r73,-41l11851,1301r70,-43l11988,1215r67,-44l12120,1126r63,-45l12240,1038t,-1707l11038,-575,9392,-764r-852,-311l8296,-1239r42,65l8382,-1110r44,63l8472,-983r46,64l8566,-856r49,63l8664,-731r51,62l8766,-607r52,62l8871,-484r53,61l8978,-363r55,60l9088,-244r55,59l9199,-126r56,57l9312,-11r56,56l9425,101r57,55l9539,211r627,562l10712,1214r386,288l11244,1605t-3411,-2l7915,1636r81,31l8078,1695r81,27l8239,1748r80,23l8399,1793r80,20l8558,1831r79,17l8715,1863r78,14l8870,1889r76,11l9022,1909r76,8l9173,1924r74,5l9321,1933r72,3l9466,1938r71,1l10211,1888r541,-115l11113,1657r131,-52l9243,-82,8215,-1365r-380,-815l7781,-2466r-17,75l7749,-2316r-14,77l7721,-2162r-12,77l7697,-2007r-10,78l7677,-1850r-9,80l7660,-1691r-7,80l7646,-1531r-5,80l7636,-1370r-5,80l7628,-1210r-3,81l7622,-1049r-1,80l7620,-889r-1,79l7619,-730r1,79l7621,-573r42,836l7735,956r68,472l7833,1603m5418,-780r34,81l5488,-621r37,77l5563,-468r39,74l5642,-321r42,71l5726,-181r43,69l5813,-46r44,66l5903,84r46,62l5996,207r47,60l6091,326r48,57l6188,438r49,55l6286,546r50,52l6386,648r513,434l7364,1379r338,170l7833,1603,7626,-986r190,-1625l8132,-3454r165,-240l8232,-3652r-65,42l8103,-3566r-65,46l7974,-3474r-64,47l7846,-3379r-63,49l7720,-3280r-63,50l7595,-3178r-62,52l7472,-3073r-61,53l7350,-2966r-60,54l7230,-2857r-59,55l7113,-2747r-58,56l6998,-2635r-57,56l6885,-2523r-55,56l6261,-1846r-447,540l5522,-924r-104,144m5417,-4151r-33,81l5353,-3989r-29,80l5297,-3829r-25,80l5248,-3670r-22,79l5206,-3512r-18,78l5171,-3356r-16,77l5142,-3202r-13,77l5119,-3050r-10,76l5101,-2900r-7,74l5089,-2752r-4,72l5082,-2608r-2,72l5079,-2466r52,666l5247,-1265r117,356l5418,-780,7125,-2755,8424,-3771r826,-376l9539,-4201r-76,-16l9387,-4232r-78,-14l9232,-4259r-79,-12l9074,-4283r-79,-10l8915,-4303r-81,-9l8754,-4319r-81,-8l8592,-4333r-81,-6l8429,-4344r-81,-4l8267,-4351r-82,-3l8104,-4357r-81,-1l7942,-4359r-80,-1l7781,-4360r-79,1l7622,-4358r-846,41l6074,-4246r-479,66l5417,-4151e" filled="f" strokecolor="#d9dadc" strokeweight=".5pt">
              <v:stroke joinstyle="round"/>
              <v:formulas/>
              <v:path arrowok="t" o:connecttype="segments"/>
            </v:shape>
            <v:shape id="docshape454" o:spid="_x0000_s3341" style="position:absolute;left:11614;top:-5710;width:626;height:5717" coordorigin="11615,-5710" coordsize="626,5717" path="m12240,-5710r-625,l11615,-220r3,131l11643,-22r67,25l11842,6r398,l12240,-5710xe" fillcolor="#7f3f98" stroked="f">
              <v:path arrowok="t"/>
            </v:shape>
            <w10:wrap anchorx="page"/>
          </v:group>
        </w:pict>
      </w:r>
      <w:r>
        <w:pict w14:anchorId="13292537">
          <v:shape id="docshape455" o:spid="_x0000_s3339" type="#_x0000_t202" style="position:absolute;left:0;text-align:left;margin-left:585.65pt;margin-top:-211.85pt;width:17.7pt;height:180.55pt;z-index:251568640;mso-position-horizontal-relative:page" filled="f" stroked="f">
            <v:textbox style="layout-flow:vertical;mso-layout-flow-alt:bottom-to-top;mso-next-textbox:#docshape455" inset="0,0,0,0">
              <w:txbxContent>
                <w:p w14:paraId="565A639F" w14:textId="77777777" w:rsidR="0055291C" w:rsidRDefault="00F23C61">
                  <w:pPr>
                    <w:spacing w:before="18"/>
                    <w:ind w:left="20"/>
                    <w:rPr>
                      <w:rFonts w:ascii="Arial"/>
                      <w:b/>
                      <w:i/>
                      <w:sz w:val="28"/>
                    </w:rPr>
                  </w:pPr>
                  <w:r>
                    <w:rPr>
                      <w:rFonts w:ascii="Arial"/>
                      <w:b/>
                      <w:i/>
                      <w:color w:val="F3F4F4"/>
                      <w:spacing w:val="-159"/>
                      <w:w w:val="92"/>
                      <w:sz w:val="28"/>
                    </w:rPr>
                    <w:t>g</w:t>
                  </w:r>
                  <w:r>
                    <w:rPr>
                      <w:rFonts w:ascii="Arial"/>
                      <w:b/>
                      <w:i/>
                      <w:color w:val="F3F4F4"/>
                      <w:w w:val="109"/>
                      <w:sz w:val="28"/>
                    </w:rPr>
                    <w:t>r</w:t>
                  </w:r>
                  <w:r>
                    <w:rPr>
                      <w:rFonts w:ascii="Arial"/>
                      <w:b/>
                      <w:i/>
                      <w:color w:val="F3F4F4"/>
                      <w:sz w:val="28"/>
                    </w:rPr>
                    <w:t xml:space="preserve"> </w:t>
                  </w:r>
                  <w:r>
                    <w:rPr>
                      <w:rFonts w:ascii="Arial"/>
                      <w:b/>
                      <w:i/>
                      <w:color w:val="F3F4F4"/>
                      <w:spacing w:val="6"/>
                      <w:sz w:val="28"/>
                    </w:rPr>
                    <w:t xml:space="preserve"> </w:t>
                  </w:r>
                  <w:proofErr w:type="spellStart"/>
                  <w:r>
                    <w:rPr>
                      <w:rFonts w:ascii="Arial"/>
                      <w:b/>
                      <w:i/>
                      <w:color w:val="F3F4F4"/>
                      <w:spacing w:val="-104"/>
                      <w:w w:val="95"/>
                      <w:sz w:val="28"/>
                    </w:rPr>
                    <w:t>e</w:t>
                  </w:r>
                  <w:r>
                    <w:rPr>
                      <w:rFonts w:ascii="Arial"/>
                      <w:b/>
                      <w:i/>
                      <w:color w:val="F3F4F4"/>
                      <w:w w:val="95"/>
                      <w:sz w:val="28"/>
                    </w:rPr>
                    <w:t>u</w:t>
                  </w:r>
                  <w:proofErr w:type="spellEnd"/>
                  <w:r>
                    <w:rPr>
                      <w:rFonts w:ascii="Arial"/>
                      <w:b/>
                      <w:i/>
                      <w:color w:val="F3F4F4"/>
                      <w:spacing w:val="30"/>
                      <w:sz w:val="28"/>
                    </w:rPr>
                    <w:t xml:space="preserve"> </w:t>
                  </w:r>
                  <w:r>
                    <w:rPr>
                      <w:rFonts w:ascii="Arial"/>
                      <w:b/>
                      <w:i/>
                      <w:color w:val="F3F4F4"/>
                      <w:spacing w:val="-102"/>
                      <w:w w:val="93"/>
                      <w:sz w:val="28"/>
                    </w:rPr>
                    <w:t>q</w:t>
                  </w:r>
                  <w:r>
                    <w:rPr>
                      <w:rFonts w:ascii="Arial"/>
                      <w:b/>
                      <w:i/>
                      <w:color w:val="F3F4F4"/>
                      <w:w w:val="101"/>
                      <w:sz w:val="28"/>
                    </w:rPr>
                    <w:t>i</w:t>
                  </w:r>
                  <w:r>
                    <w:rPr>
                      <w:rFonts w:ascii="Arial"/>
                      <w:b/>
                      <w:i/>
                      <w:color w:val="F3F4F4"/>
                      <w:sz w:val="28"/>
                    </w:rPr>
                    <w:t xml:space="preserve"> </w:t>
                  </w:r>
                  <w:r>
                    <w:rPr>
                      <w:rFonts w:ascii="Arial"/>
                      <w:b/>
                      <w:i/>
                      <w:color w:val="F3F4F4"/>
                      <w:spacing w:val="12"/>
                      <w:sz w:val="28"/>
                    </w:rPr>
                    <w:t xml:space="preserve"> </w:t>
                  </w:r>
                  <w:r>
                    <w:rPr>
                      <w:rFonts w:ascii="Arial"/>
                      <w:b/>
                      <w:i/>
                      <w:color w:val="F3F4F4"/>
                      <w:spacing w:val="-144"/>
                      <w:w w:val="96"/>
                      <w:sz w:val="28"/>
                    </w:rPr>
                    <w:t>d</w:t>
                  </w:r>
                  <w:r>
                    <w:rPr>
                      <w:rFonts w:ascii="Arial"/>
                      <w:b/>
                      <w:i/>
                      <w:color w:val="F3F4F4"/>
                      <w:w w:val="95"/>
                      <w:sz w:val="28"/>
                    </w:rPr>
                    <w:t>u</w:t>
                  </w:r>
                  <w:r>
                    <w:rPr>
                      <w:rFonts w:ascii="Arial"/>
                      <w:b/>
                      <w:i/>
                      <w:color w:val="F3F4F4"/>
                      <w:sz w:val="28"/>
                    </w:rPr>
                    <w:t xml:space="preserve"> </w:t>
                  </w:r>
                  <w:r>
                    <w:rPr>
                      <w:rFonts w:ascii="Arial"/>
                      <w:b/>
                      <w:i/>
                      <w:color w:val="F3F4F4"/>
                      <w:spacing w:val="-7"/>
                      <w:sz w:val="28"/>
                    </w:rPr>
                    <w:t xml:space="preserve"> </w:t>
                  </w:r>
                  <w:r>
                    <w:rPr>
                      <w:rFonts w:ascii="Arial"/>
                      <w:b/>
                      <w:i/>
                      <w:color w:val="F3F4F4"/>
                      <w:spacing w:val="-146"/>
                      <w:w w:val="105"/>
                      <w:sz w:val="28"/>
                    </w:rPr>
                    <w:t>a</w:t>
                  </w:r>
                  <w:r>
                    <w:rPr>
                      <w:rFonts w:ascii="Arial"/>
                      <w:b/>
                      <w:i/>
                      <w:color w:val="F3F4F4"/>
                      <w:w w:val="101"/>
                      <w:sz w:val="28"/>
                    </w:rPr>
                    <w:t>i</w:t>
                  </w:r>
                  <w:r>
                    <w:rPr>
                      <w:rFonts w:ascii="Arial"/>
                      <w:b/>
                      <w:i/>
                      <w:color w:val="F3F4F4"/>
                      <w:sz w:val="28"/>
                    </w:rPr>
                    <w:t xml:space="preserve"> </w:t>
                  </w:r>
                  <w:r>
                    <w:rPr>
                      <w:rFonts w:ascii="Arial"/>
                      <w:b/>
                      <w:i/>
                      <w:color w:val="F3F4F4"/>
                      <w:spacing w:val="12"/>
                      <w:sz w:val="28"/>
                    </w:rPr>
                    <w:t xml:space="preserve"> </w:t>
                  </w:r>
                  <w:proofErr w:type="spellStart"/>
                  <w:r>
                    <w:rPr>
                      <w:rFonts w:ascii="Arial"/>
                      <w:b/>
                      <w:i/>
                      <w:color w:val="F3F4F4"/>
                      <w:spacing w:val="-54"/>
                      <w:w w:val="109"/>
                      <w:sz w:val="28"/>
                    </w:rPr>
                    <w:t>r</w:t>
                  </w:r>
                  <w:r>
                    <w:rPr>
                      <w:rFonts w:ascii="Arial"/>
                      <w:b/>
                      <w:i/>
                      <w:color w:val="F3F4F4"/>
                      <w:w w:val="92"/>
                      <w:sz w:val="28"/>
                    </w:rPr>
                    <w:t>n</w:t>
                  </w:r>
                  <w:proofErr w:type="spellEnd"/>
                  <w:r>
                    <w:rPr>
                      <w:rFonts w:ascii="Arial"/>
                      <w:b/>
                      <w:i/>
                      <w:color w:val="F3F4F4"/>
                      <w:spacing w:val="-21"/>
                      <w:sz w:val="28"/>
                    </w:rPr>
                    <w:t xml:space="preserve"> </w:t>
                  </w:r>
                  <w:proofErr w:type="spellStart"/>
                  <w:r>
                    <w:rPr>
                      <w:rFonts w:ascii="Arial"/>
                      <w:b/>
                      <w:i/>
                      <w:color w:val="F3F4F4"/>
                      <w:spacing w:val="-38"/>
                      <w:w w:val="95"/>
                      <w:sz w:val="28"/>
                    </w:rPr>
                    <w:t>e</w:t>
                  </w:r>
                  <w:r>
                    <w:rPr>
                      <w:rFonts w:ascii="Arial"/>
                      <w:b/>
                      <w:i/>
                      <w:color w:val="F3F4F4"/>
                      <w:w w:val="86"/>
                      <w:sz w:val="28"/>
                    </w:rPr>
                    <w:t>c</w:t>
                  </w:r>
                  <w:proofErr w:type="spellEnd"/>
                  <w:r>
                    <w:rPr>
                      <w:rFonts w:ascii="Arial"/>
                      <w:b/>
                      <w:i/>
                      <w:color w:val="F3F4F4"/>
                      <w:spacing w:val="-7"/>
                      <w:sz w:val="28"/>
                    </w:rPr>
                    <w:t xml:space="preserve"> </w:t>
                  </w:r>
                  <w:r>
                    <w:rPr>
                      <w:rFonts w:ascii="Arial"/>
                      <w:b/>
                      <w:i/>
                      <w:color w:val="F3F4F4"/>
                      <w:spacing w:val="-147"/>
                      <w:w w:val="95"/>
                      <w:sz w:val="28"/>
                    </w:rPr>
                    <w:t>m</w:t>
                  </w:r>
                  <w:r>
                    <w:rPr>
                      <w:rFonts w:ascii="Arial"/>
                      <w:b/>
                      <w:i/>
                      <w:color w:val="F3F4F4"/>
                      <w:w w:val="95"/>
                      <w:sz w:val="28"/>
                    </w:rPr>
                    <w:t>e</w:t>
                  </w:r>
                  <w:r>
                    <w:rPr>
                      <w:rFonts w:ascii="Arial"/>
                      <w:b/>
                      <w:i/>
                      <w:color w:val="F3F4F4"/>
                      <w:sz w:val="28"/>
                    </w:rPr>
                    <w:t xml:space="preserve"> </w:t>
                  </w:r>
                  <w:r>
                    <w:rPr>
                      <w:rFonts w:ascii="Arial"/>
                      <w:b/>
                      <w:i/>
                      <w:color w:val="F3F4F4"/>
                      <w:spacing w:val="10"/>
                      <w:sz w:val="28"/>
                    </w:rPr>
                    <w:t xml:space="preserve"> </w:t>
                  </w:r>
                  <w:r>
                    <w:rPr>
                      <w:rFonts w:ascii="Arial"/>
                      <w:b/>
                      <w:i/>
                      <w:color w:val="F3F4F4"/>
                      <w:w w:val="95"/>
                      <w:sz w:val="28"/>
                    </w:rPr>
                    <w:t>e</w:t>
                  </w:r>
                  <w:r>
                    <w:rPr>
                      <w:rFonts w:ascii="Arial"/>
                      <w:b/>
                      <w:i/>
                      <w:color w:val="F3F4F4"/>
                      <w:sz w:val="28"/>
                    </w:rPr>
                    <w:t xml:space="preserve"> </w:t>
                  </w:r>
                  <w:r>
                    <w:rPr>
                      <w:rFonts w:ascii="Arial"/>
                      <w:b/>
                      <w:i/>
                      <w:color w:val="F3F4F4"/>
                      <w:spacing w:val="12"/>
                      <w:sz w:val="28"/>
                    </w:rPr>
                    <w:t xml:space="preserve"> </w:t>
                  </w:r>
                  <w:r>
                    <w:rPr>
                      <w:rFonts w:ascii="Arial"/>
                      <w:b/>
                      <w:i/>
                      <w:color w:val="F3F4F4"/>
                      <w:w w:val="92"/>
                      <w:sz w:val="28"/>
                    </w:rPr>
                    <w:t>n</w:t>
                  </w:r>
                  <w:r>
                    <w:rPr>
                      <w:rFonts w:ascii="Arial"/>
                      <w:b/>
                      <w:i/>
                      <w:color w:val="F3F4F4"/>
                      <w:sz w:val="28"/>
                    </w:rPr>
                    <w:t xml:space="preserve"> </w:t>
                  </w:r>
                  <w:r>
                    <w:rPr>
                      <w:rFonts w:ascii="Arial"/>
                      <w:b/>
                      <w:i/>
                      <w:color w:val="F3F4F4"/>
                      <w:spacing w:val="12"/>
                      <w:sz w:val="28"/>
                    </w:rPr>
                    <w:t xml:space="preserve"> </w:t>
                  </w:r>
                  <w:r>
                    <w:rPr>
                      <w:rFonts w:ascii="Arial"/>
                      <w:b/>
                      <w:i/>
                      <w:color w:val="F3F4F4"/>
                      <w:w w:val="124"/>
                      <w:sz w:val="28"/>
                    </w:rPr>
                    <w:t>t</w:t>
                  </w:r>
                  <w:r>
                    <w:rPr>
                      <w:rFonts w:ascii="Arial"/>
                      <w:b/>
                      <w:i/>
                      <w:color w:val="F3F4F4"/>
                      <w:sz w:val="28"/>
                    </w:rPr>
                    <w:t xml:space="preserve"> </w:t>
                  </w:r>
                  <w:r>
                    <w:rPr>
                      <w:rFonts w:ascii="Arial"/>
                      <w:b/>
                      <w:i/>
                      <w:color w:val="F3F4F4"/>
                      <w:spacing w:val="12"/>
                      <w:sz w:val="28"/>
                    </w:rPr>
                    <w:t xml:space="preserve"> </w:t>
                  </w:r>
                  <w:r>
                    <w:rPr>
                      <w:rFonts w:ascii="Arial"/>
                      <w:b/>
                      <w:i/>
                      <w:color w:val="F3F4F4"/>
                      <w:w w:val="86"/>
                      <w:sz w:val="28"/>
                    </w:rPr>
                    <w:t>s</w:t>
                  </w:r>
                </w:p>
              </w:txbxContent>
            </v:textbox>
            <w10:wrap anchorx="page"/>
          </v:shape>
        </w:pict>
      </w:r>
      <w:r>
        <w:pict w14:anchorId="2C8574D1">
          <v:shape id="docshape456" o:spid="_x0000_s3338" type="#_x0000_t202" style="position:absolute;left:0;text-align:left;margin-left:56.2pt;margin-top:11.55pt;width:47.65pt;height:81.4pt;z-index:-251581952;mso-position-horizontal-relative:page" filled="f" stroked="f">
            <v:textbox style="mso-next-textbox:#docshape456" inset="0,0,0,0">
              <w:txbxContent>
                <w:p w14:paraId="52246C39" w14:textId="77777777" w:rsidR="0055291C" w:rsidRDefault="00F23C61">
                  <w:pPr>
                    <w:spacing w:line="1628" w:lineRule="exact"/>
                    <w:rPr>
                      <w:rFonts w:ascii="Arial"/>
                      <w:b/>
                      <w:i/>
                      <w:sz w:val="145"/>
                    </w:rPr>
                  </w:pPr>
                  <w:r>
                    <w:rPr>
                      <w:rFonts w:ascii="Arial"/>
                      <w:b/>
                      <w:i/>
                      <w:color w:val="00ACA1"/>
                      <w:w w:val="90"/>
                      <w:sz w:val="145"/>
                    </w:rPr>
                    <w:t>A</w:t>
                  </w:r>
                </w:p>
              </w:txbxContent>
            </v:textbox>
            <w10:wrap anchorx="page"/>
          </v:shape>
        </w:pict>
      </w:r>
      <w:r w:rsidR="00C86A79">
        <w:rPr>
          <w:rFonts w:ascii="ＭＳ ゴシック" w:eastAsia="ＭＳ ゴシック" w:hAnsi="ＭＳ ゴシック" w:cs="ＭＳ ゴシック" w:hint="eastAsia"/>
          <w:b/>
          <w:i/>
          <w:color w:val="00ACA1"/>
          <w:sz w:val="24"/>
          <w:lang w:eastAsia="ja-JP"/>
        </w:rPr>
        <w:t>はじめに</w:t>
      </w:r>
    </w:p>
    <w:p w14:paraId="0C61734C" w14:textId="0458E0CD" w:rsidR="0055291C" w:rsidRDefault="00364979" w:rsidP="00406726">
      <w:pPr>
        <w:spacing w:before="144" w:line="364" w:lineRule="auto"/>
        <w:ind w:left="1133" w:right="2039"/>
        <w:rPr>
          <w:rFonts w:ascii="Arial" w:hAnsi="Arial"/>
          <w:b/>
          <w:i/>
          <w:sz w:val="24"/>
          <w:lang w:eastAsia="ja-JP"/>
        </w:rPr>
      </w:pPr>
      <w:r>
        <w:rPr>
          <w:rFonts w:ascii="ＭＳ ゴシック" w:eastAsia="ＭＳ ゴシック" w:hAnsi="ＭＳ ゴシック" w:cs="ＭＳ ゴシック" w:hint="eastAsia"/>
          <w:b/>
          <w:i/>
          <w:color w:val="545456"/>
          <w:spacing w:val="-3"/>
          <w:w w:val="95"/>
          <w:sz w:val="24"/>
          <w:lang w:eastAsia="ja-JP"/>
        </w:rPr>
        <w:t>算出</w:t>
      </w:r>
      <w:r w:rsidR="00406726" w:rsidRPr="00406726">
        <w:rPr>
          <w:rFonts w:ascii="Arial" w:hAnsi="Arial"/>
          <w:b/>
          <w:i/>
          <w:color w:val="545456"/>
          <w:spacing w:val="-3"/>
          <w:w w:val="95"/>
          <w:sz w:val="24"/>
          <w:lang w:eastAsia="ja-JP"/>
        </w:rPr>
        <w:t>5</w:t>
      </w:r>
      <w:r w:rsidR="00406726" w:rsidRPr="00406726">
        <w:rPr>
          <w:rFonts w:ascii="ＭＳ ゴシック" w:eastAsia="ＭＳ ゴシック" w:hAnsi="ＭＳ ゴシック" w:cs="ＭＳ ゴシック" w:hint="eastAsia"/>
          <w:b/>
          <w:i/>
          <w:color w:val="545456"/>
          <w:spacing w:val="-3"/>
          <w:w w:val="95"/>
          <w:sz w:val="24"/>
          <w:lang w:eastAsia="ja-JP"/>
        </w:rPr>
        <w:t>原則および会社の事業目標に沿った明確な</w:t>
      </w:r>
      <w:r w:rsidR="0028556B">
        <w:rPr>
          <w:rFonts w:ascii="ＭＳ ゴシック" w:eastAsia="ＭＳ ゴシック" w:hAnsi="ＭＳ ゴシック" w:cs="ＭＳ ゴシック" w:hint="eastAsia"/>
          <w:b/>
          <w:i/>
          <w:color w:val="545456"/>
          <w:spacing w:val="-3"/>
          <w:w w:val="95"/>
          <w:sz w:val="24"/>
          <w:lang w:eastAsia="ja-JP"/>
        </w:rPr>
        <w:t>範囲</w:t>
      </w:r>
      <w:r w:rsidR="007C49B2" w:rsidRPr="007C49B2">
        <w:rPr>
          <w:rFonts w:asciiTheme="minorEastAsia" w:eastAsiaTheme="minorEastAsia" w:hAnsiTheme="minorEastAsia" w:hint="eastAsia"/>
          <w:vertAlign w:val="superscript"/>
          <w:lang w:eastAsia="ja-JP"/>
        </w:rPr>
        <w:t>１</w:t>
      </w:r>
      <w:r w:rsidR="00406726" w:rsidRPr="00406726">
        <w:rPr>
          <w:rFonts w:ascii="ＭＳ ゴシック" w:eastAsia="ＭＳ ゴシック" w:hAnsi="ＭＳ ゴシック" w:cs="ＭＳ ゴシック" w:hint="eastAsia"/>
          <w:b/>
          <w:i/>
          <w:color w:val="545456"/>
          <w:spacing w:val="-3"/>
          <w:w w:val="95"/>
          <w:sz w:val="24"/>
          <w:lang w:eastAsia="ja-JP"/>
        </w:rPr>
        <w:t>を設定することは、最終的な報告書が会社および利害関係者のニーズを満たすことを保証するのに役立ちます。どの温室効果ガスを計上するかを特定することに加えて、報告書の範囲の確立には、製品の選択、分析単位の定義、および参照流量の特定が含まれます。具体的な要件と指針は、本章で詳述します。</w:t>
      </w:r>
    </w:p>
    <w:p w14:paraId="1190DCE4" w14:textId="77777777" w:rsidR="0055291C" w:rsidRDefault="0055291C">
      <w:pPr>
        <w:pStyle w:val="a3"/>
        <w:spacing w:before="8"/>
        <w:rPr>
          <w:rFonts w:ascii="Arial"/>
          <w:b/>
          <w:i/>
          <w:sz w:val="36"/>
          <w:lang w:eastAsia="ja-JP"/>
        </w:rPr>
      </w:pPr>
    </w:p>
    <w:p w14:paraId="7D51B26D" w14:textId="6C00D6E2" w:rsidR="001A0EE9" w:rsidRPr="001A0EE9" w:rsidRDefault="00406726">
      <w:pPr>
        <w:pStyle w:val="a5"/>
        <w:numPr>
          <w:ilvl w:val="1"/>
          <w:numId w:val="53"/>
        </w:numPr>
        <w:tabs>
          <w:tab w:val="left" w:pos="1853"/>
          <w:tab w:val="left" w:pos="1854"/>
        </w:tabs>
        <w:spacing w:before="1"/>
        <w:ind w:hanging="721"/>
        <w:rPr>
          <w:rFonts w:ascii="Arial"/>
          <w:b/>
          <w:i/>
          <w:color w:val="00ACA1"/>
          <w:sz w:val="24"/>
        </w:rPr>
      </w:pPr>
      <w:r w:rsidRPr="00406726">
        <w:rPr>
          <w:rFonts w:ascii="ＭＳ ゴシック" w:eastAsia="ＭＳ ゴシック" w:hAnsi="ＭＳ ゴシック" w:cs="ＭＳ ゴシック" w:hint="eastAsia"/>
          <w:b/>
          <w:i/>
          <w:color w:val="00ACA1"/>
          <w:sz w:val="24"/>
          <w:lang w:eastAsia="ja-JP"/>
        </w:rPr>
        <w:t>要求事項</w:t>
      </w:r>
    </w:p>
    <w:p w14:paraId="6F32D947" w14:textId="2EE00E1C" w:rsidR="001A0EE9" w:rsidRPr="001A0EE9" w:rsidRDefault="001A0EE9" w:rsidP="001A0EE9">
      <w:pPr>
        <w:tabs>
          <w:tab w:val="left" w:pos="1853"/>
          <w:tab w:val="left" w:pos="1854"/>
        </w:tabs>
        <w:spacing w:before="1"/>
        <w:rPr>
          <w:rFonts w:ascii="Arial"/>
          <w:b/>
          <w:i/>
          <w:color w:val="00ACA1"/>
          <w:sz w:val="24"/>
        </w:rPr>
      </w:pPr>
      <w:r>
        <w:rPr>
          <w:rFonts w:ascii="Arial"/>
          <w:b/>
          <w:i/>
          <w:noProof/>
          <w:color w:val="00ACA1"/>
          <w:sz w:val="24"/>
        </w:rPr>
        <mc:AlternateContent>
          <mc:Choice Requires="wps">
            <w:drawing>
              <wp:anchor distT="0" distB="0" distL="114300" distR="114300" simplePos="0" relativeHeight="251452928" behindDoc="0" locked="0" layoutInCell="1" allowOverlap="1" wp14:anchorId="65E6EF97" wp14:editId="407DF010">
                <wp:simplePos x="0" y="0"/>
                <wp:positionH relativeFrom="column">
                  <wp:posOffset>727911</wp:posOffset>
                </wp:positionH>
                <wp:positionV relativeFrom="paragraph">
                  <wp:posOffset>60157</wp:posOffset>
                </wp:positionV>
                <wp:extent cx="2947736" cy="1215189"/>
                <wp:effectExtent l="0" t="0" r="5080" b="4445"/>
                <wp:wrapNone/>
                <wp:docPr id="26" name="四角形: 角を丸くする 26"/>
                <wp:cNvGraphicFramePr/>
                <a:graphic xmlns:a="http://schemas.openxmlformats.org/drawingml/2006/main">
                  <a:graphicData uri="http://schemas.microsoft.com/office/word/2010/wordprocessingShape">
                    <wps:wsp>
                      <wps:cNvSpPr/>
                      <wps:spPr>
                        <a:xfrm>
                          <a:off x="0" y="0"/>
                          <a:ext cx="2947736" cy="1215189"/>
                        </a:xfrm>
                        <a:prstGeom prst="roundRect">
                          <a:avLst/>
                        </a:prstGeom>
                        <a:solidFill>
                          <a:srgbClr val="70029C">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DE2C07" w14:textId="332D0B55" w:rsidR="001A0EE9" w:rsidRPr="00BC17C0" w:rsidRDefault="001A0EE9" w:rsidP="00BC17C0">
                            <w:pPr>
                              <w:jc w:val="center"/>
                              <w:rPr>
                                <w:rFonts w:ascii="ＭＳ ゴシック" w:eastAsia="ＭＳ ゴシック" w:hAnsi="ＭＳ ゴシック" w:cs="ＭＳ ゴシック"/>
                                <w:b/>
                                <w:bCs/>
                                <w:i/>
                                <w:iCs/>
                                <w:color w:val="000000" w:themeColor="text1"/>
                                <w:sz w:val="19"/>
                                <w:szCs w:val="19"/>
                                <w:lang w:eastAsia="ja-JP"/>
                              </w:rPr>
                            </w:pPr>
                            <w:r w:rsidRPr="00BC17C0">
                              <w:rPr>
                                <w:rFonts w:ascii="ＭＳ ゴシック" w:eastAsia="ＭＳ ゴシック" w:hAnsi="ＭＳ ゴシック" w:cs="ＭＳ ゴシック" w:hint="eastAsia"/>
                                <w:b/>
                                <w:bCs/>
                                <w:i/>
                                <w:iCs/>
                                <w:color w:val="000000" w:themeColor="text1"/>
                                <w:sz w:val="19"/>
                                <w:szCs w:val="19"/>
                                <w:lang w:eastAsia="ja-JP"/>
                              </w:rPr>
                              <w:t>企業は、二酸化炭素（</w:t>
                            </w:r>
                            <w:r w:rsidRPr="00BC17C0">
                              <w:rPr>
                                <w:rFonts w:ascii="ＭＳ ゴシック" w:eastAsia="ＭＳ ゴシック" w:hAnsi="ＭＳ ゴシック"/>
                                <w:b/>
                                <w:bCs/>
                                <w:i/>
                                <w:iCs/>
                                <w:color w:val="000000" w:themeColor="text1"/>
                                <w:sz w:val="19"/>
                                <w:szCs w:val="19"/>
                                <w:lang w:eastAsia="ja-JP"/>
                              </w:rPr>
                              <w:t>CO</w:t>
                            </w:r>
                            <w:r w:rsidRPr="003D29F0">
                              <w:rPr>
                                <w:rFonts w:ascii="ＭＳ ゴシック" w:eastAsia="ＭＳ ゴシック" w:hAnsi="ＭＳ ゴシック"/>
                                <w:b/>
                                <w:bCs/>
                                <w:i/>
                                <w:iCs/>
                                <w:color w:val="000000" w:themeColor="text1"/>
                                <w:sz w:val="19"/>
                                <w:szCs w:val="19"/>
                                <w:vertAlign w:val="subscript"/>
                                <w:lang w:eastAsia="ja-JP"/>
                              </w:rPr>
                              <w:t>2</w:t>
                            </w:r>
                            <w:r w:rsidRPr="00BC17C0">
                              <w:rPr>
                                <w:rFonts w:ascii="ＭＳ ゴシック" w:eastAsia="ＭＳ ゴシック" w:hAnsi="ＭＳ ゴシック" w:cs="ＭＳ ゴシック" w:hint="eastAsia"/>
                                <w:b/>
                                <w:bCs/>
                                <w:i/>
                                <w:iCs/>
                                <w:color w:val="000000" w:themeColor="text1"/>
                                <w:sz w:val="19"/>
                                <w:szCs w:val="19"/>
                                <w:lang w:eastAsia="ja-JP"/>
                              </w:rPr>
                              <w:t>）、メタン（</w:t>
                            </w:r>
                            <w:r w:rsidRPr="00BC17C0">
                              <w:rPr>
                                <w:rFonts w:ascii="ＭＳ ゴシック" w:eastAsia="ＭＳ ゴシック" w:hAnsi="ＭＳ ゴシック"/>
                                <w:b/>
                                <w:bCs/>
                                <w:i/>
                                <w:iCs/>
                                <w:color w:val="000000" w:themeColor="text1"/>
                                <w:sz w:val="19"/>
                                <w:szCs w:val="19"/>
                                <w:lang w:eastAsia="ja-JP"/>
                              </w:rPr>
                              <w:t>CH</w:t>
                            </w:r>
                            <w:r w:rsidRPr="003D29F0">
                              <w:rPr>
                                <w:rFonts w:ascii="ＭＳ ゴシック" w:eastAsia="ＭＳ ゴシック" w:hAnsi="ＭＳ ゴシック"/>
                                <w:b/>
                                <w:bCs/>
                                <w:i/>
                                <w:iCs/>
                                <w:color w:val="000000" w:themeColor="text1"/>
                                <w:sz w:val="19"/>
                                <w:szCs w:val="19"/>
                                <w:vertAlign w:val="subscript"/>
                                <w:lang w:eastAsia="ja-JP"/>
                              </w:rPr>
                              <w:t>4</w:t>
                            </w:r>
                            <w:r w:rsidRPr="00BC17C0">
                              <w:rPr>
                                <w:rFonts w:ascii="ＭＳ ゴシック" w:eastAsia="ＭＳ ゴシック" w:hAnsi="ＭＳ ゴシック" w:cs="ＭＳ ゴシック" w:hint="eastAsia"/>
                                <w:b/>
                                <w:bCs/>
                                <w:i/>
                                <w:iCs/>
                                <w:color w:val="000000" w:themeColor="text1"/>
                                <w:sz w:val="19"/>
                                <w:szCs w:val="19"/>
                                <w:lang w:eastAsia="ja-JP"/>
                              </w:rPr>
                              <w:t>）、亜酸化窒素（</w:t>
                            </w:r>
                            <w:r w:rsidRPr="00BC17C0">
                              <w:rPr>
                                <w:rFonts w:ascii="ＭＳ ゴシック" w:eastAsia="ＭＳ ゴシック" w:hAnsi="ＭＳ ゴシック"/>
                                <w:b/>
                                <w:bCs/>
                                <w:i/>
                                <w:iCs/>
                                <w:color w:val="000000" w:themeColor="text1"/>
                                <w:sz w:val="19"/>
                                <w:szCs w:val="19"/>
                                <w:lang w:eastAsia="ja-JP"/>
                              </w:rPr>
                              <w:t>N</w:t>
                            </w:r>
                            <w:r w:rsidRPr="003D29F0">
                              <w:rPr>
                                <w:rFonts w:ascii="ＭＳ ゴシック" w:eastAsia="ＭＳ ゴシック" w:hAnsi="ＭＳ ゴシック"/>
                                <w:b/>
                                <w:bCs/>
                                <w:i/>
                                <w:iCs/>
                                <w:color w:val="000000" w:themeColor="text1"/>
                                <w:sz w:val="19"/>
                                <w:szCs w:val="19"/>
                                <w:vertAlign w:val="subscript"/>
                                <w:lang w:eastAsia="ja-JP"/>
                              </w:rPr>
                              <w:t>2</w:t>
                            </w:r>
                            <w:r w:rsidRPr="00BC17C0">
                              <w:rPr>
                                <w:rFonts w:ascii="ＭＳ ゴシック" w:eastAsia="ＭＳ ゴシック" w:hAnsi="ＭＳ ゴシック"/>
                                <w:b/>
                                <w:bCs/>
                                <w:i/>
                                <w:iCs/>
                                <w:color w:val="000000" w:themeColor="text1"/>
                                <w:sz w:val="19"/>
                                <w:szCs w:val="19"/>
                                <w:lang w:eastAsia="ja-JP"/>
                              </w:rPr>
                              <w:t>O</w:t>
                            </w:r>
                            <w:r w:rsidRPr="00BC17C0">
                              <w:rPr>
                                <w:rFonts w:ascii="ＭＳ ゴシック" w:eastAsia="ＭＳ ゴシック" w:hAnsi="ＭＳ ゴシック" w:cs="ＭＳ ゴシック" w:hint="eastAsia"/>
                                <w:b/>
                                <w:bCs/>
                                <w:i/>
                                <w:iCs/>
                                <w:color w:val="000000" w:themeColor="text1"/>
                                <w:sz w:val="19"/>
                                <w:szCs w:val="19"/>
                                <w:lang w:eastAsia="ja-JP"/>
                              </w:rPr>
                              <w:t>）、六フッ化硫黄（</w:t>
                            </w:r>
                            <w:r w:rsidRPr="00BC17C0">
                              <w:rPr>
                                <w:rFonts w:ascii="ＭＳ ゴシック" w:eastAsia="ＭＳ ゴシック" w:hAnsi="ＭＳ ゴシック"/>
                                <w:b/>
                                <w:bCs/>
                                <w:i/>
                                <w:iCs/>
                                <w:color w:val="000000" w:themeColor="text1"/>
                                <w:sz w:val="19"/>
                                <w:szCs w:val="19"/>
                                <w:lang w:eastAsia="ja-JP"/>
                              </w:rPr>
                              <w:t>SF</w:t>
                            </w:r>
                            <w:r w:rsidRPr="003D29F0">
                              <w:rPr>
                                <w:rFonts w:ascii="ＭＳ ゴシック" w:eastAsia="ＭＳ ゴシック" w:hAnsi="ＭＳ ゴシック"/>
                                <w:b/>
                                <w:bCs/>
                                <w:i/>
                                <w:iCs/>
                                <w:color w:val="000000" w:themeColor="text1"/>
                                <w:sz w:val="19"/>
                                <w:szCs w:val="19"/>
                                <w:vertAlign w:val="subscript"/>
                                <w:lang w:eastAsia="ja-JP"/>
                              </w:rPr>
                              <w:t>6</w:t>
                            </w:r>
                            <w:r w:rsidRPr="00BC17C0">
                              <w:rPr>
                                <w:rFonts w:ascii="ＭＳ ゴシック" w:eastAsia="ＭＳ ゴシック" w:hAnsi="ＭＳ ゴシック" w:cs="ＭＳ ゴシック" w:hint="eastAsia"/>
                                <w:b/>
                                <w:bCs/>
                                <w:i/>
                                <w:iCs/>
                                <w:color w:val="000000" w:themeColor="text1"/>
                                <w:sz w:val="19"/>
                                <w:szCs w:val="19"/>
                                <w:lang w:eastAsia="ja-JP"/>
                              </w:rPr>
                              <w:t>）、有機フッ素化合物（</w:t>
                            </w:r>
                            <w:r w:rsidRPr="00BC17C0">
                              <w:rPr>
                                <w:rFonts w:ascii="ＭＳ ゴシック" w:eastAsia="ＭＳ ゴシック" w:hAnsi="ＭＳ ゴシック"/>
                                <w:b/>
                                <w:bCs/>
                                <w:i/>
                                <w:iCs/>
                                <w:color w:val="000000" w:themeColor="text1"/>
                                <w:sz w:val="19"/>
                                <w:szCs w:val="19"/>
                                <w:lang w:eastAsia="ja-JP"/>
                              </w:rPr>
                              <w:t>PFCs</w:t>
                            </w:r>
                            <w:r w:rsidRPr="00BC17C0">
                              <w:rPr>
                                <w:rFonts w:ascii="ＭＳ ゴシック" w:eastAsia="ＭＳ ゴシック" w:hAnsi="ＭＳ ゴシック" w:cs="ＭＳ ゴシック" w:hint="eastAsia"/>
                                <w:b/>
                                <w:bCs/>
                                <w:i/>
                                <w:iCs/>
                                <w:color w:val="000000" w:themeColor="text1"/>
                                <w:sz w:val="19"/>
                                <w:szCs w:val="19"/>
                                <w:lang w:eastAsia="ja-JP"/>
                              </w:rPr>
                              <w:t>）、代替フロン（</w:t>
                            </w:r>
                            <w:r w:rsidRPr="00BC17C0">
                              <w:rPr>
                                <w:rFonts w:ascii="ＭＳ ゴシック" w:eastAsia="ＭＳ ゴシック" w:hAnsi="ＭＳ ゴシック"/>
                                <w:b/>
                                <w:bCs/>
                                <w:i/>
                                <w:iCs/>
                                <w:color w:val="000000" w:themeColor="text1"/>
                                <w:sz w:val="19"/>
                                <w:szCs w:val="19"/>
                                <w:lang w:eastAsia="ja-JP"/>
                              </w:rPr>
                              <w:t>HFCs</w:t>
                            </w:r>
                            <w:r w:rsidRPr="00BC17C0">
                              <w:rPr>
                                <w:rFonts w:ascii="ＭＳ ゴシック" w:eastAsia="ＭＳ ゴシック" w:hAnsi="ＭＳ ゴシック" w:cs="ＭＳ ゴシック" w:hint="eastAsia"/>
                                <w:b/>
                                <w:bCs/>
                                <w:i/>
                                <w:iCs/>
                                <w:color w:val="000000" w:themeColor="text1"/>
                                <w:sz w:val="19"/>
                                <w:szCs w:val="19"/>
                                <w:lang w:eastAsia="ja-JP"/>
                              </w:rPr>
                              <w:t>）の大気中への排出、除去量を計算しなければならない。排出量に含まれる追加の温室効果ガスを、排出量報告書に記載しなくてはならない。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5E6EF97" id="四角形: 角を丸くする 26" o:spid="_x0000_s1042" style="position:absolute;margin-left:57.3pt;margin-top:4.75pt;width:232.1pt;height:95.7pt;z-index:25145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" fillcolor="#70029c" stroked="f" strokeweight="2pt">
                <v:fill opacity="16448f"/>
                <v:textbox>
                  <w:txbxContent>
                    <w:p w14:paraId="1DDE2C07" w14:textId="332D0B55" w:rsidR="001A0EE9" w:rsidRPr="00BC17C0" w:rsidRDefault="001A0EE9" w:rsidP="00BC17C0">
                      <w:pPr>
                        <w:jc w:val="center"/>
                        <w:rPr>
                          <w:rFonts w:ascii="ＭＳ ゴシック" w:eastAsia="ＭＳ ゴシック" w:hAnsi="ＭＳ ゴシック" w:cs="ＭＳ ゴシック"/>
                          <w:b/>
                          <w:bCs/>
                          <w:i/>
                          <w:iCs/>
                          <w:color w:val="000000" w:themeColor="text1"/>
                          <w:sz w:val="19"/>
                          <w:szCs w:val="19"/>
                          <w:lang w:eastAsia="ja-JP"/>
                        </w:rPr>
                      </w:pPr>
                      <w:r w:rsidRPr="00BC17C0">
                        <w:rPr>
                          <w:rFonts w:ascii="ＭＳ ゴシック" w:eastAsia="ＭＳ ゴシック" w:hAnsi="ＭＳ ゴシック" w:cs="ＭＳ ゴシック" w:hint="eastAsia"/>
                          <w:b/>
                          <w:bCs/>
                          <w:i/>
                          <w:iCs/>
                          <w:color w:val="000000" w:themeColor="text1"/>
                          <w:sz w:val="19"/>
                          <w:szCs w:val="19"/>
                          <w:lang w:eastAsia="ja-JP"/>
                        </w:rPr>
                        <w:t>企業は、二酸化炭素（</w:t>
                      </w:r>
                      <w:r w:rsidRPr="00BC17C0">
                        <w:rPr>
                          <w:rFonts w:ascii="ＭＳ ゴシック" w:eastAsia="ＭＳ ゴシック" w:hAnsi="ＭＳ ゴシック"/>
                          <w:b/>
                          <w:bCs/>
                          <w:i/>
                          <w:iCs/>
                          <w:color w:val="000000" w:themeColor="text1"/>
                          <w:sz w:val="19"/>
                          <w:szCs w:val="19"/>
                          <w:lang w:eastAsia="ja-JP"/>
                        </w:rPr>
                        <w:t>CO</w:t>
                      </w:r>
                      <w:r w:rsidRPr="003D29F0">
                        <w:rPr>
                          <w:rFonts w:ascii="ＭＳ ゴシック" w:eastAsia="ＭＳ ゴシック" w:hAnsi="ＭＳ ゴシック"/>
                          <w:b/>
                          <w:bCs/>
                          <w:i/>
                          <w:iCs/>
                          <w:color w:val="000000" w:themeColor="text1"/>
                          <w:sz w:val="19"/>
                          <w:szCs w:val="19"/>
                          <w:vertAlign w:val="subscript"/>
                          <w:lang w:eastAsia="ja-JP"/>
                        </w:rPr>
                        <w:t>2</w:t>
                      </w:r>
                      <w:r w:rsidRPr="00BC17C0">
                        <w:rPr>
                          <w:rFonts w:ascii="ＭＳ ゴシック" w:eastAsia="ＭＳ ゴシック" w:hAnsi="ＭＳ ゴシック" w:cs="ＭＳ ゴシック" w:hint="eastAsia"/>
                          <w:b/>
                          <w:bCs/>
                          <w:i/>
                          <w:iCs/>
                          <w:color w:val="000000" w:themeColor="text1"/>
                          <w:sz w:val="19"/>
                          <w:szCs w:val="19"/>
                          <w:lang w:eastAsia="ja-JP"/>
                        </w:rPr>
                        <w:t>）、メタン（</w:t>
                      </w:r>
                      <w:r w:rsidRPr="00BC17C0">
                        <w:rPr>
                          <w:rFonts w:ascii="ＭＳ ゴシック" w:eastAsia="ＭＳ ゴシック" w:hAnsi="ＭＳ ゴシック"/>
                          <w:b/>
                          <w:bCs/>
                          <w:i/>
                          <w:iCs/>
                          <w:color w:val="000000" w:themeColor="text1"/>
                          <w:sz w:val="19"/>
                          <w:szCs w:val="19"/>
                          <w:lang w:eastAsia="ja-JP"/>
                        </w:rPr>
                        <w:t>CH</w:t>
                      </w:r>
                      <w:r w:rsidRPr="003D29F0">
                        <w:rPr>
                          <w:rFonts w:ascii="ＭＳ ゴシック" w:eastAsia="ＭＳ ゴシック" w:hAnsi="ＭＳ ゴシック"/>
                          <w:b/>
                          <w:bCs/>
                          <w:i/>
                          <w:iCs/>
                          <w:color w:val="000000" w:themeColor="text1"/>
                          <w:sz w:val="19"/>
                          <w:szCs w:val="19"/>
                          <w:vertAlign w:val="subscript"/>
                          <w:lang w:eastAsia="ja-JP"/>
                        </w:rPr>
                        <w:t>4</w:t>
                      </w:r>
                      <w:r w:rsidRPr="00BC17C0">
                        <w:rPr>
                          <w:rFonts w:ascii="ＭＳ ゴシック" w:eastAsia="ＭＳ ゴシック" w:hAnsi="ＭＳ ゴシック" w:cs="ＭＳ ゴシック" w:hint="eastAsia"/>
                          <w:b/>
                          <w:bCs/>
                          <w:i/>
                          <w:iCs/>
                          <w:color w:val="000000" w:themeColor="text1"/>
                          <w:sz w:val="19"/>
                          <w:szCs w:val="19"/>
                          <w:lang w:eastAsia="ja-JP"/>
                        </w:rPr>
                        <w:t>）、亜酸化窒素（</w:t>
                      </w:r>
                      <w:r w:rsidRPr="00BC17C0">
                        <w:rPr>
                          <w:rFonts w:ascii="ＭＳ ゴシック" w:eastAsia="ＭＳ ゴシック" w:hAnsi="ＭＳ ゴシック"/>
                          <w:b/>
                          <w:bCs/>
                          <w:i/>
                          <w:iCs/>
                          <w:color w:val="000000" w:themeColor="text1"/>
                          <w:sz w:val="19"/>
                          <w:szCs w:val="19"/>
                          <w:lang w:eastAsia="ja-JP"/>
                        </w:rPr>
                        <w:t>N</w:t>
                      </w:r>
                      <w:r w:rsidRPr="003D29F0">
                        <w:rPr>
                          <w:rFonts w:ascii="ＭＳ ゴシック" w:eastAsia="ＭＳ ゴシック" w:hAnsi="ＭＳ ゴシック"/>
                          <w:b/>
                          <w:bCs/>
                          <w:i/>
                          <w:iCs/>
                          <w:color w:val="000000" w:themeColor="text1"/>
                          <w:sz w:val="19"/>
                          <w:szCs w:val="19"/>
                          <w:vertAlign w:val="subscript"/>
                          <w:lang w:eastAsia="ja-JP"/>
                        </w:rPr>
                        <w:t>2</w:t>
                      </w:r>
                      <w:r w:rsidRPr="00BC17C0">
                        <w:rPr>
                          <w:rFonts w:ascii="ＭＳ ゴシック" w:eastAsia="ＭＳ ゴシック" w:hAnsi="ＭＳ ゴシック"/>
                          <w:b/>
                          <w:bCs/>
                          <w:i/>
                          <w:iCs/>
                          <w:color w:val="000000" w:themeColor="text1"/>
                          <w:sz w:val="19"/>
                          <w:szCs w:val="19"/>
                          <w:lang w:eastAsia="ja-JP"/>
                        </w:rPr>
                        <w:t>O</w:t>
                      </w:r>
                      <w:r w:rsidRPr="00BC17C0">
                        <w:rPr>
                          <w:rFonts w:ascii="ＭＳ ゴシック" w:eastAsia="ＭＳ ゴシック" w:hAnsi="ＭＳ ゴシック" w:cs="ＭＳ ゴシック" w:hint="eastAsia"/>
                          <w:b/>
                          <w:bCs/>
                          <w:i/>
                          <w:iCs/>
                          <w:color w:val="000000" w:themeColor="text1"/>
                          <w:sz w:val="19"/>
                          <w:szCs w:val="19"/>
                          <w:lang w:eastAsia="ja-JP"/>
                        </w:rPr>
                        <w:t>）、六フッ化硫黄（</w:t>
                      </w:r>
                      <w:r w:rsidRPr="00BC17C0">
                        <w:rPr>
                          <w:rFonts w:ascii="ＭＳ ゴシック" w:eastAsia="ＭＳ ゴシック" w:hAnsi="ＭＳ ゴシック"/>
                          <w:b/>
                          <w:bCs/>
                          <w:i/>
                          <w:iCs/>
                          <w:color w:val="000000" w:themeColor="text1"/>
                          <w:sz w:val="19"/>
                          <w:szCs w:val="19"/>
                          <w:lang w:eastAsia="ja-JP"/>
                        </w:rPr>
                        <w:t>SF</w:t>
                      </w:r>
                      <w:r w:rsidRPr="003D29F0">
                        <w:rPr>
                          <w:rFonts w:ascii="ＭＳ ゴシック" w:eastAsia="ＭＳ ゴシック" w:hAnsi="ＭＳ ゴシック"/>
                          <w:b/>
                          <w:bCs/>
                          <w:i/>
                          <w:iCs/>
                          <w:color w:val="000000" w:themeColor="text1"/>
                          <w:sz w:val="19"/>
                          <w:szCs w:val="19"/>
                          <w:vertAlign w:val="subscript"/>
                          <w:lang w:eastAsia="ja-JP"/>
                        </w:rPr>
                        <w:t>6</w:t>
                      </w:r>
                      <w:r w:rsidRPr="00BC17C0">
                        <w:rPr>
                          <w:rFonts w:ascii="ＭＳ ゴシック" w:eastAsia="ＭＳ ゴシック" w:hAnsi="ＭＳ ゴシック" w:cs="ＭＳ ゴシック" w:hint="eastAsia"/>
                          <w:b/>
                          <w:bCs/>
                          <w:i/>
                          <w:iCs/>
                          <w:color w:val="000000" w:themeColor="text1"/>
                          <w:sz w:val="19"/>
                          <w:szCs w:val="19"/>
                          <w:lang w:eastAsia="ja-JP"/>
                        </w:rPr>
                        <w:t>）、有機フッ素化合物（</w:t>
                      </w:r>
                      <w:r w:rsidRPr="00BC17C0">
                        <w:rPr>
                          <w:rFonts w:ascii="ＭＳ ゴシック" w:eastAsia="ＭＳ ゴシック" w:hAnsi="ＭＳ ゴシック"/>
                          <w:b/>
                          <w:bCs/>
                          <w:i/>
                          <w:iCs/>
                          <w:color w:val="000000" w:themeColor="text1"/>
                          <w:sz w:val="19"/>
                          <w:szCs w:val="19"/>
                          <w:lang w:eastAsia="ja-JP"/>
                        </w:rPr>
                        <w:t>PFCs</w:t>
                      </w:r>
                      <w:r w:rsidRPr="00BC17C0">
                        <w:rPr>
                          <w:rFonts w:ascii="ＭＳ ゴシック" w:eastAsia="ＭＳ ゴシック" w:hAnsi="ＭＳ ゴシック" w:cs="ＭＳ ゴシック" w:hint="eastAsia"/>
                          <w:b/>
                          <w:bCs/>
                          <w:i/>
                          <w:iCs/>
                          <w:color w:val="000000" w:themeColor="text1"/>
                          <w:sz w:val="19"/>
                          <w:szCs w:val="19"/>
                          <w:lang w:eastAsia="ja-JP"/>
                        </w:rPr>
                        <w:t>）、代替フロン（</w:t>
                      </w:r>
                      <w:r w:rsidRPr="00BC17C0">
                        <w:rPr>
                          <w:rFonts w:ascii="ＭＳ ゴシック" w:eastAsia="ＭＳ ゴシック" w:hAnsi="ＭＳ ゴシック"/>
                          <w:b/>
                          <w:bCs/>
                          <w:i/>
                          <w:iCs/>
                          <w:color w:val="000000" w:themeColor="text1"/>
                          <w:sz w:val="19"/>
                          <w:szCs w:val="19"/>
                          <w:lang w:eastAsia="ja-JP"/>
                        </w:rPr>
                        <w:t>HFCs</w:t>
                      </w:r>
                      <w:r w:rsidRPr="00BC17C0">
                        <w:rPr>
                          <w:rFonts w:ascii="ＭＳ ゴシック" w:eastAsia="ＭＳ ゴシック" w:hAnsi="ＭＳ ゴシック" w:cs="ＭＳ ゴシック" w:hint="eastAsia"/>
                          <w:b/>
                          <w:bCs/>
                          <w:i/>
                          <w:iCs/>
                          <w:color w:val="000000" w:themeColor="text1"/>
                          <w:sz w:val="19"/>
                          <w:szCs w:val="19"/>
                          <w:lang w:eastAsia="ja-JP"/>
                        </w:rPr>
                        <w:t>）の大気中への排出、除去量を計算しなければならない。排出量に含まれる追加の温室効果ガスを、排出量報告書に記載しなくてはならない。</w:t>
                      </w:r>
                    </w:p>
                  </w:txbxContent>
                </v:textbox>
              </v:roundrect>
            </w:pict>
          </mc:Fallback>
        </mc:AlternateContent>
      </w:r>
    </w:p>
    <w:p w14:paraId="52D8E620" w14:textId="57AFD4C7" w:rsidR="0055291C" w:rsidRDefault="0055291C" w:rsidP="001A0EE9">
      <w:pPr>
        <w:pStyle w:val="a3"/>
        <w:spacing w:before="1" w:line="312" w:lineRule="auto"/>
        <w:ind w:left="6261" w:right="1244"/>
        <w:rPr>
          <w:sz w:val="28"/>
          <w:lang w:eastAsia="ja-JP"/>
        </w:rPr>
        <w:sectPr w:rsidR="0055291C">
          <w:headerReference w:type="default" r:id="rId118"/>
          <w:footerReference w:type="even" r:id="rId119"/>
          <w:footerReference w:type="default" r:id="rId120"/>
          <w:pgSz w:w="12240" w:h="15840"/>
          <w:pgMar w:top="0" w:right="0" w:bottom="1040" w:left="0" w:header="0" w:footer="859" w:gutter="0"/>
          <w:pgNumType w:start="27"/>
          <w:cols w:space="720"/>
        </w:sectPr>
      </w:pPr>
    </w:p>
    <w:p w14:paraId="41C7F3C8" w14:textId="648A0277" w:rsidR="001A0EE9" w:rsidRDefault="001A0EE9" w:rsidP="004666A2">
      <w:pPr>
        <w:pStyle w:val="a3"/>
        <w:spacing w:before="102" w:line="312" w:lineRule="auto"/>
        <w:ind w:left="1133" w:right="97"/>
        <w:rPr>
          <w:rFonts w:ascii="ＭＳ ゴシック" w:eastAsia="ＭＳ ゴシック" w:hAnsi="ＭＳ ゴシック" w:cs="ＭＳ ゴシック"/>
          <w:color w:val="545456"/>
          <w:lang w:eastAsia="ja-JP"/>
        </w:rPr>
      </w:pPr>
    </w:p>
    <w:p w14:paraId="1D8D7536" w14:textId="56D65442" w:rsidR="001A0EE9" w:rsidRDefault="001A0EE9" w:rsidP="004666A2">
      <w:pPr>
        <w:pStyle w:val="a3"/>
        <w:spacing w:before="102" w:line="312" w:lineRule="auto"/>
        <w:ind w:left="1133" w:right="97"/>
        <w:rPr>
          <w:rFonts w:ascii="ＭＳ ゴシック" w:eastAsia="ＭＳ ゴシック" w:hAnsi="ＭＳ ゴシック" w:cs="ＭＳ ゴシック"/>
          <w:color w:val="545456"/>
          <w:lang w:eastAsia="ja-JP"/>
        </w:rPr>
      </w:pPr>
    </w:p>
    <w:p w14:paraId="776B584A" w14:textId="6C2719CC" w:rsidR="001A0EE9" w:rsidRDefault="001A0EE9" w:rsidP="004666A2">
      <w:pPr>
        <w:pStyle w:val="a3"/>
        <w:spacing w:before="102" w:line="312" w:lineRule="auto"/>
        <w:ind w:left="1133" w:right="97"/>
        <w:rPr>
          <w:rFonts w:ascii="ＭＳ ゴシック" w:eastAsia="ＭＳ ゴシック" w:hAnsi="ＭＳ ゴシック" w:cs="ＭＳ ゴシック"/>
          <w:color w:val="545456"/>
          <w:lang w:eastAsia="ja-JP"/>
        </w:rPr>
      </w:pPr>
    </w:p>
    <w:p w14:paraId="220C37AE" w14:textId="4DF3776B" w:rsidR="001A0EE9" w:rsidRDefault="00047236" w:rsidP="004666A2">
      <w:pPr>
        <w:pStyle w:val="a3"/>
        <w:spacing w:before="102" w:line="312" w:lineRule="auto"/>
        <w:ind w:left="1133" w:right="97"/>
        <w:rPr>
          <w:rFonts w:ascii="ＭＳ ゴシック" w:eastAsia="ＭＳ ゴシック" w:hAnsi="ＭＳ ゴシック" w:cs="ＭＳ ゴシック"/>
          <w:color w:val="545456"/>
          <w:lang w:eastAsia="ja-JP"/>
        </w:rPr>
      </w:pPr>
      <w:r w:rsidRPr="001A0EE9">
        <w:rPr>
          <w:rFonts w:ascii="Arial"/>
          <w:b/>
          <w:i/>
          <w:noProof/>
          <w:color w:val="00ACA1"/>
          <w:sz w:val="24"/>
          <w:szCs w:val="22"/>
        </w:rPr>
        <mc:AlternateContent>
          <mc:Choice Requires="wps">
            <w:drawing>
              <wp:anchor distT="0" distB="0" distL="114300" distR="114300" simplePos="0" relativeHeight="251447808" behindDoc="0" locked="0" layoutInCell="1" allowOverlap="1" wp14:anchorId="462D44AA" wp14:editId="19613807">
                <wp:simplePos x="0" y="0"/>
                <wp:positionH relativeFrom="column">
                  <wp:posOffset>4348847</wp:posOffset>
                </wp:positionH>
                <wp:positionV relativeFrom="paragraph">
                  <wp:posOffset>281806</wp:posOffset>
                </wp:positionV>
                <wp:extent cx="2947736" cy="463216"/>
                <wp:effectExtent l="0" t="0" r="5080" b="0"/>
                <wp:wrapNone/>
                <wp:docPr id="28" name="四角形: 角を丸くする 28"/>
                <wp:cNvGraphicFramePr/>
                <a:graphic xmlns:a="http://schemas.openxmlformats.org/drawingml/2006/main">
                  <a:graphicData uri="http://schemas.microsoft.com/office/word/2010/wordprocessingShape">
                    <wps:wsp>
                      <wps:cNvSpPr/>
                      <wps:spPr>
                        <a:xfrm>
                          <a:off x="0" y="0"/>
                          <a:ext cx="2947736" cy="463216"/>
                        </a:xfrm>
                        <a:prstGeom prst="roundRect">
                          <a:avLst/>
                        </a:prstGeom>
                        <a:solidFill>
                          <a:srgbClr val="70029C">
                            <a:alpha val="25098"/>
                          </a:srgbClr>
                        </a:solidFill>
                        <a:ln w="25400" cap="flat" cmpd="sng" algn="ctr">
                          <a:noFill/>
                          <a:prstDash val="solid"/>
                        </a:ln>
                        <a:effectLst/>
                      </wps:spPr>
                      <wps:txbx>
                        <w:txbxContent>
                          <w:p w14:paraId="163DCA07" w14:textId="4E7406FC" w:rsidR="001A0EE9" w:rsidRPr="00047236" w:rsidRDefault="00047236" w:rsidP="000A59A5">
                            <w:pPr>
                              <w:rPr>
                                <w:rFonts w:ascii="ＭＳ ゴシック" w:eastAsia="ＭＳ ゴシック" w:hAnsi="ＭＳ ゴシック"/>
                                <w:b/>
                                <w:bCs/>
                                <w:i/>
                                <w:iCs/>
                                <w:color w:val="000000" w:themeColor="text1"/>
                                <w:sz w:val="19"/>
                                <w:szCs w:val="19"/>
                                <w:lang w:eastAsia="ja-JP"/>
                              </w:rPr>
                            </w:pPr>
                            <w:r w:rsidRPr="00047236">
                              <w:rPr>
                                <w:rFonts w:ascii="ＭＳ ゴシック" w:eastAsia="ＭＳ ゴシック" w:hAnsi="ＭＳ ゴシック" w:cs="ＭＳ ゴシック" w:hint="eastAsia"/>
                                <w:b/>
                                <w:bCs/>
                                <w:i/>
                                <w:iCs/>
                                <w:color w:val="000000" w:themeColor="text1"/>
                                <w:sz w:val="19"/>
                                <w:szCs w:val="19"/>
                                <w:lang w:eastAsia="ja-JP"/>
                              </w:rPr>
                              <w:t>企業は、製品、分析単位、および参照フローを定義しなければならない</w:t>
                            </w:r>
                            <w:r w:rsidR="000A59A5">
                              <w:rPr>
                                <w:rFonts w:ascii="ＭＳ ゴシック" w:eastAsia="ＭＳ ゴシック" w:hAnsi="ＭＳ ゴシック" w:cs="ＭＳ ゴシック" w:hint="eastAsia"/>
                                <w:b/>
                                <w:bCs/>
                                <w:i/>
                                <w:iCs/>
                                <w:color w:val="000000" w:themeColor="text1"/>
                                <w:sz w:val="19"/>
                                <w:szCs w:val="19"/>
                                <w:lang w:eastAsia="ja-JP"/>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62D44AA" id="四角形: 角を丸くする 28" o:spid="_x0000_s1043" style="position:absolute;left:0;text-align:left;margin-left:342.45pt;margin-top:22.2pt;width:232.1pt;height:36.45pt;z-index:25144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" fillcolor="#70029c" stroked="f" strokeweight="2pt">
                <v:fill opacity="16448f"/>
                <v:textbox>
                  <w:txbxContent>
                    <w:p w14:paraId="163DCA07" w14:textId="4E7406FC" w:rsidR="001A0EE9" w:rsidRPr="00047236" w:rsidRDefault="00047236" w:rsidP="000A59A5">
                      <w:pPr>
                        <w:rPr>
                          <w:rFonts w:ascii="ＭＳ ゴシック" w:eastAsia="ＭＳ ゴシック" w:hAnsi="ＭＳ ゴシック"/>
                          <w:b/>
                          <w:bCs/>
                          <w:i/>
                          <w:iCs/>
                          <w:color w:val="000000" w:themeColor="text1"/>
                          <w:sz w:val="19"/>
                          <w:szCs w:val="19"/>
                          <w:lang w:eastAsia="ja-JP"/>
                        </w:rPr>
                      </w:pPr>
                      <w:r w:rsidRPr="00047236">
                        <w:rPr>
                          <w:rFonts w:ascii="ＭＳ ゴシック" w:eastAsia="ＭＳ ゴシック" w:hAnsi="ＭＳ ゴシック" w:cs="ＭＳ ゴシック" w:hint="eastAsia"/>
                          <w:b/>
                          <w:bCs/>
                          <w:i/>
                          <w:iCs/>
                          <w:color w:val="000000" w:themeColor="text1"/>
                          <w:sz w:val="19"/>
                          <w:szCs w:val="19"/>
                          <w:lang w:eastAsia="ja-JP"/>
                        </w:rPr>
                        <w:t>企業は、製品、分析単位、および参照フローを定義しなければならない</w:t>
                      </w:r>
                      <w:r w:rsidR="000A59A5">
                        <w:rPr>
                          <w:rFonts w:ascii="ＭＳ ゴシック" w:eastAsia="ＭＳ ゴシック" w:hAnsi="ＭＳ ゴシック" w:cs="ＭＳ ゴシック" w:hint="eastAsia"/>
                          <w:b/>
                          <w:bCs/>
                          <w:i/>
                          <w:iCs/>
                          <w:color w:val="000000" w:themeColor="text1"/>
                          <w:sz w:val="19"/>
                          <w:szCs w:val="19"/>
                          <w:lang w:eastAsia="ja-JP"/>
                        </w:rPr>
                        <w:t>。</w:t>
                      </w:r>
                    </w:p>
                  </w:txbxContent>
                </v:textbox>
              </v:roundrect>
            </w:pict>
          </mc:Fallback>
        </mc:AlternateContent>
      </w:r>
    </w:p>
    <w:p w14:paraId="7D0AD60A" w14:textId="06F10051" w:rsidR="001A0EE9" w:rsidRPr="001A0EE9" w:rsidRDefault="004666A2" w:rsidP="001D4C01">
      <w:pPr>
        <w:pStyle w:val="a3"/>
        <w:spacing w:before="102" w:line="312" w:lineRule="auto"/>
        <w:ind w:left="1133" w:right="97" w:firstLineChars="100" w:firstLine="190"/>
        <w:rPr>
          <w:rFonts w:ascii="ＭＳ ゴシック" w:eastAsia="ＭＳ ゴシック" w:hAnsi="ＭＳ ゴシック" w:cs="ＭＳ ゴシック"/>
          <w:color w:val="545456"/>
          <w:lang w:eastAsia="ja-JP"/>
        </w:rPr>
      </w:pPr>
      <w:r w:rsidRPr="004666A2">
        <w:rPr>
          <w:rFonts w:ascii="ＭＳ ゴシック" w:eastAsia="ＭＳ ゴシック" w:hAnsi="ＭＳ ゴシック" w:cs="ＭＳ ゴシック" w:hint="eastAsia"/>
          <w:color w:val="545456"/>
          <w:lang w:eastAsia="ja-JP"/>
        </w:rPr>
        <w:t>企業は、これら</w:t>
      </w:r>
      <w:r w:rsidRPr="004666A2">
        <w:rPr>
          <w:color w:val="545456"/>
          <w:lang w:eastAsia="ja-JP"/>
        </w:rPr>
        <w:t>6</w:t>
      </w:r>
      <w:r w:rsidRPr="004666A2">
        <w:rPr>
          <w:rFonts w:ascii="ＭＳ ゴシック" w:eastAsia="ＭＳ ゴシック" w:hAnsi="ＭＳ ゴシック" w:cs="ＭＳ ゴシック" w:hint="eastAsia"/>
          <w:color w:val="545456"/>
          <w:lang w:eastAsia="ja-JP"/>
        </w:rPr>
        <w:t>種類のガスが製品のライフサイクル中に排出される場合、製品の</w:t>
      </w:r>
      <w:r w:rsidRPr="004666A2">
        <w:rPr>
          <w:color w:val="545456"/>
          <w:lang w:eastAsia="ja-JP"/>
        </w:rPr>
        <w:t>GHG</w:t>
      </w:r>
      <w:r w:rsidRPr="004666A2">
        <w:rPr>
          <w:rFonts w:ascii="ＭＳ ゴシック" w:eastAsia="ＭＳ ゴシック" w:hAnsi="ＭＳ ゴシック" w:cs="ＭＳ ゴシック" w:hint="eastAsia"/>
          <w:color w:val="545456"/>
          <w:lang w:eastAsia="ja-JP"/>
        </w:rPr>
        <w:t>インベントリに計上する必要があります。また、</w:t>
      </w:r>
      <w:r w:rsidRPr="004666A2">
        <w:rPr>
          <w:color w:val="545456"/>
          <w:lang w:eastAsia="ja-JP"/>
        </w:rPr>
        <w:t>IPCC</w:t>
      </w:r>
      <w:r w:rsidRPr="004666A2">
        <w:rPr>
          <w:rFonts w:ascii="ＭＳ ゴシック" w:eastAsia="ＭＳ ゴシック" w:hAnsi="ＭＳ ゴシック" w:cs="ＭＳ ゴシック" w:hint="eastAsia"/>
          <w:color w:val="545456"/>
          <w:lang w:eastAsia="ja-JP"/>
        </w:rPr>
        <w:t>により</w:t>
      </w:r>
      <w:r w:rsidRPr="004666A2">
        <w:rPr>
          <w:color w:val="545456"/>
          <w:lang w:eastAsia="ja-JP"/>
        </w:rPr>
        <w:t>100</w:t>
      </w:r>
      <w:r w:rsidRPr="004666A2">
        <w:rPr>
          <w:rFonts w:ascii="ＭＳ ゴシック" w:eastAsia="ＭＳ ゴシック" w:hAnsi="ＭＳ ゴシック" w:cs="ＭＳ ゴシック" w:hint="eastAsia"/>
          <w:color w:val="545456"/>
          <w:lang w:eastAsia="ja-JP"/>
        </w:rPr>
        <w:t>年</w:t>
      </w:r>
      <w:r w:rsidRPr="004666A2">
        <w:rPr>
          <w:color w:val="545456"/>
          <w:lang w:eastAsia="ja-JP"/>
        </w:rPr>
        <w:t>GWP</w:t>
      </w:r>
      <w:r w:rsidRPr="004666A2">
        <w:rPr>
          <w:rFonts w:ascii="ＭＳ ゴシック" w:eastAsia="ＭＳ ゴシック" w:hAnsi="ＭＳ ゴシック" w:cs="ＭＳ ゴシック" w:hint="eastAsia"/>
          <w:color w:val="545456"/>
          <w:lang w:eastAsia="ja-JP"/>
        </w:rPr>
        <w:t>値が特定されている他の温室効果ガスについても、製品のライフサイクル中に排出される場合は、計上する必要があります</w:t>
      </w:r>
      <w:r>
        <w:fldChar w:fldCharType="begin"/>
      </w:r>
      <w:r>
        <w:rPr>
          <w:lang w:eastAsia="ja-JP"/>
        </w:rPr>
        <w:instrText xml:space="preserve"> HYPERLINK \l "_Endnotes_2" </w:instrText>
      </w:r>
      <w:r>
        <w:fldChar w:fldCharType="separate"/>
      </w:r>
      <w:r w:rsidR="007C49B2">
        <w:rPr>
          <w:rStyle w:val="ac"/>
          <w:rFonts w:ascii="ＭＳ ゴシック" w:eastAsia="ＭＳ ゴシック" w:hAnsi="ＭＳ ゴシック" w:cs="ＭＳ ゴシック" w:hint="eastAsia"/>
          <w:vertAlign w:val="superscript"/>
          <w:lang w:eastAsia="ja-JP"/>
        </w:rPr>
        <w:t>２</w:t>
      </w:r>
      <w:r>
        <w:rPr>
          <w:rStyle w:val="ac"/>
          <w:rFonts w:ascii="ＭＳ ゴシック" w:eastAsia="ＭＳ ゴシック" w:hAnsi="ＭＳ ゴシック" w:cs="ＭＳ ゴシック"/>
          <w:vertAlign w:val="superscript"/>
          <w:lang w:eastAsia="ja-JP"/>
        </w:rPr>
        <w:fldChar w:fldCharType="end"/>
      </w:r>
      <w:r w:rsidRPr="004666A2">
        <w:rPr>
          <w:rFonts w:ascii="ＭＳ ゴシック" w:eastAsia="ＭＳ ゴシック" w:hAnsi="ＭＳ ゴシック" w:cs="ＭＳ ゴシック" w:hint="eastAsia"/>
          <w:color w:val="545456"/>
          <w:lang w:eastAsia="ja-JP"/>
        </w:rPr>
        <w:t>。</w:t>
      </w:r>
      <w:r w:rsidR="001A0EE9" w:rsidRPr="001A0EE9">
        <w:rPr>
          <w:rFonts w:ascii="ＭＳ ゴシック" w:eastAsia="ＭＳ ゴシック" w:hAnsi="ＭＳ ゴシック" w:cs="ＭＳ ゴシック" w:hint="eastAsia"/>
          <w:color w:val="545456"/>
          <w:lang w:eastAsia="ja-JP"/>
        </w:rPr>
        <w:t>透明性を高めるため、追加で計上する温室効果ガスは、排出量報告書に記載しなければなりません。</w:t>
      </w:r>
    </w:p>
    <w:p w14:paraId="78A8F2A2" w14:textId="77777777" w:rsidR="00047236" w:rsidRDefault="001A0EE9" w:rsidP="001D4C01">
      <w:pPr>
        <w:pStyle w:val="a3"/>
        <w:spacing w:before="102" w:line="312" w:lineRule="auto"/>
        <w:ind w:left="1133" w:right="97" w:firstLineChars="100" w:firstLine="190"/>
        <w:rPr>
          <w:rFonts w:ascii="ＭＳ ゴシック" w:eastAsia="ＭＳ ゴシック" w:hAnsi="ＭＳ ゴシック" w:cs="ＭＳ ゴシック"/>
          <w:color w:val="545456"/>
          <w:lang w:eastAsia="ja-JP"/>
        </w:rPr>
      </w:pPr>
      <w:r w:rsidRPr="001A0EE9">
        <w:rPr>
          <w:rFonts w:ascii="ＭＳ ゴシック" w:eastAsia="ＭＳ ゴシック" w:hAnsi="ＭＳ ゴシック" w:cs="ＭＳ ゴシック" w:hint="eastAsia"/>
          <w:color w:val="545456"/>
          <w:lang w:eastAsia="ja-JP"/>
        </w:rPr>
        <w:t>大気からの除去は、通常、</w:t>
      </w:r>
      <w:r w:rsidRPr="001A0EE9">
        <w:rPr>
          <w:rFonts w:ascii="ＭＳ ゴシック" w:eastAsia="ＭＳ ゴシック" w:hAnsi="ＭＳ ゴシック" w:cs="ＭＳ ゴシック"/>
          <w:color w:val="545456"/>
          <w:lang w:eastAsia="ja-JP"/>
        </w:rPr>
        <w:t>CO2</w:t>
      </w:r>
      <w:r w:rsidRPr="001A0EE9">
        <w:rPr>
          <w:rFonts w:ascii="ＭＳ ゴシック" w:eastAsia="ＭＳ ゴシック" w:hAnsi="ＭＳ ゴシック" w:cs="ＭＳ ゴシック" w:hint="eastAsia"/>
          <w:color w:val="545456"/>
          <w:lang w:eastAsia="ja-JP"/>
        </w:rPr>
        <w:t>が生物起源（植物など）に吸収され、光合成の際にエネルギーに変換</w:t>
      </w:r>
      <w:r w:rsidRPr="001A0EE9">
        <w:rPr>
          <w:rFonts w:ascii="ＭＳ ゴシック" w:eastAsia="ＭＳ ゴシック" w:hAnsi="ＭＳ ゴシック" w:cs="ＭＳ ゴシック" w:hint="eastAsia"/>
          <w:color w:val="545456"/>
          <w:lang w:eastAsia="ja-JP"/>
        </w:rPr>
        <w:t>されることで行われます。しかし、製品が使用中に大気中の</w:t>
      </w:r>
      <w:r w:rsidRPr="001A0EE9">
        <w:rPr>
          <w:rFonts w:ascii="ＭＳ ゴシック" w:eastAsia="ＭＳ ゴシック" w:hAnsi="ＭＳ ゴシック" w:cs="ＭＳ ゴシック"/>
          <w:color w:val="545456"/>
          <w:lang w:eastAsia="ja-JP"/>
        </w:rPr>
        <w:t>CO2</w:t>
      </w:r>
      <w:r w:rsidRPr="001A0EE9">
        <w:rPr>
          <w:rFonts w:ascii="ＭＳ ゴシック" w:eastAsia="ＭＳ ゴシック" w:hAnsi="ＭＳ ゴシック" w:cs="ＭＳ ゴシック" w:hint="eastAsia"/>
          <w:color w:val="545456"/>
          <w:lang w:eastAsia="ja-JP"/>
        </w:rPr>
        <w:t>を吸収する場合、あるいは大気中の</w:t>
      </w:r>
      <w:r w:rsidRPr="001A0EE9">
        <w:rPr>
          <w:rFonts w:ascii="ＭＳ ゴシック" w:eastAsia="ＭＳ ゴシック" w:hAnsi="ＭＳ ゴシック" w:cs="ＭＳ ゴシック"/>
          <w:color w:val="545456"/>
          <w:lang w:eastAsia="ja-JP"/>
        </w:rPr>
        <w:t>CO2</w:t>
      </w:r>
      <w:r w:rsidRPr="001A0EE9">
        <w:rPr>
          <w:rFonts w:ascii="ＭＳ ゴシック" w:eastAsia="ＭＳ ゴシック" w:hAnsi="ＭＳ ゴシック" w:cs="ＭＳ ゴシック" w:hint="eastAsia"/>
          <w:color w:val="545456"/>
          <w:lang w:eastAsia="ja-JP"/>
        </w:rPr>
        <w:t>が加工工程で使用される場合にも行われる可能性があります。また、製品のライフサイクルにおいて大気中の</w:t>
      </w:r>
      <w:r w:rsidRPr="001A0EE9">
        <w:rPr>
          <w:rFonts w:ascii="ＭＳ ゴシック" w:eastAsia="ＭＳ ゴシック" w:hAnsi="ＭＳ ゴシック" w:cs="ＭＳ ゴシック"/>
          <w:color w:val="545456"/>
          <w:lang w:eastAsia="ja-JP"/>
        </w:rPr>
        <w:t>CO2</w:t>
      </w:r>
      <w:r w:rsidRPr="001A0EE9">
        <w:rPr>
          <w:rFonts w:ascii="ＭＳ ゴシック" w:eastAsia="ＭＳ ゴシック" w:hAnsi="ＭＳ ゴシック" w:cs="ＭＳ ゴシック" w:hint="eastAsia"/>
          <w:color w:val="545456"/>
          <w:lang w:eastAsia="ja-JP"/>
        </w:rPr>
        <w:t>が除去される場合、企業はすべての除去量を計上しなければなりません。</w:t>
      </w:r>
    </w:p>
    <w:p w14:paraId="045FC441" w14:textId="77777777" w:rsidR="00047236" w:rsidRDefault="00047236" w:rsidP="001A0EE9">
      <w:pPr>
        <w:pStyle w:val="a3"/>
        <w:spacing w:before="102" w:line="312" w:lineRule="auto"/>
        <w:ind w:left="1133" w:right="97"/>
        <w:rPr>
          <w:rFonts w:ascii="ＭＳ ゴシック" w:eastAsia="ＭＳ ゴシック" w:hAnsi="ＭＳ ゴシック" w:cs="ＭＳ ゴシック"/>
          <w:color w:val="545456"/>
          <w:lang w:eastAsia="ja-JP"/>
        </w:rPr>
      </w:pPr>
    </w:p>
    <w:p w14:paraId="22E8774D" w14:textId="77777777" w:rsidR="00047236" w:rsidRDefault="00047236" w:rsidP="001A0EE9">
      <w:pPr>
        <w:pStyle w:val="a3"/>
        <w:spacing w:before="102" w:line="312" w:lineRule="auto"/>
        <w:ind w:left="1133" w:right="97"/>
        <w:rPr>
          <w:rFonts w:ascii="ＭＳ ゴシック" w:eastAsia="ＭＳ ゴシック" w:hAnsi="ＭＳ ゴシック" w:cs="ＭＳ ゴシック"/>
          <w:color w:val="545456"/>
          <w:lang w:eastAsia="ja-JP"/>
        </w:rPr>
      </w:pPr>
    </w:p>
    <w:p w14:paraId="7BBA42F8" w14:textId="388DD0AC" w:rsidR="004666A2" w:rsidRDefault="00047236" w:rsidP="00047236">
      <w:pPr>
        <w:pStyle w:val="a3"/>
        <w:spacing w:before="102" w:line="312" w:lineRule="auto"/>
        <w:ind w:left="1133" w:right="97" w:firstLineChars="100" w:firstLine="190"/>
        <w:rPr>
          <w:rFonts w:ascii="ＭＳ ゴシック" w:eastAsia="ＭＳ ゴシック" w:hAnsi="ＭＳ ゴシック" w:cs="ＭＳ ゴシック"/>
          <w:color w:val="545456"/>
          <w:lang w:eastAsia="ja-JP"/>
        </w:rPr>
      </w:pPr>
      <w:r w:rsidRPr="00047236">
        <w:rPr>
          <w:rFonts w:ascii="ＭＳ ゴシック" w:eastAsia="ＭＳ ゴシック" w:hAnsi="ＭＳ ゴシック" w:cs="ＭＳ ゴシック" w:hint="eastAsia"/>
          <w:color w:val="545456"/>
          <w:lang w:eastAsia="ja-JP"/>
        </w:rPr>
        <w:t>調査対象製品とは、</w:t>
      </w:r>
      <w:r w:rsidRPr="00047236">
        <w:rPr>
          <w:rFonts w:ascii="ＭＳ ゴシック" w:eastAsia="ＭＳ ゴシック" w:hAnsi="ＭＳ ゴシック" w:cs="ＭＳ ゴシック"/>
          <w:color w:val="545456"/>
          <w:lang w:eastAsia="ja-JP"/>
        </w:rPr>
        <w:t>GHG</w:t>
      </w:r>
      <w:r w:rsidRPr="00047236">
        <w:rPr>
          <w:rFonts w:ascii="ＭＳ ゴシック" w:eastAsia="ＭＳ ゴシック" w:hAnsi="ＭＳ ゴシック" w:cs="ＭＳ ゴシック" w:hint="eastAsia"/>
          <w:color w:val="545456"/>
          <w:lang w:eastAsia="ja-JP"/>
        </w:rPr>
        <w:t>ライフサイクル排出量算出を実施する製品のことをいいます。</w:t>
      </w:r>
      <w:r w:rsidR="004666A2">
        <w:rPr>
          <w:rFonts w:ascii="ＭＳ ゴシック" w:eastAsia="ＭＳ ゴシック" w:hAnsi="ＭＳ ゴシック" w:cs="ＭＳ ゴシック"/>
          <w:color w:val="545456"/>
          <w:lang w:eastAsia="ja-JP"/>
        </w:rPr>
        <w:br w:type="page"/>
      </w:r>
    </w:p>
    <w:p w14:paraId="7917A68D" w14:textId="7B42EEEB" w:rsidR="0055291C" w:rsidRPr="00047236" w:rsidRDefault="0055291C" w:rsidP="00047236">
      <w:pPr>
        <w:rPr>
          <w:rFonts w:eastAsiaTheme="minorEastAsia"/>
          <w:sz w:val="20"/>
          <w:lang w:eastAsia="ja-JP"/>
        </w:rPr>
        <w:sectPr w:rsidR="0055291C" w:rsidRPr="00047236">
          <w:type w:val="continuous"/>
          <w:pgSz w:w="12240" w:h="15840"/>
          <w:pgMar w:top="740" w:right="0" w:bottom="280" w:left="0" w:header="0" w:footer="859" w:gutter="0"/>
          <w:cols w:num="2" w:space="720" w:equalWidth="0">
            <w:col w:w="5642" w:space="40"/>
            <w:col w:w="6558"/>
          </w:cols>
        </w:sectPr>
      </w:pPr>
    </w:p>
    <w:p w14:paraId="1B5D6623" w14:textId="17DE5D92" w:rsidR="0055291C" w:rsidRDefault="00000000">
      <w:pPr>
        <w:pStyle w:val="a3"/>
        <w:rPr>
          <w:sz w:val="20"/>
        </w:rPr>
      </w:pPr>
      <w:r>
        <w:rPr>
          <w:sz w:val="20"/>
        </w:rPr>
      </w:r>
      <w:r>
        <w:rPr>
          <w:sz w:val="20"/>
        </w:rPr>
        <w:pict w14:anchorId="7CE4E09E">
          <v:group id="docshapegroup463" o:spid="_x0000_s3328" style="width:555pt;height:425.8pt;mso-position-horizontal-relative:char;mso-position-vertical-relative:line" coordsize="11100,8516">
            <v:shape id="docshape464" o:spid="_x0000_s3331" type="#_x0000_t75" style="position:absolute;width:11100;height:8516">
              <v:imagedata r:id="rId121" o:title=""/>
            </v:shape>
            <v:shape id="docshape465" o:spid="_x0000_s3330" style="position:absolute;width:5940;height:636" coordsize="5940,636" path="m5940,l,,,635r5713,l5844,632r68,-25l5936,539r4,-131l5940,xe" fillcolor="#7f3f98" stroked="f">
              <v:path arrowok="t"/>
            </v:shape>
            <v:shape id="docshape466" o:spid="_x0000_s3329" type="#_x0000_t202" style="position:absolute;left:1133;top:221;width:3591;height:314" filled="f" stroked="f">
              <v:textbox style="mso-next-textbox:#docshape466" inset="0,0,0,0">
                <w:txbxContent>
                  <w:p w14:paraId="52A17EBD" w14:textId="77777777" w:rsidR="0055291C" w:rsidRDefault="00F23C61">
                    <w:pPr>
                      <w:spacing w:line="314" w:lineRule="exact"/>
                      <w:rPr>
                        <w:rFonts w:ascii="Arial"/>
                        <w:b/>
                        <w:i/>
                        <w:sz w:val="28"/>
                      </w:rPr>
                    </w:pPr>
                    <w:r>
                      <w:rPr>
                        <w:rFonts w:ascii="Arial"/>
                        <w:b/>
                        <w:i/>
                        <w:color w:val="F3F4F4"/>
                        <w:sz w:val="28"/>
                      </w:rPr>
                      <w:t>r</w:t>
                    </w:r>
                    <w:r>
                      <w:rPr>
                        <w:rFonts w:ascii="Arial"/>
                        <w:b/>
                        <w:i/>
                        <w:color w:val="F3F4F4"/>
                        <w:spacing w:val="79"/>
                        <w:sz w:val="28"/>
                      </w:rPr>
                      <w:t xml:space="preserve"> </w:t>
                    </w:r>
                    <w:r>
                      <w:rPr>
                        <w:rFonts w:ascii="Arial"/>
                        <w:b/>
                        <w:i/>
                        <w:color w:val="F3F4F4"/>
                        <w:sz w:val="28"/>
                      </w:rPr>
                      <w:t>e</w:t>
                    </w:r>
                    <w:r>
                      <w:rPr>
                        <w:rFonts w:ascii="Arial"/>
                        <w:b/>
                        <w:i/>
                        <w:color w:val="F3F4F4"/>
                        <w:spacing w:val="86"/>
                        <w:sz w:val="28"/>
                      </w:rPr>
                      <w:t xml:space="preserve"> </w:t>
                    </w:r>
                    <w:r>
                      <w:rPr>
                        <w:rFonts w:ascii="Arial"/>
                        <w:b/>
                        <w:i/>
                        <w:color w:val="F3F4F4"/>
                        <w:sz w:val="28"/>
                      </w:rPr>
                      <w:t>q</w:t>
                    </w:r>
                    <w:r>
                      <w:rPr>
                        <w:rFonts w:ascii="Arial"/>
                        <w:b/>
                        <w:i/>
                        <w:color w:val="F3F4F4"/>
                        <w:spacing w:val="87"/>
                        <w:sz w:val="28"/>
                      </w:rPr>
                      <w:t xml:space="preserve"> </w:t>
                    </w:r>
                    <w:r>
                      <w:rPr>
                        <w:rFonts w:ascii="Arial"/>
                        <w:b/>
                        <w:i/>
                        <w:color w:val="F3F4F4"/>
                        <w:sz w:val="28"/>
                      </w:rPr>
                      <w:t>u</w:t>
                    </w:r>
                    <w:r>
                      <w:rPr>
                        <w:rFonts w:ascii="Arial"/>
                        <w:b/>
                        <w:i/>
                        <w:color w:val="F3F4F4"/>
                        <w:spacing w:val="86"/>
                        <w:sz w:val="28"/>
                      </w:rPr>
                      <w:t xml:space="preserve"> </w:t>
                    </w:r>
                    <w:proofErr w:type="spellStart"/>
                    <w:r>
                      <w:rPr>
                        <w:rFonts w:ascii="Arial"/>
                        <w:b/>
                        <w:i/>
                        <w:color w:val="F3F4F4"/>
                        <w:sz w:val="28"/>
                      </w:rPr>
                      <w:t>i</w:t>
                    </w:r>
                    <w:proofErr w:type="spellEnd"/>
                    <w:r>
                      <w:rPr>
                        <w:rFonts w:ascii="Arial"/>
                        <w:b/>
                        <w:i/>
                        <w:color w:val="F3F4F4"/>
                        <w:spacing w:val="86"/>
                        <w:sz w:val="28"/>
                      </w:rPr>
                      <w:t xml:space="preserve"> </w:t>
                    </w:r>
                    <w:r>
                      <w:rPr>
                        <w:rFonts w:ascii="Arial"/>
                        <w:b/>
                        <w:i/>
                        <w:color w:val="F3F4F4"/>
                        <w:sz w:val="28"/>
                      </w:rPr>
                      <w:t>r</w:t>
                    </w:r>
                    <w:r>
                      <w:rPr>
                        <w:rFonts w:ascii="Arial"/>
                        <w:b/>
                        <w:i/>
                        <w:color w:val="F3F4F4"/>
                        <w:spacing w:val="80"/>
                        <w:sz w:val="28"/>
                      </w:rPr>
                      <w:t xml:space="preserve"> </w:t>
                    </w:r>
                    <w:r>
                      <w:rPr>
                        <w:rFonts w:ascii="Arial"/>
                        <w:b/>
                        <w:i/>
                        <w:color w:val="F3F4F4"/>
                        <w:sz w:val="28"/>
                      </w:rPr>
                      <w:t>e</w:t>
                    </w:r>
                    <w:r>
                      <w:rPr>
                        <w:rFonts w:ascii="Arial"/>
                        <w:b/>
                        <w:i/>
                        <w:color w:val="F3F4F4"/>
                        <w:spacing w:val="86"/>
                        <w:sz w:val="28"/>
                      </w:rPr>
                      <w:t xml:space="preserve"> </w:t>
                    </w:r>
                    <w:r>
                      <w:rPr>
                        <w:rFonts w:ascii="Arial"/>
                        <w:b/>
                        <w:i/>
                        <w:color w:val="F3F4F4"/>
                        <w:sz w:val="28"/>
                      </w:rPr>
                      <w:t>m</w:t>
                    </w:r>
                    <w:r>
                      <w:rPr>
                        <w:rFonts w:ascii="Arial"/>
                        <w:b/>
                        <w:i/>
                        <w:color w:val="F3F4F4"/>
                        <w:spacing w:val="87"/>
                        <w:sz w:val="28"/>
                      </w:rPr>
                      <w:t xml:space="preserve"> </w:t>
                    </w:r>
                    <w:r>
                      <w:rPr>
                        <w:rFonts w:ascii="Arial"/>
                        <w:b/>
                        <w:i/>
                        <w:color w:val="F3F4F4"/>
                        <w:sz w:val="28"/>
                      </w:rPr>
                      <w:t>e</w:t>
                    </w:r>
                    <w:r>
                      <w:rPr>
                        <w:rFonts w:ascii="Arial"/>
                        <w:b/>
                        <w:i/>
                        <w:color w:val="F3F4F4"/>
                        <w:spacing w:val="85"/>
                        <w:sz w:val="28"/>
                      </w:rPr>
                      <w:t xml:space="preserve"> </w:t>
                    </w:r>
                    <w:r>
                      <w:rPr>
                        <w:rFonts w:ascii="Arial"/>
                        <w:b/>
                        <w:i/>
                        <w:color w:val="F3F4F4"/>
                        <w:sz w:val="28"/>
                      </w:rPr>
                      <w:t>n</w:t>
                    </w:r>
                    <w:r>
                      <w:rPr>
                        <w:rFonts w:ascii="Arial"/>
                        <w:b/>
                        <w:i/>
                        <w:color w:val="F3F4F4"/>
                        <w:spacing w:val="87"/>
                        <w:sz w:val="28"/>
                      </w:rPr>
                      <w:t xml:space="preserve"> </w:t>
                    </w:r>
                    <w:r>
                      <w:rPr>
                        <w:rFonts w:ascii="Arial"/>
                        <w:b/>
                        <w:i/>
                        <w:color w:val="F3F4F4"/>
                        <w:sz w:val="28"/>
                      </w:rPr>
                      <w:t>t</w:t>
                    </w:r>
                    <w:r>
                      <w:rPr>
                        <w:rFonts w:ascii="Arial"/>
                        <w:b/>
                        <w:i/>
                        <w:color w:val="F3F4F4"/>
                        <w:spacing w:val="86"/>
                        <w:sz w:val="28"/>
                      </w:rPr>
                      <w:t xml:space="preserve"> </w:t>
                    </w:r>
                    <w:r>
                      <w:rPr>
                        <w:rFonts w:ascii="Arial"/>
                        <w:b/>
                        <w:i/>
                        <w:color w:val="F3F4F4"/>
                        <w:sz w:val="28"/>
                      </w:rPr>
                      <w:t>s</w:t>
                    </w:r>
                  </w:p>
                </w:txbxContent>
              </v:textbox>
            </v:shape>
            <w10:anchorlock/>
          </v:group>
        </w:pict>
      </w:r>
    </w:p>
    <w:p w14:paraId="69240A61" w14:textId="5C1C444F" w:rsidR="0055291C" w:rsidRDefault="0055291C">
      <w:pPr>
        <w:pStyle w:val="a3"/>
        <w:rPr>
          <w:sz w:val="20"/>
        </w:rPr>
      </w:pPr>
    </w:p>
    <w:p w14:paraId="26AF17E3" w14:textId="478977E9" w:rsidR="0055291C" w:rsidRDefault="001D4C01">
      <w:pPr>
        <w:pStyle w:val="a3"/>
        <w:spacing w:before="1"/>
        <w:rPr>
          <w:sz w:val="18"/>
        </w:rPr>
      </w:pPr>
      <w:r w:rsidRPr="001D4C01">
        <w:rPr>
          <w:rFonts w:ascii="Arial"/>
          <w:b/>
          <w:i/>
          <w:noProof/>
          <w:color w:val="00ACA1"/>
          <w:sz w:val="24"/>
          <w:szCs w:val="22"/>
        </w:rPr>
        <mc:AlternateContent>
          <mc:Choice Requires="wps">
            <w:drawing>
              <wp:anchor distT="0" distB="0" distL="114300" distR="114300" simplePos="0" relativeHeight="251451904" behindDoc="0" locked="0" layoutInCell="1" allowOverlap="1" wp14:anchorId="3A34ABF1" wp14:editId="74717AB9">
                <wp:simplePos x="0" y="0"/>
                <wp:positionH relativeFrom="column">
                  <wp:posOffset>3922294</wp:posOffset>
                </wp:positionH>
                <wp:positionV relativeFrom="paragraph">
                  <wp:posOffset>184083</wp:posOffset>
                </wp:positionV>
                <wp:extent cx="3344779" cy="553286"/>
                <wp:effectExtent l="0" t="0" r="8255" b="0"/>
                <wp:wrapNone/>
                <wp:docPr id="56" name="四角形: 角を丸くする 56"/>
                <wp:cNvGraphicFramePr/>
                <a:graphic xmlns:a="http://schemas.openxmlformats.org/drawingml/2006/main">
                  <a:graphicData uri="http://schemas.microsoft.com/office/word/2010/wordprocessingShape">
                    <wps:wsp>
                      <wps:cNvSpPr/>
                      <wps:spPr>
                        <a:xfrm>
                          <a:off x="0" y="0"/>
                          <a:ext cx="3344779" cy="553286"/>
                        </a:xfrm>
                        <a:prstGeom prst="roundRect">
                          <a:avLst/>
                        </a:prstGeom>
                        <a:solidFill>
                          <a:srgbClr val="70029C">
                            <a:alpha val="25098"/>
                          </a:srgbClr>
                        </a:solidFill>
                        <a:ln w="25400" cap="flat" cmpd="sng" algn="ctr">
                          <a:noFill/>
                          <a:prstDash val="solid"/>
                        </a:ln>
                        <a:effectLst/>
                      </wps:spPr>
                      <wps:txbx>
                        <w:txbxContent>
                          <w:p w14:paraId="4C48103C" w14:textId="5A4924FB" w:rsidR="001D4C01" w:rsidRPr="003E3FF4" w:rsidRDefault="003E3FF4" w:rsidP="001D4C01">
                            <w:pPr>
                              <w:jc w:val="center"/>
                              <w:rPr>
                                <w:rFonts w:ascii="ＭＳ ゴシック" w:eastAsia="ＭＳ ゴシック" w:hAnsi="ＭＳ ゴシック"/>
                                <w:b/>
                                <w:bCs/>
                                <w:i/>
                                <w:iCs/>
                                <w:color w:val="000000" w:themeColor="text1"/>
                                <w:sz w:val="19"/>
                                <w:szCs w:val="19"/>
                                <w:lang w:eastAsia="ja-JP"/>
                              </w:rPr>
                            </w:pPr>
                            <w:r w:rsidRPr="003E3FF4">
                              <w:rPr>
                                <w:rFonts w:ascii="ＭＳ ゴシック" w:eastAsia="ＭＳ ゴシック" w:hAnsi="ＭＳ ゴシック" w:cs="ＭＳ ゴシック" w:hint="eastAsia"/>
                                <w:b/>
                                <w:bCs/>
                                <w:i/>
                                <w:iCs/>
                                <w:color w:val="000000" w:themeColor="text1"/>
                                <w:sz w:val="19"/>
                                <w:szCs w:val="19"/>
                                <w:lang w:eastAsia="ja-JP"/>
                              </w:rPr>
                              <w:t>最終的な機能が不明な中間製品については、企業は基準流量を分析する単位として定義しなければならない。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34ABF1" id="四角形: 角を丸くする 56" o:spid="_x0000_s1044" style="position:absolute;margin-left:308.85pt;margin-top:14.5pt;width:263.35pt;height:43.55pt;z-index:2514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" fillcolor="#70029c" stroked="f" strokeweight="2pt">
                <v:fill opacity="16448f"/>
                <v:textbox>
                  <w:txbxContent>
                    <w:p w14:paraId="4C48103C" w14:textId="5A4924FB" w:rsidR="001D4C01" w:rsidRPr="003E3FF4" w:rsidRDefault="003E3FF4" w:rsidP="001D4C01">
                      <w:pPr>
                        <w:jc w:val="center"/>
                        <w:rPr>
                          <w:rFonts w:ascii="ＭＳ ゴシック" w:eastAsia="ＭＳ ゴシック" w:hAnsi="ＭＳ ゴシック"/>
                          <w:b/>
                          <w:bCs/>
                          <w:i/>
                          <w:iCs/>
                          <w:color w:val="000000" w:themeColor="text1"/>
                          <w:sz w:val="19"/>
                          <w:szCs w:val="19"/>
                          <w:lang w:eastAsia="ja-JP"/>
                        </w:rPr>
                      </w:pPr>
                      <w:r w:rsidRPr="003E3FF4">
                        <w:rPr>
                          <w:rFonts w:ascii="ＭＳ ゴシック" w:eastAsia="ＭＳ ゴシック" w:hAnsi="ＭＳ ゴシック" w:cs="ＭＳ ゴシック" w:hint="eastAsia"/>
                          <w:b/>
                          <w:bCs/>
                          <w:i/>
                          <w:iCs/>
                          <w:color w:val="000000" w:themeColor="text1"/>
                          <w:sz w:val="19"/>
                          <w:szCs w:val="19"/>
                          <w:lang w:eastAsia="ja-JP"/>
                        </w:rPr>
                        <w:t>最終的な機能が不明な中間製品については、企業は基準流量を分析する単位として定義しなければならない。</w:t>
                      </w:r>
                    </w:p>
                  </w:txbxContent>
                </v:textbox>
              </v:roundrect>
            </w:pict>
          </mc:Fallback>
        </mc:AlternateContent>
      </w:r>
    </w:p>
    <w:p w14:paraId="2634217B" w14:textId="77777777" w:rsidR="0055291C" w:rsidRDefault="0055291C">
      <w:pPr>
        <w:rPr>
          <w:sz w:val="18"/>
        </w:rPr>
        <w:sectPr w:rsidR="0055291C">
          <w:headerReference w:type="even" r:id="rId122"/>
          <w:pgSz w:w="12240" w:h="15840"/>
          <w:pgMar w:top="0" w:right="0" w:bottom="1040" w:left="0" w:header="0" w:footer="859" w:gutter="0"/>
          <w:cols w:space="720"/>
        </w:sectPr>
      </w:pPr>
    </w:p>
    <w:p w14:paraId="38F52022" w14:textId="78E82B82" w:rsidR="0055291C" w:rsidRDefault="00047236" w:rsidP="001D4C01">
      <w:pPr>
        <w:pStyle w:val="a3"/>
        <w:spacing w:before="102" w:line="312" w:lineRule="auto"/>
        <w:ind w:left="1143" w:right="417" w:firstLineChars="100" w:firstLine="190"/>
        <w:rPr>
          <w:lang w:eastAsia="ja-JP"/>
        </w:rPr>
      </w:pPr>
      <w:r w:rsidRPr="00047236">
        <w:rPr>
          <w:rFonts w:ascii="ＭＳ ゴシック" w:eastAsia="ＭＳ ゴシック" w:hAnsi="ＭＳ ゴシック" w:cs="ＭＳ ゴシック" w:hint="eastAsia"/>
          <w:color w:val="545456"/>
          <w:lang w:eastAsia="ja-JP"/>
        </w:rPr>
        <w:t>分析単位は、調査対象の製品が提供する性能特性やサービスであると定義されます。基準フローは、調査結果の基となる製品の量です。</w:t>
      </w:r>
    </w:p>
    <w:p w14:paraId="2EDE97E3" w14:textId="2EFD9640" w:rsidR="0055291C" w:rsidRDefault="00047236">
      <w:pPr>
        <w:pStyle w:val="a3"/>
        <w:rPr>
          <w:sz w:val="20"/>
          <w:lang w:eastAsia="ja-JP"/>
        </w:rPr>
      </w:pPr>
      <w:r w:rsidRPr="001A0EE9">
        <w:rPr>
          <w:rFonts w:ascii="Arial"/>
          <w:b/>
          <w:i/>
          <w:noProof/>
          <w:color w:val="00ACA1"/>
          <w:sz w:val="24"/>
          <w:szCs w:val="22"/>
        </w:rPr>
        <mc:AlternateContent>
          <mc:Choice Requires="wps">
            <w:drawing>
              <wp:anchor distT="0" distB="0" distL="114300" distR="114300" simplePos="0" relativeHeight="251450880" behindDoc="0" locked="0" layoutInCell="1" allowOverlap="1" wp14:anchorId="36C3E46D" wp14:editId="42C40145">
                <wp:simplePos x="0" y="0"/>
                <wp:positionH relativeFrom="column">
                  <wp:posOffset>583532</wp:posOffset>
                </wp:positionH>
                <wp:positionV relativeFrom="paragraph">
                  <wp:posOffset>17213</wp:posOffset>
                </wp:positionV>
                <wp:extent cx="2947670" cy="613310"/>
                <wp:effectExtent l="0" t="0" r="5080" b="0"/>
                <wp:wrapNone/>
                <wp:docPr id="54" name="四角形: 角を丸くする 54"/>
                <wp:cNvGraphicFramePr/>
                <a:graphic xmlns:a="http://schemas.openxmlformats.org/drawingml/2006/main">
                  <a:graphicData uri="http://schemas.microsoft.com/office/word/2010/wordprocessingShape">
                    <wps:wsp>
                      <wps:cNvSpPr/>
                      <wps:spPr>
                        <a:xfrm>
                          <a:off x="0" y="0"/>
                          <a:ext cx="2947670" cy="613310"/>
                        </a:xfrm>
                        <a:prstGeom prst="roundRect">
                          <a:avLst/>
                        </a:prstGeom>
                        <a:solidFill>
                          <a:srgbClr val="70029C">
                            <a:alpha val="25098"/>
                          </a:srgbClr>
                        </a:solidFill>
                        <a:ln w="25400" cap="flat" cmpd="sng" algn="ctr">
                          <a:noFill/>
                          <a:prstDash val="solid"/>
                        </a:ln>
                        <a:effectLst/>
                      </wps:spPr>
                      <wps:txbx>
                        <w:txbxContent>
                          <w:p w14:paraId="69E0E9C1" w14:textId="7A00ECD7" w:rsidR="00047236" w:rsidRPr="001D4C01" w:rsidRDefault="001D4C01" w:rsidP="00047236">
                            <w:pPr>
                              <w:jc w:val="center"/>
                              <w:rPr>
                                <w:rFonts w:ascii="ＭＳ ゴシック" w:eastAsia="ＭＳ ゴシック" w:hAnsi="ＭＳ ゴシック"/>
                                <w:b/>
                                <w:bCs/>
                                <w:i/>
                                <w:iCs/>
                                <w:color w:val="000000" w:themeColor="text1"/>
                                <w:sz w:val="19"/>
                                <w:szCs w:val="19"/>
                                <w:lang w:eastAsia="ja-JP"/>
                              </w:rPr>
                            </w:pPr>
                            <w:r w:rsidRPr="001D4C01">
                              <w:rPr>
                                <w:rFonts w:ascii="ＭＳ ゴシック" w:eastAsia="ＭＳ ゴシック" w:hAnsi="ＭＳ ゴシック" w:cs="ＭＳ ゴシック" w:hint="eastAsia"/>
                                <w:b/>
                                <w:bCs/>
                                <w:i/>
                                <w:iCs/>
                                <w:color w:val="000000" w:themeColor="text1"/>
                                <w:sz w:val="19"/>
                                <w:szCs w:val="19"/>
                                <w:lang w:eastAsia="ja-JP"/>
                              </w:rPr>
                              <w:t>すべての最終製品について、企業は機能単位を分析する単位として定義しなければならない</w:t>
                            </w:r>
                            <w:r w:rsidR="003E3FF4">
                              <w:rPr>
                                <w:rFonts w:ascii="ＭＳ ゴシック" w:eastAsia="ＭＳ ゴシック" w:hAnsi="ＭＳ ゴシック" w:cs="ＭＳ ゴシック" w:hint="eastAsia"/>
                                <w:b/>
                                <w:bCs/>
                                <w:i/>
                                <w:iCs/>
                                <w:color w:val="000000" w:themeColor="text1"/>
                                <w:sz w:val="19"/>
                                <w:szCs w:val="19"/>
                                <w:lang w:eastAsia="ja-JP"/>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6C3E46D" id="四角形: 角を丸くする 54" o:spid="_x0000_s1045" style="position:absolute;margin-left:45.95pt;margin-top:1.35pt;width:232.1pt;height:48.3pt;z-index:25145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" fillcolor="#70029c" stroked="f" strokeweight="2pt">
                <v:fill opacity="16448f"/>
                <v:textbox>
                  <w:txbxContent>
                    <w:p w14:paraId="69E0E9C1" w14:textId="7A00ECD7" w:rsidR="00047236" w:rsidRPr="001D4C01" w:rsidRDefault="001D4C01" w:rsidP="00047236">
                      <w:pPr>
                        <w:jc w:val="center"/>
                        <w:rPr>
                          <w:rFonts w:ascii="ＭＳ ゴシック" w:eastAsia="ＭＳ ゴシック" w:hAnsi="ＭＳ ゴシック"/>
                          <w:b/>
                          <w:bCs/>
                          <w:i/>
                          <w:iCs/>
                          <w:color w:val="000000" w:themeColor="text1"/>
                          <w:sz w:val="19"/>
                          <w:szCs w:val="19"/>
                          <w:lang w:eastAsia="ja-JP"/>
                        </w:rPr>
                      </w:pPr>
                      <w:r w:rsidRPr="001D4C01">
                        <w:rPr>
                          <w:rFonts w:ascii="ＭＳ ゴシック" w:eastAsia="ＭＳ ゴシック" w:hAnsi="ＭＳ ゴシック" w:cs="ＭＳ ゴシック" w:hint="eastAsia"/>
                          <w:b/>
                          <w:bCs/>
                          <w:i/>
                          <w:iCs/>
                          <w:color w:val="000000" w:themeColor="text1"/>
                          <w:sz w:val="19"/>
                          <w:szCs w:val="19"/>
                          <w:lang w:eastAsia="ja-JP"/>
                        </w:rPr>
                        <w:t>すべての最終製品について、企業は機能単位を分析する単位として定義しなければならない</w:t>
                      </w:r>
                      <w:r w:rsidR="003E3FF4">
                        <w:rPr>
                          <w:rFonts w:ascii="ＭＳ ゴシック" w:eastAsia="ＭＳ ゴシック" w:hAnsi="ＭＳ ゴシック" w:cs="ＭＳ ゴシック" w:hint="eastAsia"/>
                          <w:b/>
                          <w:bCs/>
                          <w:i/>
                          <w:iCs/>
                          <w:color w:val="000000" w:themeColor="text1"/>
                          <w:sz w:val="19"/>
                          <w:szCs w:val="19"/>
                          <w:lang w:eastAsia="ja-JP"/>
                        </w:rPr>
                        <w:t>。</w:t>
                      </w:r>
                    </w:p>
                  </w:txbxContent>
                </v:textbox>
              </v:roundrect>
            </w:pict>
          </mc:Fallback>
        </mc:AlternateContent>
      </w:r>
    </w:p>
    <w:p w14:paraId="2C75A9A5" w14:textId="00649D92" w:rsidR="0055291C" w:rsidRDefault="0055291C">
      <w:pPr>
        <w:pStyle w:val="a3"/>
        <w:rPr>
          <w:sz w:val="20"/>
          <w:lang w:eastAsia="ja-JP"/>
        </w:rPr>
      </w:pPr>
    </w:p>
    <w:p w14:paraId="38F9F20A" w14:textId="77777777" w:rsidR="0055291C" w:rsidRDefault="0055291C">
      <w:pPr>
        <w:pStyle w:val="a3"/>
        <w:rPr>
          <w:sz w:val="20"/>
          <w:lang w:eastAsia="ja-JP"/>
        </w:rPr>
      </w:pPr>
    </w:p>
    <w:p w14:paraId="67C72DF7" w14:textId="77777777" w:rsidR="0055291C" w:rsidRDefault="0055291C">
      <w:pPr>
        <w:pStyle w:val="a3"/>
        <w:rPr>
          <w:sz w:val="20"/>
          <w:lang w:eastAsia="ja-JP"/>
        </w:rPr>
      </w:pPr>
    </w:p>
    <w:p w14:paraId="5F3B4FBE" w14:textId="77777777" w:rsidR="0055291C" w:rsidRDefault="0055291C">
      <w:pPr>
        <w:pStyle w:val="a3"/>
        <w:rPr>
          <w:sz w:val="20"/>
          <w:lang w:eastAsia="ja-JP"/>
        </w:rPr>
      </w:pPr>
    </w:p>
    <w:p w14:paraId="1B76A096" w14:textId="2278F944" w:rsidR="0055291C" w:rsidRDefault="001D4C01" w:rsidP="001D4C01">
      <w:pPr>
        <w:pStyle w:val="a3"/>
        <w:spacing w:before="2" w:line="312" w:lineRule="auto"/>
        <w:ind w:left="1143" w:right="552" w:firstLineChars="100" w:firstLine="190"/>
        <w:rPr>
          <w:lang w:eastAsia="ja-JP"/>
        </w:rPr>
      </w:pPr>
      <w:r w:rsidRPr="001D4C01">
        <w:rPr>
          <w:rFonts w:ascii="ＭＳ ゴシック" w:eastAsia="ＭＳ ゴシック" w:hAnsi="ＭＳ ゴシック" w:cs="ＭＳ ゴシック" w:hint="eastAsia"/>
          <w:color w:val="545456"/>
          <w:lang w:eastAsia="ja-JP"/>
        </w:rPr>
        <w:t>最終製品とは、他の財やサービスの生産に使用されるのではなく、最終的にエンドユーザーによって消費される財やサービスのことをいいます。最終製品の機能は既知であるため、企業は分析単位を機能単位と定めなければなりません。機能単位は、分析単位と同様に、研究対象の製品が提供する性能特性やサービスとして定義されます。定義された機能単位は、通常、製品が果たす機能（サービス）、持続時間または耐用年数（機能を果たすために必要な時間）、および期待される品質水準が含まれます。</w:t>
      </w:r>
    </w:p>
    <w:p w14:paraId="30FB5161" w14:textId="031F47EF" w:rsidR="0055291C" w:rsidRDefault="00F23C61">
      <w:pPr>
        <w:ind w:left="296"/>
        <w:rPr>
          <w:lang w:eastAsia="ja-JP"/>
        </w:rPr>
      </w:pPr>
      <w:r>
        <w:rPr>
          <w:lang w:eastAsia="ja-JP"/>
        </w:rPr>
        <w:br w:type="column"/>
      </w:r>
    </w:p>
    <w:p w14:paraId="6217525F" w14:textId="39AD862F" w:rsidR="001D4C01" w:rsidRDefault="001D4C01">
      <w:pPr>
        <w:ind w:left="296"/>
        <w:rPr>
          <w:lang w:eastAsia="ja-JP"/>
        </w:rPr>
      </w:pPr>
    </w:p>
    <w:p w14:paraId="6467B5D9" w14:textId="79B840B6" w:rsidR="001D4C01" w:rsidRDefault="001D4C01">
      <w:pPr>
        <w:ind w:left="296"/>
        <w:rPr>
          <w:lang w:eastAsia="ja-JP"/>
        </w:rPr>
      </w:pPr>
    </w:p>
    <w:p w14:paraId="2C978220" w14:textId="6A62210F" w:rsidR="001D4C01" w:rsidRDefault="001D4C01">
      <w:pPr>
        <w:ind w:left="296"/>
        <w:rPr>
          <w:sz w:val="20"/>
          <w:lang w:eastAsia="ja-JP"/>
        </w:rPr>
      </w:pPr>
    </w:p>
    <w:p w14:paraId="346DBEE2" w14:textId="60B08327" w:rsidR="0055291C" w:rsidRDefault="003E3FF4" w:rsidP="003E3FF4">
      <w:pPr>
        <w:pStyle w:val="a3"/>
        <w:spacing w:before="127" w:line="312" w:lineRule="auto"/>
        <w:ind w:left="301" w:right="1288" w:firstLineChars="100" w:firstLine="190"/>
        <w:rPr>
          <w:lang w:eastAsia="ja-JP"/>
        </w:rPr>
      </w:pPr>
      <w:r w:rsidRPr="003E3FF4">
        <w:rPr>
          <w:rFonts w:ascii="ＭＳ ゴシック" w:eastAsia="ＭＳ ゴシック" w:hAnsi="ＭＳ ゴシック" w:cs="ＭＳ ゴシック" w:hint="eastAsia"/>
          <w:color w:val="545456"/>
          <w:lang w:eastAsia="ja-JP"/>
        </w:rPr>
        <w:t>中間製品とは、他の財やサービスの生産のための投入物として使われる財のことです。例えば、最終的に自動車のプラスチック部品になるプラスチック樹脂は中間製品となります。</w:t>
      </w:r>
    </w:p>
    <w:p w14:paraId="7140AE9D" w14:textId="79750635" w:rsidR="0055291C" w:rsidRDefault="003E3FF4" w:rsidP="003E3FF4">
      <w:pPr>
        <w:pStyle w:val="a3"/>
        <w:spacing w:before="2" w:line="312" w:lineRule="auto"/>
        <w:ind w:left="301" w:right="1208" w:firstLineChars="100" w:firstLine="190"/>
        <w:rPr>
          <w:lang w:eastAsia="ja-JP"/>
        </w:rPr>
      </w:pPr>
      <w:r w:rsidRPr="003E3FF4">
        <w:rPr>
          <w:rFonts w:ascii="ＭＳ ゴシック" w:eastAsia="ＭＳ ゴシック" w:hAnsi="ＭＳ ゴシック" w:cs="ＭＳ ゴシック" w:hint="eastAsia"/>
          <w:color w:val="545456"/>
          <w:lang w:eastAsia="ja-JP"/>
        </w:rPr>
        <w:t>一般に、中間製品とは、最終製品のライフサイクルにおいて、最終的に材料となる財のことを指します。そのため、中間製品が果たすサービスは、最終製品の機能に依存することが多いです。その機能が中間製品の</w:t>
      </w:r>
      <w:r w:rsidRPr="003E3FF4">
        <w:rPr>
          <w:color w:val="545456"/>
          <w:lang w:eastAsia="ja-JP"/>
        </w:rPr>
        <w:t>GHG</w:t>
      </w:r>
      <w:r w:rsidRPr="003E3FF4">
        <w:rPr>
          <w:rFonts w:ascii="ＭＳ ゴシック" w:eastAsia="ＭＳ ゴシック" w:hAnsi="ＭＳ ゴシック" w:cs="ＭＳ ゴシック" w:hint="eastAsia"/>
          <w:color w:val="545456"/>
          <w:lang w:eastAsia="ja-JP"/>
        </w:rPr>
        <w:t>算出実施企業にとって未知である場合、分析単位を機能単位と定義することは必ずしも可能とは限りません。この場合、企業は中間製品の分析単位を、調査対象となる製品の基準流量または調査対象製品の量として定義しなければなりません。</w:t>
      </w:r>
    </w:p>
    <w:p w14:paraId="5977C2AB"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925" w:space="40"/>
            <w:col w:w="6275"/>
          </w:cols>
        </w:sectPr>
      </w:pPr>
    </w:p>
    <w:p w14:paraId="6274057E" w14:textId="77777777" w:rsidR="0055291C" w:rsidRDefault="0055291C">
      <w:pPr>
        <w:pStyle w:val="a3"/>
        <w:rPr>
          <w:sz w:val="20"/>
          <w:lang w:eastAsia="ja-JP"/>
        </w:rPr>
      </w:pPr>
    </w:p>
    <w:p w14:paraId="180397C8" w14:textId="77777777" w:rsidR="0055291C" w:rsidRDefault="0055291C">
      <w:pPr>
        <w:pStyle w:val="a3"/>
        <w:rPr>
          <w:sz w:val="20"/>
          <w:lang w:eastAsia="ja-JP"/>
        </w:rPr>
      </w:pPr>
    </w:p>
    <w:p w14:paraId="5CE28170" w14:textId="77777777" w:rsidR="0055291C" w:rsidRDefault="0055291C">
      <w:pPr>
        <w:pStyle w:val="a3"/>
        <w:rPr>
          <w:sz w:val="20"/>
          <w:lang w:eastAsia="ja-JP"/>
        </w:rPr>
      </w:pPr>
    </w:p>
    <w:p w14:paraId="788C7ED9" w14:textId="77777777" w:rsidR="0055291C" w:rsidRDefault="0055291C">
      <w:pPr>
        <w:pStyle w:val="a3"/>
        <w:rPr>
          <w:sz w:val="20"/>
          <w:lang w:eastAsia="ja-JP"/>
        </w:rPr>
      </w:pPr>
    </w:p>
    <w:p w14:paraId="40EB50E1" w14:textId="77777777" w:rsidR="0055291C" w:rsidRDefault="0055291C">
      <w:pPr>
        <w:pStyle w:val="a3"/>
        <w:rPr>
          <w:sz w:val="20"/>
          <w:lang w:eastAsia="ja-JP"/>
        </w:rPr>
      </w:pPr>
    </w:p>
    <w:p w14:paraId="1E8A9FEE" w14:textId="77777777" w:rsidR="0055291C" w:rsidRDefault="0055291C">
      <w:pPr>
        <w:pStyle w:val="a3"/>
        <w:rPr>
          <w:sz w:val="20"/>
          <w:lang w:eastAsia="ja-JP"/>
        </w:rPr>
      </w:pPr>
    </w:p>
    <w:p w14:paraId="47263F48" w14:textId="77777777" w:rsidR="0055291C" w:rsidRDefault="0055291C">
      <w:pPr>
        <w:pStyle w:val="a3"/>
        <w:spacing w:before="9"/>
        <w:rPr>
          <w:sz w:val="25"/>
          <w:lang w:eastAsia="ja-JP"/>
        </w:rPr>
      </w:pPr>
    </w:p>
    <w:p w14:paraId="2156947C" w14:textId="77777777" w:rsidR="0055291C" w:rsidRDefault="0055291C">
      <w:pPr>
        <w:rPr>
          <w:sz w:val="25"/>
          <w:lang w:eastAsia="ja-JP"/>
        </w:rPr>
        <w:sectPr w:rsidR="0055291C" w:rsidSect="007D5A23">
          <w:headerReference w:type="default" r:id="rId123"/>
          <w:footerReference w:type="even" r:id="rId124"/>
          <w:footerReference w:type="default" r:id="rId125"/>
          <w:pgSz w:w="12240" w:h="15840"/>
          <w:pgMar w:top="0" w:right="0" w:bottom="1040" w:left="0" w:header="0" w:footer="859" w:gutter="0"/>
          <w:pgNumType w:start="29"/>
          <w:cols w:num="2" w:space="720"/>
        </w:sectPr>
      </w:pPr>
    </w:p>
    <w:p w14:paraId="118B1F08" w14:textId="38B6F4CC" w:rsidR="0055291C" w:rsidRDefault="003E3FF4">
      <w:pPr>
        <w:pStyle w:val="3"/>
        <w:numPr>
          <w:ilvl w:val="1"/>
          <w:numId w:val="53"/>
        </w:numPr>
        <w:tabs>
          <w:tab w:val="left" w:pos="1853"/>
          <w:tab w:val="left" w:pos="1854"/>
        </w:tabs>
        <w:spacing w:before="98"/>
        <w:ind w:hanging="721"/>
      </w:pPr>
      <w:r>
        <w:rPr>
          <w:rFonts w:ascii="ＭＳ 明朝" w:eastAsia="ＭＳ 明朝" w:hAnsi="ＭＳ 明朝" w:cs="ＭＳ 明朝" w:hint="eastAsia"/>
          <w:color w:val="00ACA1"/>
          <w:lang w:eastAsia="ja-JP"/>
        </w:rPr>
        <w:t>ガイダンス</w:t>
      </w:r>
    </w:p>
    <w:p w14:paraId="21324269" w14:textId="229970D1" w:rsidR="0055291C" w:rsidRPr="003E3FF4" w:rsidRDefault="003E3FF4" w:rsidP="003E3FF4">
      <w:pPr>
        <w:pStyle w:val="7"/>
        <w:tabs>
          <w:tab w:val="left" w:pos="1853"/>
          <w:tab w:val="left" w:pos="1854"/>
        </w:tabs>
        <w:spacing w:before="42"/>
        <w:ind w:left="1135" w:firstLine="0"/>
        <w:rPr>
          <w:color w:val="00ACA1"/>
          <w:lang w:eastAsia="ja-JP"/>
        </w:rPr>
      </w:pPr>
      <w:r>
        <w:rPr>
          <w:rFonts w:ascii="ＭＳ 明朝" w:eastAsia="ＭＳ 明朝" w:hAnsi="ＭＳ 明朝" w:cs="ＭＳ 明朝" w:hint="eastAsia"/>
          <w:color w:val="00ACA1"/>
          <w:lang w:eastAsia="ja-JP"/>
        </w:rPr>
        <w:t xml:space="preserve">6.3.1　</w:t>
      </w:r>
      <w:r w:rsidRPr="003E3FF4">
        <w:rPr>
          <w:rFonts w:ascii="ＭＳ 明朝" w:eastAsia="ＭＳ 明朝" w:hAnsi="ＭＳ 明朝" w:cs="ＭＳ 明朝" w:hint="eastAsia"/>
          <w:color w:val="00ACA1"/>
          <w:lang w:eastAsia="ja-JP"/>
        </w:rPr>
        <w:t>調査対象製品の選択</w:t>
      </w:r>
    </w:p>
    <w:p w14:paraId="202A7B15" w14:textId="4F6E434D" w:rsidR="0055291C" w:rsidRDefault="00F8583F" w:rsidP="00B4216D">
      <w:pPr>
        <w:pStyle w:val="a3"/>
        <w:spacing w:before="62" w:line="312" w:lineRule="auto"/>
        <w:ind w:left="1133" w:right="242" w:firstLineChars="100" w:firstLine="190"/>
        <w:rPr>
          <w:lang w:eastAsia="ja-JP"/>
        </w:rPr>
      </w:pPr>
      <w:r w:rsidRPr="00F8583F">
        <w:rPr>
          <w:rFonts w:ascii="ＭＳ ゴシック" w:eastAsia="ＭＳ ゴシック" w:hAnsi="ＭＳ ゴシック" w:cs="ＭＳ ゴシック" w:hint="eastAsia"/>
          <w:color w:val="545456"/>
          <w:lang w:eastAsia="ja-JP"/>
        </w:rPr>
        <w:t>企業が生産、流通、購入、販売するすべての製品</w:t>
      </w:r>
      <w:r>
        <w:fldChar w:fldCharType="begin"/>
      </w:r>
      <w:r>
        <w:rPr>
          <w:lang w:eastAsia="ja-JP"/>
        </w:rPr>
        <w:instrText xml:space="preserve"> HYPERLINK \l "_Endnotes_2" </w:instrText>
      </w:r>
      <w:r>
        <w:fldChar w:fldCharType="separate"/>
      </w:r>
      <w:r w:rsidR="00217FB1">
        <w:rPr>
          <w:rStyle w:val="ac"/>
          <w:rFonts w:asciiTheme="minorEastAsia" w:eastAsiaTheme="minorEastAsia" w:hAnsiTheme="minorEastAsia" w:hint="eastAsia"/>
          <w:vertAlign w:val="superscript"/>
          <w:lang w:eastAsia="ja-JP"/>
        </w:rPr>
        <w:t>３</w:t>
      </w:r>
      <w:r>
        <w:rPr>
          <w:rStyle w:val="ac"/>
          <w:rFonts w:asciiTheme="minorEastAsia" w:eastAsiaTheme="minorEastAsia" w:hAnsiTheme="minorEastAsia"/>
          <w:vertAlign w:val="superscript"/>
          <w:lang w:eastAsia="ja-JP"/>
        </w:rPr>
        <w:fldChar w:fldCharType="end"/>
      </w:r>
      <w:r w:rsidRPr="00F8583F">
        <w:rPr>
          <w:rFonts w:ascii="ＭＳ ゴシック" w:eastAsia="ＭＳ ゴシック" w:hAnsi="ＭＳ ゴシック" w:cs="ＭＳ ゴシック" w:hint="eastAsia"/>
          <w:color w:val="545456"/>
          <w:lang w:eastAsia="ja-JP"/>
        </w:rPr>
        <w:t>のレビューまたはスクリーニングは、調査する個々の製品を特定する最初のステップです。企業は、</w:t>
      </w:r>
      <w:r w:rsidRPr="00F8583F">
        <w:rPr>
          <w:color w:val="545456"/>
          <w:lang w:eastAsia="ja-JP"/>
        </w:rPr>
        <w:t>GHG</w:t>
      </w:r>
      <w:r w:rsidRPr="00F8583F">
        <w:rPr>
          <w:rFonts w:ascii="ＭＳ ゴシック" w:eastAsia="ＭＳ ゴシック" w:hAnsi="ＭＳ ゴシック" w:cs="ＭＳ ゴシック" w:hint="eastAsia"/>
          <w:color w:val="545456"/>
          <w:lang w:eastAsia="ja-JP"/>
        </w:rPr>
        <w:t>排出量が多く、戦略的に重要で、自社の事業目標に合致する製品を選択しなければなりません。</w:t>
      </w:r>
    </w:p>
    <w:p w14:paraId="2DD33E3D" w14:textId="38466AF1" w:rsidR="0055291C" w:rsidRDefault="008234D7" w:rsidP="008234D7">
      <w:pPr>
        <w:pStyle w:val="a3"/>
        <w:spacing w:line="312" w:lineRule="auto"/>
        <w:ind w:left="1133" w:rightChars="72" w:right="158" w:firstLineChars="100" w:firstLine="190"/>
        <w:rPr>
          <w:rFonts w:ascii="ＭＳ ゴシック" w:eastAsia="ＭＳ ゴシック" w:hAnsi="ＭＳ ゴシック" w:cs="ＭＳ ゴシック"/>
          <w:color w:val="545456"/>
          <w:lang w:eastAsia="ja-JP"/>
        </w:rPr>
      </w:pPr>
      <w:r w:rsidRPr="008234D7">
        <w:rPr>
          <w:rFonts w:ascii="ＭＳ ゴシック" w:eastAsia="ＭＳ ゴシック" w:hAnsi="ＭＳ ゴシック" w:cs="ＭＳ ゴシック" w:hint="eastAsia"/>
          <w:color w:val="545456"/>
          <w:lang w:eastAsia="ja-JP"/>
        </w:rPr>
        <w:t>企業基準および</w:t>
      </w:r>
      <w:r w:rsidRPr="008234D7">
        <w:rPr>
          <w:color w:val="545456"/>
          <w:lang w:eastAsia="ja-JP"/>
        </w:rPr>
        <w:t>Scope3</w:t>
      </w:r>
      <w:r w:rsidRPr="008234D7">
        <w:rPr>
          <w:rFonts w:ascii="ＭＳ ゴシック" w:eastAsia="ＭＳ ゴシック" w:hAnsi="ＭＳ ゴシック" w:cs="ＭＳ ゴシック" w:hint="eastAsia"/>
          <w:color w:val="545456"/>
          <w:lang w:eastAsia="ja-JP"/>
        </w:rPr>
        <w:t>基準に従った企業の</w:t>
      </w:r>
      <w:r w:rsidRPr="008234D7">
        <w:rPr>
          <w:color w:val="545456"/>
          <w:lang w:eastAsia="ja-JP"/>
        </w:rPr>
        <w:t>GHG</w:t>
      </w:r>
      <w:r w:rsidRPr="008234D7">
        <w:rPr>
          <w:rFonts w:ascii="ＭＳ ゴシック" w:eastAsia="ＭＳ ゴシック" w:hAnsi="ＭＳ ゴシック" w:cs="ＭＳ ゴシック" w:hint="eastAsia"/>
          <w:color w:val="545456"/>
          <w:lang w:eastAsia="ja-JP"/>
        </w:rPr>
        <w:t>排出量算出の結果は、</w:t>
      </w:r>
      <w:r w:rsidRPr="008234D7">
        <w:rPr>
          <w:color w:val="545456"/>
          <w:lang w:eastAsia="ja-JP"/>
        </w:rPr>
        <w:t>GHG</w:t>
      </w:r>
      <w:r w:rsidRPr="008234D7">
        <w:rPr>
          <w:rFonts w:ascii="ＭＳ ゴシック" w:eastAsia="ＭＳ ゴシック" w:hAnsi="ＭＳ ゴシック" w:cs="ＭＳ ゴシック" w:hint="eastAsia"/>
          <w:color w:val="545456"/>
          <w:lang w:eastAsia="ja-JP"/>
        </w:rPr>
        <w:t>集約的な製品または製品カテゴリーを容易に特定するために使用することができます。この報告書がない場合、企業は環境拡張型産業連関表（</w:t>
      </w:r>
      <w:r w:rsidRPr="008234D7">
        <w:rPr>
          <w:color w:val="545456"/>
          <w:lang w:eastAsia="ja-JP"/>
        </w:rPr>
        <w:t>EEIO</w:t>
      </w:r>
      <w:r w:rsidRPr="008234D7">
        <w:rPr>
          <w:rFonts w:ascii="ＭＳ ゴシック" w:eastAsia="ＭＳ ゴシック" w:hAnsi="ＭＳ ゴシック" w:cs="ＭＳ ゴシック" w:hint="eastAsia"/>
          <w:color w:val="545456"/>
          <w:lang w:eastAsia="ja-JP"/>
        </w:rPr>
        <w:t>）を使用して、経済取引に基づく製品の</w:t>
      </w:r>
      <w:r w:rsidRPr="008234D7">
        <w:rPr>
          <w:color w:val="545456"/>
          <w:lang w:eastAsia="ja-JP"/>
        </w:rPr>
        <w:t>GHG</w:t>
      </w:r>
      <w:r w:rsidRPr="008234D7">
        <w:rPr>
          <w:rFonts w:ascii="ＭＳ ゴシック" w:eastAsia="ＭＳ ゴシック" w:hAnsi="ＭＳ ゴシック" w:cs="ＭＳ ゴシック" w:hint="eastAsia"/>
          <w:color w:val="545456"/>
          <w:lang w:eastAsia="ja-JP"/>
        </w:rPr>
        <w:t>強度を推定することができます（</w:t>
      </w:r>
      <w:r w:rsidRPr="008234D7">
        <w:rPr>
          <w:color w:val="545456"/>
          <w:lang w:eastAsia="ja-JP"/>
        </w:rPr>
        <w:t>EEIO</w:t>
      </w:r>
      <w:r w:rsidRPr="008234D7">
        <w:rPr>
          <w:rFonts w:ascii="ＭＳ ゴシック" w:eastAsia="ＭＳ ゴシック" w:hAnsi="ＭＳ ゴシック" w:cs="ＭＳ ゴシック" w:hint="eastAsia"/>
          <w:color w:val="545456"/>
          <w:lang w:eastAsia="ja-JP"/>
        </w:rPr>
        <w:t>表の詳細については、第</w:t>
      </w:r>
      <w:r w:rsidRPr="008234D7">
        <w:rPr>
          <w:color w:val="545456"/>
          <w:lang w:eastAsia="ja-JP"/>
        </w:rPr>
        <w:t>8</w:t>
      </w:r>
      <w:r w:rsidRPr="008234D7">
        <w:rPr>
          <w:rFonts w:ascii="ＭＳ ゴシック" w:eastAsia="ＭＳ ゴシック" w:hAnsi="ＭＳ ゴシック" w:cs="ＭＳ ゴシック" w:hint="eastAsia"/>
          <w:color w:val="545456"/>
          <w:lang w:eastAsia="ja-JP"/>
        </w:rPr>
        <w:t>章を参照してください）。どちらも利用できない場合、企業は物理的または経済的要因を用いて、質量、体積、または使用量により製品をランク付けすることができますが、物理的または経済的要因だけでは</w:t>
      </w:r>
      <w:r w:rsidRPr="008234D7">
        <w:rPr>
          <w:color w:val="545456"/>
          <w:lang w:eastAsia="ja-JP"/>
        </w:rPr>
        <w:t>GHG</w:t>
      </w:r>
      <w:r w:rsidRPr="008234D7">
        <w:rPr>
          <w:rFonts w:ascii="ＭＳ ゴシック" w:eastAsia="ＭＳ ゴシック" w:hAnsi="ＭＳ ゴシック" w:cs="ＭＳ ゴシック" w:hint="eastAsia"/>
          <w:color w:val="545456"/>
          <w:lang w:eastAsia="ja-JP"/>
        </w:rPr>
        <w:t>強度と相関しない場合があるため、この方法は推奨されません。</w:t>
      </w:r>
    </w:p>
    <w:p w14:paraId="6737877B" w14:textId="1DE3E16E" w:rsidR="0055291C" w:rsidRDefault="00B4216D" w:rsidP="007D648A">
      <w:pPr>
        <w:pStyle w:val="a3"/>
        <w:spacing w:line="312" w:lineRule="auto"/>
        <w:ind w:left="993" w:rightChars="86" w:right="189" w:firstLineChars="100" w:firstLine="190"/>
        <w:rPr>
          <w:rFonts w:ascii="ＭＳ ゴシック" w:eastAsia="ＭＳ ゴシック" w:hAnsi="ＭＳ ゴシック" w:cs="ＭＳ ゴシック"/>
          <w:lang w:eastAsia="ja-JP"/>
        </w:rPr>
      </w:pPr>
      <w:r w:rsidRPr="00B4216D">
        <w:rPr>
          <w:rFonts w:ascii="ＭＳ ゴシック" w:eastAsia="ＭＳ ゴシック" w:hAnsi="ＭＳ ゴシック" w:cs="ＭＳ ゴシック" w:hint="eastAsia"/>
          <w:lang w:eastAsia="ja-JP"/>
        </w:rPr>
        <w:t>企業は、ある製品群をさらに詳細に評価することもできます。この評価には、製品のライフサイクルのどの部分で削減が可能か探ったり、サプライヤーや顧客に対する企業の潜在的な影響力を評価したり、サプライヤーとの関係や関与の可能性を調査したり、市場での差別化の可能性に基づいて製品をランク付けしたりすることができます。企業は、製品設計や研究開発チームと相談し、設計、材料、製造の進歩などのイノベーションによって削減の可能性がある製品を選択することができます。あるいは、まだ試作品やコンセプト段階の新製品や新興製品で、製品設計や開発の実施段階で</w:t>
      </w:r>
      <w:r w:rsidRPr="00B4216D">
        <w:rPr>
          <w:lang w:eastAsia="ja-JP"/>
        </w:rPr>
        <w:t>GHG</w:t>
      </w:r>
      <w:r w:rsidRPr="00B4216D">
        <w:rPr>
          <w:rFonts w:ascii="ＭＳ ゴシック" w:eastAsia="ＭＳ ゴシック" w:hAnsi="ＭＳ ゴシック" w:cs="ＭＳ ゴシック" w:hint="eastAsia"/>
          <w:lang w:eastAsia="ja-JP"/>
        </w:rPr>
        <w:t>削減が達成できるものを選ぶこともできます。</w:t>
      </w:r>
    </w:p>
    <w:p w14:paraId="4A4BF56E" w14:textId="3D92F9F5" w:rsidR="00505870" w:rsidRPr="007D648A" w:rsidRDefault="00505870" w:rsidP="007D648A">
      <w:pPr>
        <w:pStyle w:val="a3"/>
        <w:spacing w:line="312" w:lineRule="auto"/>
        <w:ind w:left="993" w:rightChars="86" w:right="189" w:firstLineChars="100" w:firstLine="190"/>
        <w:rPr>
          <w:rFonts w:eastAsiaTheme="minorEastAsia"/>
          <w:lang w:eastAsia="ja-JP"/>
        </w:rPr>
      </w:pPr>
      <w:r w:rsidRPr="00505870">
        <w:rPr>
          <w:rFonts w:eastAsiaTheme="minorEastAsia" w:hint="eastAsia"/>
          <w:lang w:eastAsia="ja-JP"/>
        </w:rPr>
        <w:t>スクリーニングやさらなる評価を行っても、どの製品を選択すべきか不明な場合、企業は、予想される戦略的影響とライフサイクルにおける</w:t>
      </w:r>
      <w:r w:rsidRPr="00505870">
        <w:rPr>
          <w:rFonts w:eastAsiaTheme="minorEastAsia"/>
          <w:lang w:eastAsia="ja-JP"/>
        </w:rPr>
        <w:t>GHG</w:t>
      </w:r>
      <w:r w:rsidRPr="00505870">
        <w:rPr>
          <w:rFonts w:eastAsiaTheme="minorEastAsia" w:hint="eastAsia"/>
          <w:lang w:eastAsia="ja-JP"/>
        </w:rPr>
        <w:t>削減の可能性が最も大きい製品を選択すべきです。</w:t>
      </w:r>
    </w:p>
    <w:p w14:paraId="5F466CC3" w14:textId="2219DC26" w:rsidR="0055291C" w:rsidRPr="00B4216D" w:rsidRDefault="00F23C61" w:rsidP="00B4216D">
      <w:pPr>
        <w:rPr>
          <w:sz w:val="20"/>
          <w:lang w:eastAsia="ja-JP"/>
        </w:rPr>
      </w:pPr>
      <w:r>
        <w:rPr>
          <w:lang w:eastAsia="ja-JP"/>
        </w:rPr>
        <w:br w:type="column"/>
      </w:r>
    </w:p>
    <w:p w14:paraId="17A98051" w14:textId="51CE91A7" w:rsidR="0055291C" w:rsidRDefault="00000000" w:rsidP="007D5A23">
      <w:pPr>
        <w:pStyle w:val="7"/>
        <w:tabs>
          <w:tab w:val="left" w:pos="970"/>
          <w:tab w:val="left" w:pos="972"/>
        </w:tabs>
        <w:ind w:left="720" w:firstLine="0"/>
        <w:rPr>
          <w:lang w:eastAsia="ja-JP"/>
        </w:rPr>
      </w:pPr>
      <w:r>
        <w:pict w14:anchorId="1DDE9E3D">
          <v:shape id="docshape475" o:spid="_x0000_s3321" style="position:absolute;left:0;text-align:left;margin-left:580.75pt;margin-top:-159.8pt;width:31.3pt;height:285.85pt;z-index:251569664;mso-position-horizontal-relative:page" coordorigin="11615,-3196" coordsize="626,5717" path="m12240,-3196r-625,l11615,2293r3,131l11643,2491r67,25l11842,2520r398,l12240,-3196xe" fillcolor="#00aca1" stroked="f">
            <v:path arrowok="t"/>
            <w10:wrap anchorx="page"/>
          </v:shape>
        </w:pict>
      </w:r>
      <w:r>
        <w:pict w14:anchorId="00694A87">
          <v:shape id="docshape476" o:spid="_x0000_s3320" type="#_x0000_t202" style="position:absolute;left:0;text-align:left;margin-left:585.65pt;margin-top:-24.75pt;width:17.7pt;height:119.1pt;z-index:251570688;mso-position-horizontal-relative:page" filled="f" stroked="f">
            <v:textbox style="layout-flow:vertical;mso-layout-flow-alt:bottom-to-top;mso-next-textbox:#docshape476" inset="0,0,0,0">
              <w:txbxContent>
                <w:p w14:paraId="27C48936"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v:shape>
        </w:pict>
      </w:r>
      <w:r w:rsidR="00B4216D">
        <w:rPr>
          <w:rFonts w:ascii="ＭＳ 明朝" w:eastAsia="ＭＳ 明朝" w:hAnsi="ＭＳ 明朝" w:cs="ＭＳ 明朝" w:hint="eastAsia"/>
          <w:color w:val="00B8B1"/>
          <w:lang w:eastAsia="ja-JP"/>
        </w:rPr>
        <w:t xml:space="preserve">6.3.2　</w:t>
      </w:r>
      <w:r w:rsidR="00B4216D" w:rsidRPr="00B4216D">
        <w:rPr>
          <w:rFonts w:ascii="ＭＳ 明朝" w:eastAsia="ＭＳ 明朝" w:hAnsi="ＭＳ 明朝" w:cs="ＭＳ 明朝" w:hint="eastAsia"/>
          <w:color w:val="00B8B1"/>
          <w:lang w:eastAsia="ja-JP"/>
        </w:rPr>
        <w:t>分析単位の定義</w:t>
      </w:r>
    </w:p>
    <w:p w14:paraId="5D6E8C7B" w14:textId="74FF2717" w:rsidR="0055291C" w:rsidRDefault="007D5A23" w:rsidP="007D5A23">
      <w:pPr>
        <w:pStyle w:val="a3"/>
        <w:spacing w:before="1"/>
        <w:ind w:left="251" w:rightChars="511" w:right="1124" w:firstLineChars="100" w:firstLine="188"/>
        <w:rPr>
          <w:lang w:eastAsia="ja-JP"/>
        </w:rPr>
      </w:pPr>
      <w:r w:rsidRPr="007D5A23">
        <w:rPr>
          <w:rFonts w:ascii="ＭＳ ゴシック" w:eastAsia="ＭＳ ゴシック" w:hAnsi="ＭＳ ゴシック" w:cs="ＭＳ ゴシック" w:hint="eastAsia"/>
          <w:color w:val="545456"/>
          <w:spacing w:val="-2"/>
          <w:lang w:eastAsia="ja-JP"/>
        </w:rPr>
        <w:t>分析単位の定義は、その後の手順や結果に直接影響するため、</w:t>
      </w:r>
      <w:r w:rsidRPr="007D5A23">
        <w:rPr>
          <w:color w:val="545456"/>
          <w:spacing w:val="-2"/>
          <w:lang w:eastAsia="ja-JP"/>
        </w:rPr>
        <w:t>GHG</w:t>
      </w:r>
      <w:r w:rsidRPr="007D5A23">
        <w:rPr>
          <w:rFonts w:ascii="ＭＳ ゴシック" w:eastAsia="ＭＳ ゴシック" w:hAnsi="ＭＳ ゴシック" w:cs="ＭＳ ゴシック" w:hint="eastAsia"/>
          <w:color w:val="545456"/>
          <w:spacing w:val="-2"/>
          <w:lang w:eastAsia="ja-JP"/>
        </w:rPr>
        <w:t>インベントリを完成させる上で重要なステップです。</w:t>
      </w:r>
      <w:r w:rsidR="00505870">
        <w:rPr>
          <w:rFonts w:ascii="ＭＳ ゴシック" w:eastAsia="ＭＳ ゴシック" w:hAnsi="ＭＳ ゴシック" w:cs="ＭＳ ゴシック" w:hint="eastAsia"/>
          <w:color w:val="545456"/>
          <w:spacing w:val="-2"/>
          <w:lang w:eastAsia="ja-JP"/>
        </w:rPr>
        <w:t>例を挙げると</w:t>
      </w:r>
      <w:r w:rsidRPr="007D5A23">
        <w:rPr>
          <w:rFonts w:ascii="ＭＳ ゴシック" w:eastAsia="ＭＳ ゴシック" w:hAnsi="ＭＳ ゴシック" w:cs="ＭＳ ゴシック" w:hint="eastAsia"/>
          <w:color w:val="545456"/>
          <w:spacing w:val="-2"/>
          <w:lang w:eastAsia="ja-JP"/>
        </w:rPr>
        <w:t>、</w:t>
      </w:r>
    </w:p>
    <w:p w14:paraId="75103740" w14:textId="77777777" w:rsidR="0055291C" w:rsidRDefault="0055291C">
      <w:pPr>
        <w:pStyle w:val="a3"/>
        <w:rPr>
          <w:sz w:val="17"/>
          <w:lang w:eastAsia="ja-JP"/>
        </w:rPr>
      </w:pPr>
    </w:p>
    <w:p w14:paraId="4A01C877" w14:textId="2A9CBE91" w:rsidR="007D5A23" w:rsidRPr="007D5A23" w:rsidRDefault="007D5A23">
      <w:pPr>
        <w:pStyle w:val="a5"/>
        <w:numPr>
          <w:ilvl w:val="0"/>
          <w:numId w:val="57"/>
        </w:numPr>
        <w:tabs>
          <w:tab w:val="left" w:pos="512"/>
        </w:tabs>
        <w:spacing w:line="309" w:lineRule="auto"/>
        <w:ind w:right="1208"/>
        <w:jc w:val="both"/>
        <w:rPr>
          <w:color w:val="545456"/>
          <w:sz w:val="19"/>
          <w:lang w:eastAsia="ja-JP"/>
        </w:rPr>
      </w:pPr>
      <w:r w:rsidRPr="007D5A23">
        <w:rPr>
          <w:rFonts w:ascii="ＭＳ ゴシック" w:eastAsia="ＭＳ ゴシック" w:hAnsi="ＭＳ ゴシック" w:cs="ＭＳ ゴシック" w:hint="eastAsia"/>
          <w:color w:val="545456"/>
          <w:sz w:val="19"/>
          <w:lang w:eastAsia="ja-JP"/>
        </w:rPr>
        <w:t>期間／耐用年数は、境界設定時に製品の使用プロファイルの基礎となります（第</w:t>
      </w:r>
      <w:r w:rsidRPr="007D5A23">
        <w:rPr>
          <w:color w:val="545456"/>
          <w:sz w:val="19"/>
          <w:lang w:eastAsia="ja-JP"/>
        </w:rPr>
        <w:t>7</w:t>
      </w:r>
      <w:r w:rsidRPr="007D5A23">
        <w:rPr>
          <w:rFonts w:ascii="ＭＳ ゴシック" w:eastAsia="ＭＳ ゴシック" w:hAnsi="ＭＳ ゴシック" w:cs="ＭＳ ゴシック" w:hint="eastAsia"/>
          <w:color w:val="545456"/>
          <w:sz w:val="19"/>
          <w:lang w:eastAsia="ja-JP"/>
        </w:rPr>
        <w:t>章）。</w:t>
      </w:r>
    </w:p>
    <w:p w14:paraId="417451D3" w14:textId="039B9E32" w:rsidR="007D5A23" w:rsidRPr="007D5A23" w:rsidRDefault="007D5A23">
      <w:pPr>
        <w:pStyle w:val="a5"/>
        <w:numPr>
          <w:ilvl w:val="0"/>
          <w:numId w:val="57"/>
        </w:numPr>
        <w:tabs>
          <w:tab w:val="left" w:pos="512"/>
        </w:tabs>
        <w:spacing w:line="309" w:lineRule="auto"/>
        <w:ind w:right="1208"/>
        <w:jc w:val="both"/>
        <w:rPr>
          <w:color w:val="545456"/>
          <w:sz w:val="19"/>
          <w:lang w:eastAsia="ja-JP"/>
        </w:rPr>
      </w:pPr>
      <w:r w:rsidRPr="007D5A23">
        <w:rPr>
          <w:rFonts w:ascii="ＭＳ ゴシック" w:eastAsia="ＭＳ ゴシック" w:hAnsi="ＭＳ ゴシック" w:cs="ＭＳ ゴシック" w:hint="eastAsia"/>
          <w:color w:val="545456"/>
          <w:sz w:val="19"/>
          <w:lang w:eastAsia="ja-JP"/>
        </w:rPr>
        <w:t>基準フローは、材料またはエネルギーの入出力の大きさを定義するため、すべてのデータ収集の基礎となります（</w:t>
      </w:r>
      <w:r w:rsidRPr="007D5A23">
        <w:rPr>
          <w:color w:val="545456"/>
          <w:sz w:val="19"/>
          <w:lang w:eastAsia="ja-JP"/>
        </w:rPr>
        <w:t>8</w:t>
      </w:r>
      <w:r w:rsidRPr="007D5A23">
        <w:rPr>
          <w:rFonts w:ascii="ＭＳ ゴシック" w:eastAsia="ＭＳ ゴシック" w:hAnsi="ＭＳ ゴシック" w:cs="ＭＳ ゴシック" w:hint="eastAsia"/>
          <w:color w:val="545456"/>
          <w:sz w:val="19"/>
          <w:lang w:eastAsia="ja-JP"/>
        </w:rPr>
        <w:t>章）。</w:t>
      </w:r>
    </w:p>
    <w:p w14:paraId="2673E844" w14:textId="0B87E0E6" w:rsidR="007D5A23" w:rsidRPr="007D5A23" w:rsidRDefault="007D5A23">
      <w:pPr>
        <w:pStyle w:val="a5"/>
        <w:numPr>
          <w:ilvl w:val="0"/>
          <w:numId w:val="57"/>
        </w:numPr>
        <w:tabs>
          <w:tab w:val="left" w:pos="512"/>
        </w:tabs>
        <w:spacing w:line="309" w:lineRule="auto"/>
        <w:ind w:right="1208"/>
        <w:jc w:val="both"/>
        <w:rPr>
          <w:color w:val="545456"/>
          <w:sz w:val="19"/>
          <w:lang w:eastAsia="ja-JP"/>
        </w:rPr>
      </w:pPr>
      <w:r w:rsidRPr="007D5A23">
        <w:rPr>
          <w:rFonts w:ascii="ＭＳ ゴシック" w:eastAsia="ＭＳ ゴシック" w:hAnsi="ＭＳ ゴシック" w:cs="ＭＳ ゴシック" w:hint="eastAsia"/>
          <w:color w:val="545456"/>
          <w:sz w:val="19"/>
          <w:lang w:eastAsia="ja-JP"/>
        </w:rPr>
        <w:t>明確に定義された分析単位は、調査対象製品と副産物を一緒に含めることで割り当てを避けることができます（第</w:t>
      </w:r>
      <w:r w:rsidRPr="007D5A23">
        <w:rPr>
          <w:color w:val="545456"/>
          <w:sz w:val="19"/>
          <w:lang w:eastAsia="ja-JP"/>
        </w:rPr>
        <w:t>9</w:t>
      </w:r>
      <w:r w:rsidRPr="007D5A23">
        <w:rPr>
          <w:rFonts w:ascii="ＭＳ ゴシック" w:eastAsia="ＭＳ ゴシック" w:hAnsi="ＭＳ ゴシック" w:cs="ＭＳ ゴシック" w:hint="eastAsia"/>
          <w:color w:val="545456"/>
          <w:sz w:val="19"/>
          <w:lang w:eastAsia="ja-JP"/>
        </w:rPr>
        <w:t>章）。</w:t>
      </w:r>
    </w:p>
    <w:p w14:paraId="0E065C59" w14:textId="187D507F" w:rsidR="0055291C" w:rsidRPr="007D5A23" w:rsidRDefault="007D5A23">
      <w:pPr>
        <w:pStyle w:val="a5"/>
        <w:numPr>
          <w:ilvl w:val="0"/>
          <w:numId w:val="57"/>
        </w:numPr>
        <w:tabs>
          <w:tab w:val="left" w:pos="512"/>
        </w:tabs>
        <w:spacing w:line="309" w:lineRule="auto"/>
        <w:ind w:right="1208"/>
        <w:jc w:val="both"/>
        <w:rPr>
          <w:sz w:val="19"/>
          <w:lang w:eastAsia="ja-JP"/>
        </w:rPr>
      </w:pPr>
      <w:r w:rsidRPr="007D5A23">
        <w:rPr>
          <w:rFonts w:ascii="ＭＳ ゴシック" w:eastAsia="ＭＳ ゴシック" w:hAnsi="ＭＳ ゴシック" w:cs="ＭＳ ゴシック" w:hint="eastAsia"/>
          <w:color w:val="545456"/>
          <w:sz w:val="19"/>
          <w:lang w:eastAsia="ja-JP"/>
        </w:rPr>
        <w:t>分析単位は、算出結果が報告される基</w:t>
      </w:r>
      <w:r w:rsidRPr="007D5A23">
        <w:rPr>
          <w:color w:val="545456"/>
          <w:sz w:val="19"/>
          <w:lang w:eastAsia="ja-JP"/>
        </w:rPr>
        <w:t xml:space="preserve"> </w:t>
      </w:r>
      <w:r w:rsidRPr="007D5A23">
        <w:rPr>
          <w:rFonts w:ascii="ＭＳ ゴシック" w:eastAsia="ＭＳ ゴシック" w:hAnsi="ＭＳ ゴシック" w:cs="ＭＳ ゴシック" w:hint="eastAsia"/>
          <w:color w:val="545456"/>
          <w:sz w:val="19"/>
          <w:lang w:eastAsia="ja-JP"/>
        </w:rPr>
        <w:t>礎となるため、透明性のある分析単位は、算出結果が正しく解釈され使用されるために重要です</w:t>
      </w:r>
      <w:r w:rsidRPr="007D5A23">
        <w:rPr>
          <w:color w:val="545456"/>
          <w:sz w:val="19"/>
          <w:lang w:eastAsia="ja-JP"/>
        </w:rPr>
        <w:t xml:space="preserve"> </w:t>
      </w:r>
      <w:r w:rsidRPr="007D5A23">
        <w:rPr>
          <w:rFonts w:ascii="ＭＳ ゴシック" w:eastAsia="ＭＳ ゴシック" w:hAnsi="ＭＳ ゴシック" w:cs="ＭＳ ゴシック" w:hint="eastAsia"/>
          <w:color w:val="545456"/>
          <w:sz w:val="19"/>
          <w:lang w:eastAsia="ja-JP"/>
        </w:rPr>
        <w:t>（</w:t>
      </w:r>
      <w:r w:rsidRPr="007D5A23">
        <w:rPr>
          <w:color w:val="545456"/>
          <w:sz w:val="19"/>
          <w:lang w:eastAsia="ja-JP"/>
        </w:rPr>
        <w:t>11</w:t>
      </w:r>
      <w:r w:rsidRPr="007D5A23">
        <w:rPr>
          <w:rFonts w:ascii="ＭＳ ゴシック" w:eastAsia="ＭＳ ゴシック" w:hAnsi="ＭＳ ゴシック" w:cs="ＭＳ ゴシック" w:hint="eastAsia"/>
          <w:color w:val="545456"/>
          <w:sz w:val="19"/>
          <w:lang w:eastAsia="ja-JP"/>
        </w:rPr>
        <w:t>章および</w:t>
      </w:r>
      <w:r w:rsidRPr="007D5A23">
        <w:rPr>
          <w:color w:val="545456"/>
          <w:sz w:val="19"/>
          <w:lang w:eastAsia="ja-JP"/>
        </w:rPr>
        <w:t>13</w:t>
      </w:r>
      <w:r w:rsidRPr="007D5A23">
        <w:rPr>
          <w:rFonts w:ascii="ＭＳ ゴシック" w:eastAsia="ＭＳ ゴシック" w:hAnsi="ＭＳ ゴシック" w:cs="ＭＳ ゴシック" w:hint="eastAsia"/>
          <w:color w:val="545456"/>
          <w:sz w:val="19"/>
          <w:lang w:eastAsia="ja-JP"/>
        </w:rPr>
        <w:t>章）。</w:t>
      </w:r>
    </w:p>
    <w:p w14:paraId="1A85D08F" w14:textId="77777777" w:rsidR="007D5A23" w:rsidRPr="007D5A23" w:rsidRDefault="007D5A23" w:rsidP="007D5A23">
      <w:pPr>
        <w:pStyle w:val="a5"/>
        <w:tabs>
          <w:tab w:val="left" w:pos="512"/>
        </w:tabs>
        <w:spacing w:line="309" w:lineRule="auto"/>
        <w:ind w:left="530" w:right="1208" w:firstLine="0"/>
        <w:jc w:val="both"/>
        <w:rPr>
          <w:sz w:val="19"/>
          <w:lang w:eastAsia="ja-JP"/>
        </w:rPr>
      </w:pPr>
    </w:p>
    <w:p w14:paraId="056A105B" w14:textId="77777777" w:rsidR="007D648A" w:rsidRDefault="007D648A" w:rsidP="00505870">
      <w:pPr>
        <w:tabs>
          <w:tab w:val="left" w:pos="512"/>
        </w:tabs>
        <w:spacing w:line="309" w:lineRule="auto"/>
        <w:ind w:leftChars="64" w:left="141" w:right="1208" w:firstLineChars="100" w:firstLine="190"/>
        <w:jc w:val="both"/>
        <w:rPr>
          <w:rFonts w:ascii="ＭＳ ゴシック" w:eastAsia="ＭＳ ゴシック" w:hAnsi="ＭＳ ゴシック" w:cs="ＭＳ ゴシック"/>
          <w:sz w:val="19"/>
          <w:lang w:eastAsia="ja-JP"/>
        </w:rPr>
      </w:pPr>
      <w:r w:rsidRPr="007D5A23">
        <w:rPr>
          <w:rFonts w:ascii="ＭＳ ゴシック" w:eastAsia="ＭＳ ゴシック" w:hAnsi="ＭＳ ゴシック" w:cs="ＭＳ ゴシック" w:hint="eastAsia"/>
          <w:sz w:val="19"/>
          <w:lang w:eastAsia="ja-JP"/>
        </w:rPr>
        <w:t>続くセクションでは、製品の機能、機能単位、参照フローの定義、および中間製品・サービスの分析単位の定義に関するガイダンスについて説明しま</w:t>
      </w:r>
      <w:r w:rsidR="00E23F53">
        <w:rPr>
          <w:rFonts w:ascii="ＭＳ ゴシック" w:eastAsia="ＭＳ ゴシック" w:hAnsi="ＭＳ ゴシック" w:cs="ＭＳ ゴシック" w:hint="eastAsia"/>
          <w:sz w:val="19"/>
          <w:lang w:eastAsia="ja-JP"/>
        </w:rPr>
        <w:t>す。</w:t>
      </w:r>
    </w:p>
    <w:p w14:paraId="21740EBD" w14:textId="77777777" w:rsidR="00E23F53" w:rsidRDefault="00E23F53" w:rsidP="00960B61">
      <w:pPr>
        <w:tabs>
          <w:tab w:val="left" w:pos="512"/>
        </w:tabs>
        <w:spacing w:line="309" w:lineRule="auto"/>
        <w:ind w:leftChars="64" w:left="141" w:right="1208"/>
        <w:jc w:val="both"/>
        <w:rPr>
          <w:rFonts w:ascii="ＭＳ ゴシック" w:eastAsia="ＭＳ ゴシック" w:hAnsi="ＭＳ ゴシック" w:cs="ＭＳ ゴシック"/>
          <w:sz w:val="19"/>
          <w:lang w:eastAsia="ja-JP"/>
        </w:rPr>
      </w:pPr>
    </w:p>
    <w:p w14:paraId="5D6092DF" w14:textId="77777777" w:rsidR="00E23F53" w:rsidRDefault="00E23F53" w:rsidP="00960B61">
      <w:pPr>
        <w:tabs>
          <w:tab w:val="left" w:pos="512"/>
        </w:tabs>
        <w:spacing w:line="309" w:lineRule="auto"/>
        <w:ind w:leftChars="64" w:left="141" w:right="1208"/>
        <w:jc w:val="both"/>
        <w:rPr>
          <w:rFonts w:ascii="ＭＳ ゴシック" w:eastAsia="ＭＳ ゴシック" w:hAnsi="ＭＳ ゴシック" w:cs="ＭＳ ゴシック"/>
          <w:sz w:val="19"/>
          <w:lang w:eastAsia="ja-JP"/>
        </w:rPr>
      </w:pPr>
    </w:p>
    <w:p w14:paraId="5C69419B" w14:textId="77777777" w:rsidR="00960B61" w:rsidRPr="00960B61" w:rsidRDefault="00960B61" w:rsidP="00960B61">
      <w:pPr>
        <w:tabs>
          <w:tab w:val="left" w:pos="512"/>
        </w:tabs>
        <w:spacing w:line="309" w:lineRule="auto"/>
        <w:ind w:leftChars="64" w:left="141" w:right="1208"/>
        <w:jc w:val="both"/>
        <w:rPr>
          <w:rFonts w:eastAsiaTheme="minorEastAsia"/>
          <w:b/>
          <w:bCs/>
          <w:i/>
          <w:iCs/>
          <w:color w:val="7F3F98"/>
          <w:sz w:val="19"/>
          <w:lang w:eastAsia="ja-JP"/>
        </w:rPr>
      </w:pPr>
      <w:r w:rsidRPr="00960B61">
        <w:rPr>
          <w:rFonts w:eastAsiaTheme="minorEastAsia" w:hint="eastAsia"/>
          <w:b/>
          <w:bCs/>
          <w:i/>
          <w:iCs/>
          <w:color w:val="7F3F98"/>
          <w:sz w:val="19"/>
          <w:lang w:eastAsia="ja-JP"/>
        </w:rPr>
        <w:t>機能を特定する</w:t>
      </w:r>
    </w:p>
    <w:p w14:paraId="14F1EE8A" w14:textId="05C75A4A" w:rsidR="00960B61" w:rsidRPr="00960B61" w:rsidRDefault="00960B61" w:rsidP="00960B61">
      <w:pPr>
        <w:tabs>
          <w:tab w:val="left" w:pos="512"/>
        </w:tabs>
        <w:spacing w:line="309" w:lineRule="auto"/>
        <w:ind w:leftChars="64" w:left="141" w:right="1208" w:firstLineChars="100" w:firstLine="190"/>
        <w:jc w:val="both"/>
        <w:rPr>
          <w:rFonts w:eastAsiaTheme="minorEastAsia"/>
          <w:sz w:val="19"/>
          <w:lang w:eastAsia="ja-JP"/>
        </w:rPr>
      </w:pPr>
      <w:r w:rsidRPr="00960B61">
        <w:rPr>
          <w:rFonts w:eastAsiaTheme="minorEastAsia" w:hint="eastAsia"/>
          <w:sz w:val="19"/>
          <w:lang w:eastAsia="ja-JP"/>
        </w:rPr>
        <w:t>機能とは、製品が提供するサービスのことを指します。機能がわかっている場合（最終製品や一部の中間製品の場合）、分析単位は機能単位となります。</w:t>
      </w:r>
    </w:p>
    <w:p w14:paraId="2058E612" w14:textId="51DC07F6" w:rsidR="00960B61" w:rsidRDefault="00960B61" w:rsidP="00960B61">
      <w:pPr>
        <w:tabs>
          <w:tab w:val="left" w:pos="512"/>
        </w:tabs>
        <w:spacing w:line="309" w:lineRule="auto"/>
        <w:ind w:leftChars="64" w:left="141" w:right="1208"/>
        <w:jc w:val="both"/>
        <w:rPr>
          <w:rFonts w:eastAsiaTheme="minorEastAsia"/>
          <w:sz w:val="19"/>
          <w:lang w:eastAsia="ja-JP"/>
        </w:rPr>
      </w:pPr>
      <w:r w:rsidRPr="00960B61">
        <w:rPr>
          <w:rFonts w:eastAsiaTheme="minorEastAsia" w:hint="eastAsia"/>
          <w:sz w:val="19"/>
          <w:lang w:eastAsia="ja-JP"/>
        </w:rPr>
        <w:t>製品の機能を特定するために、企業</w:t>
      </w:r>
      <w:r w:rsidR="00505870">
        <w:rPr>
          <w:rFonts w:eastAsiaTheme="minorEastAsia" w:hint="eastAsia"/>
          <w:sz w:val="19"/>
          <w:lang w:eastAsia="ja-JP"/>
        </w:rPr>
        <w:t>自身</w:t>
      </w:r>
      <w:r w:rsidRPr="00960B61">
        <w:rPr>
          <w:rFonts w:eastAsiaTheme="minorEastAsia" w:hint="eastAsia"/>
          <w:sz w:val="19"/>
          <w:lang w:eastAsia="ja-JP"/>
        </w:rPr>
        <w:t>が</w:t>
      </w:r>
      <w:r w:rsidR="00505870">
        <w:rPr>
          <w:rFonts w:eastAsiaTheme="minorEastAsia" w:hint="eastAsia"/>
          <w:sz w:val="19"/>
          <w:lang w:eastAsia="ja-JP"/>
        </w:rPr>
        <w:t>考えること</w:t>
      </w:r>
      <w:r w:rsidRPr="00960B61">
        <w:rPr>
          <w:rFonts w:eastAsiaTheme="minorEastAsia" w:hint="eastAsia"/>
          <w:sz w:val="19"/>
          <w:lang w:eastAsia="ja-JP"/>
        </w:rPr>
        <w:t>には次のようなものがあります。</w:t>
      </w:r>
    </w:p>
    <w:p w14:paraId="3320EF87" w14:textId="77777777" w:rsidR="00505870" w:rsidRPr="00960B61" w:rsidRDefault="00505870" w:rsidP="00505870">
      <w:pPr>
        <w:tabs>
          <w:tab w:val="left" w:pos="512"/>
        </w:tabs>
        <w:spacing w:line="309" w:lineRule="auto"/>
        <w:ind w:right="1208"/>
        <w:jc w:val="both"/>
        <w:rPr>
          <w:rFonts w:eastAsiaTheme="minorEastAsia"/>
          <w:sz w:val="19"/>
          <w:lang w:eastAsia="ja-JP"/>
        </w:rPr>
      </w:pPr>
    </w:p>
    <w:p w14:paraId="0D7F1463" w14:textId="79AEF6CB" w:rsidR="00960B61" w:rsidRPr="00505870" w:rsidRDefault="00960B61">
      <w:pPr>
        <w:pStyle w:val="a5"/>
        <w:numPr>
          <w:ilvl w:val="0"/>
          <w:numId w:val="63"/>
        </w:numPr>
        <w:tabs>
          <w:tab w:val="left" w:pos="512"/>
        </w:tabs>
        <w:spacing w:line="309" w:lineRule="auto"/>
        <w:ind w:right="1208"/>
        <w:jc w:val="both"/>
        <w:rPr>
          <w:rFonts w:eastAsiaTheme="minorEastAsia"/>
          <w:sz w:val="19"/>
          <w:lang w:eastAsia="ja-JP"/>
        </w:rPr>
      </w:pPr>
      <w:r w:rsidRPr="00505870">
        <w:rPr>
          <w:rFonts w:ascii="ＭＳ ゴシック" w:eastAsiaTheme="minorEastAsia" w:hAnsi="ＭＳ ゴシック" w:cs="ＭＳ ゴシック" w:hint="eastAsia"/>
          <w:sz w:val="19"/>
          <w:lang w:eastAsia="ja-JP"/>
        </w:rPr>
        <w:t>その製品はなぜ作られるのか？</w:t>
      </w:r>
    </w:p>
    <w:p w14:paraId="5F3DD741" w14:textId="147A2DF5" w:rsidR="00960B61" w:rsidRPr="00505870" w:rsidRDefault="00960B61">
      <w:pPr>
        <w:pStyle w:val="a5"/>
        <w:numPr>
          <w:ilvl w:val="0"/>
          <w:numId w:val="63"/>
        </w:numPr>
        <w:tabs>
          <w:tab w:val="left" w:pos="512"/>
        </w:tabs>
        <w:spacing w:line="309" w:lineRule="auto"/>
        <w:ind w:right="1208"/>
        <w:jc w:val="both"/>
        <w:rPr>
          <w:rFonts w:eastAsiaTheme="minorEastAsia"/>
          <w:sz w:val="19"/>
          <w:lang w:eastAsia="ja-JP"/>
        </w:rPr>
      </w:pPr>
      <w:r w:rsidRPr="00505870">
        <w:rPr>
          <w:rFonts w:ascii="ＭＳ ゴシック" w:eastAsiaTheme="minorEastAsia" w:hAnsi="ＭＳ ゴシック" w:cs="ＭＳ ゴシック" w:hint="eastAsia"/>
          <w:sz w:val="19"/>
          <w:lang w:eastAsia="ja-JP"/>
        </w:rPr>
        <w:t>その製品はどのような目的に使用されるのか？</w:t>
      </w:r>
    </w:p>
    <w:p w14:paraId="6277C8C7" w14:textId="0F5C8B47" w:rsidR="00960B61" w:rsidRPr="00505870" w:rsidRDefault="00960B61">
      <w:pPr>
        <w:pStyle w:val="a5"/>
        <w:numPr>
          <w:ilvl w:val="0"/>
          <w:numId w:val="63"/>
        </w:numPr>
        <w:tabs>
          <w:tab w:val="left" w:pos="512"/>
        </w:tabs>
        <w:spacing w:line="309" w:lineRule="auto"/>
        <w:ind w:right="1208"/>
        <w:jc w:val="both"/>
        <w:rPr>
          <w:rFonts w:eastAsiaTheme="minorEastAsia"/>
          <w:sz w:val="19"/>
          <w:lang w:eastAsia="ja-JP"/>
        </w:rPr>
      </w:pPr>
      <w:r w:rsidRPr="00505870">
        <w:rPr>
          <w:rFonts w:ascii="ＭＳ ゴシック" w:eastAsiaTheme="minorEastAsia" w:hAnsi="ＭＳ ゴシック" w:cs="ＭＳ ゴシック" w:hint="eastAsia"/>
          <w:sz w:val="19"/>
          <w:lang w:eastAsia="ja-JP"/>
        </w:rPr>
        <w:t>その製品はどのような特徴や期待される品質を備えているのか</w:t>
      </w:r>
      <w:r w:rsidR="00505870">
        <w:rPr>
          <w:rFonts w:ascii="ＭＳ ゴシック" w:eastAsiaTheme="minorEastAsia" w:hAnsi="ＭＳ ゴシック" w:cs="ＭＳ ゴシック" w:hint="eastAsia"/>
          <w:sz w:val="19"/>
          <w:lang w:eastAsia="ja-JP"/>
        </w:rPr>
        <w:t>？</w:t>
      </w:r>
    </w:p>
    <w:p w14:paraId="6C57E5B4" w14:textId="77777777" w:rsidR="00505870" w:rsidRPr="00505870" w:rsidRDefault="00505870" w:rsidP="00505870">
      <w:pPr>
        <w:tabs>
          <w:tab w:val="left" w:pos="512"/>
        </w:tabs>
        <w:spacing w:line="309" w:lineRule="auto"/>
        <w:ind w:left="141" w:right="1208"/>
        <w:jc w:val="both"/>
        <w:rPr>
          <w:rFonts w:eastAsiaTheme="minorEastAsia"/>
          <w:sz w:val="19"/>
          <w:lang w:eastAsia="ja-JP"/>
        </w:rPr>
      </w:pPr>
    </w:p>
    <w:p w14:paraId="4FE3BB0C" w14:textId="154E9D27" w:rsidR="00960B61" w:rsidRPr="007D648A" w:rsidRDefault="00960B61" w:rsidP="00505870">
      <w:pPr>
        <w:tabs>
          <w:tab w:val="left" w:pos="512"/>
        </w:tabs>
        <w:spacing w:line="309" w:lineRule="auto"/>
        <w:ind w:leftChars="64" w:left="141" w:right="1208" w:firstLineChars="100" w:firstLine="190"/>
        <w:rPr>
          <w:rFonts w:eastAsiaTheme="minorEastAsia"/>
          <w:sz w:val="19"/>
          <w:lang w:eastAsia="ja-JP"/>
        </w:rPr>
        <w:sectPr w:rsidR="00960B61" w:rsidRPr="007D648A" w:rsidSect="007D5A23">
          <w:type w:val="continuous"/>
          <w:pgSz w:w="12240" w:h="15840"/>
          <w:pgMar w:top="740" w:right="0" w:bottom="280" w:left="0" w:header="0" w:footer="859" w:gutter="0"/>
          <w:cols w:num="2" w:space="720"/>
        </w:sectPr>
      </w:pPr>
      <w:r w:rsidRPr="00960B61">
        <w:rPr>
          <w:rFonts w:eastAsiaTheme="minorEastAsia" w:hint="eastAsia"/>
          <w:sz w:val="19"/>
          <w:lang w:eastAsia="ja-JP"/>
        </w:rPr>
        <w:t>例えば、調査対象製品が電球の場合、その製品は光を提供する目的で作られます。電球が提供するサービス（光など）の量は、輝度やスペクトルの量などの特に依存します。多くの場合、製品は複数の機能を持つことができるため、このステップでは、企業はすべての機能を特定した上で、機能単位の基礎となるものを選択するべきです</w:t>
      </w:r>
      <w:r w:rsidR="00505870">
        <w:rPr>
          <w:rFonts w:eastAsiaTheme="minorEastAsia" w:hint="eastAsia"/>
          <w:sz w:val="19"/>
          <w:lang w:eastAsia="ja-JP"/>
        </w:rPr>
        <w:t>。</w:t>
      </w:r>
    </w:p>
    <w:p w14:paraId="290FAFE6" w14:textId="33564061" w:rsidR="0055291C" w:rsidRDefault="0055291C" w:rsidP="00505870">
      <w:pPr>
        <w:pStyle w:val="7"/>
        <w:ind w:left="0" w:firstLine="0"/>
        <w:rPr>
          <w:lang w:eastAsia="ja-JP"/>
        </w:rPr>
      </w:pPr>
    </w:p>
    <w:p w14:paraId="62B6554B" w14:textId="63F1023C" w:rsidR="0055291C" w:rsidRDefault="00000000" w:rsidP="00E23F53">
      <w:pPr>
        <w:pStyle w:val="a3"/>
        <w:rPr>
          <w:sz w:val="20"/>
        </w:rPr>
      </w:pPr>
      <w:r>
        <w:rPr>
          <w:sz w:val="20"/>
        </w:rPr>
      </w:r>
      <w:r>
        <w:rPr>
          <w:sz w:val="20"/>
        </w:rPr>
        <w:pict w14:anchorId="1224D069">
          <v:group id="docshapegroup479" o:spid="_x0000_s3315" style="width:297pt;height:31.8pt;mso-position-horizontal-relative:char;mso-position-vertical-relative:line" coordsize="5940,636">
            <v:shape id="docshape480" o:spid="_x0000_s3317" style="position:absolute;width:5940;height:636" coordsize="5940,636" path="m5940,l,,,635r5713,l5844,632r68,-25l5936,539r4,-131l5940,xe" fillcolor="#00aca1" stroked="f">
              <v:path arrowok="t"/>
            </v:shape>
            <v:shape id="docshape481" o:spid="_x0000_s3316" type="#_x0000_t202" style="position:absolute;width:5940;height:636" filled="f" stroked="f">
              <v:textbox style="mso-next-textbox:#docshape481" inset="0,0,0,0">
                <w:txbxContent>
                  <w:p w14:paraId="132BC3C3" w14:textId="77777777" w:rsidR="0055291C" w:rsidRDefault="00F23C61">
                    <w:pPr>
                      <w:spacing w:before="219"/>
                      <w:ind w:left="1133"/>
                      <w:rPr>
                        <w:rFonts w:ascii="Arial"/>
                        <w:b/>
                        <w:i/>
                        <w:sz w:val="28"/>
                      </w:rPr>
                    </w:pPr>
                    <w:r>
                      <w:rPr>
                        <w:rFonts w:ascii="Arial"/>
                        <w:b/>
                        <w:i/>
                        <w:color w:val="F3F4F4"/>
                        <w:sz w:val="28"/>
                      </w:rPr>
                      <w:t>g</w:t>
                    </w:r>
                    <w:r>
                      <w:rPr>
                        <w:rFonts w:ascii="Arial"/>
                        <w:b/>
                        <w:i/>
                        <w:color w:val="F3F4F4"/>
                        <w:spacing w:val="5"/>
                        <w:sz w:val="28"/>
                      </w:rPr>
                      <w:t xml:space="preserve"> </w:t>
                    </w:r>
                    <w:r>
                      <w:rPr>
                        <w:rFonts w:ascii="Arial"/>
                        <w:b/>
                        <w:i/>
                        <w:color w:val="F3F4F4"/>
                        <w:sz w:val="28"/>
                      </w:rPr>
                      <w:t>u</w:t>
                    </w:r>
                    <w:r>
                      <w:rPr>
                        <w:rFonts w:ascii="Arial"/>
                        <w:b/>
                        <w:i/>
                        <w:color w:val="F3F4F4"/>
                        <w:spacing w:val="5"/>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2"/>
                        <w:sz w:val="28"/>
                      </w:rPr>
                      <w:t xml:space="preserve"> </w:t>
                    </w:r>
                    <w:r>
                      <w:rPr>
                        <w:rFonts w:ascii="Arial"/>
                        <w:b/>
                        <w:i/>
                        <w:color w:val="F3F4F4"/>
                        <w:sz w:val="28"/>
                      </w:rPr>
                      <w:t>n</w:t>
                    </w:r>
                    <w:r>
                      <w:rPr>
                        <w:rFonts w:ascii="Arial"/>
                        <w:b/>
                        <w:i/>
                        <w:color w:val="F3F4F4"/>
                        <w:spacing w:val="83"/>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v:shape>
            <w10:anchorlock/>
          </v:group>
        </w:pict>
      </w:r>
    </w:p>
    <w:p w14:paraId="2C3C56AA" w14:textId="77777777" w:rsidR="0055291C" w:rsidRDefault="0055291C" w:rsidP="00E23F53">
      <w:pPr>
        <w:rPr>
          <w:sz w:val="20"/>
        </w:rPr>
        <w:sectPr w:rsidR="0055291C">
          <w:headerReference w:type="even" r:id="rId126"/>
          <w:pgSz w:w="12240" w:h="15840"/>
          <w:pgMar w:top="0" w:right="0" w:bottom="1040" w:left="0" w:header="0" w:footer="859" w:gutter="0"/>
          <w:cols w:space="720"/>
        </w:sectPr>
      </w:pPr>
    </w:p>
    <w:p w14:paraId="21D58862" w14:textId="73E1C9CB" w:rsidR="0055291C" w:rsidRDefault="0055291C" w:rsidP="00E23F53">
      <w:pPr>
        <w:pStyle w:val="a3"/>
        <w:spacing w:before="3"/>
        <w:rPr>
          <w:sz w:val="20"/>
        </w:rPr>
      </w:pPr>
    </w:p>
    <w:p w14:paraId="159F82E9" w14:textId="75470E29" w:rsidR="00505870" w:rsidRPr="00505870" w:rsidRDefault="00505870" w:rsidP="00505870">
      <w:pPr>
        <w:pStyle w:val="a3"/>
        <w:spacing w:before="67" w:line="312" w:lineRule="auto"/>
        <w:ind w:left="1143" w:right="80"/>
        <w:rPr>
          <w:rFonts w:ascii="Arial"/>
          <w:b/>
          <w:i/>
          <w:color w:val="7F3F98"/>
          <w:sz w:val="18"/>
          <w:szCs w:val="22"/>
          <w:lang w:eastAsia="ja-JP"/>
        </w:rPr>
      </w:pPr>
      <w:r w:rsidRPr="00505870">
        <w:rPr>
          <w:rFonts w:ascii="ＭＳ ゴシック" w:eastAsia="ＭＳ ゴシック" w:hAnsi="ＭＳ ゴシック" w:cs="ＭＳ ゴシック" w:hint="eastAsia"/>
          <w:b/>
          <w:i/>
          <w:color w:val="7F3F98"/>
          <w:sz w:val="18"/>
          <w:szCs w:val="22"/>
          <w:lang w:eastAsia="ja-JP"/>
        </w:rPr>
        <w:t>機能の選択</w:t>
      </w:r>
    </w:p>
    <w:p w14:paraId="3553F274" w14:textId="738FF94E" w:rsidR="0055291C" w:rsidRPr="00BE78D4" w:rsidRDefault="00505870" w:rsidP="00BE78D4">
      <w:pPr>
        <w:pStyle w:val="a3"/>
        <w:spacing w:before="67" w:line="312" w:lineRule="auto"/>
        <w:ind w:left="1143" w:right="80" w:firstLineChars="100" w:firstLine="190"/>
        <w:rPr>
          <w:lang w:eastAsia="ja-JP"/>
        </w:rPr>
      </w:pPr>
      <w:r w:rsidRPr="00BE78D4">
        <w:rPr>
          <w:rFonts w:ascii="ＭＳ ゴシック" w:eastAsia="ＭＳ ゴシック" w:hAnsi="ＭＳ ゴシック" w:cs="ＭＳ ゴシック" w:hint="eastAsia"/>
          <w:bCs/>
          <w:iCs/>
          <w:color w:val="000000" w:themeColor="text1"/>
          <w:lang w:eastAsia="ja-JP"/>
        </w:rPr>
        <w:t>複数の機能が特定された場合、企業は、調査対象製品が何をするために設計されたかを最もよく反映する機能を機能単位にする必要があります。例えば、塗料は壁の色と表面の保護を提供するという機能を果たします。もし企業の目標が、色を長持ちさせ、頻繁に塗り直す必要のない塗料を設計することであるなら、それが機能単位の基になるべき機能です。会社の目標に該当する場合は、</w:t>
      </w:r>
      <w:r w:rsidRPr="00BE78D4">
        <w:rPr>
          <w:rFonts w:ascii="ＭＳ ゴシック" w:eastAsia="ＭＳ ゴシック" w:hAnsi="ＭＳ ゴシック"/>
          <w:bCs/>
          <w:iCs/>
          <w:color w:val="000000" w:themeColor="text1"/>
          <w:lang w:eastAsia="ja-JP"/>
        </w:rPr>
        <w:t>1</w:t>
      </w:r>
      <w:r w:rsidRPr="00BE78D4">
        <w:rPr>
          <w:rFonts w:ascii="ＭＳ ゴシック" w:eastAsia="ＭＳ ゴシック" w:hAnsi="ＭＳ ゴシック" w:cs="ＭＳ ゴシック" w:hint="eastAsia"/>
          <w:bCs/>
          <w:iCs/>
          <w:color w:val="000000" w:themeColor="text1"/>
          <w:lang w:eastAsia="ja-JP"/>
        </w:rPr>
        <w:t>つの機能単位に複数の機能を表すことができます。</w:t>
      </w:r>
    </w:p>
    <w:p w14:paraId="708912A5" w14:textId="7E1DA40B" w:rsidR="0055291C" w:rsidRDefault="00BE78D4" w:rsidP="00E23F53">
      <w:pPr>
        <w:spacing w:before="150"/>
        <w:ind w:left="1143"/>
        <w:rPr>
          <w:rFonts w:ascii="Arial"/>
          <w:b/>
          <w:i/>
          <w:sz w:val="18"/>
          <w:lang w:eastAsia="ja-JP"/>
        </w:rPr>
      </w:pPr>
      <w:r w:rsidRPr="00BE78D4">
        <w:rPr>
          <w:rFonts w:ascii="ＭＳ ゴシック" w:eastAsia="ＭＳ ゴシック" w:hAnsi="ＭＳ ゴシック" w:cs="ＭＳ ゴシック" w:hint="eastAsia"/>
          <w:b/>
          <w:i/>
          <w:color w:val="7F3F98"/>
          <w:sz w:val="18"/>
          <w:lang w:eastAsia="ja-JP"/>
        </w:rPr>
        <w:t>機能単位と参照フローの定義</w:t>
      </w:r>
    </w:p>
    <w:p w14:paraId="559D4138" w14:textId="3D8BA7EB" w:rsidR="0055291C" w:rsidRDefault="00BE78D4" w:rsidP="00BE78D4">
      <w:pPr>
        <w:pStyle w:val="a3"/>
        <w:spacing w:before="67" w:line="312" w:lineRule="auto"/>
        <w:ind w:left="1143" w:firstLineChars="100" w:firstLine="190"/>
        <w:rPr>
          <w:lang w:eastAsia="ja-JP"/>
        </w:rPr>
      </w:pPr>
      <w:r w:rsidRPr="00BE78D4">
        <w:rPr>
          <w:rFonts w:ascii="ＭＳ ゴシック" w:eastAsia="ＭＳ ゴシック" w:hAnsi="ＭＳ ゴシック" w:cs="ＭＳ ゴシック" w:hint="eastAsia"/>
          <w:color w:val="545456"/>
          <w:lang w:eastAsia="ja-JP"/>
        </w:rPr>
        <w:t>明確に定義された機能単位は、機能またはサービスの大きさ、期間または耐用年数、および期待される品質という</w:t>
      </w:r>
      <w:r w:rsidRPr="00BE78D4">
        <w:rPr>
          <w:color w:val="545456"/>
          <w:lang w:eastAsia="ja-JP"/>
        </w:rPr>
        <w:t>3</w:t>
      </w:r>
      <w:r w:rsidRPr="00BE78D4">
        <w:rPr>
          <w:rFonts w:ascii="ＭＳ ゴシック" w:eastAsia="ＭＳ ゴシック" w:hAnsi="ＭＳ ゴシック" w:cs="ＭＳ ゴシック" w:hint="eastAsia"/>
          <w:color w:val="545456"/>
          <w:lang w:eastAsia="ja-JP"/>
        </w:rPr>
        <w:t>つの一般的なパラメータで構成されます。すべてのパラメータがすべての製品に関連するとは限りませんが（あるいはいくつかのパラメータは相互に排他的であるかもしれません）、それらを考慮することは、</w:t>
      </w:r>
      <w:r w:rsidRPr="00BE78D4">
        <w:rPr>
          <w:color w:val="545456"/>
          <w:lang w:eastAsia="ja-JP"/>
        </w:rPr>
        <w:t xml:space="preserve"> </w:t>
      </w:r>
      <w:r w:rsidRPr="00BE78D4">
        <w:rPr>
          <w:rFonts w:ascii="ＭＳ ゴシック" w:eastAsia="ＭＳ ゴシック" w:hAnsi="ＭＳ ゴシック" w:cs="ＭＳ ゴシック" w:hint="eastAsia"/>
          <w:color w:val="545456"/>
          <w:lang w:eastAsia="ja-JP"/>
        </w:rPr>
        <w:t>確固たる機能単位の定義を保証し、境界設定中の使用プロファイルの定義など、その後の算出ステップを容易にするのに役立ちます</w:t>
      </w:r>
      <w:r>
        <w:rPr>
          <w:rFonts w:ascii="ＭＳ ゴシック" w:eastAsia="ＭＳ ゴシック" w:hAnsi="ＭＳ ゴシック" w:cs="ＭＳ ゴシック" w:hint="eastAsia"/>
          <w:color w:val="545456"/>
          <w:lang w:eastAsia="ja-JP"/>
        </w:rPr>
        <w:t>。</w:t>
      </w:r>
    </w:p>
    <w:p w14:paraId="0CDBF629" w14:textId="0F78A72E" w:rsidR="0055291C" w:rsidRDefault="00461013" w:rsidP="008B30E1">
      <w:pPr>
        <w:pStyle w:val="a3"/>
        <w:spacing w:before="144" w:line="312" w:lineRule="auto"/>
        <w:ind w:left="567" w:right="247" w:firstLineChars="398" w:firstLine="756"/>
        <w:rPr>
          <w:rFonts w:ascii="ＭＳ ゴシック" w:eastAsia="ＭＳ ゴシック" w:hAnsi="ＭＳ ゴシック" w:cs="ＭＳ ゴシック"/>
          <w:lang w:eastAsia="ja-JP"/>
        </w:rPr>
      </w:pPr>
      <w:r w:rsidRPr="00461013">
        <w:rPr>
          <w:rFonts w:ascii="ＭＳ ゴシック" w:eastAsia="ＭＳ ゴシック" w:hAnsi="ＭＳ ゴシック" w:cs="ＭＳ ゴシック" w:hint="eastAsia"/>
          <w:lang w:eastAsia="ja-JP"/>
        </w:rPr>
        <w:t>機能単位と参照フローを定義するには、参照フロー</w:t>
      </w:r>
      <w:r w:rsidRPr="00461013">
        <w:rPr>
          <w:rFonts w:ascii="ＭＳ ゴシック" w:eastAsia="ＭＳ ゴシック" w:hAnsi="ＭＳ ゴシック" w:cs="ＭＳ ゴシック" w:hint="eastAsia"/>
          <w:lang w:eastAsia="ja-JP"/>
        </w:rPr>
        <w:t>を先に定義してから製品量に基づいて機能単位を決定する方法と、機能単位を先に定義してからそれを満たすために必要な製品量を決定する方法の</w:t>
      </w:r>
      <w:r w:rsidRPr="00461013">
        <w:rPr>
          <w:lang w:eastAsia="ja-JP"/>
        </w:rPr>
        <w:t>2</w:t>
      </w:r>
      <w:r w:rsidRPr="00461013">
        <w:rPr>
          <w:rFonts w:ascii="ＭＳ ゴシック" w:eastAsia="ＭＳ ゴシック" w:hAnsi="ＭＳ ゴシック" w:cs="ＭＳ ゴシック" w:hint="eastAsia"/>
          <w:lang w:eastAsia="ja-JP"/>
        </w:rPr>
        <w:t>つのアプローチがあります。最初に機能単位を定義する場合、製品規則、セクターガイダンス、または業界の平均的な使用プロファイルに基づいてパラメータを設定することが有効な場合が多くなります。一方、検討に含まれる製品の量を特定するために、参照フローを最初に定義することもあります。これは、個々の製品、製品のバルク包装、または政府や業界が規制する製品仕様（例：食品に対する政府が推奨する分量）である可能性があります。報告書の利用者にとって、どの基準が最も有意義であるかを検討することが有用です。例えば、製品の半分を必要とする機能単位は、消費者にとって理解しにくいかもしれません。</w:t>
      </w:r>
    </w:p>
    <w:p w14:paraId="245B0372" w14:textId="07FA764C" w:rsidR="00BA73A0" w:rsidRDefault="00BA73A0" w:rsidP="008B30E1">
      <w:pPr>
        <w:pStyle w:val="a3"/>
        <w:spacing w:before="144" w:line="312" w:lineRule="auto"/>
        <w:ind w:left="567" w:right="247" w:firstLineChars="100" w:firstLine="190"/>
        <w:rPr>
          <w:lang w:eastAsia="ja-JP"/>
        </w:rPr>
      </w:pPr>
      <w:r w:rsidRPr="008612E2">
        <w:rPr>
          <w:rFonts w:ascii="ＭＳ ゴシック" w:eastAsia="ＭＳ ゴシック" w:hAnsi="ＭＳ ゴシック" w:cs="ＭＳ ゴシック" w:hint="eastAsia"/>
          <w:color w:val="545456"/>
          <w:lang w:eastAsia="ja-JP"/>
        </w:rPr>
        <w:t>時間の経過に伴う製品の効率改善を報告するために、企業は、改善がなされるにつれて、同じ機能単位を満たすために必要な基準流量が減少するように、機能単位を定義すべきです。ノートパソコンを例にとると、機能単位が</w:t>
      </w:r>
      <w:r w:rsidRPr="008612E2">
        <w:rPr>
          <w:color w:val="545456"/>
          <w:lang w:eastAsia="ja-JP"/>
        </w:rPr>
        <w:t>3</w:t>
      </w:r>
      <w:r w:rsidRPr="008612E2">
        <w:rPr>
          <w:rFonts w:ascii="ＭＳ ゴシック" w:eastAsia="ＭＳ ゴシック" w:hAnsi="ＭＳ ゴシック" w:cs="ＭＳ ゴシック" w:hint="eastAsia"/>
          <w:color w:val="545456"/>
          <w:lang w:eastAsia="ja-JP"/>
        </w:rPr>
        <w:t>年間の平均的な</w:t>
      </w:r>
      <w:r w:rsidRPr="008612E2">
        <w:rPr>
          <w:color w:val="545456"/>
          <w:lang w:eastAsia="ja-JP"/>
        </w:rPr>
        <w:t>1</w:t>
      </w:r>
      <w:r w:rsidRPr="008612E2">
        <w:rPr>
          <w:rFonts w:ascii="ＭＳ ゴシック" w:eastAsia="ＭＳ ゴシック" w:hAnsi="ＭＳ ゴシック" w:cs="ＭＳ ゴシック" w:hint="eastAsia"/>
          <w:color w:val="545456"/>
          <w:lang w:eastAsia="ja-JP"/>
        </w:rPr>
        <w:t>日の使用で、基準流量にそれぞれ</w:t>
      </w:r>
      <w:r w:rsidRPr="008612E2">
        <w:rPr>
          <w:color w:val="545456"/>
          <w:lang w:eastAsia="ja-JP"/>
        </w:rPr>
        <w:t>1.5</w:t>
      </w:r>
      <w:r w:rsidRPr="008612E2">
        <w:rPr>
          <w:rFonts w:ascii="ＭＳ ゴシック" w:eastAsia="ＭＳ ゴシック" w:hAnsi="ＭＳ ゴシック" w:cs="ＭＳ ゴシック" w:hint="eastAsia"/>
          <w:color w:val="545456"/>
          <w:lang w:eastAsia="ja-JP"/>
        </w:rPr>
        <w:t>年の耐用年数を持つ</w:t>
      </w:r>
      <w:r w:rsidRPr="008612E2">
        <w:rPr>
          <w:color w:val="545456"/>
          <w:lang w:eastAsia="ja-JP"/>
        </w:rPr>
        <w:t>2</w:t>
      </w:r>
      <w:r w:rsidRPr="008612E2">
        <w:rPr>
          <w:rFonts w:ascii="ＭＳ ゴシック" w:eastAsia="ＭＳ ゴシック" w:hAnsi="ＭＳ ゴシック" w:cs="ＭＳ ゴシック" w:hint="eastAsia"/>
          <w:color w:val="545456"/>
          <w:lang w:eastAsia="ja-JP"/>
        </w:rPr>
        <w:t>つの電池が含まれているとして、電池の寿命を延ばすと、その後のインベントリにおける参照フローが減少することになります</w:t>
      </w:r>
      <w:r>
        <w:rPr>
          <w:rFonts w:ascii="ＭＳ ゴシック" w:eastAsia="ＭＳ ゴシック" w:hAnsi="ＭＳ ゴシック" w:cs="ＭＳ ゴシック" w:hint="eastAsia"/>
          <w:color w:val="545456"/>
          <w:lang w:eastAsia="ja-JP"/>
        </w:rPr>
        <w:t>（</w:t>
      </w:r>
      <w:r w:rsidRPr="008612E2">
        <w:rPr>
          <w:rFonts w:ascii="ＭＳ ゴシック" w:eastAsia="ＭＳ ゴシック" w:hAnsi="ＭＳ ゴシック" w:cs="ＭＳ ゴシック" w:hint="eastAsia"/>
          <w:color w:val="545456"/>
          <w:lang w:eastAsia="ja-JP"/>
        </w:rPr>
        <w:t>時間の経過に伴う性能追跡の詳細については、第</w:t>
      </w:r>
      <w:r w:rsidRPr="008612E2">
        <w:rPr>
          <w:color w:val="545456"/>
          <w:lang w:eastAsia="ja-JP"/>
        </w:rPr>
        <w:t>14</w:t>
      </w:r>
      <w:r w:rsidRPr="008612E2">
        <w:rPr>
          <w:rFonts w:ascii="ＭＳ ゴシック" w:eastAsia="ＭＳ ゴシック" w:hAnsi="ＭＳ ゴシック" w:cs="ＭＳ ゴシック" w:hint="eastAsia"/>
          <w:color w:val="545456"/>
          <w:lang w:eastAsia="ja-JP"/>
        </w:rPr>
        <w:t>章を参照）</w:t>
      </w:r>
      <w:r w:rsidR="008B30E1">
        <w:rPr>
          <w:rFonts w:ascii="ＭＳ ゴシック" w:eastAsia="ＭＳ ゴシック" w:hAnsi="ＭＳ ゴシック" w:cs="ＭＳ ゴシック" w:hint="eastAsia"/>
          <w:color w:val="545456"/>
          <w:lang w:eastAsia="ja-JP"/>
        </w:rPr>
        <w:t>。</w:t>
      </w:r>
    </w:p>
    <w:p w14:paraId="60E2E3B9" w14:textId="4453029B" w:rsidR="0055291C" w:rsidRPr="008B30E1" w:rsidRDefault="0055291C" w:rsidP="001506F6">
      <w:pPr>
        <w:spacing w:before="8"/>
        <w:rPr>
          <w:rFonts w:eastAsiaTheme="minorEastAsia"/>
          <w:sz w:val="19"/>
          <w:lang w:eastAsia="ja-JP"/>
        </w:rPr>
        <w:sectPr w:rsidR="0055291C" w:rsidRPr="008B30E1">
          <w:type w:val="continuous"/>
          <w:pgSz w:w="12240" w:h="15840"/>
          <w:pgMar w:top="740" w:right="0" w:bottom="280" w:left="0" w:header="0" w:footer="859" w:gutter="0"/>
          <w:cols w:num="2" w:space="720" w:equalWidth="0">
            <w:col w:w="5969" w:space="40"/>
            <w:col w:w="6231"/>
          </w:cols>
        </w:sectPr>
      </w:pPr>
    </w:p>
    <w:p w14:paraId="60EFA0DB" w14:textId="63556692" w:rsidR="0055291C" w:rsidRPr="001506F6" w:rsidRDefault="008B30E1">
      <w:pPr>
        <w:spacing w:line="328" w:lineRule="auto"/>
        <w:rPr>
          <w:rFonts w:eastAsiaTheme="minorEastAsia"/>
          <w:sz w:val="18"/>
          <w:lang w:eastAsia="ja-JP"/>
        </w:rPr>
        <w:sectPr w:rsidR="0055291C" w:rsidRPr="001506F6">
          <w:type w:val="continuous"/>
          <w:pgSz w:w="12240" w:h="15840"/>
          <w:pgMar w:top="740" w:right="0" w:bottom="280" w:left="0" w:header="0" w:footer="859" w:gutter="0"/>
          <w:cols w:num="2" w:space="720" w:equalWidth="0">
            <w:col w:w="5921" w:space="40"/>
            <w:col w:w="6279"/>
          </w:cols>
        </w:sectPr>
      </w:pPr>
      <w:r>
        <w:rPr>
          <w:rFonts w:eastAsiaTheme="minorEastAsia" w:hint="eastAsia"/>
          <w:noProof/>
          <w:sz w:val="18"/>
          <w:lang w:eastAsia="ja-JP"/>
        </w:rPr>
        <mc:AlternateContent>
          <mc:Choice Requires="wpg">
            <w:drawing>
              <wp:anchor distT="0" distB="0" distL="114300" distR="114300" simplePos="0" relativeHeight="251462144" behindDoc="0" locked="0" layoutInCell="1" allowOverlap="1" wp14:anchorId="5E4CCB6D" wp14:editId="000A8106">
                <wp:simplePos x="0" y="0"/>
                <wp:positionH relativeFrom="column">
                  <wp:posOffset>863600</wp:posOffset>
                </wp:positionH>
                <wp:positionV relativeFrom="paragraph">
                  <wp:posOffset>496570</wp:posOffset>
                </wp:positionV>
                <wp:extent cx="6477000" cy="2984500"/>
                <wp:effectExtent l="0" t="0" r="19050" b="25400"/>
                <wp:wrapNone/>
                <wp:docPr id="62" name="グループ化 62"/>
                <wp:cNvGraphicFramePr/>
                <a:graphic xmlns:a="http://schemas.openxmlformats.org/drawingml/2006/main">
                  <a:graphicData uri="http://schemas.microsoft.com/office/word/2010/wordprocessingGroup">
                    <wpg:wgp>
                      <wpg:cNvGrpSpPr/>
                      <wpg:grpSpPr>
                        <a:xfrm>
                          <a:off x="0" y="0"/>
                          <a:ext cx="6477000" cy="2984500"/>
                          <a:chOff x="0" y="0"/>
                          <a:chExt cx="6477000" cy="2984500"/>
                        </a:xfrm>
                      </wpg:grpSpPr>
                      <wps:wsp>
                        <wps:cNvPr id="58" name="正方形/長方形 58"/>
                        <wps:cNvSpPr/>
                        <wps:spPr>
                          <a:xfrm>
                            <a:off x="0" y="368300"/>
                            <a:ext cx="6477000" cy="2616200"/>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5D8A8E" w14:textId="77777777" w:rsidR="002B19A0" w:rsidRPr="002B19A0" w:rsidRDefault="002B19A0" w:rsidP="002B19A0">
                              <w:pPr>
                                <w:ind w:left="142" w:right="27" w:firstLineChars="100" w:firstLine="190"/>
                                <w:rPr>
                                  <w:rFonts w:asciiTheme="minorHAnsi" w:eastAsiaTheme="minorEastAsia" w:hAnsiTheme="minorHAnsi" w:cstheme="minorBidi"/>
                                  <w:color w:val="545456"/>
                                  <w:sz w:val="19"/>
                                  <w:szCs w:val="19"/>
                                  <w:lang w:eastAsia="ja-JP"/>
                                </w:rPr>
                              </w:pPr>
                              <w:r w:rsidRPr="002B19A0">
                                <w:rPr>
                                  <w:rFonts w:ascii="ＭＳ ゴシック" w:eastAsia="ＭＳ ゴシック" w:hAnsi="ＭＳ ゴシック" w:cs="ＭＳ ゴシック" w:hint="eastAsia"/>
                                  <w:color w:val="545456"/>
                                  <w:sz w:val="19"/>
                                  <w:szCs w:val="19"/>
                                  <w:lang w:eastAsia="ja-JP"/>
                                </w:rPr>
                                <w:t>洗浄、除菌、食品衛生、感染予防の製品とサービスにおけるグローバルリーダーであるエコラボは、同社の</w:t>
                              </w:r>
                              <w:r w:rsidRPr="002B19A0">
                                <w:rPr>
                                  <w:rFonts w:hint="eastAsia"/>
                                  <w:color w:val="545456"/>
                                  <w:sz w:val="19"/>
                                  <w:szCs w:val="19"/>
                                  <w:lang w:eastAsia="ja-JP"/>
                                </w:rPr>
                                <w:t xml:space="preserve"> APEX</w:t>
                              </w:r>
                              <w:r w:rsidRPr="000C572A">
                                <w:rPr>
                                  <w:rFonts w:hint="eastAsia"/>
                                  <w:color w:val="545456"/>
                                  <w:sz w:val="19"/>
                                  <w:szCs w:val="19"/>
                                  <w:vertAlign w:val="superscript"/>
                                  <w:lang w:eastAsia="ja-JP"/>
                                </w:rPr>
                                <w:t>TM</w:t>
                              </w:r>
                              <w:r w:rsidRPr="002B19A0">
                                <w:rPr>
                                  <w:rFonts w:hint="eastAsia"/>
                                  <w:color w:val="545456"/>
                                  <w:sz w:val="19"/>
                                  <w:szCs w:val="19"/>
                                  <w:lang w:eastAsia="ja-JP"/>
                                </w:rPr>
                                <w:t xml:space="preserve"> </w:t>
                              </w:r>
                              <w:r w:rsidRPr="002B19A0">
                                <w:rPr>
                                  <w:rFonts w:ascii="ＭＳ ゴシック" w:eastAsia="ＭＳ ゴシック" w:hAnsi="ＭＳ ゴシック" w:cs="ＭＳ ゴシック" w:hint="eastAsia"/>
                                  <w:color w:val="545456"/>
                                  <w:sz w:val="19"/>
                                  <w:szCs w:val="19"/>
                                  <w:lang w:eastAsia="ja-JP"/>
                                </w:rPr>
                                <w:t>自動食器洗浄システムのライフサイクルに関する</w:t>
                              </w:r>
                              <w:r w:rsidRPr="002B19A0">
                                <w:rPr>
                                  <w:rFonts w:hint="eastAsia"/>
                                  <w:color w:val="545456"/>
                                  <w:sz w:val="19"/>
                                  <w:szCs w:val="19"/>
                                  <w:lang w:eastAsia="ja-JP"/>
                                </w:rPr>
                                <w:t xml:space="preserve"> GHG</w:t>
                              </w:r>
                              <w:r w:rsidRPr="002B19A0">
                                <w:rPr>
                                  <w:rFonts w:ascii="ＭＳ ゴシック" w:eastAsia="ＭＳ ゴシック" w:hAnsi="ＭＳ ゴシック" w:cs="ＭＳ ゴシック" w:hint="eastAsia"/>
                                  <w:color w:val="545456"/>
                                  <w:sz w:val="19"/>
                                  <w:szCs w:val="19"/>
                                  <w:lang w:eastAsia="ja-JP"/>
                                </w:rPr>
                                <w:t>排出量の算出を行いました。エコラボは、</w:t>
                              </w:r>
                              <w:r w:rsidRPr="002B19A0">
                                <w:rPr>
                                  <w:rFonts w:hint="eastAsia"/>
                                  <w:color w:val="545456"/>
                                  <w:sz w:val="19"/>
                                  <w:szCs w:val="19"/>
                                  <w:lang w:eastAsia="ja-JP"/>
                                </w:rPr>
                                <w:t>APEX</w:t>
                              </w:r>
                              <w:r w:rsidRPr="000C572A">
                                <w:rPr>
                                  <w:rFonts w:hint="eastAsia"/>
                                  <w:color w:val="545456"/>
                                  <w:sz w:val="19"/>
                                  <w:szCs w:val="19"/>
                                  <w:vertAlign w:val="superscript"/>
                                  <w:lang w:eastAsia="ja-JP"/>
                                </w:rPr>
                                <w:t>TM</w:t>
                              </w:r>
                              <w:r w:rsidRPr="002B19A0">
                                <w:rPr>
                                  <w:rFonts w:hint="eastAsia"/>
                                  <w:color w:val="545456"/>
                                  <w:sz w:val="19"/>
                                  <w:szCs w:val="19"/>
                                  <w:lang w:eastAsia="ja-JP"/>
                                </w:rPr>
                                <w:t xml:space="preserve"> </w:t>
                              </w:r>
                              <w:r w:rsidRPr="002B19A0">
                                <w:rPr>
                                  <w:rFonts w:ascii="ＭＳ ゴシック" w:eastAsia="ＭＳ ゴシック" w:hAnsi="ＭＳ ゴシック" w:cs="ＭＳ ゴシック" w:hint="eastAsia"/>
                                  <w:color w:val="545456"/>
                                  <w:sz w:val="19"/>
                                  <w:szCs w:val="19"/>
                                  <w:lang w:eastAsia="ja-JP"/>
                                </w:rPr>
                                <w:t>食器洗浄システムが提供する必要な個々の機能（</w:t>
                              </w:r>
                              <w:r w:rsidRPr="002B19A0">
                                <w:rPr>
                                  <w:rFonts w:hint="eastAsia"/>
                                  <w:color w:val="545456"/>
                                  <w:sz w:val="19"/>
                                  <w:szCs w:val="19"/>
                                  <w:lang w:eastAsia="ja-JP"/>
                                </w:rPr>
                                <w:t>APEX</w:t>
                              </w:r>
                              <w:r w:rsidRPr="000C572A">
                                <w:rPr>
                                  <w:rFonts w:hint="eastAsia"/>
                                  <w:color w:val="545456"/>
                                  <w:sz w:val="19"/>
                                  <w:szCs w:val="19"/>
                                  <w:vertAlign w:val="superscript"/>
                                  <w:lang w:eastAsia="ja-JP"/>
                                </w:rPr>
                                <w:t>TM</w:t>
                              </w:r>
                              <w:r w:rsidRPr="002B19A0">
                                <w:rPr>
                                  <w:rFonts w:hint="eastAsia"/>
                                  <w:color w:val="545456"/>
                                  <w:sz w:val="19"/>
                                  <w:szCs w:val="19"/>
                                  <w:lang w:eastAsia="ja-JP"/>
                                </w:rPr>
                                <w:t xml:space="preserve"> Power</w:t>
                              </w:r>
                              <w:r w:rsidRPr="002B19A0">
                                <w:rPr>
                                  <w:rFonts w:ascii="ＭＳ ゴシック" w:eastAsia="ＭＳ ゴシック" w:hAnsi="ＭＳ ゴシック" w:cs="ＭＳ ゴシック" w:hint="eastAsia"/>
                                  <w:color w:val="545456"/>
                                  <w:sz w:val="19"/>
                                  <w:szCs w:val="19"/>
                                  <w:lang w:eastAsia="ja-JP"/>
                                </w:rPr>
                                <w:t>、</w:t>
                              </w:r>
                              <w:r w:rsidRPr="002B19A0">
                                <w:rPr>
                                  <w:rFonts w:hint="eastAsia"/>
                                  <w:color w:val="545456"/>
                                  <w:sz w:val="19"/>
                                  <w:szCs w:val="19"/>
                                  <w:lang w:eastAsia="ja-JP"/>
                                </w:rPr>
                                <w:t>APEX</w:t>
                              </w:r>
                              <w:r w:rsidRPr="000C572A">
                                <w:rPr>
                                  <w:rFonts w:hint="eastAsia"/>
                                  <w:color w:val="545456"/>
                                  <w:sz w:val="19"/>
                                  <w:szCs w:val="19"/>
                                  <w:vertAlign w:val="superscript"/>
                                  <w:lang w:eastAsia="ja-JP"/>
                                </w:rPr>
                                <w:t>TM</w:t>
                              </w:r>
                              <w:r w:rsidRPr="002B19A0">
                                <w:rPr>
                                  <w:rFonts w:hint="eastAsia"/>
                                  <w:color w:val="545456"/>
                                  <w:sz w:val="19"/>
                                  <w:szCs w:val="19"/>
                                  <w:lang w:eastAsia="ja-JP"/>
                                </w:rPr>
                                <w:t xml:space="preserve"> Rinse Additive</w:t>
                              </w:r>
                              <w:r w:rsidRPr="002B19A0">
                                <w:rPr>
                                  <w:rFonts w:ascii="ＭＳ ゴシック" w:eastAsia="ＭＳ ゴシック" w:hAnsi="ＭＳ ゴシック" w:cs="ＭＳ ゴシック" w:hint="eastAsia"/>
                                  <w:color w:val="545456"/>
                                  <w:sz w:val="19"/>
                                  <w:szCs w:val="19"/>
                                  <w:lang w:eastAsia="ja-JP"/>
                                </w:rPr>
                                <w:t>、</w:t>
                              </w:r>
                              <w:r w:rsidRPr="002B19A0">
                                <w:rPr>
                                  <w:rFonts w:hint="eastAsia"/>
                                  <w:color w:val="545456"/>
                                  <w:sz w:val="19"/>
                                  <w:szCs w:val="19"/>
                                  <w:lang w:eastAsia="ja-JP"/>
                                </w:rPr>
                                <w:t>APEX</w:t>
                              </w:r>
                              <w:r w:rsidRPr="000C572A">
                                <w:rPr>
                                  <w:rFonts w:hint="eastAsia"/>
                                  <w:color w:val="545456"/>
                                  <w:sz w:val="19"/>
                                  <w:szCs w:val="19"/>
                                  <w:vertAlign w:val="superscript"/>
                                  <w:lang w:eastAsia="ja-JP"/>
                                </w:rPr>
                                <w:t xml:space="preserve">TM </w:t>
                              </w:r>
                              <w:r w:rsidRPr="002B19A0">
                                <w:rPr>
                                  <w:rFonts w:hint="eastAsia"/>
                                  <w:color w:val="545456"/>
                                  <w:sz w:val="19"/>
                                  <w:szCs w:val="19"/>
                                  <w:lang w:eastAsia="ja-JP"/>
                                </w:rPr>
                                <w:t>Presoak</w:t>
                              </w:r>
                              <w:r w:rsidRPr="002B19A0">
                                <w:rPr>
                                  <w:rFonts w:ascii="ＭＳ ゴシック" w:eastAsia="ＭＳ ゴシック" w:hAnsi="ＭＳ ゴシック" w:cs="ＭＳ ゴシック" w:hint="eastAsia"/>
                                  <w:color w:val="545456"/>
                                  <w:sz w:val="19"/>
                                  <w:szCs w:val="19"/>
                                  <w:lang w:eastAsia="ja-JP"/>
                                </w:rPr>
                                <w:t>）が含まれた自動食器洗浄機を通じて、清潔で除菌された食器を提供する機能を選択しました。エコラボでは、機能の大きさと期間を、一般的なフードサービス施設での</w:t>
                              </w:r>
                              <w:r w:rsidRPr="002B19A0">
                                <w:rPr>
                                  <w:rFonts w:hint="eastAsia"/>
                                  <w:color w:val="545456"/>
                                  <w:sz w:val="19"/>
                                  <w:szCs w:val="19"/>
                                  <w:lang w:eastAsia="ja-JP"/>
                                </w:rPr>
                                <w:t>1</w:t>
                              </w:r>
                              <w:r w:rsidRPr="002B19A0">
                                <w:rPr>
                                  <w:rFonts w:ascii="ＭＳ ゴシック" w:eastAsia="ＭＳ ゴシック" w:hAnsi="ＭＳ ゴシック" w:cs="ＭＳ ゴシック" w:hint="eastAsia"/>
                                  <w:color w:val="545456"/>
                                  <w:sz w:val="19"/>
                                  <w:szCs w:val="19"/>
                                  <w:lang w:eastAsia="ja-JP"/>
                                </w:rPr>
                                <w:t>年間の使用として選びました。また、期待される品質レベルを「清潔で除菌された状態」とし、使用時に</w:t>
                              </w:r>
                              <w:r w:rsidRPr="002B19A0">
                                <w:rPr>
                                  <w:rFonts w:hint="eastAsia"/>
                                  <w:color w:val="545456"/>
                                  <w:sz w:val="19"/>
                                  <w:szCs w:val="19"/>
                                  <w:lang w:eastAsia="ja-JP"/>
                                </w:rPr>
                                <w:t>180 °F</w:t>
                              </w:r>
                              <w:r w:rsidRPr="002B19A0">
                                <w:rPr>
                                  <w:rFonts w:ascii="ＭＳ ゴシック" w:eastAsia="ＭＳ ゴシック" w:hAnsi="ＭＳ ゴシック" w:cs="ＭＳ ゴシック" w:hint="eastAsia"/>
                                  <w:color w:val="545456"/>
                                  <w:sz w:val="19"/>
                                  <w:szCs w:val="19"/>
                                  <w:lang w:eastAsia="ja-JP"/>
                                </w:rPr>
                                <w:t>（≒</w:t>
                              </w:r>
                              <w:r w:rsidRPr="002B19A0">
                                <w:rPr>
                                  <w:rFonts w:hint="eastAsia"/>
                                  <w:color w:val="545456"/>
                                  <w:sz w:val="19"/>
                                  <w:szCs w:val="19"/>
                                  <w:lang w:eastAsia="ja-JP"/>
                                </w:rPr>
                                <w:t>82</w:t>
                              </w:r>
                              <w:r w:rsidRPr="002B19A0">
                                <w:rPr>
                                  <w:rFonts w:ascii="ＭＳ ゴシック" w:eastAsia="ＭＳ ゴシック" w:hAnsi="ＭＳ ゴシック" w:cs="ＭＳ ゴシック" w:hint="eastAsia"/>
                                  <w:color w:val="545456"/>
                                  <w:sz w:val="19"/>
                                  <w:szCs w:val="19"/>
                                  <w:lang w:eastAsia="ja-JP"/>
                                </w:rPr>
                                <w:t>℃）のお湯が必要であるとしました。この情報を用いて、機能単位は、典型的な給食施設において</w:t>
                              </w:r>
                              <w:r w:rsidRPr="002B19A0">
                                <w:rPr>
                                  <w:rFonts w:hint="eastAsia"/>
                                  <w:color w:val="545456"/>
                                  <w:sz w:val="19"/>
                                  <w:szCs w:val="19"/>
                                  <w:lang w:eastAsia="ja-JP"/>
                                </w:rPr>
                                <w:t>1</w:t>
                              </w:r>
                              <w:r w:rsidRPr="002B19A0">
                                <w:rPr>
                                  <w:rFonts w:ascii="ＭＳ ゴシック" w:eastAsia="ＭＳ ゴシック" w:hAnsi="ＭＳ ゴシック" w:cs="ＭＳ ゴシック" w:hint="eastAsia"/>
                                  <w:color w:val="545456"/>
                                  <w:sz w:val="19"/>
                                  <w:szCs w:val="19"/>
                                  <w:lang w:eastAsia="ja-JP"/>
                                </w:rPr>
                                <w:t>年間、自動食器洗浄機を通して清潔で衛生的な食器を提供することと定義しました。</w:t>
                              </w:r>
                            </w:p>
                            <w:p w14:paraId="69993AA8" w14:textId="77777777" w:rsidR="002B19A0" w:rsidRPr="002B19A0" w:rsidRDefault="002B19A0" w:rsidP="002B19A0">
                              <w:pPr>
                                <w:ind w:leftChars="-1" w:left="-2" w:right="27" w:firstLineChars="179" w:firstLine="340"/>
                                <w:rPr>
                                  <w:color w:val="545456"/>
                                  <w:sz w:val="19"/>
                                  <w:szCs w:val="19"/>
                                  <w:lang w:eastAsia="ja-JP"/>
                                </w:rPr>
                              </w:pPr>
                              <w:r w:rsidRPr="002B19A0">
                                <w:rPr>
                                  <w:rFonts w:ascii="ＭＳ ゴシック" w:eastAsia="ＭＳ ゴシック" w:hAnsi="ＭＳ ゴシック" w:cs="ＭＳ ゴシック" w:hint="eastAsia"/>
                                  <w:color w:val="545456"/>
                                  <w:sz w:val="19"/>
                                  <w:szCs w:val="19"/>
                                  <w:lang w:eastAsia="ja-JP"/>
                                </w:rPr>
                                <w:t>基準流量は、その機能を満たすために必要な製品の総重量と定義しました。即ち、</w:t>
                              </w:r>
                            </w:p>
                            <w:p w14:paraId="366C2D67" w14:textId="77777777" w:rsidR="002B19A0" w:rsidRPr="002B19A0" w:rsidRDefault="002B19A0" w:rsidP="002B19A0">
                              <w:pPr>
                                <w:ind w:leftChars="-1" w:left="-2" w:right="27" w:firstLineChars="79" w:firstLine="150"/>
                                <w:rPr>
                                  <w:color w:val="545456"/>
                                  <w:sz w:val="19"/>
                                  <w:szCs w:val="19"/>
                                  <w:lang w:eastAsia="ja-JP"/>
                                </w:rPr>
                              </w:pPr>
                              <w:r w:rsidRPr="002B19A0">
                                <w:rPr>
                                  <w:rFonts w:hint="eastAsia"/>
                                  <w:color w:val="545456"/>
                                  <w:sz w:val="19"/>
                                  <w:szCs w:val="19"/>
                                  <w:lang w:eastAsia="ja-JP"/>
                                </w:rPr>
                                <w:t xml:space="preserve">- </w:t>
                              </w:r>
                              <w:r w:rsidRPr="002B19A0">
                                <w:rPr>
                                  <w:rFonts w:ascii="ＭＳ ゴシック" w:eastAsia="ＭＳ ゴシック" w:hAnsi="ＭＳ ゴシック" w:cs="ＭＳ ゴシック" w:hint="eastAsia"/>
                                  <w:color w:val="545456"/>
                                  <w:sz w:val="19"/>
                                  <w:szCs w:val="19"/>
                                  <w:lang w:eastAsia="ja-JP"/>
                                </w:rPr>
                                <w:t>年間</w:t>
                              </w:r>
                              <w:r w:rsidRPr="002B19A0">
                                <w:rPr>
                                  <w:rFonts w:hint="eastAsia"/>
                                  <w:color w:val="545456"/>
                                  <w:sz w:val="19"/>
                                  <w:szCs w:val="19"/>
                                  <w:lang w:eastAsia="ja-JP"/>
                                </w:rPr>
                                <w:t xml:space="preserve"> 360 </w:t>
                              </w:r>
                              <w:r w:rsidRPr="002B19A0">
                                <w:rPr>
                                  <w:rFonts w:ascii="ＭＳ ゴシック" w:eastAsia="ＭＳ ゴシック" w:hAnsi="ＭＳ ゴシック" w:cs="ＭＳ ゴシック" w:hint="eastAsia"/>
                                  <w:color w:val="545456"/>
                                  <w:sz w:val="19"/>
                                  <w:szCs w:val="19"/>
                                  <w:lang w:eastAsia="ja-JP"/>
                                </w:rPr>
                                <w:t>日間稼働する一般的な施設において、</w:t>
                              </w:r>
                              <w:r w:rsidRPr="002B19A0">
                                <w:rPr>
                                  <w:rFonts w:hint="eastAsia"/>
                                  <w:color w:val="545456"/>
                                  <w:sz w:val="19"/>
                                  <w:szCs w:val="19"/>
                                  <w:lang w:eastAsia="ja-JP"/>
                                </w:rPr>
                                <w:t xml:space="preserve">1 </w:t>
                              </w:r>
                              <w:r w:rsidRPr="002B19A0">
                                <w:rPr>
                                  <w:rFonts w:ascii="ＭＳ ゴシック" w:eastAsia="ＭＳ ゴシック" w:hAnsi="ＭＳ ゴシック" w:cs="ＭＳ ゴシック" w:hint="eastAsia"/>
                                  <w:color w:val="545456"/>
                                  <w:sz w:val="19"/>
                                  <w:szCs w:val="19"/>
                                  <w:lang w:eastAsia="ja-JP"/>
                                </w:rPr>
                                <w:t>日あたり</w:t>
                              </w:r>
                              <w:r w:rsidRPr="002B19A0">
                                <w:rPr>
                                  <w:rFonts w:hint="eastAsia"/>
                                  <w:color w:val="545456"/>
                                  <w:sz w:val="19"/>
                                  <w:szCs w:val="19"/>
                                  <w:lang w:eastAsia="ja-JP"/>
                                </w:rPr>
                                <w:t xml:space="preserve"> 500 </w:t>
                              </w:r>
                              <w:r w:rsidRPr="002B19A0">
                                <w:rPr>
                                  <w:rFonts w:ascii="ＭＳ ゴシック" w:eastAsia="ＭＳ ゴシック" w:hAnsi="ＭＳ ゴシック" w:cs="ＭＳ ゴシック" w:hint="eastAsia"/>
                                  <w:color w:val="545456"/>
                                  <w:sz w:val="19"/>
                                  <w:szCs w:val="19"/>
                                  <w:lang w:eastAsia="ja-JP"/>
                                </w:rPr>
                                <w:t>ラックの食器を洗浄し、</w:t>
                              </w:r>
                            </w:p>
                            <w:p w14:paraId="6F16913F" w14:textId="77777777" w:rsidR="002B19A0" w:rsidRPr="002B19A0" w:rsidRDefault="002B19A0" w:rsidP="002B19A0">
                              <w:pPr>
                                <w:ind w:leftChars="-1" w:left="-2" w:right="27" w:firstLineChars="79" w:firstLine="150"/>
                                <w:rPr>
                                  <w:color w:val="545456"/>
                                  <w:sz w:val="19"/>
                                  <w:szCs w:val="19"/>
                                  <w:lang w:eastAsia="ja-JP"/>
                                </w:rPr>
                              </w:pPr>
                              <w:r w:rsidRPr="002B19A0">
                                <w:rPr>
                                  <w:rFonts w:hint="eastAsia"/>
                                  <w:color w:val="545456"/>
                                  <w:sz w:val="19"/>
                                  <w:szCs w:val="19"/>
                                  <w:lang w:eastAsia="ja-JP"/>
                                </w:rPr>
                                <w:t xml:space="preserve">- </w:t>
                              </w:r>
                              <w:r w:rsidRPr="002B19A0">
                                <w:rPr>
                                  <w:rFonts w:ascii="ＭＳ ゴシック" w:eastAsia="ＭＳ ゴシック" w:hAnsi="ＭＳ ゴシック" w:cs="ＭＳ ゴシック" w:hint="eastAsia"/>
                                  <w:color w:val="545456"/>
                                  <w:sz w:val="19"/>
                                  <w:szCs w:val="19"/>
                                  <w:lang w:eastAsia="ja-JP"/>
                                </w:rPr>
                                <w:t>食器洗浄機内の平均洗剤濃度</w:t>
                              </w:r>
                              <w:r w:rsidRPr="002B19A0">
                                <w:rPr>
                                  <w:rFonts w:hint="eastAsia"/>
                                  <w:color w:val="545456"/>
                                  <w:sz w:val="19"/>
                                  <w:szCs w:val="19"/>
                                  <w:lang w:eastAsia="ja-JP"/>
                                </w:rPr>
                                <w:t>1800ppm</w:t>
                              </w:r>
                              <w:r w:rsidRPr="002B19A0">
                                <w:rPr>
                                  <w:rFonts w:ascii="ＭＳ ゴシック" w:eastAsia="ＭＳ ゴシック" w:hAnsi="ＭＳ ゴシック" w:cs="ＭＳ ゴシック" w:hint="eastAsia"/>
                                  <w:color w:val="545456"/>
                                  <w:sz w:val="19"/>
                                  <w:szCs w:val="19"/>
                                  <w:lang w:eastAsia="ja-JP"/>
                                </w:rPr>
                                <w:t>（定常状態の仮定）の状態で、</w:t>
                              </w:r>
                            </w:p>
                            <w:p w14:paraId="4FCF0D01" w14:textId="77777777" w:rsidR="002B19A0" w:rsidRPr="002B19A0" w:rsidRDefault="002B19A0" w:rsidP="002B19A0">
                              <w:pPr>
                                <w:ind w:leftChars="-1" w:left="-2" w:right="27" w:firstLineChars="79" w:firstLine="150"/>
                                <w:rPr>
                                  <w:color w:val="545456"/>
                                  <w:sz w:val="19"/>
                                  <w:szCs w:val="19"/>
                                  <w:lang w:eastAsia="ja-JP"/>
                                </w:rPr>
                              </w:pPr>
                              <w:r w:rsidRPr="002B19A0">
                                <w:rPr>
                                  <w:rFonts w:hint="eastAsia"/>
                                  <w:color w:val="545456"/>
                                  <w:sz w:val="19"/>
                                  <w:szCs w:val="19"/>
                                  <w:lang w:eastAsia="ja-JP"/>
                                </w:rPr>
                                <w:t xml:space="preserve">- </w:t>
                              </w:r>
                              <w:r w:rsidRPr="002B19A0">
                                <w:rPr>
                                  <w:rFonts w:ascii="ＭＳ ゴシック" w:eastAsia="ＭＳ ゴシック" w:hAnsi="ＭＳ ゴシック" w:cs="ＭＳ ゴシック" w:hint="eastAsia"/>
                                  <w:color w:val="545456"/>
                                  <w:sz w:val="19"/>
                                  <w:szCs w:val="19"/>
                                  <w:lang w:eastAsia="ja-JP"/>
                                </w:rPr>
                                <w:t>食器</w:t>
                              </w:r>
                              <w:r w:rsidRPr="002B19A0">
                                <w:rPr>
                                  <w:rFonts w:hint="eastAsia"/>
                                  <w:color w:val="545456"/>
                                  <w:sz w:val="19"/>
                                  <w:szCs w:val="19"/>
                                  <w:lang w:eastAsia="ja-JP"/>
                                </w:rPr>
                                <w:t xml:space="preserve"> 1 </w:t>
                              </w:r>
                              <w:r w:rsidRPr="002B19A0">
                                <w:rPr>
                                  <w:rFonts w:ascii="ＭＳ ゴシック" w:eastAsia="ＭＳ ゴシック" w:hAnsi="ＭＳ ゴシック" w:cs="ＭＳ ゴシック" w:hint="eastAsia"/>
                                  <w:color w:val="545456"/>
                                  <w:sz w:val="19"/>
                                  <w:szCs w:val="19"/>
                                  <w:lang w:eastAsia="ja-JP"/>
                                </w:rPr>
                                <w:t>ラックあたり</w:t>
                              </w:r>
                              <w:r w:rsidRPr="002B19A0">
                                <w:rPr>
                                  <w:rFonts w:hint="eastAsia"/>
                                  <w:color w:val="545456"/>
                                  <w:sz w:val="19"/>
                                  <w:szCs w:val="19"/>
                                  <w:lang w:eastAsia="ja-JP"/>
                                </w:rPr>
                                <w:t xml:space="preserve"> 0.15 </w:t>
                              </w:r>
                              <w:r w:rsidRPr="002B19A0">
                                <w:rPr>
                                  <w:rFonts w:ascii="ＭＳ ゴシック" w:eastAsia="ＭＳ ゴシック" w:hAnsi="ＭＳ ゴシック" w:cs="ＭＳ ゴシック" w:hint="eastAsia"/>
                                  <w:color w:val="545456"/>
                                  <w:sz w:val="19"/>
                                  <w:szCs w:val="19"/>
                                  <w:lang w:eastAsia="ja-JP"/>
                                </w:rPr>
                                <w:t>グラムのリンス添加剤を用い、</w:t>
                              </w:r>
                            </w:p>
                            <w:p w14:paraId="5532C796" w14:textId="77777777" w:rsidR="002B19A0" w:rsidRPr="002B19A0" w:rsidRDefault="002B19A0" w:rsidP="002B19A0">
                              <w:pPr>
                                <w:ind w:leftChars="-1" w:left="-2" w:right="27" w:firstLineChars="79" w:firstLine="150"/>
                                <w:rPr>
                                  <w:color w:val="545456"/>
                                  <w:sz w:val="19"/>
                                  <w:szCs w:val="19"/>
                                  <w:lang w:eastAsia="ja-JP"/>
                                </w:rPr>
                              </w:pPr>
                              <w:r w:rsidRPr="002B19A0">
                                <w:rPr>
                                  <w:rFonts w:hint="eastAsia"/>
                                  <w:color w:val="545456"/>
                                  <w:sz w:val="19"/>
                                  <w:szCs w:val="19"/>
                                  <w:lang w:eastAsia="ja-JP"/>
                                </w:rPr>
                                <w:t>- 4000ppm</w:t>
                              </w:r>
                              <w:r w:rsidRPr="002B19A0">
                                <w:rPr>
                                  <w:rFonts w:ascii="ＭＳ ゴシック" w:eastAsia="ＭＳ ゴシック" w:hAnsi="ＭＳ ゴシック" w:cs="ＭＳ ゴシック" w:hint="eastAsia"/>
                                  <w:color w:val="545456"/>
                                  <w:sz w:val="19"/>
                                  <w:szCs w:val="19"/>
                                  <w:lang w:eastAsia="ja-JP"/>
                                </w:rPr>
                                <w:t>のプレソーク濃度、</w:t>
                              </w:r>
                              <w:r w:rsidRPr="002B19A0">
                                <w:rPr>
                                  <w:rFonts w:hint="eastAsia"/>
                                  <w:color w:val="545456"/>
                                  <w:sz w:val="19"/>
                                  <w:szCs w:val="19"/>
                                  <w:lang w:eastAsia="ja-JP"/>
                                </w:rPr>
                                <w:t>1</w:t>
                              </w:r>
                              <w:r w:rsidRPr="002B19A0">
                                <w:rPr>
                                  <w:rFonts w:ascii="ＭＳ ゴシック" w:eastAsia="ＭＳ ゴシック" w:hAnsi="ＭＳ ゴシック" w:cs="ＭＳ ゴシック" w:hint="eastAsia"/>
                                  <w:color w:val="545456"/>
                                  <w:sz w:val="19"/>
                                  <w:szCs w:val="19"/>
                                  <w:lang w:eastAsia="ja-JP"/>
                                </w:rPr>
                                <w:t>日</w:t>
                              </w:r>
                              <w:r w:rsidRPr="002B19A0">
                                <w:rPr>
                                  <w:rFonts w:hint="eastAsia"/>
                                  <w:color w:val="545456"/>
                                  <w:sz w:val="19"/>
                                  <w:szCs w:val="19"/>
                                  <w:lang w:eastAsia="ja-JP"/>
                                </w:rPr>
                                <w:t>2</w:t>
                              </w:r>
                              <w:r w:rsidRPr="002B19A0">
                                <w:rPr>
                                  <w:rFonts w:ascii="ＭＳ ゴシック" w:eastAsia="ＭＳ ゴシック" w:hAnsi="ＭＳ ゴシック" w:cs="ＭＳ ゴシック" w:hint="eastAsia"/>
                                  <w:color w:val="545456"/>
                                  <w:sz w:val="19"/>
                                  <w:szCs w:val="19"/>
                                  <w:lang w:eastAsia="ja-JP"/>
                                </w:rPr>
                                <w:t>回吐出する場合。</w:t>
                              </w:r>
                            </w:p>
                            <w:p w14:paraId="4B0F4ECB" w14:textId="27CF4129" w:rsidR="002B19A0" w:rsidRPr="002B19A0" w:rsidRDefault="002B19A0" w:rsidP="002B19A0">
                              <w:pPr>
                                <w:ind w:leftChars="-1" w:left="-2" w:right="27" w:firstLineChars="79" w:firstLine="150"/>
                                <w:rPr>
                                  <w:rFonts w:eastAsiaTheme="minorEastAsia"/>
                                  <w:sz w:val="19"/>
                                  <w:szCs w:val="19"/>
                                  <w:lang w:eastAsia="ja-JP"/>
                                </w:rPr>
                              </w:pPr>
                              <w:r w:rsidRPr="002B19A0">
                                <w:rPr>
                                  <w:rFonts w:ascii="ＭＳ ゴシック" w:eastAsia="ＭＳ ゴシック" w:hAnsi="ＭＳ ゴシック" w:cs="ＭＳ ゴシック" w:hint="eastAsia"/>
                                  <w:color w:val="545456"/>
                                  <w:sz w:val="19"/>
                                  <w:szCs w:val="19"/>
                                  <w:lang w:eastAsia="ja-JP"/>
                                </w:rPr>
                                <w:t>すべての機能、品質、規模、および期間を考慮した詳細な機能単位を定義することで、エコラボは基準フローを迅速かつ正確に定義することができました。さらに、製品の使用状況について収集した情報は、境界設定（第</w:t>
                              </w:r>
                              <w:r w:rsidRPr="002B19A0">
                                <w:rPr>
                                  <w:rFonts w:hint="eastAsia"/>
                                  <w:color w:val="545456"/>
                                  <w:sz w:val="19"/>
                                  <w:szCs w:val="19"/>
                                  <w:lang w:eastAsia="ja-JP"/>
                                </w:rPr>
                                <w:t>7</w:t>
                              </w:r>
                              <w:r w:rsidRPr="002B19A0">
                                <w:rPr>
                                  <w:rFonts w:ascii="ＭＳ ゴシック" w:eastAsia="ＭＳ ゴシック" w:hAnsi="ＭＳ ゴシック" w:cs="ＭＳ ゴシック" w:hint="eastAsia"/>
                                  <w:color w:val="545456"/>
                                  <w:sz w:val="19"/>
                                  <w:szCs w:val="19"/>
                                  <w:lang w:eastAsia="ja-JP"/>
                                </w:rPr>
                                <w:t>章）の際に使用プロファイルを簡単に定義するために使用されました。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フリーフォーム: 図形 60"/>
                        <wps:cNvSpPr>
                          <a:spLocks/>
                        </wps:cNvSpPr>
                        <wps:spPr bwMode="auto">
                          <a:xfrm>
                            <a:off x="0" y="0"/>
                            <a:ext cx="6477000" cy="314960"/>
                          </a:xfrm>
                          <a:custGeom>
                            <a:avLst/>
                            <a:gdLst>
                              <a:gd name="T0" fmla="+- 0 10936 3698"/>
                              <a:gd name="T1" fmla="*/ T0 w 7409"/>
                              <a:gd name="T2" fmla="+- 0 -5 -5"/>
                              <a:gd name="T3" fmla="*/ -5 h 496"/>
                              <a:gd name="T4" fmla="+- 0 3868 3698"/>
                              <a:gd name="T5" fmla="*/ T4 w 7409"/>
                              <a:gd name="T6" fmla="+- 0 -5 -5"/>
                              <a:gd name="T7" fmla="*/ -5 h 496"/>
                              <a:gd name="T8" fmla="+- 0 3770 3698"/>
                              <a:gd name="T9" fmla="*/ T8 w 7409"/>
                              <a:gd name="T10" fmla="+- 0 -2 -5"/>
                              <a:gd name="T11" fmla="*/ -2 h 496"/>
                              <a:gd name="T12" fmla="+- 0 3719 3698"/>
                              <a:gd name="T13" fmla="*/ T12 w 7409"/>
                              <a:gd name="T14" fmla="+- 0 16 -5"/>
                              <a:gd name="T15" fmla="*/ 16 h 496"/>
                              <a:gd name="T16" fmla="+- 0 3700 3698"/>
                              <a:gd name="T17" fmla="*/ T16 w 7409"/>
                              <a:gd name="T18" fmla="+- 0 67 -5"/>
                              <a:gd name="T19" fmla="*/ 67 h 496"/>
                              <a:gd name="T20" fmla="+- 0 3698 3698"/>
                              <a:gd name="T21" fmla="*/ T20 w 7409"/>
                              <a:gd name="T22" fmla="+- 0 165 -5"/>
                              <a:gd name="T23" fmla="*/ 165 h 496"/>
                              <a:gd name="T24" fmla="+- 0 3698 3698"/>
                              <a:gd name="T25" fmla="*/ T24 w 7409"/>
                              <a:gd name="T26" fmla="+- 0 490 -5"/>
                              <a:gd name="T27" fmla="*/ 490 h 496"/>
                              <a:gd name="T28" fmla="+- 0 11106 3698"/>
                              <a:gd name="T29" fmla="*/ T28 w 7409"/>
                              <a:gd name="T30" fmla="+- 0 490 -5"/>
                              <a:gd name="T31" fmla="*/ 490 h 496"/>
                              <a:gd name="T32" fmla="+- 0 11106 3698"/>
                              <a:gd name="T33" fmla="*/ T32 w 7409"/>
                              <a:gd name="T34" fmla="+- 0 165 -5"/>
                              <a:gd name="T35" fmla="*/ 165 h 496"/>
                              <a:gd name="T36" fmla="+- 0 11103 3698"/>
                              <a:gd name="T37" fmla="*/ T36 w 7409"/>
                              <a:gd name="T38" fmla="+- 0 67 -5"/>
                              <a:gd name="T39" fmla="*/ 67 h 496"/>
                              <a:gd name="T40" fmla="+- 0 11085 3698"/>
                              <a:gd name="T41" fmla="*/ T40 w 7409"/>
                              <a:gd name="T42" fmla="+- 0 16 -5"/>
                              <a:gd name="T43" fmla="*/ 16 h 496"/>
                              <a:gd name="T44" fmla="+- 0 11034 3698"/>
                              <a:gd name="T45" fmla="*/ T44 w 7409"/>
                              <a:gd name="T46" fmla="+- 0 -2 -5"/>
                              <a:gd name="T47" fmla="*/ -2 h 496"/>
                              <a:gd name="T48" fmla="+- 0 10936 3698"/>
                              <a:gd name="T49" fmla="*/ T48 w 7409"/>
                              <a:gd name="T50" fmla="+- 0 -5 -5"/>
                              <a:gd name="T51" fmla="*/ -5 h 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409" h="496">
                                <a:moveTo>
                                  <a:pt x="7238" y="0"/>
                                </a:moveTo>
                                <a:lnTo>
                                  <a:pt x="170" y="0"/>
                                </a:lnTo>
                                <a:lnTo>
                                  <a:pt x="72" y="3"/>
                                </a:lnTo>
                                <a:lnTo>
                                  <a:pt x="21" y="21"/>
                                </a:lnTo>
                                <a:lnTo>
                                  <a:pt x="2" y="72"/>
                                </a:lnTo>
                                <a:lnTo>
                                  <a:pt x="0" y="170"/>
                                </a:lnTo>
                                <a:lnTo>
                                  <a:pt x="0" y="495"/>
                                </a:lnTo>
                                <a:lnTo>
                                  <a:pt x="7408" y="495"/>
                                </a:lnTo>
                                <a:lnTo>
                                  <a:pt x="7408" y="170"/>
                                </a:lnTo>
                                <a:lnTo>
                                  <a:pt x="7405" y="72"/>
                                </a:lnTo>
                                <a:lnTo>
                                  <a:pt x="7387" y="21"/>
                                </a:lnTo>
                                <a:lnTo>
                                  <a:pt x="7336" y="3"/>
                                </a:lnTo>
                                <a:lnTo>
                                  <a:pt x="7238" y="0"/>
                                </a:lnTo>
                                <a:close/>
                              </a:path>
                            </a:pathLst>
                          </a:custGeom>
                          <a:solidFill>
                            <a:srgbClr val="00ACA1"/>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11692EE" w14:textId="77777777" w:rsidR="008B30E1" w:rsidRDefault="008B30E1" w:rsidP="008B30E1">
                              <w:pPr>
                                <w:rPr>
                                  <w:b/>
                                  <w:bCs/>
                                  <w:i/>
                                  <w:iCs/>
                                  <w:color w:val="FFFFFF" w:themeColor="background1"/>
                                  <w:sz w:val="20"/>
                                  <w:szCs w:val="21"/>
                                </w:rPr>
                              </w:pPr>
                              <w:proofErr w:type="spellStart"/>
                              <w:r>
                                <w:rPr>
                                  <w:rFonts w:ascii="ＭＳ ゴシック" w:eastAsia="ＭＳ ゴシック" w:hAnsi="ＭＳ ゴシック" w:cs="ＭＳ ゴシック" w:hint="eastAsia"/>
                                  <w:b/>
                                  <w:bCs/>
                                  <w:i/>
                                  <w:iCs/>
                                  <w:color w:val="FFFFFF" w:themeColor="background1"/>
                                  <w:sz w:val="20"/>
                                  <w:szCs w:val="21"/>
                                </w:rPr>
                                <w:t>エコラ</w:t>
                              </w:r>
                              <w:r>
                                <w:rPr>
                                  <w:rFonts w:hint="eastAsia"/>
                                  <w:b/>
                                  <w:bCs/>
                                  <w:i/>
                                  <w:iCs/>
                                  <w:color w:val="FFFFFF" w:themeColor="background1"/>
                                  <w:sz w:val="20"/>
                                  <w:szCs w:val="21"/>
                                </w:rPr>
                                <w:t>ボ</w:t>
                              </w:r>
                              <w:proofErr w:type="spellEnd"/>
                            </w:p>
                          </w:txbxContent>
                        </wps:txbx>
                        <wps:bodyPr rot="0" vertOverflow="clip" horzOverflow="clip" vert="horz" wrap="square" lIns="91440" tIns="45720" rIns="91440" bIns="45720" anchor="t" anchorCtr="0" upright="1">
                          <a:noAutofit/>
                        </wps:bodyPr>
                      </wps:wsp>
                    </wpg:wgp>
                  </a:graphicData>
                </a:graphic>
              </wp:anchor>
            </w:drawing>
          </mc:Choice>
          <mc:Fallback>
            <w:pict>
              <v:group w14:anchorId="5E4CCB6D" id="グループ化 62" o:spid="_x0000_s1046" style="position:absolute;margin-left:68pt;margin-top:39.1pt;width:510pt;height:235pt;z-index:251462144" coordsize="64770,29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">
                <v:rect id="正方形/長方形 58" o:spid="_x0000_s1047" style="position:absolute;top:3683;width:64770;height:26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" fillcolor="#f2f2f2 [3052]" strokecolor="#f2f2f2 [3052]" strokeweight="2pt">
                  <v:textbox>
                    <w:txbxContent>
                      <w:p w14:paraId="525D8A8E" w14:textId="77777777" w:rsidR="002B19A0" w:rsidRPr="002B19A0" w:rsidRDefault="002B19A0" w:rsidP="002B19A0">
                        <w:pPr>
                          <w:ind w:left="142" w:right="27" w:firstLineChars="100" w:firstLine="190"/>
                          <w:rPr>
                            <w:rFonts w:asciiTheme="minorHAnsi" w:eastAsiaTheme="minorEastAsia" w:hAnsiTheme="minorHAnsi" w:cstheme="minorBidi"/>
                            <w:color w:val="545456"/>
                            <w:sz w:val="19"/>
                            <w:szCs w:val="19"/>
                            <w:lang w:eastAsia="ja-JP"/>
                          </w:rPr>
                        </w:pPr>
                        <w:r w:rsidRPr="002B19A0">
                          <w:rPr>
                            <w:rFonts w:ascii="ＭＳ ゴシック" w:eastAsia="ＭＳ ゴシック" w:hAnsi="ＭＳ ゴシック" w:cs="ＭＳ ゴシック" w:hint="eastAsia"/>
                            <w:color w:val="545456"/>
                            <w:sz w:val="19"/>
                            <w:szCs w:val="19"/>
                            <w:lang w:eastAsia="ja-JP"/>
                          </w:rPr>
                          <w:t>洗浄、除菌、食品衛生、感染予防の製品とサービスにおけるグローバルリーダーであるエコラボは、同社の</w:t>
                        </w:r>
                        <w:r w:rsidRPr="002B19A0">
                          <w:rPr>
                            <w:rFonts w:hint="eastAsia"/>
                            <w:color w:val="545456"/>
                            <w:sz w:val="19"/>
                            <w:szCs w:val="19"/>
                            <w:lang w:eastAsia="ja-JP"/>
                          </w:rPr>
                          <w:t xml:space="preserve"> APEX</w:t>
                        </w:r>
                        <w:r w:rsidRPr="000C572A">
                          <w:rPr>
                            <w:rFonts w:hint="eastAsia"/>
                            <w:color w:val="545456"/>
                            <w:sz w:val="19"/>
                            <w:szCs w:val="19"/>
                            <w:vertAlign w:val="superscript"/>
                            <w:lang w:eastAsia="ja-JP"/>
                          </w:rPr>
                          <w:t>TM</w:t>
                        </w:r>
                        <w:r w:rsidRPr="002B19A0">
                          <w:rPr>
                            <w:rFonts w:hint="eastAsia"/>
                            <w:color w:val="545456"/>
                            <w:sz w:val="19"/>
                            <w:szCs w:val="19"/>
                            <w:lang w:eastAsia="ja-JP"/>
                          </w:rPr>
                          <w:t xml:space="preserve"> </w:t>
                        </w:r>
                        <w:r w:rsidRPr="002B19A0">
                          <w:rPr>
                            <w:rFonts w:ascii="ＭＳ ゴシック" w:eastAsia="ＭＳ ゴシック" w:hAnsi="ＭＳ ゴシック" w:cs="ＭＳ ゴシック" w:hint="eastAsia"/>
                            <w:color w:val="545456"/>
                            <w:sz w:val="19"/>
                            <w:szCs w:val="19"/>
                            <w:lang w:eastAsia="ja-JP"/>
                          </w:rPr>
                          <w:t>自動食器洗浄システムのライフサイクルに関する</w:t>
                        </w:r>
                        <w:r w:rsidRPr="002B19A0">
                          <w:rPr>
                            <w:rFonts w:hint="eastAsia"/>
                            <w:color w:val="545456"/>
                            <w:sz w:val="19"/>
                            <w:szCs w:val="19"/>
                            <w:lang w:eastAsia="ja-JP"/>
                          </w:rPr>
                          <w:t xml:space="preserve"> GHG</w:t>
                        </w:r>
                        <w:r w:rsidRPr="002B19A0">
                          <w:rPr>
                            <w:rFonts w:ascii="ＭＳ ゴシック" w:eastAsia="ＭＳ ゴシック" w:hAnsi="ＭＳ ゴシック" w:cs="ＭＳ ゴシック" w:hint="eastAsia"/>
                            <w:color w:val="545456"/>
                            <w:sz w:val="19"/>
                            <w:szCs w:val="19"/>
                            <w:lang w:eastAsia="ja-JP"/>
                          </w:rPr>
                          <w:t>排出量の算出を行いました。エコラボは、</w:t>
                        </w:r>
                        <w:r w:rsidRPr="002B19A0">
                          <w:rPr>
                            <w:rFonts w:hint="eastAsia"/>
                            <w:color w:val="545456"/>
                            <w:sz w:val="19"/>
                            <w:szCs w:val="19"/>
                            <w:lang w:eastAsia="ja-JP"/>
                          </w:rPr>
                          <w:t>APEX</w:t>
                        </w:r>
                        <w:r w:rsidRPr="000C572A">
                          <w:rPr>
                            <w:rFonts w:hint="eastAsia"/>
                            <w:color w:val="545456"/>
                            <w:sz w:val="19"/>
                            <w:szCs w:val="19"/>
                            <w:vertAlign w:val="superscript"/>
                            <w:lang w:eastAsia="ja-JP"/>
                          </w:rPr>
                          <w:t>TM</w:t>
                        </w:r>
                        <w:r w:rsidRPr="002B19A0">
                          <w:rPr>
                            <w:rFonts w:hint="eastAsia"/>
                            <w:color w:val="545456"/>
                            <w:sz w:val="19"/>
                            <w:szCs w:val="19"/>
                            <w:lang w:eastAsia="ja-JP"/>
                          </w:rPr>
                          <w:t xml:space="preserve"> </w:t>
                        </w:r>
                        <w:r w:rsidRPr="002B19A0">
                          <w:rPr>
                            <w:rFonts w:ascii="ＭＳ ゴシック" w:eastAsia="ＭＳ ゴシック" w:hAnsi="ＭＳ ゴシック" w:cs="ＭＳ ゴシック" w:hint="eastAsia"/>
                            <w:color w:val="545456"/>
                            <w:sz w:val="19"/>
                            <w:szCs w:val="19"/>
                            <w:lang w:eastAsia="ja-JP"/>
                          </w:rPr>
                          <w:t>食器洗浄システムが提供する必要な個々の機能（</w:t>
                        </w:r>
                        <w:r w:rsidRPr="002B19A0">
                          <w:rPr>
                            <w:rFonts w:hint="eastAsia"/>
                            <w:color w:val="545456"/>
                            <w:sz w:val="19"/>
                            <w:szCs w:val="19"/>
                            <w:lang w:eastAsia="ja-JP"/>
                          </w:rPr>
                          <w:t>APEX</w:t>
                        </w:r>
                        <w:r w:rsidRPr="000C572A">
                          <w:rPr>
                            <w:rFonts w:hint="eastAsia"/>
                            <w:color w:val="545456"/>
                            <w:sz w:val="19"/>
                            <w:szCs w:val="19"/>
                            <w:vertAlign w:val="superscript"/>
                            <w:lang w:eastAsia="ja-JP"/>
                          </w:rPr>
                          <w:t>TM</w:t>
                        </w:r>
                        <w:r w:rsidRPr="002B19A0">
                          <w:rPr>
                            <w:rFonts w:hint="eastAsia"/>
                            <w:color w:val="545456"/>
                            <w:sz w:val="19"/>
                            <w:szCs w:val="19"/>
                            <w:lang w:eastAsia="ja-JP"/>
                          </w:rPr>
                          <w:t xml:space="preserve"> Power</w:t>
                        </w:r>
                        <w:r w:rsidRPr="002B19A0">
                          <w:rPr>
                            <w:rFonts w:ascii="ＭＳ ゴシック" w:eastAsia="ＭＳ ゴシック" w:hAnsi="ＭＳ ゴシック" w:cs="ＭＳ ゴシック" w:hint="eastAsia"/>
                            <w:color w:val="545456"/>
                            <w:sz w:val="19"/>
                            <w:szCs w:val="19"/>
                            <w:lang w:eastAsia="ja-JP"/>
                          </w:rPr>
                          <w:t>、</w:t>
                        </w:r>
                        <w:r w:rsidRPr="002B19A0">
                          <w:rPr>
                            <w:rFonts w:hint="eastAsia"/>
                            <w:color w:val="545456"/>
                            <w:sz w:val="19"/>
                            <w:szCs w:val="19"/>
                            <w:lang w:eastAsia="ja-JP"/>
                          </w:rPr>
                          <w:t>APEX</w:t>
                        </w:r>
                        <w:r w:rsidRPr="000C572A">
                          <w:rPr>
                            <w:rFonts w:hint="eastAsia"/>
                            <w:color w:val="545456"/>
                            <w:sz w:val="19"/>
                            <w:szCs w:val="19"/>
                            <w:vertAlign w:val="superscript"/>
                            <w:lang w:eastAsia="ja-JP"/>
                          </w:rPr>
                          <w:t>TM</w:t>
                        </w:r>
                        <w:r w:rsidRPr="002B19A0">
                          <w:rPr>
                            <w:rFonts w:hint="eastAsia"/>
                            <w:color w:val="545456"/>
                            <w:sz w:val="19"/>
                            <w:szCs w:val="19"/>
                            <w:lang w:eastAsia="ja-JP"/>
                          </w:rPr>
                          <w:t xml:space="preserve"> Rinse Additive</w:t>
                        </w:r>
                        <w:r w:rsidRPr="002B19A0">
                          <w:rPr>
                            <w:rFonts w:ascii="ＭＳ ゴシック" w:eastAsia="ＭＳ ゴシック" w:hAnsi="ＭＳ ゴシック" w:cs="ＭＳ ゴシック" w:hint="eastAsia"/>
                            <w:color w:val="545456"/>
                            <w:sz w:val="19"/>
                            <w:szCs w:val="19"/>
                            <w:lang w:eastAsia="ja-JP"/>
                          </w:rPr>
                          <w:t>、</w:t>
                        </w:r>
                        <w:r w:rsidRPr="002B19A0">
                          <w:rPr>
                            <w:rFonts w:hint="eastAsia"/>
                            <w:color w:val="545456"/>
                            <w:sz w:val="19"/>
                            <w:szCs w:val="19"/>
                            <w:lang w:eastAsia="ja-JP"/>
                          </w:rPr>
                          <w:t>APEX</w:t>
                        </w:r>
                        <w:r w:rsidRPr="000C572A">
                          <w:rPr>
                            <w:rFonts w:hint="eastAsia"/>
                            <w:color w:val="545456"/>
                            <w:sz w:val="19"/>
                            <w:szCs w:val="19"/>
                            <w:vertAlign w:val="superscript"/>
                            <w:lang w:eastAsia="ja-JP"/>
                          </w:rPr>
                          <w:t xml:space="preserve">TM </w:t>
                        </w:r>
                        <w:r w:rsidRPr="002B19A0">
                          <w:rPr>
                            <w:rFonts w:hint="eastAsia"/>
                            <w:color w:val="545456"/>
                            <w:sz w:val="19"/>
                            <w:szCs w:val="19"/>
                            <w:lang w:eastAsia="ja-JP"/>
                          </w:rPr>
                          <w:t>Presoak</w:t>
                        </w:r>
                        <w:r w:rsidRPr="002B19A0">
                          <w:rPr>
                            <w:rFonts w:ascii="ＭＳ ゴシック" w:eastAsia="ＭＳ ゴシック" w:hAnsi="ＭＳ ゴシック" w:cs="ＭＳ ゴシック" w:hint="eastAsia"/>
                            <w:color w:val="545456"/>
                            <w:sz w:val="19"/>
                            <w:szCs w:val="19"/>
                            <w:lang w:eastAsia="ja-JP"/>
                          </w:rPr>
                          <w:t>）が含まれた自動食器洗浄機を通じて、清潔で除菌された食器を提供する機能を選択しました。エコラボでは、機能の大きさと期間を、一般的なフードサービス施設での</w:t>
                        </w:r>
                        <w:r w:rsidRPr="002B19A0">
                          <w:rPr>
                            <w:rFonts w:hint="eastAsia"/>
                            <w:color w:val="545456"/>
                            <w:sz w:val="19"/>
                            <w:szCs w:val="19"/>
                            <w:lang w:eastAsia="ja-JP"/>
                          </w:rPr>
                          <w:t>1</w:t>
                        </w:r>
                        <w:r w:rsidRPr="002B19A0">
                          <w:rPr>
                            <w:rFonts w:ascii="ＭＳ ゴシック" w:eastAsia="ＭＳ ゴシック" w:hAnsi="ＭＳ ゴシック" w:cs="ＭＳ ゴシック" w:hint="eastAsia"/>
                            <w:color w:val="545456"/>
                            <w:sz w:val="19"/>
                            <w:szCs w:val="19"/>
                            <w:lang w:eastAsia="ja-JP"/>
                          </w:rPr>
                          <w:t>年間の使用として選びました。また、期待される品質レベルを「清潔で除菌された状態」とし、使用時に</w:t>
                        </w:r>
                        <w:r w:rsidRPr="002B19A0">
                          <w:rPr>
                            <w:rFonts w:hint="eastAsia"/>
                            <w:color w:val="545456"/>
                            <w:sz w:val="19"/>
                            <w:szCs w:val="19"/>
                            <w:lang w:eastAsia="ja-JP"/>
                          </w:rPr>
                          <w:t>180 °F</w:t>
                        </w:r>
                        <w:r w:rsidRPr="002B19A0">
                          <w:rPr>
                            <w:rFonts w:ascii="ＭＳ ゴシック" w:eastAsia="ＭＳ ゴシック" w:hAnsi="ＭＳ ゴシック" w:cs="ＭＳ ゴシック" w:hint="eastAsia"/>
                            <w:color w:val="545456"/>
                            <w:sz w:val="19"/>
                            <w:szCs w:val="19"/>
                            <w:lang w:eastAsia="ja-JP"/>
                          </w:rPr>
                          <w:t>（≒</w:t>
                        </w:r>
                        <w:r w:rsidRPr="002B19A0">
                          <w:rPr>
                            <w:rFonts w:hint="eastAsia"/>
                            <w:color w:val="545456"/>
                            <w:sz w:val="19"/>
                            <w:szCs w:val="19"/>
                            <w:lang w:eastAsia="ja-JP"/>
                          </w:rPr>
                          <w:t>82</w:t>
                        </w:r>
                        <w:r w:rsidRPr="002B19A0">
                          <w:rPr>
                            <w:rFonts w:ascii="ＭＳ ゴシック" w:eastAsia="ＭＳ ゴシック" w:hAnsi="ＭＳ ゴシック" w:cs="ＭＳ ゴシック" w:hint="eastAsia"/>
                            <w:color w:val="545456"/>
                            <w:sz w:val="19"/>
                            <w:szCs w:val="19"/>
                            <w:lang w:eastAsia="ja-JP"/>
                          </w:rPr>
                          <w:t>℃）のお湯が必要であるとしました。この情報を用いて、機能単位は、典型的な給食施設において</w:t>
                        </w:r>
                        <w:r w:rsidRPr="002B19A0">
                          <w:rPr>
                            <w:rFonts w:hint="eastAsia"/>
                            <w:color w:val="545456"/>
                            <w:sz w:val="19"/>
                            <w:szCs w:val="19"/>
                            <w:lang w:eastAsia="ja-JP"/>
                          </w:rPr>
                          <w:t>1</w:t>
                        </w:r>
                        <w:r w:rsidRPr="002B19A0">
                          <w:rPr>
                            <w:rFonts w:ascii="ＭＳ ゴシック" w:eastAsia="ＭＳ ゴシック" w:hAnsi="ＭＳ ゴシック" w:cs="ＭＳ ゴシック" w:hint="eastAsia"/>
                            <w:color w:val="545456"/>
                            <w:sz w:val="19"/>
                            <w:szCs w:val="19"/>
                            <w:lang w:eastAsia="ja-JP"/>
                          </w:rPr>
                          <w:t>年間、自動食器洗浄機を通して清潔で衛生的な食器を提供することと定義しました。</w:t>
                        </w:r>
                      </w:p>
                      <w:p w14:paraId="69993AA8" w14:textId="77777777" w:rsidR="002B19A0" w:rsidRPr="002B19A0" w:rsidRDefault="002B19A0" w:rsidP="002B19A0">
                        <w:pPr>
                          <w:ind w:leftChars="-1" w:left="-2" w:right="27" w:firstLineChars="179" w:firstLine="340"/>
                          <w:rPr>
                            <w:color w:val="545456"/>
                            <w:sz w:val="19"/>
                            <w:szCs w:val="19"/>
                            <w:lang w:eastAsia="ja-JP"/>
                          </w:rPr>
                        </w:pPr>
                        <w:r w:rsidRPr="002B19A0">
                          <w:rPr>
                            <w:rFonts w:ascii="ＭＳ ゴシック" w:eastAsia="ＭＳ ゴシック" w:hAnsi="ＭＳ ゴシック" w:cs="ＭＳ ゴシック" w:hint="eastAsia"/>
                            <w:color w:val="545456"/>
                            <w:sz w:val="19"/>
                            <w:szCs w:val="19"/>
                            <w:lang w:eastAsia="ja-JP"/>
                          </w:rPr>
                          <w:t>基準流量は、その機能を満たすために必要な製品の総重量と定義しました。即ち、</w:t>
                        </w:r>
                      </w:p>
                      <w:p w14:paraId="366C2D67" w14:textId="77777777" w:rsidR="002B19A0" w:rsidRPr="002B19A0" w:rsidRDefault="002B19A0" w:rsidP="002B19A0">
                        <w:pPr>
                          <w:ind w:leftChars="-1" w:left="-2" w:right="27" w:firstLineChars="79" w:firstLine="150"/>
                          <w:rPr>
                            <w:color w:val="545456"/>
                            <w:sz w:val="19"/>
                            <w:szCs w:val="19"/>
                            <w:lang w:eastAsia="ja-JP"/>
                          </w:rPr>
                        </w:pPr>
                        <w:r w:rsidRPr="002B19A0">
                          <w:rPr>
                            <w:rFonts w:hint="eastAsia"/>
                            <w:color w:val="545456"/>
                            <w:sz w:val="19"/>
                            <w:szCs w:val="19"/>
                            <w:lang w:eastAsia="ja-JP"/>
                          </w:rPr>
                          <w:t xml:space="preserve">- </w:t>
                        </w:r>
                        <w:r w:rsidRPr="002B19A0">
                          <w:rPr>
                            <w:rFonts w:ascii="ＭＳ ゴシック" w:eastAsia="ＭＳ ゴシック" w:hAnsi="ＭＳ ゴシック" w:cs="ＭＳ ゴシック" w:hint="eastAsia"/>
                            <w:color w:val="545456"/>
                            <w:sz w:val="19"/>
                            <w:szCs w:val="19"/>
                            <w:lang w:eastAsia="ja-JP"/>
                          </w:rPr>
                          <w:t>年間</w:t>
                        </w:r>
                        <w:r w:rsidRPr="002B19A0">
                          <w:rPr>
                            <w:rFonts w:hint="eastAsia"/>
                            <w:color w:val="545456"/>
                            <w:sz w:val="19"/>
                            <w:szCs w:val="19"/>
                            <w:lang w:eastAsia="ja-JP"/>
                          </w:rPr>
                          <w:t xml:space="preserve"> 360 </w:t>
                        </w:r>
                        <w:r w:rsidRPr="002B19A0">
                          <w:rPr>
                            <w:rFonts w:ascii="ＭＳ ゴシック" w:eastAsia="ＭＳ ゴシック" w:hAnsi="ＭＳ ゴシック" w:cs="ＭＳ ゴシック" w:hint="eastAsia"/>
                            <w:color w:val="545456"/>
                            <w:sz w:val="19"/>
                            <w:szCs w:val="19"/>
                            <w:lang w:eastAsia="ja-JP"/>
                          </w:rPr>
                          <w:t>日間稼働する一般的な施設において、</w:t>
                        </w:r>
                        <w:r w:rsidRPr="002B19A0">
                          <w:rPr>
                            <w:rFonts w:hint="eastAsia"/>
                            <w:color w:val="545456"/>
                            <w:sz w:val="19"/>
                            <w:szCs w:val="19"/>
                            <w:lang w:eastAsia="ja-JP"/>
                          </w:rPr>
                          <w:t xml:space="preserve">1 </w:t>
                        </w:r>
                        <w:r w:rsidRPr="002B19A0">
                          <w:rPr>
                            <w:rFonts w:ascii="ＭＳ ゴシック" w:eastAsia="ＭＳ ゴシック" w:hAnsi="ＭＳ ゴシック" w:cs="ＭＳ ゴシック" w:hint="eastAsia"/>
                            <w:color w:val="545456"/>
                            <w:sz w:val="19"/>
                            <w:szCs w:val="19"/>
                            <w:lang w:eastAsia="ja-JP"/>
                          </w:rPr>
                          <w:t>日あたり</w:t>
                        </w:r>
                        <w:r w:rsidRPr="002B19A0">
                          <w:rPr>
                            <w:rFonts w:hint="eastAsia"/>
                            <w:color w:val="545456"/>
                            <w:sz w:val="19"/>
                            <w:szCs w:val="19"/>
                            <w:lang w:eastAsia="ja-JP"/>
                          </w:rPr>
                          <w:t xml:space="preserve"> 500 </w:t>
                        </w:r>
                        <w:r w:rsidRPr="002B19A0">
                          <w:rPr>
                            <w:rFonts w:ascii="ＭＳ ゴシック" w:eastAsia="ＭＳ ゴシック" w:hAnsi="ＭＳ ゴシック" w:cs="ＭＳ ゴシック" w:hint="eastAsia"/>
                            <w:color w:val="545456"/>
                            <w:sz w:val="19"/>
                            <w:szCs w:val="19"/>
                            <w:lang w:eastAsia="ja-JP"/>
                          </w:rPr>
                          <w:t>ラックの食器を洗浄し、</w:t>
                        </w:r>
                      </w:p>
                      <w:p w14:paraId="6F16913F" w14:textId="77777777" w:rsidR="002B19A0" w:rsidRPr="002B19A0" w:rsidRDefault="002B19A0" w:rsidP="002B19A0">
                        <w:pPr>
                          <w:ind w:leftChars="-1" w:left="-2" w:right="27" w:firstLineChars="79" w:firstLine="150"/>
                          <w:rPr>
                            <w:color w:val="545456"/>
                            <w:sz w:val="19"/>
                            <w:szCs w:val="19"/>
                            <w:lang w:eastAsia="ja-JP"/>
                          </w:rPr>
                        </w:pPr>
                        <w:r w:rsidRPr="002B19A0">
                          <w:rPr>
                            <w:rFonts w:hint="eastAsia"/>
                            <w:color w:val="545456"/>
                            <w:sz w:val="19"/>
                            <w:szCs w:val="19"/>
                            <w:lang w:eastAsia="ja-JP"/>
                          </w:rPr>
                          <w:t xml:space="preserve">- </w:t>
                        </w:r>
                        <w:r w:rsidRPr="002B19A0">
                          <w:rPr>
                            <w:rFonts w:ascii="ＭＳ ゴシック" w:eastAsia="ＭＳ ゴシック" w:hAnsi="ＭＳ ゴシック" w:cs="ＭＳ ゴシック" w:hint="eastAsia"/>
                            <w:color w:val="545456"/>
                            <w:sz w:val="19"/>
                            <w:szCs w:val="19"/>
                            <w:lang w:eastAsia="ja-JP"/>
                          </w:rPr>
                          <w:t>食器洗浄機内の平均洗剤濃度</w:t>
                        </w:r>
                        <w:r w:rsidRPr="002B19A0">
                          <w:rPr>
                            <w:rFonts w:hint="eastAsia"/>
                            <w:color w:val="545456"/>
                            <w:sz w:val="19"/>
                            <w:szCs w:val="19"/>
                            <w:lang w:eastAsia="ja-JP"/>
                          </w:rPr>
                          <w:t>1800ppm</w:t>
                        </w:r>
                        <w:r w:rsidRPr="002B19A0">
                          <w:rPr>
                            <w:rFonts w:ascii="ＭＳ ゴシック" w:eastAsia="ＭＳ ゴシック" w:hAnsi="ＭＳ ゴシック" w:cs="ＭＳ ゴシック" w:hint="eastAsia"/>
                            <w:color w:val="545456"/>
                            <w:sz w:val="19"/>
                            <w:szCs w:val="19"/>
                            <w:lang w:eastAsia="ja-JP"/>
                          </w:rPr>
                          <w:t>（定常状態の仮定）の状態で、</w:t>
                        </w:r>
                      </w:p>
                      <w:p w14:paraId="4FCF0D01" w14:textId="77777777" w:rsidR="002B19A0" w:rsidRPr="002B19A0" w:rsidRDefault="002B19A0" w:rsidP="002B19A0">
                        <w:pPr>
                          <w:ind w:leftChars="-1" w:left="-2" w:right="27" w:firstLineChars="79" w:firstLine="150"/>
                          <w:rPr>
                            <w:color w:val="545456"/>
                            <w:sz w:val="19"/>
                            <w:szCs w:val="19"/>
                            <w:lang w:eastAsia="ja-JP"/>
                          </w:rPr>
                        </w:pPr>
                        <w:r w:rsidRPr="002B19A0">
                          <w:rPr>
                            <w:rFonts w:hint="eastAsia"/>
                            <w:color w:val="545456"/>
                            <w:sz w:val="19"/>
                            <w:szCs w:val="19"/>
                            <w:lang w:eastAsia="ja-JP"/>
                          </w:rPr>
                          <w:t xml:space="preserve">- </w:t>
                        </w:r>
                        <w:r w:rsidRPr="002B19A0">
                          <w:rPr>
                            <w:rFonts w:ascii="ＭＳ ゴシック" w:eastAsia="ＭＳ ゴシック" w:hAnsi="ＭＳ ゴシック" w:cs="ＭＳ ゴシック" w:hint="eastAsia"/>
                            <w:color w:val="545456"/>
                            <w:sz w:val="19"/>
                            <w:szCs w:val="19"/>
                            <w:lang w:eastAsia="ja-JP"/>
                          </w:rPr>
                          <w:t>食器</w:t>
                        </w:r>
                        <w:r w:rsidRPr="002B19A0">
                          <w:rPr>
                            <w:rFonts w:hint="eastAsia"/>
                            <w:color w:val="545456"/>
                            <w:sz w:val="19"/>
                            <w:szCs w:val="19"/>
                            <w:lang w:eastAsia="ja-JP"/>
                          </w:rPr>
                          <w:t xml:space="preserve"> 1 </w:t>
                        </w:r>
                        <w:r w:rsidRPr="002B19A0">
                          <w:rPr>
                            <w:rFonts w:ascii="ＭＳ ゴシック" w:eastAsia="ＭＳ ゴシック" w:hAnsi="ＭＳ ゴシック" w:cs="ＭＳ ゴシック" w:hint="eastAsia"/>
                            <w:color w:val="545456"/>
                            <w:sz w:val="19"/>
                            <w:szCs w:val="19"/>
                            <w:lang w:eastAsia="ja-JP"/>
                          </w:rPr>
                          <w:t>ラックあたり</w:t>
                        </w:r>
                        <w:r w:rsidRPr="002B19A0">
                          <w:rPr>
                            <w:rFonts w:hint="eastAsia"/>
                            <w:color w:val="545456"/>
                            <w:sz w:val="19"/>
                            <w:szCs w:val="19"/>
                            <w:lang w:eastAsia="ja-JP"/>
                          </w:rPr>
                          <w:t xml:space="preserve"> 0.15 </w:t>
                        </w:r>
                        <w:r w:rsidRPr="002B19A0">
                          <w:rPr>
                            <w:rFonts w:ascii="ＭＳ ゴシック" w:eastAsia="ＭＳ ゴシック" w:hAnsi="ＭＳ ゴシック" w:cs="ＭＳ ゴシック" w:hint="eastAsia"/>
                            <w:color w:val="545456"/>
                            <w:sz w:val="19"/>
                            <w:szCs w:val="19"/>
                            <w:lang w:eastAsia="ja-JP"/>
                          </w:rPr>
                          <w:t>グラムのリンス添加剤を用い、</w:t>
                        </w:r>
                      </w:p>
                      <w:p w14:paraId="5532C796" w14:textId="77777777" w:rsidR="002B19A0" w:rsidRPr="002B19A0" w:rsidRDefault="002B19A0" w:rsidP="002B19A0">
                        <w:pPr>
                          <w:ind w:leftChars="-1" w:left="-2" w:right="27" w:firstLineChars="79" w:firstLine="150"/>
                          <w:rPr>
                            <w:color w:val="545456"/>
                            <w:sz w:val="19"/>
                            <w:szCs w:val="19"/>
                            <w:lang w:eastAsia="ja-JP"/>
                          </w:rPr>
                        </w:pPr>
                        <w:r w:rsidRPr="002B19A0">
                          <w:rPr>
                            <w:rFonts w:hint="eastAsia"/>
                            <w:color w:val="545456"/>
                            <w:sz w:val="19"/>
                            <w:szCs w:val="19"/>
                            <w:lang w:eastAsia="ja-JP"/>
                          </w:rPr>
                          <w:t>- 4000ppm</w:t>
                        </w:r>
                        <w:r w:rsidRPr="002B19A0">
                          <w:rPr>
                            <w:rFonts w:ascii="ＭＳ ゴシック" w:eastAsia="ＭＳ ゴシック" w:hAnsi="ＭＳ ゴシック" w:cs="ＭＳ ゴシック" w:hint="eastAsia"/>
                            <w:color w:val="545456"/>
                            <w:sz w:val="19"/>
                            <w:szCs w:val="19"/>
                            <w:lang w:eastAsia="ja-JP"/>
                          </w:rPr>
                          <w:t>のプレソーク濃度、</w:t>
                        </w:r>
                        <w:r w:rsidRPr="002B19A0">
                          <w:rPr>
                            <w:rFonts w:hint="eastAsia"/>
                            <w:color w:val="545456"/>
                            <w:sz w:val="19"/>
                            <w:szCs w:val="19"/>
                            <w:lang w:eastAsia="ja-JP"/>
                          </w:rPr>
                          <w:t>1</w:t>
                        </w:r>
                        <w:r w:rsidRPr="002B19A0">
                          <w:rPr>
                            <w:rFonts w:ascii="ＭＳ ゴシック" w:eastAsia="ＭＳ ゴシック" w:hAnsi="ＭＳ ゴシック" w:cs="ＭＳ ゴシック" w:hint="eastAsia"/>
                            <w:color w:val="545456"/>
                            <w:sz w:val="19"/>
                            <w:szCs w:val="19"/>
                            <w:lang w:eastAsia="ja-JP"/>
                          </w:rPr>
                          <w:t>日</w:t>
                        </w:r>
                        <w:r w:rsidRPr="002B19A0">
                          <w:rPr>
                            <w:rFonts w:hint="eastAsia"/>
                            <w:color w:val="545456"/>
                            <w:sz w:val="19"/>
                            <w:szCs w:val="19"/>
                            <w:lang w:eastAsia="ja-JP"/>
                          </w:rPr>
                          <w:t>2</w:t>
                        </w:r>
                        <w:r w:rsidRPr="002B19A0">
                          <w:rPr>
                            <w:rFonts w:ascii="ＭＳ ゴシック" w:eastAsia="ＭＳ ゴシック" w:hAnsi="ＭＳ ゴシック" w:cs="ＭＳ ゴシック" w:hint="eastAsia"/>
                            <w:color w:val="545456"/>
                            <w:sz w:val="19"/>
                            <w:szCs w:val="19"/>
                            <w:lang w:eastAsia="ja-JP"/>
                          </w:rPr>
                          <w:t>回吐出する場合。</w:t>
                        </w:r>
                      </w:p>
                      <w:p w14:paraId="4B0F4ECB" w14:textId="27CF4129" w:rsidR="002B19A0" w:rsidRPr="002B19A0" w:rsidRDefault="002B19A0" w:rsidP="002B19A0">
                        <w:pPr>
                          <w:ind w:leftChars="-1" w:left="-2" w:right="27" w:firstLineChars="79" w:firstLine="150"/>
                          <w:rPr>
                            <w:rFonts w:eastAsiaTheme="minorEastAsia"/>
                            <w:sz w:val="19"/>
                            <w:szCs w:val="19"/>
                            <w:lang w:eastAsia="ja-JP"/>
                          </w:rPr>
                        </w:pPr>
                        <w:r w:rsidRPr="002B19A0">
                          <w:rPr>
                            <w:rFonts w:ascii="ＭＳ ゴシック" w:eastAsia="ＭＳ ゴシック" w:hAnsi="ＭＳ ゴシック" w:cs="ＭＳ ゴシック" w:hint="eastAsia"/>
                            <w:color w:val="545456"/>
                            <w:sz w:val="19"/>
                            <w:szCs w:val="19"/>
                            <w:lang w:eastAsia="ja-JP"/>
                          </w:rPr>
                          <w:t>すべての機能、品質、規模、および期間を考慮した詳細な機能単位を定義することで、エコラボは基準フローを迅速かつ正確に定義することができました。さらに、製品の使用状況について収集した情報は、境界設定（第</w:t>
                        </w:r>
                        <w:r w:rsidRPr="002B19A0">
                          <w:rPr>
                            <w:rFonts w:hint="eastAsia"/>
                            <w:color w:val="545456"/>
                            <w:sz w:val="19"/>
                            <w:szCs w:val="19"/>
                            <w:lang w:eastAsia="ja-JP"/>
                          </w:rPr>
                          <w:t>7</w:t>
                        </w:r>
                        <w:r w:rsidRPr="002B19A0">
                          <w:rPr>
                            <w:rFonts w:ascii="ＭＳ ゴシック" w:eastAsia="ＭＳ ゴシック" w:hAnsi="ＭＳ ゴシック" w:cs="ＭＳ ゴシック" w:hint="eastAsia"/>
                            <w:color w:val="545456"/>
                            <w:sz w:val="19"/>
                            <w:szCs w:val="19"/>
                            <w:lang w:eastAsia="ja-JP"/>
                          </w:rPr>
                          <w:t>章）の際に使用プロファイルを簡単に定義するために使用されました。</w:t>
                        </w:r>
                      </w:p>
                    </w:txbxContent>
                  </v:textbox>
                </v:rect>
                <v:shape id="フリーフォーム: 図形 60" o:spid="_x0000_s1048" style="position:absolute;width:64770;height:3149;visibility:visible;mso-wrap-style:square;v-text-anchor:top" coordsize="7409,4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" adj="-11796480,,5400" path="m7238,l170,,72,3,21,21,2,72,,170,,495r7408,l7408,170r-3,-98l7387,21,7336,3,7238,xe" fillcolor="#00aca1" stroked="f">
                  <v:stroke joinstyle="round"/>
                  <v:formulas/>
                  <v:path arrowok="t" o:connecttype="custom" o:connectlocs="6327511,-3175;148615,-3175;62943,-1270;18358,10160;1748,42545;0,104775;0,311150;6476126,311150;6476126,104775;6473503,42545;6457767,10160;6413183,-1270;6327511,-3175" o:connectangles="0,0,0,0,0,0,0,0,0,0,0,0,0" textboxrect="0,0,7409,496"/>
                  <v:textbox>
                    <w:txbxContent>
                      <w:p w14:paraId="011692EE" w14:textId="77777777" w:rsidR="008B30E1" w:rsidRDefault="008B30E1" w:rsidP="008B30E1">
                        <w:pPr>
                          <w:rPr>
                            <w:b/>
                            <w:bCs/>
                            <w:i/>
                            <w:iCs/>
                            <w:color w:val="FFFFFF" w:themeColor="background1"/>
                            <w:sz w:val="20"/>
                            <w:szCs w:val="21"/>
                          </w:rPr>
                        </w:pPr>
                        <w:proofErr w:type="spellStart"/>
                        <w:r>
                          <w:rPr>
                            <w:rFonts w:ascii="ＭＳ ゴシック" w:eastAsia="ＭＳ ゴシック" w:hAnsi="ＭＳ ゴシック" w:cs="ＭＳ ゴシック" w:hint="eastAsia"/>
                            <w:b/>
                            <w:bCs/>
                            <w:i/>
                            <w:iCs/>
                            <w:color w:val="FFFFFF" w:themeColor="background1"/>
                            <w:sz w:val="20"/>
                            <w:szCs w:val="21"/>
                          </w:rPr>
                          <w:t>エコラ</w:t>
                        </w:r>
                        <w:r>
                          <w:rPr>
                            <w:rFonts w:hint="eastAsia"/>
                            <w:b/>
                            <w:bCs/>
                            <w:i/>
                            <w:iCs/>
                            <w:color w:val="FFFFFF" w:themeColor="background1"/>
                            <w:sz w:val="20"/>
                            <w:szCs w:val="21"/>
                          </w:rPr>
                          <w:t>ボ</w:t>
                        </w:r>
                        <w:proofErr w:type="spellEnd"/>
                      </w:p>
                    </w:txbxContent>
                  </v:textbox>
                </v:shape>
              </v:group>
            </w:pict>
          </mc:Fallback>
        </mc:AlternateContent>
      </w:r>
    </w:p>
    <w:p w14:paraId="63FACA32" w14:textId="18871FCA" w:rsidR="0055291C" w:rsidRDefault="00000000">
      <w:pPr>
        <w:pStyle w:val="a3"/>
        <w:ind w:left="1133"/>
        <w:rPr>
          <w:sz w:val="20"/>
        </w:rPr>
      </w:pPr>
      <w:r>
        <w:rPr>
          <w:sz w:val="20"/>
        </w:rPr>
      </w:r>
      <w:r>
        <w:rPr>
          <w:sz w:val="20"/>
        </w:rPr>
        <w:pict w14:anchorId="30413E66">
          <v:group id="docshapegroup486" o:spid="_x0000_s3308" style="width:498.65pt;height:321.45pt;mso-position-horizontal-relative:char;mso-position-vertical-relative:line" coordsize="9973,6429">
            <v:shape id="docshape487" o:spid="_x0000_s3310" type="#_x0000_t75" style="position:absolute;width:9973;height:6429">
              <v:imagedata r:id="rId127" o:title=""/>
            </v:shape>
            <v:shape id="docshape488" o:spid="_x0000_s3309" type="#_x0000_t202" style="position:absolute;left:4732;top:956;width:5210;height:213" filled="f" stroked="f">
              <v:textbox style="mso-next-textbox:#docshape488" inset="0,0,0,0">
                <w:txbxContent>
                  <w:p w14:paraId="0CC59F8E" w14:textId="77777777" w:rsidR="0055291C" w:rsidRDefault="00F23C61">
                    <w:pPr>
                      <w:spacing w:line="213" w:lineRule="exact"/>
                      <w:rPr>
                        <w:rFonts w:ascii="Arial"/>
                        <w:i/>
                        <w:sz w:val="19"/>
                      </w:rPr>
                    </w:pPr>
                    <w:r>
                      <w:rPr>
                        <w:rFonts w:ascii="Arial"/>
                        <w:b/>
                        <w:i/>
                        <w:color w:val="7F3F98"/>
                        <w:sz w:val="19"/>
                      </w:rPr>
                      <w:t>CHAPTER</w:t>
                    </w:r>
                    <w:r>
                      <w:rPr>
                        <w:rFonts w:ascii="Arial"/>
                        <w:b/>
                        <w:i/>
                        <w:color w:val="7F3F98"/>
                        <w:spacing w:val="10"/>
                        <w:sz w:val="19"/>
                      </w:rPr>
                      <w:t xml:space="preserve"> </w:t>
                    </w:r>
                    <w:r>
                      <w:rPr>
                        <w:rFonts w:ascii="Arial"/>
                        <w:b/>
                        <w:i/>
                        <w:color w:val="7F3F98"/>
                        <w:sz w:val="19"/>
                      </w:rPr>
                      <w:t>06</w:t>
                    </w:r>
                    <w:r>
                      <w:rPr>
                        <w:rFonts w:ascii="Arial"/>
                        <w:b/>
                        <w:i/>
                        <w:color w:val="7F3F98"/>
                        <w:spacing w:val="10"/>
                        <w:sz w:val="19"/>
                      </w:rPr>
                      <w:t xml:space="preserve"> </w:t>
                    </w:r>
                    <w:r>
                      <w:rPr>
                        <w:rFonts w:ascii="Arial"/>
                        <w:i/>
                        <w:color w:val="545456"/>
                        <w:sz w:val="19"/>
                      </w:rPr>
                      <w:t>Establishing</w:t>
                    </w:r>
                    <w:r>
                      <w:rPr>
                        <w:rFonts w:ascii="Arial"/>
                        <w:i/>
                        <w:color w:val="545456"/>
                        <w:spacing w:val="8"/>
                        <w:sz w:val="19"/>
                      </w:rPr>
                      <w:t xml:space="preserve"> </w:t>
                    </w:r>
                    <w:r>
                      <w:rPr>
                        <w:rFonts w:ascii="Arial"/>
                        <w:i/>
                        <w:color w:val="545456"/>
                        <w:sz w:val="19"/>
                      </w:rPr>
                      <w:t>the</w:t>
                    </w:r>
                    <w:r>
                      <w:rPr>
                        <w:rFonts w:ascii="Arial"/>
                        <w:i/>
                        <w:color w:val="545456"/>
                        <w:spacing w:val="8"/>
                        <w:sz w:val="19"/>
                      </w:rPr>
                      <w:t xml:space="preserve"> </w:t>
                    </w:r>
                    <w:r>
                      <w:rPr>
                        <w:rFonts w:ascii="Arial"/>
                        <w:i/>
                        <w:color w:val="545456"/>
                        <w:sz w:val="19"/>
                      </w:rPr>
                      <w:t>Scope</w:t>
                    </w:r>
                    <w:r>
                      <w:rPr>
                        <w:rFonts w:ascii="Arial"/>
                        <w:i/>
                        <w:color w:val="545456"/>
                        <w:spacing w:val="8"/>
                        <w:sz w:val="19"/>
                      </w:rPr>
                      <w:t xml:space="preserve"> </w:t>
                    </w:r>
                    <w:r>
                      <w:rPr>
                        <w:rFonts w:ascii="Arial"/>
                        <w:i/>
                        <w:color w:val="545456"/>
                        <w:sz w:val="19"/>
                      </w:rPr>
                      <w:t>of</w:t>
                    </w:r>
                    <w:r>
                      <w:rPr>
                        <w:rFonts w:ascii="Arial"/>
                        <w:i/>
                        <w:color w:val="545456"/>
                        <w:spacing w:val="8"/>
                        <w:sz w:val="19"/>
                      </w:rPr>
                      <w:t xml:space="preserve"> </w:t>
                    </w:r>
                    <w:r>
                      <w:rPr>
                        <w:rFonts w:ascii="Arial"/>
                        <w:i/>
                        <w:color w:val="545456"/>
                        <w:sz w:val="19"/>
                      </w:rPr>
                      <w:t>a</w:t>
                    </w:r>
                    <w:r>
                      <w:rPr>
                        <w:rFonts w:ascii="Arial"/>
                        <w:i/>
                        <w:color w:val="545456"/>
                        <w:spacing w:val="8"/>
                        <w:sz w:val="19"/>
                      </w:rPr>
                      <w:t xml:space="preserve"> </w:t>
                    </w:r>
                    <w:r>
                      <w:rPr>
                        <w:rFonts w:ascii="Arial"/>
                        <w:i/>
                        <w:color w:val="545456"/>
                        <w:sz w:val="19"/>
                      </w:rPr>
                      <w:t>Product</w:t>
                    </w:r>
                    <w:r>
                      <w:rPr>
                        <w:rFonts w:ascii="Arial"/>
                        <w:i/>
                        <w:color w:val="545456"/>
                        <w:spacing w:val="8"/>
                        <w:sz w:val="19"/>
                      </w:rPr>
                      <w:t xml:space="preserve"> </w:t>
                    </w:r>
                    <w:r>
                      <w:rPr>
                        <w:rFonts w:ascii="Arial"/>
                        <w:i/>
                        <w:color w:val="545456"/>
                        <w:sz w:val="19"/>
                      </w:rPr>
                      <w:t>Inventory</w:t>
                    </w:r>
                  </w:p>
                </w:txbxContent>
              </v:textbox>
            </v:shape>
            <w10:anchorlock/>
          </v:group>
        </w:pict>
      </w:r>
    </w:p>
    <w:p w14:paraId="272BDBCC" w14:textId="77777777" w:rsidR="0055291C" w:rsidRDefault="0055291C">
      <w:pPr>
        <w:pStyle w:val="a3"/>
        <w:spacing w:before="3"/>
        <w:rPr>
          <w:sz w:val="26"/>
        </w:rPr>
      </w:pPr>
    </w:p>
    <w:p w14:paraId="589BEFB5" w14:textId="77777777" w:rsidR="0055291C" w:rsidRDefault="0055291C">
      <w:pPr>
        <w:rPr>
          <w:sz w:val="26"/>
        </w:rPr>
        <w:sectPr w:rsidR="0055291C">
          <w:headerReference w:type="default" r:id="rId128"/>
          <w:footerReference w:type="default" r:id="rId129"/>
          <w:pgSz w:w="12240" w:h="15840"/>
          <w:pgMar w:top="0" w:right="0" w:bottom="1040" w:left="0" w:header="0" w:footer="859" w:gutter="0"/>
          <w:pgNumType w:start="31"/>
          <w:cols w:space="720"/>
        </w:sectPr>
      </w:pPr>
    </w:p>
    <w:p w14:paraId="6D9CF111" w14:textId="4CA51D11" w:rsidR="0055291C" w:rsidRDefault="004A5A63" w:rsidP="004A5A63">
      <w:pPr>
        <w:pStyle w:val="a3"/>
        <w:spacing w:before="2" w:line="312" w:lineRule="auto"/>
        <w:ind w:left="1133" w:right="203" w:firstLineChars="100" w:firstLine="190"/>
        <w:rPr>
          <w:lang w:eastAsia="ja-JP"/>
        </w:rPr>
      </w:pPr>
      <w:r w:rsidRPr="004A5A63">
        <w:rPr>
          <w:rFonts w:ascii="ＭＳ ゴシック" w:eastAsia="ＭＳ ゴシック" w:hAnsi="ＭＳ ゴシック" w:cs="ＭＳ ゴシック" w:hint="eastAsia"/>
          <w:lang w:eastAsia="ja-JP"/>
        </w:rPr>
        <w:t>企業によっては、一つの製品を複数の種類（例：異なる味や色）</w:t>
      </w:r>
      <w:r w:rsidRPr="004A5A63">
        <w:rPr>
          <w:lang w:eastAsia="ja-JP"/>
        </w:rPr>
        <w:t xml:space="preserve"> </w:t>
      </w:r>
      <w:r w:rsidRPr="004A5A63">
        <w:rPr>
          <w:rFonts w:ascii="ＭＳ ゴシック" w:eastAsia="ＭＳ ゴシック" w:hAnsi="ＭＳ ゴシック" w:cs="ＭＳ ゴシック" w:hint="eastAsia"/>
          <w:lang w:eastAsia="ja-JP"/>
        </w:rPr>
        <w:t>で生産している場合があります。このようなバリエーションが</w:t>
      </w:r>
      <w:r w:rsidRPr="004A5A63">
        <w:rPr>
          <w:lang w:eastAsia="ja-JP"/>
        </w:rPr>
        <w:t>GHG</w:t>
      </w:r>
      <w:r w:rsidRPr="004A5A63">
        <w:rPr>
          <w:rFonts w:ascii="ＭＳ ゴシック" w:eastAsia="ＭＳ ゴシック" w:hAnsi="ＭＳ ゴシック" w:cs="ＭＳ ゴシック" w:hint="eastAsia"/>
          <w:lang w:eastAsia="ja-JP"/>
        </w:rPr>
        <w:t>算出の結果に影響を与えない場合（第</w:t>
      </w:r>
      <w:r w:rsidRPr="004A5A63">
        <w:rPr>
          <w:lang w:eastAsia="ja-JP"/>
        </w:rPr>
        <w:t>11</w:t>
      </w:r>
      <w:r w:rsidRPr="004A5A63">
        <w:rPr>
          <w:rFonts w:ascii="ＭＳ ゴシック" w:eastAsia="ＭＳ ゴシック" w:hAnsi="ＭＳ ゴシック" w:cs="ＭＳ ゴシック" w:hint="eastAsia"/>
          <w:lang w:eastAsia="ja-JP"/>
        </w:rPr>
        <w:t>章）、企業は、</w:t>
      </w:r>
      <w:r w:rsidRPr="004A5A63">
        <w:rPr>
          <w:lang w:eastAsia="ja-JP"/>
        </w:rPr>
        <w:t>GHG</w:t>
      </w:r>
      <w:r w:rsidRPr="004A5A63">
        <w:rPr>
          <w:rFonts w:ascii="ＭＳ ゴシック" w:eastAsia="ＭＳ ゴシック" w:hAnsi="ＭＳ ゴシック" w:cs="ＭＳ ゴシック" w:hint="eastAsia"/>
          <w:lang w:eastAsia="ja-JP"/>
        </w:rPr>
        <w:t>排出量報告書がすべての製品バリエーションに適用できるように、機能単位を十分に広く定義することができます。機能単位とその後の算出結果がいくつかの製品バリエーションに適用される場合、報告書にその旨を記載する必要があります。</w:t>
      </w:r>
    </w:p>
    <w:p w14:paraId="38D8FC02" w14:textId="24D88891" w:rsidR="0055291C" w:rsidRDefault="004A5A63" w:rsidP="004A5A63">
      <w:pPr>
        <w:pStyle w:val="7"/>
        <w:spacing w:line="292" w:lineRule="auto"/>
        <w:ind w:right="1118" w:hanging="530"/>
        <w:rPr>
          <w:lang w:eastAsia="ja-JP"/>
        </w:rPr>
      </w:pPr>
      <w:r w:rsidRPr="004A5A63">
        <w:rPr>
          <w:color w:val="00B8B1"/>
          <w:lang w:eastAsia="ja-JP"/>
        </w:rPr>
        <w:t>6.3.3</w:t>
      </w:r>
      <w:r>
        <w:rPr>
          <w:rFonts w:ascii="ＭＳ 明朝" w:eastAsia="ＭＳ 明朝" w:hAnsi="ＭＳ 明朝" w:cs="ＭＳ 明朝" w:hint="eastAsia"/>
          <w:color w:val="00B8B1"/>
          <w:lang w:eastAsia="ja-JP"/>
        </w:rPr>
        <w:t xml:space="preserve">　</w:t>
      </w:r>
      <w:r w:rsidRPr="004A5A63">
        <w:rPr>
          <w:rFonts w:ascii="ＭＳ 明朝" w:eastAsia="ＭＳ 明朝" w:hAnsi="ＭＳ 明朝" w:cs="ＭＳ 明朝" w:hint="eastAsia"/>
          <w:color w:val="00B8B1"/>
          <w:lang w:eastAsia="ja-JP"/>
        </w:rPr>
        <w:t>中間製品の分析単位の定義</w:t>
      </w:r>
    </w:p>
    <w:p w14:paraId="3895D1C4" w14:textId="573F4B80" w:rsidR="0055291C" w:rsidRPr="00605DAD" w:rsidRDefault="004A4307" w:rsidP="00605DAD">
      <w:pPr>
        <w:pStyle w:val="a3"/>
        <w:spacing w:before="11" w:line="312" w:lineRule="auto"/>
        <w:ind w:left="1133" w:firstLineChars="100" w:firstLine="190"/>
        <w:rPr>
          <w:rFonts w:eastAsiaTheme="minorEastAsia"/>
          <w:lang w:eastAsia="ja-JP"/>
        </w:rPr>
      </w:pPr>
      <w:r w:rsidRPr="004A4307">
        <w:rPr>
          <w:rFonts w:ascii="ＭＳ ゴシック" w:eastAsia="ＭＳ ゴシック" w:hAnsi="ＭＳ ゴシック" w:cs="ＭＳ ゴシック" w:hint="eastAsia"/>
          <w:color w:val="545456"/>
          <w:lang w:eastAsia="ja-JP"/>
        </w:rPr>
        <w:t>中間製品は最終製品のインプットとして使用されるもので、中間製品の</w:t>
      </w:r>
      <w:r w:rsidRPr="004A4307">
        <w:rPr>
          <w:color w:val="545456"/>
          <w:lang w:eastAsia="ja-JP"/>
        </w:rPr>
        <w:t>GHG</w:t>
      </w:r>
      <w:r w:rsidRPr="004A4307">
        <w:rPr>
          <w:rFonts w:ascii="ＭＳ ゴシック" w:eastAsia="ＭＳ ゴシック" w:hAnsi="ＭＳ ゴシック" w:cs="ＭＳ ゴシック" w:hint="eastAsia"/>
          <w:color w:val="545456"/>
          <w:lang w:eastAsia="ja-JP"/>
        </w:rPr>
        <w:t>排出量算出を行う企業は、最終製品の機能を知っている場合もあれば、知らない場合もあるでしょう。例えば、棒鋼は多くの用途があるため、鉄鋼生産会社にとって特定の最終用途が分からない場合があります。一方、特定の用途のために製造された特殊な中間製品の製造者は、最終製品の機能も知っている可能性があります。最終製品の機能が分かっている場合、企業は分析単位を機能単位と定義するべきです。</w:t>
      </w:r>
    </w:p>
    <w:p w14:paraId="26FDC72B" w14:textId="77777777" w:rsidR="00140901" w:rsidRDefault="00605DAD" w:rsidP="00140901">
      <w:pPr>
        <w:pStyle w:val="a3"/>
        <w:spacing w:before="102" w:line="312" w:lineRule="auto"/>
        <w:ind w:leftChars="515" w:left="1136" w:right="167" w:hanging="3"/>
        <w:rPr>
          <w:rFonts w:ascii="ＭＳ ゴシック" w:eastAsia="ＭＳ ゴシック" w:hAnsi="ＭＳ ゴシック" w:cs="ＭＳ ゴシック"/>
          <w:color w:val="545456"/>
          <w:spacing w:val="-1"/>
          <w:lang w:eastAsia="ja-JP"/>
        </w:rPr>
      </w:pPr>
      <w:r w:rsidRPr="00605DAD">
        <w:rPr>
          <w:rFonts w:ascii="ＭＳ ゴシック" w:eastAsia="ＭＳ ゴシック" w:hAnsi="ＭＳ ゴシック" w:cs="ＭＳ ゴシック" w:hint="eastAsia"/>
          <w:color w:val="545456"/>
          <w:spacing w:val="-1"/>
          <w:lang w:eastAsia="ja-JP"/>
        </w:rPr>
        <w:t>最終製品の機能が不明な中間製品については、分析単位は参照フローとします。機能単位を持たない参照フローを定義する際の一般的な経験則として、意味のある</w:t>
      </w:r>
      <w:r w:rsidRPr="00605DAD">
        <w:rPr>
          <w:color w:val="545456"/>
          <w:spacing w:val="-1"/>
          <w:lang w:eastAsia="ja-JP"/>
        </w:rPr>
        <w:t>GHG</w:t>
      </w:r>
      <w:r w:rsidRPr="00605DAD">
        <w:rPr>
          <w:rFonts w:ascii="ＭＳ ゴシック" w:eastAsia="ＭＳ ゴシック" w:hAnsi="ＭＳ ゴシック" w:cs="ＭＳ ゴシック" w:hint="eastAsia"/>
          <w:color w:val="545456"/>
          <w:spacing w:val="-1"/>
          <w:lang w:eastAsia="ja-JP"/>
        </w:rPr>
        <w:t>算出結果を提供する値を使用することが挙げられます。</w:t>
      </w:r>
    </w:p>
    <w:p w14:paraId="669D1D0C" w14:textId="71716A09" w:rsidR="0055291C" w:rsidRDefault="00605DAD" w:rsidP="00140901">
      <w:pPr>
        <w:pStyle w:val="a3"/>
        <w:spacing w:before="102" w:line="312" w:lineRule="auto"/>
        <w:ind w:leftChars="127" w:left="282" w:right="1118" w:hanging="3"/>
        <w:rPr>
          <w:lang w:eastAsia="ja-JP"/>
        </w:rPr>
      </w:pPr>
      <w:r>
        <w:rPr>
          <w:rFonts w:ascii="ＭＳ ゴシック" w:eastAsia="ＭＳ ゴシック" w:hAnsi="ＭＳ ゴシック" w:cs="ＭＳ ゴシック"/>
          <w:color w:val="545456"/>
          <w:spacing w:val="-1"/>
          <w:lang w:eastAsia="ja-JP"/>
        </w:rPr>
        <w:br w:type="column"/>
      </w:r>
      <w:r w:rsidRPr="00605DAD">
        <w:rPr>
          <w:rFonts w:ascii="ＭＳ ゴシック" w:eastAsia="ＭＳ ゴシック" w:hAnsi="ＭＳ ゴシック" w:cs="ＭＳ ゴシック" w:hint="eastAsia"/>
          <w:color w:val="545456"/>
          <w:spacing w:val="-1"/>
          <w:lang w:eastAsia="ja-JP"/>
        </w:rPr>
        <w:t>これは、取得と生産に関連する、製品サイズや相対的な</w:t>
      </w:r>
      <w:r w:rsidRPr="00605DAD">
        <w:rPr>
          <w:color w:val="545456"/>
          <w:spacing w:val="-1"/>
          <w:lang w:eastAsia="ja-JP"/>
        </w:rPr>
        <w:t>GHG</w:t>
      </w:r>
      <w:r w:rsidRPr="00605DAD">
        <w:rPr>
          <w:rFonts w:ascii="ＭＳ ゴシック" w:eastAsia="ＭＳ ゴシック" w:hAnsi="ＭＳ ゴシック" w:cs="ＭＳ ゴシック" w:hint="eastAsia"/>
          <w:color w:val="545456"/>
          <w:spacing w:val="-1"/>
          <w:lang w:eastAsia="ja-JP"/>
        </w:rPr>
        <w:t>排出、削減量に依存した、</w:t>
      </w:r>
      <w:r w:rsidRPr="00605DAD">
        <w:rPr>
          <w:color w:val="545456"/>
          <w:spacing w:val="-1"/>
          <w:lang w:eastAsia="ja-JP"/>
        </w:rPr>
        <w:t>1</w:t>
      </w:r>
      <w:r w:rsidRPr="00605DAD">
        <w:rPr>
          <w:rFonts w:ascii="ＭＳ ゴシック" w:eastAsia="ＭＳ ゴシック" w:hAnsi="ＭＳ ゴシック" w:cs="ＭＳ ゴシック" w:hint="eastAsia"/>
          <w:color w:val="545456"/>
          <w:spacing w:val="-1"/>
          <w:lang w:eastAsia="ja-JP"/>
        </w:rPr>
        <w:t>単位の製品、または製品の典型的な出荷の量または重量（例えば、</w:t>
      </w:r>
      <w:r w:rsidRPr="00605DAD">
        <w:rPr>
          <w:color w:val="545456"/>
          <w:spacing w:val="-1"/>
          <w:lang w:eastAsia="ja-JP"/>
        </w:rPr>
        <w:t>50</w:t>
      </w:r>
      <w:r w:rsidRPr="00605DAD">
        <w:rPr>
          <w:rFonts w:ascii="ＭＳ ゴシック" w:eastAsia="ＭＳ ゴシック" w:hAnsi="ＭＳ ゴシック" w:cs="ＭＳ ゴシック" w:hint="eastAsia"/>
          <w:color w:val="545456"/>
          <w:spacing w:val="-1"/>
          <w:lang w:eastAsia="ja-JP"/>
        </w:rPr>
        <w:t>個の箱または</w:t>
      </w:r>
      <w:r w:rsidRPr="00605DAD">
        <w:rPr>
          <w:color w:val="545456"/>
          <w:spacing w:val="-1"/>
          <w:lang w:eastAsia="ja-JP"/>
        </w:rPr>
        <w:t>100</w:t>
      </w:r>
      <w:r w:rsidRPr="00605DAD">
        <w:rPr>
          <w:rFonts w:ascii="ＭＳ ゴシック" w:eastAsia="ＭＳ ゴシック" w:hAnsi="ＭＳ ゴシック" w:cs="ＭＳ ゴシック" w:hint="eastAsia"/>
          <w:color w:val="545456"/>
          <w:spacing w:val="-1"/>
          <w:lang w:eastAsia="ja-JP"/>
        </w:rPr>
        <w:t>キログラムのスラブ）である可能性があります。</w:t>
      </w:r>
    </w:p>
    <w:p w14:paraId="7A94300E" w14:textId="5D5875D3" w:rsidR="00605DAD" w:rsidRPr="00605DAD" w:rsidRDefault="00605DAD" w:rsidP="00605DAD">
      <w:pPr>
        <w:pStyle w:val="3"/>
        <w:ind w:left="0" w:firstLine="720"/>
        <w:rPr>
          <w:color w:val="00ACA1"/>
          <w:spacing w:val="1"/>
          <w:lang w:eastAsia="ja-JP"/>
        </w:rPr>
      </w:pPr>
      <w:r w:rsidRPr="00605DAD">
        <w:rPr>
          <w:color w:val="00ACA1"/>
          <w:sz w:val="21"/>
          <w:szCs w:val="21"/>
          <w:lang w:eastAsia="ja-JP"/>
        </w:rPr>
        <w:t xml:space="preserve">6.3.4 </w:t>
      </w:r>
      <w:r w:rsidRPr="00605DAD">
        <w:rPr>
          <w:rFonts w:ascii="ＭＳ 明朝" w:eastAsia="ＭＳ 明朝" w:hAnsi="ＭＳ 明朝" w:cs="ＭＳ 明朝" w:hint="eastAsia"/>
          <w:color w:val="00ACA1"/>
          <w:sz w:val="21"/>
          <w:szCs w:val="21"/>
          <w:lang w:eastAsia="ja-JP"/>
        </w:rPr>
        <w:t>サービスの分析単位の定義</w:t>
      </w:r>
      <w:r w:rsidR="00F23C61" w:rsidRPr="00605DAD">
        <w:rPr>
          <w:color w:val="00ACA1"/>
          <w:spacing w:val="1"/>
          <w:lang w:eastAsia="ja-JP"/>
        </w:rPr>
        <w:t xml:space="preserve"> </w:t>
      </w:r>
    </w:p>
    <w:p w14:paraId="5480E7A1" w14:textId="510CCE92" w:rsidR="0055291C" w:rsidRPr="00605DAD" w:rsidRDefault="009D623F" w:rsidP="009D623F">
      <w:pPr>
        <w:tabs>
          <w:tab w:val="left" w:pos="963"/>
          <w:tab w:val="left" w:pos="964"/>
        </w:tabs>
        <w:spacing w:before="130" w:line="309" w:lineRule="auto"/>
        <w:ind w:leftChars="129" w:left="284" w:right="1154" w:firstLineChars="100" w:firstLine="190"/>
        <w:rPr>
          <w:sz w:val="19"/>
          <w:lang w:eastAsia="ja-JP"/>
        </w:rPr>
      </w:pPr>
      <w:r w:rsidRPr="009D623F">
        <w:rPr>
          <w:rFonts w:ascii="ＭＳ ゴシック" w:eastAsia="ＭＳ ゴシック" w:hAnsi="ＭＳ ゴシック" w:cs="ＭＳ ゴシック" w:hint="eastAsia"/>
          <w:color w:val="545456"/>
          <w:sz w:val="19"/>
          <w:lang w:eastAsia="ja-JP"/>
        </w:rPr>
        <w:t>サービスの分析単位の定義は、本章で概説した一般的な手順と同じであるべきです。財と同様に、大きさ、期間、および品質パラメータは、セクターまたは製品の規則、業界平均データ、または企業固有の参照フローに基づくことができます。例えば、住宅保険会社は、機能単位を</w:t>
      </w:r>
      <w:r w:rsidRPr="009D623F">
        <w:rPr>
          <w:color w:val="545456"/>
          <w:sz w:val="19"/>
          <w:lang w:eastAsia="ja-JP"/>
        </w:rPr>
        <w:t>1</w:t>
      </w:r>
      <w:r w:rsidRPr="009D623F">
        <w:rPr>
          <w:rFonts w:ascii="ＭＳ ゴシック" w:eastAsia="ＭＳ ゴシック" w:hAnsi="ＭＳ ゴシック" w:cs="ＭＳ ゴシック" w:hint="eastAsia"/>
          <w:color w:val="545456"/>
          <w:sz w:val="19"/>
          <w:lang w:eastAsia="ja-JP"/>
        </w:rPr>
        <w:t>年間の割増住宅保険の提供として定義することができます。保険の規模および質は、「保険料」の定義に具体化されるものです。</w:t>
      </w:r>
    </w:p>
    <w:p w14:paraId="7042F97B" w14:textId="77777777" w:rsidR="0055291C" w:rsidRDefault="0055291C">
      <w:pPr>
        <w:pStyle w:val="a3"/>
        <w:rPr>
          <w:sz w:val="20"/>
          <w:lang w:eastAsia="ja-JP"/>
        </w:rPr>
      </w:pPr>
    </w:p>
    <w:p w14:paraId="5469D666" w14:textId="77777777" w:rsidR="0055291C" w:rsidRDefault="0055291C">
      <w:pPr>
        <w:pStyle w:val="a3"/>
        <w:spacing w:before="4"/>
        <w:rPr>
          <w:sz w:val="25"/>
          <w:lang w:eastAsia="ja-JP"/>
        </w:rPr>
      </w:pPr>
    </w:p>
    <w:p w14:paraId="0FF5F1C2" w14:textId="77777777" w:rsidR="00AB676A" w:rsidRDefault="00F23C61" w:rsidP="00AB676A">
      <w:pPr>
        <w:pStyle w:val="3"/>
        <w:spacing w:before="0"/>
        <w:ind w:left="243"/>
        <w:rPr>
          <w:color w:val="00ACA1"/>
          <w:lang w:eastAsia="ja-JP"/>
        </w:rPr>
      </w:pPr>
      <w:bookmarkStart w:id="6" w:name="_Endnotes_2"/>
      <w:bookmarkEnd w:id="6"/>
      <w:r>
        <w:rPr>
          <w:color w:val="00ACA1"/>
          <w:lang w:eastAsia="ja-JP"/>
        </w:rPr>
        <w:t>Endnotes</w:t>
      </w:r>
    </w:p>
    <w:p w14:paraId="6650E04A" w14:textId="3E184FBE" w:rsidR="00AB676A" w:rsidRDefault="00AB676A">
      <w:pPr>
        <w:pStyle w:val="a5"/>
        <w:numPr>
          <w:ilvl w:val="0"/>
          <w:numId w:val="62"/>
        </w:numPr>
        <w:ind w:left="426" w:rightChars="379" w:right="834" w:hanging="284"/>
        <w:rPr>
          <w:rFonts w:ascii="ＭＳ ゴシック" w:eastAsia="ＭＳ ゴシック" w:hAnsi="ＭＳ ゴシック" w:cs="ＭＳ ゴシック"/>
          <w:sz w:val="19"/>
          <w:szCs w:val="19"/>
          <w:lang w:eastAsia="ja-JP"/>
        </w:rPr>
      </w:pPr>
      <w:r w:rsidRPr="00AB676A">
        <w:rPr>
          <w:rFonts w:ascii="ＭＳ ゴシック" w:eastAsia="ＭＳ ゴシック" w:hAnsi="ＭＳ ゴシック" w:cs="ＭＳ ゴシック" w:hint="eastAsia"/>
          <w:sz w:val="19"/>
          <w:szCs w:val="19"/>
          <w:lang w:eastAsia="ja-JP"/>
        </w:rPr>
        <w:t>排出量報告書の「</w:t>
      </w:r>
      <w:r>
        <w:rPr>
          <w:rFonts w:ascii="ＭＳ ゴシック" w:eastAsia="ＭＳ ゴシック" w:hAnsi="ＭＳ ゴシック" w:cs="ＭＳ ゴシック" w:hint="eastAsia"/>
          <w:sz w:val="19"/>
          <w:szCs w:val="19"/>
          <w:lang w:eastAsia="ja-JP"/>
        </w:rPr>
        <w:t>範囲（S</w:t>
      </w:r>
      <w:r>
        <w:rPr>
          <w:rFonts w:ascii="ＭＳ ゴシック" w:eastAsia="ＭＳ ゴシック" w:hAnsi="ＭＳ ゴシック" w:cs="ＭＳ ゴシック"/>
          <w:sz w:val="19"/>
          <w:szCs w:val="19"/>
          <w:lang w:eastAsia="ja-JP"/>
        </w:rPr>
        <w:t>cope</w:t>
      </w:r>
      <w:r>
        <w:rPr>
          <w:rFonts w:ascii="ＭＳ ゴシック" w:eastAsia="ＭＳ ゴシック" w:hAnsi="ＭＳ ゴシック" w:cs="ＭＳ ゴシック" w:hint="eastAsia"/>
          <w:sz w:val="19"/>
          <w:szCs w:val="19"/>
          <w:lang w:eastAsia="ja-JP"/>
        </w:rPr>
        <w:t>）</w:t>
      </w:r>
      <w:r w:rsidRPr="00AB676A">
        <w:rPr>
          <w:rFonts w:ascii="ＭＳ ゴシック" w:eastAsia="ＭＳ ゴシック" w:hAnsi="ＭＳ ゴシック" w:cs="ＭＳ ゴシック" w:hint="eastAsia"/>
          <w:sz w:val="19"/>
          <w:szCs w:val="19"/>
          <w:lang w:eastAsia="ja-JP"/>
        </w:rPr>
        <w:t>」は、企業基準および</w:t>
      </w:r>
      <w:r w:rsidRPr="00AB676A">
        <w:rPr>
          <w:rFonts w:ascii="ＭＳ ゴシック" w:eastAsia="ＭＳ ゴシック" w:hAnsi="ＭＳ ゴシック"/>
          <w:sz w:val="19"/>
          <w:szCs w:val="19"/>
          <w:lang w:eastAsia="ja-JP"/>
        </w:rPr>
        <w:t>Scope3</w:t>
      </w:r>
      <w:r w:rsidRPr="00AB676A">
        <w:rPr>
          <w:rFonts w:ascii="ＭＳ ゴシック" w:eastAsia="ＭＳ ゴシック" w:hAnsi="ＭＳ ゴシック" w:cs="ＭＳ ゴシック" w:hint="eastAsia"/>
          <w:sz w:val="19"/>
          <w:szCs w:val="19"/>
          <w:lang w:eastAsia="ja-JP"/>
        </w:rPr>
        <w:t>で使用されている「</w:t>
      </w:r>
      <w:r>
        <w:rPr>
          <w:rFonts w:ascii="ＭＳ ゴシック" w:eastAsia="ＭＳ ゴシック" w:hAnsi="ＭＳ ゴシック" w:cs="ＭＳ ゴシック" w:hint="eastAsia"/>
          <w:sz w:val="19"/>
          <w:szCs w:val="19"/>
          <w:lang w:eastAsia="ja-JP"/>
        </w:rPr>
        <w:t>範囲</w:t>
      </w:r>
      <w:r w:rsidRPr="00AB676A">
        <w:rPr>
          <w:rFonts w:ascii="ＭＳ ゴシック" w:eastAsia="ＭＳ ゴシック" w:hAnsi="ＭＳ ゴシック" w:cs="ＭＳ ゴシック" w:hint="eastAsia"/>
          <w:sz w:val="19"/>
          <w:szCs w:val="19"/>
          <w:lang w:eastAsia="ja-JP"/>
        </w:rPr>
        <w:t>」の概念とは異なります。</w:t>
      </w:r>
    </w:p>
    <w:p w14:paraId="02D50861" w14:textId="77777777" w:rsidR="00AB676A" w:rsidRDefault="00AB676A">
      <w:pPr>
        <w:pStyle w:val="a5"/>
        <w:numPr>
          <w:ilvl w:val="0"/>
          <w:numId w:val="62"/>
        </w:numPr>
        <w:ind w:left="426" w:rightChars="250" w:right="550" w:hanging="284"/>
        <w:rPr>
          <w:rFonts w:ascii="ＭＳ ゴシック" w:eastAsia="ＭＳ ゴシック" w:hAnsi="ＭＳ ゴシック" w:cs="ＭＳ ゴシック"/>
          <w:sz w:val="19"/>
          <w:szCs w:val="19"/>
          <w:lang w:eastAsia="ja-JP"/>
        </w:rPr>
      </w:pPr>
      <w:r w:rsidRPr="00AB676A">
        <w:rPr>
          <w:rFonts w:ascii="ＭＳ ゴシック" w:eastAsia="ＭＳ ゴシック" w:hAnsi="ＭＳ ゴシック" w:cs="ＭＳ ゴシック" w:hint="eastAsia"/>
          <w:sz w:val="19"/>
          <w:szCs w:val="19"/>
          <w:lang w:eastAsia="ja-JP"/>
        </w:rPr>
        <w:t>長寿命温室効果ガスの全リストは、</w:t>
      </w:r>
      <w:r w:rsidRPr="00AB676A">
        <w:rPr>
          <w:rFonts w:ascii="ＭＳ ゴシック" w:eastAsia="ＭＳ ゴシック" w:hAnsi="ＭＳ ゴシック"/>
          <w:sz w:val="19"/>
          <w:szCs w:val="19"/>
          <w:lang w:eastAsia="ja-JP"/>
        </w:rPr>
        <w:t>IPCC</w:t>
      </w:r>
      <w:r w:rsidRPr="00AB676A">
        <w:rPr>
          <w:rFonts w:ascii="ＭＳ ゴシック" w:eastAsia="ＭＳ ゴシック" w:hAnsi="ＭＳ ゴシック" w:cs="ＭＳ ゴシック" w:hint="eastAsia"/>
          <w:sz w:val="19"/>
          <w:szCs w:val="19"/>
          <w:lang w:eastAsia="ja-JP"/>
        </w:rPr>
        <w:t>第</w:t>
      </w:r>
      <w:r w:rsidRPr="00AB676A">
        <w:rPr>
          <w:rFonts w:ascii="ＭＳ ゴシック" w:eastAsia="ＭＳ ゴシック" w:hAnsi="ＭＳ ゴシック"/>
          <w:sz w:val="19"/>
          <w:szCs w:val="19"/>
          <w:lang w:eastAsia="ja-JP"/>
        </w:rPr>
        <w:t>4</w:t>
      </w:r>
      <w:r w:rsidRPr="00AB676A">
        <w:rPr>
          <w:rFonts w:ascii="ＭＳ ゴシック" w:eastAsia="ＭＳ ゴシック" w:hAnsi="ＭＳ ゴシック" w:cs="ＭＳ ゴシック" w:hint="eastAsia"/>
          <w:sz w:val="19"/>
          <w:szCs w:val="19"/>
          <w:lang w:eastAsia="ja-JP"/>
        </w:rPr>
        <w:t>次評価報告書</w:t>
      </w:r>
      <w:r w:rsidRPr="00AB676A">
        <w:rPr>
          <w:rFonts w:ascii="ＭＳ ゴシック" w:eastAsia="ＭＳ ゴシック" w:hAnsi="ＭＳ ゴシック"/>
          <w:sz w:val="19"/>
          <w:szCs w:val="19"/>
          <w:lang w:eastAsia="ja-JP"/>
        </w:rPr>
        <w:t>2007</w:t>
      </w:r>
      <w:r w:rsidRPr="00AB676A">
        <w:rPr>
          <w:rFonts w:ascii="ＭＳ ゴシック" w:eastAsia="ＭＳ ゴシック" w:hAnsi="ＭＳ ゴシック" w:cs="ＭＳ ゴシック" w:hint="eastAsia"/>
          <w:sz w:val="19"/>
          <w:szCs w:val="19"/>
          <w:lang w:eastAsia="ja-JP"/>
        </w:rPr>
        <w:t>の表</w:t>
      </w:r>
      <w:r w:rsidRPr="00AB676A">
        <w:rPr>
          <w:rFonts w:ascii="ＭＳ ゴシック" w:eastAsia="ＭＳ ゴシック" w:hAnsi="ＭＳ ゴシック"/>
          <w:sz w:val="19"/>
          <w:szCs w:val="19"/>
          <w:lang w:eastAsia="ja-JP"/>
        </w:rPr>
        <w:t>2.14</w:t>
      </w:r>
      <w:r w:rsidRPr="00AB676A">
        <w:rPr>
          <w:rFonts w:ascii="ＭＳ ゴシック" w:eastAsia="ＭＳ ゴシック" w:hAnsi="ＭＳ ゴシック" w:cs="ＭＳ ゴシック" w:hint="eastAsia"/>
          <w:sz w:val="19"/>
          <w:szCs w:val="19"/>
          <w:lang w:eastAsia="ja-JP"/>
        </w:rPr>
        <w:t>に掲載されています。</w:t>
      </w:r>
    </w:p>
    <w:p w14:paraId="494F4226" w14:textId="29678138" w:rsidR="0055291C" w:rsidRPr="00AB676A" w:rsidRDefault="00AB676A">
      <w:pPr>
        <w:pStyle w:val="a5"/>
        <w:numPr>
          <w:ilvl w:val="0"/>
          <w:numId w:val="62"/>
        </w:numPr>
        <w:ind w:left="426" w:rightChars="314" w:right="691" w:hanging="284"/>
        <w:rPr>
          <w:rFonts w:ascii="ＭＳ ゴシック" w:eastAsia="ＭＳ ゴシック" w:hAnsi="ＭＳ ゴシック" w:cs="ＭＳ ゴシック"/>
          <w:sz w:val="19"/>
          <w:szCs w:val="19"/>
          <w:lang w:eastAsia="ja-JP"/>
        </w:rPr>
      </w:pPr>
      <w:r w:rsidRPr="00AB676A">
        <w:rPr>
          <w:rFonts w:ascii="ＭＳ ゴシック" w:eastAsia="ＭＳ ゴシック" w:hAnsi="ＭＳ ゴシック" w:cs="ＭＳ ゴシック" w:hint="eastAsia"/>
          <w:sz w:val="19"/>
          <w:szCs w:val="19"/>
          <w:lang w:eastAsia="ja-JP"/>
        </w:rPr>
        <w:t>調査対象製品が報告企業によって生産、流通、販売されているかどうかは、製品のライフサイクルにおける企業の位置づけによります。例えば、製造会社は自社で生産する製品を、小売会社は自社で購入・販売する製品を対象にします。より詳しいガイダンスは、第</w:t>
      </w:r>
      <w:r w:rsidRPr="00AB676A">
        <w:rPr>
          <w:rFonts w:ascii="ＭＳ ゴシック" w:eastAsia="ＭＳ ゴシック" w:hAnsi="ＭＳ ゴシック"/>
          <w:sz w:val="19"/>
          <w:szCs w:val="19"/>
          <w:lang w:eastAsia="ja-JP"/>
        </w:rPr>
        <w:t>7</w:t>
      </w:r>
      <w:r w:rsidRPr="00AB676A">
        <w:rPr>
          <w:rFonts w:ascii="ＭＳ ゴシック" w:eastAsia="ＭＳ ゴシック" w:hAnsi="ＭＳ ゴシック" w:cs="ＭＳ ゴシック" w:hint="eastAsia"/>
          <w:sz w:val="19"/>
          <w:szCs w:val="19"/>
          <w:lang w:eastAsia="ja-JP"/>
        </w:rPr>
        <w:t>章で説明しています。</w:t>
      </w:r>
    </w:p>
    <w:p w14:paraId="00A980ED" w14:textId="77777777" w:rsidR="0055291C" w:rsidRDefault="0055291C">
      <w:pPr>
        <w:spacing w:line="178" w:lineRule="exact"/>
        <w:rPr>
          <w:sz w:val="16"/>
          <w:lang w:eastAsia="ja-JP"/>
        </w:rPr>
        <w:sectPr w:rsidR="0055291C">
          <w:type w:val="continuous"/>
          <w:pgSz w:w="12240" w:h="15840"/>
          <w:pgMar w:top="740" w:right="0" w:bottom="280" w:left="0" w:header="0" w:footer="859" w:gutter="0"/>
          <w:cols w:num="2" w:space="720" w:equalWidth="0">
            <w:col w:w="5979" w:space="40"/>
            <w:col w:w="6221"/>
          </w:cols>
        </w:sectPr>
      </w:pPr>
    </w:p>
    <w:p w14:paraId="01C3C4C4" w14:textId="222747BF" w:rsidR="0055291C" w:rsidRDefault="00000000">
      <w:pPr>
        <w:pStyle w:val="1"/>
        <w:tabs>
          <w:tab w:val="left" w:pos="2415"/>
        </w:tabs>
        <w:ind w:left="1128"/>
      </w:pPr>
      <w:r>
        <w:lastRenderedPageBreak/>
        <w:pict w14:anchorId="2D58C9FC">
          <v:group id="docshapegroup491" o:spid="_x0000_s3302" style="position:absolute;left:0;text-align:left;margin-left:0;margin-top:0;width:612pt;height:11in;z-index:-251580928;mso-position-horizontal-relative:page;mso-position-vertical-relative:page" coordsize="12240,15840">
            <v:shape id="docshape492" o:spid="_x0000_s3305" type="#_x0000_t75" style="position:absolute;width:12240;height:15840">
              <v:imagedata r:id="rId130" o:title=""/>
            </v:shape>
            <v:rect id="docshape493" o:spid="_x0000_s3304" style="position:absolute;width:12240;height:2015" fillcolor="#f3f4f4" stroked="f">
              <v:fill opacity="45875f"/>
            </v:rect>
            <v:shape id="docshape494" o:spid="_x0000_s3303" style="position:absolute;width:2133;height:2015" coordsize="2133,2015" path="m2132,l,,,2014r1892,l2031,2011r71,-27l2129,1913r3,-139l2132,xe" fillcolor="#00aca1" stroked="f">
              <v:path arrowok="t"/>
            </v:shape>
            <w10:wrap anchorx="page" anchory="page"/>
          </v:group>
        </w:pict>
      </w:r>
      <w:r w:rsidR="00F23C61">
        <w:rPr>
          <w:color w:val="F3F4F4"/>
          <w:sz w:val="64"/>
        </w:rPr>
        <w:t>07</w:t>
      </w:r>
      <w:r w:rsidR="00F23C61">
        <w:rPr>
          <w:color w:val="F3F4F4"/>
          <w:sz w:val="64"/>
        </w:rPr>
        <w:tab/>
      </w:r>
      <w:r w:rsidR="00146F75" w:rsidRPr="00146F75">
        <w:rPr>
          <w:rFonts w:ascii="ＭＳ 明朝" w:eastAsia="ＭＳ 明朝" w:hAnsi="ＭＳ 明朝" w:cs="ＭＳ 明朝" w:hint="eastAsia"/>
          <w:color w:val="000000" w:themeColor="text1"/>
          <w:sz w:val="64"/>
          <w:lang w:eastAsia="ja-JP"/>
        </w:rPr>
        <w:t>境界の設定</w:t>
      </w:r>
    </w:p>
    <w:p w14:paraId="4E603D50" w14:textId="77777777" w:rsidR="0055291C" w:rsidRDefault="0055291C">
      <w:pPr>
        <w:sectPr w:rsidR="0055291C">
          <w:headerReference w:type="even" r:id="rId131"/>
          <w:footerReference w:type="even" r:id="rId132"/>
          <w:pgSz w:w="12240" w:h="15840"/>
          <w:pgMar w:top="1020" w:right="0" w:bottom="280" w:left="0" w:header="0" w:footer="0" w:gutter="0"/>
          <w:cols w:space="720"/>
        </w:sectPr>
      </w:pPr>
    </w:p>
    <w:p w14:paraId="5D1D0E8C" w14:textId="77777777" w:rsidR="0055291C" w:rsidRDefault="0055291C">
      <w:pPr>
        <w:pStyle w:val="a3"/>
        <w:rPr>
          <w:rFonts w:ascii="Arial"/>
          <w:b/>
          <w:i/>
          <w:sz w:val="20"/>
        </w:rPr>
      </w:pPr>
    </w:p>
    <w:p w14:paraId="3EC3F257" w14:textId="77777777" w:rsidR="0055291C" w:rsidRDefault="0055291C">
      <w:pPr>
        <w:pStyle w:val="a3"/>
        <w:rPr>
          <w:rFonts w:ascii="Arial"/>
          <w:b/>
          <w:i/>
          <w:sz w:val="20"/>
        </w:rPr>
      </w:pPr>
    </w:p>
    <w:p w14:paraId="7E34D981" w14:textId="77777777" w:rsidR="0055291C" w:rsidRDefault="0055291C">
      <w:pPr>
        <w:pStyle w:val="a3"/>
        <w:rPr>
          <w:rFonts w:ascii="Arial"/>
          <w:b/>
          <w:i/>
          <w:sz w:val="20"/>
        </w:rPr>
      </w:pPr>
    </w:p>
    <w:p w14:paraId="4C892B44" w14:textId="77777777" w:rsidR="0055291C" w:rsidRDefault="0055291C">
      <w:pPr>
        <w:pStyle w:val="a3"/>
        <w:rPr>
          <w:rFonts w:ascii="Arial"/>
          <w:b/>
          <w:i/>
          <w:sz w:val="20"/>
        </w:rPr>
      </w:pPr>
    </w:p>
    <w:p w14:paraId="454D9DDA" w14:textId="77777777" w:rsidR="0055291C" w:rsidRDefault="0055291C">
      <w:pPr>
        <w:pStyle w:val="a3"/>
        <w:rPr>
          <w:rFonts w:ascii="Arial"/>
          <w:b/>
          <w:i/>
          <w:sz w:val="20"/>
        </w:rPr>
      </w:pPr>
    </w:p>
    <w:p w14:paraId="4DAD9F58" w14:textId="77777777" w:rsidR="0055291C" w:rsidRDefault="0055291C">
      <w:pPr>
        <w:pStyle w:val="a3"/>
        <w:rPr>
          <w:rFonts w:ascii="Arial"/>
          <w:b/>
          <w:i/>
          <w:sz w:val="20"/>
        </w:rPr>
      </w:pPr>
    </w:p>
    <w:p w14:paraId="18C6C312" w14:textId="77777777" w:rsidR="0055291C" w:rsidRDefault="0055291C">
      <w:pPr>
        <w:pStyle w:val="a3"/>
        <w:rPr>
          <w:rFonts w:ascii="Arial"/>
          <w:b/>
          <w:i/>
          <w:sz w:val="20"/>
        </w:rPr>
      </w:pPr>
    </w:p>
    <w:p w14:paraId="1C3643B0" w14:textId="77777777" w:rsidR="0055291C" w:rsidRDefault="0055291C">
      <w:pPr>
        <w:pStyle w:val="a3"/>
        <w:rPr>
          <w:rFonts w:ascii="Arial"/>
          <w:b/>
          <w:i/>
          <w:sz w:val="20"/>
        </w:rPr>
      </w:pPr>
    </w:p>
    <w:p w14:paraId="68CF689D" w14:textId="77777777" w:rsidR="0055291C" w:rsidRDefault="0055291C">
      <w:pPr>
        <w:pStyle w:val="a3"/>
        <w:rPr>
          <w:rFonts w:ascii="Arial"/>
          <w:b/>
          <w:i/>
          <w:sz w:val="20"/>
        </w:rPr>
      </w:pPr>
    </w:p>
    <w:p w14:paraId="77ED3948" w14:textId="77777777" w:rsidR="0055291C" w:rsidRDefault="0055291C">
      <w:pPr>
        <w:pStyle w:val="a3"/>
        <w:rPr>
          <w:rFonts w:ascii="Arial"/>
          <w:b/>
          <w:i/>
          <w:sz w:val="20"/>
        </w:rPr>
      </w:pPr>
    </w:p>
    <w:p w14:paraId="62BB6EB9" w14:textId="77777777" w:rsidR="0055291C" w:rsidRDefault="0055291C">
      <w:pPr>
        <w:pStyle w:val="a3"/>
        <w:rPr>
          <w:rFonts w:ascii="Arial"/>
          <w:b/>
          <w:i/>
          <w:sz w:val="20"/>
        </w:rPr>
      </w:pPr>
    </w:p>
    <w:p w14:paraId="4B939AE1" w14:textId="77777777" w:rsidR="0055291C" w:rsidRDefault="0055291C">
      <w:pPr>
        <w:pStyle w:val="a3"/>
        <w:rPr>
          <w:rFonts w:ascii="Arial"/>
          <w:b/>
          <w:i/>
          <w:sz w:val="20"/>
        </w:rPr>
      </w:pPr>
    </w:p>
    <w:p w14:paraId="78A98440" w14:textId="77777777" w:rsidR="0055291C" w:rsidRDefault="0055291C">
      <w:pPr>
        <w:pStyle w:val="a3"/>
        <w:rPr>
          <w:rFonts w:ascii="Arial"/>
          <w:b/>
          <w:i/>
          <w:sz w:val="20"/>
        </w:rPr>
      </w:pPr>
    </w:p>
    <w:p w14:paraId="1A437547" w14:textId="77777777" w:rsidR="0055291C" w:rsidRDefault="0055291C">
      <w:pPr>
        <w:pStyle w:val="a3"/>
        <w:rPr>
          <w:rFonts w:ascii="Arial"/>
          <w:b/>
          <w:i/>
          <w:sz w:val="20"/>
        </w:rPr>
      </w:pPr>
    </w:p>
    <w:p w14:paraId="28F6D92B" w14:textId="77777777" w:rsidR="0055291C" w:rsidRDefault="0055291C">
      <w:pPr>
        <w:pStyle w:val="a3"/>
        <w:rPr>
          <w:rFonts w:ascii="Arial"/>
          <w:b/>
          <w:i/>
          <w:sz w:val="20"/>
        </w:rPr>
      </w:pPr>
    </w:p>
    <w:p w14:paraId="20F61F30" w14:textId="77777777" w:rsidR="0055291C" w:rsidRDefault="0055291C">
      <w:pPr>
        <w:pStyle w:val="a3"/>
        <w:rPr>
          <w:rFonts w:ascii="Arial"/>
          <w:b/>
          <w:i/>
          <w:sz w:val="20"/>
        </w:rPr>
      </w:pPr>
    </w:p>
    <w:p w14:paraId="1D1742BD" w14:textId="77777777" w:rsidR="0055291C" w:rsidRDefault="0055291C">
      <w:pPr>
        <w:pStyle w:val="a3"/>
        <w:rPr>
          <w:rFonts w:ascii="Arial"/>
          <w:b/>
          <w:i/>
          <w:sz w:val="20"/>
        </w:rPr>
      </w:pPr>
    </w:p>
    <w:p w14:paraId="20681F62" w14:textId="77777777" w:rsidR="0055291C" w:rsidRDefault="0055291C">
      <w:pPr>
        <w:pStyle w:val="a3"/>
        <w:rPr>
          <w:rFonts w:ascii="Arial"/>
          <w:b/>
          <w:i/>
          <w:sz w:val="20"/>
        </w:rPr>
      </w:pPr>
    </w:p>
    <w:p w14:paraId="5588BA75" w14:textId="77777777" w:rsidR="0055291C" w:rsidRDefault="0055291C">
      <w:pPr>
        <w:pStyle w:val="a3"/>
        <w:rPr>
          <w:rFonts w:ascii="Arial"/>
          <w:b/>
          <w:i/>
          <w:sz w:val="20"/>
        </w:rPr>
      </w:pPr>
    </w:p>
    <w:p w14:paraId="7965FBC2" w14:textId="77777777" w:rsidR="0055291C" w:rsidRDefault="0055291C">
      <w:pPr>
        <w:pStyle w:val="a3"/>
        <w:rPr>
          <w:rFonts w:ascii="Arial"/>
          <w:b/>
          <w:i/>
          <w:sz w:val="20"/>
        </w:rPr>
      </w:pPr>
    </w:p>
    <w:p w14:paraId="587838D6" w14:textId="77777777" w:rsidR="0055291C" w:rsidRDefault="0055291C">
      <w:pPr>
        <w:pStyle w:val="a3"/>
        <w:rPr>
          <w:rFonts w:ascii="Arial"/>
          <w:b/>
          <w:i/>
          <w:sz w:val="20"/>
        </w:rPr>
      </w:pPr>
    </w:p>
    <w:p w14:paraId="17295139" w14:textId="77777777" w:rsidR="0055291C" w:rsidRDefault="0055291C">
      <w:pPr>
        <w:pStyle w:val="a3"/>
        <w:rPr>
          <w:rFonts w:ascii="Arial"/>
          <w:b/>
          <w:i/>
          <w:sz w:val="20"/>
        </w:rPr>
      </w:pPr>
    </w:p>
    <w:p w14:paraId="271DA544" w14:textId="77777777" w:rsidR="0055291C" w:rsidRDefault="0055291C">
      <w:pPr>
        <w:pStyle w:val="a3"/>
        <w:rPr>
          <w:rFonts w:ascii="Arial"/>
          <w:b/>
          <w:i/>
          <w:sz w:val="20"/>
        </w:rPr>
      </w:pPr>
    </w:p>
    <w:p w14:paraId="3759E5F7" w14:textId="77777777" w:rsidR="0055291C" w:rsidRDefault="0055291C">
      <w:pPr>
        <w:pStyle w:val="a3"/>
        <w:rPr>
          <w:rFonts w:ascii="Arial"/>
          <w:b/>
          <w:i/>
          <w:sz w:val="20"/>
        </w:rPr>
      </w:pPr>
    </w:p>
    <w:p w14:paraId="0ED7FA6B" w14:textId="77777777" w:rsidR="0055291C" w:rsidRDefault="0055291C">
      <w:pPr>
        <w:pStyle w:val="a3"/>
        <w:spacing w:before="6"/>
        <w:rPr>
          <w:rFonts w:ascii="Arial"/>
          <w:b/>
          <w:i/>
          <w:sz w:val="16"/>
        </w:rPr>
      </w:pPr>
    </w:p>
    <w:p w14:paraId="0EAE8B81" w14:textId="79CB3E67" w:rsidR="0055291C" w:rsidRDefault="00000000">
      <w:pPr>
        <w:pStyle w:val="a5"/>
        <w:numPr>
          <w:ilvl w:val="1"/>
          <w:numId w:val="52"/>
        </w:numPr>
        <w:tabs>
          <w:tab w:val="left" w:pos="1854"/>
        </w:tabs>
        <w:spacing w:before="99"/>
        <w:ind w:hanging="721"/>
        <w:jc w:val="both"/>
        <w:rPr>
          <w:rFonts w:ascii="Arial"/>
          <w:b/>
          <w:i/>
          <w:sz w:val="24"/>
        </w:rPr>
      </w:pPr>
      <w:r>
        <w:pict w14:anchorId="4249A0BD">
          <v:group id="docshapegroup498" o:spid="_x0000_s3298" style="position:absolute;left:0;text-align:left;margin-left:253.7pt;margin-top:-285.75pt;width:358.55pt;height:382.95pt;z-index:-251579904;mso-position-horizontal-relative:page" coordorigin="5074,-5715" coordsize="7171,7659">
            <v:shape id="docshape499" o:spid="_x0000_s3301" style="position:absolute;left:11614;top:-5710;width:626;height:5717" coordorigin="11615,-5710" coordsize="626,5717" path="m12240,-5710r-625,l11615,-220r3,131l11643,-22r67,25l11842,6r398,l12240,-5710xe" fillcolor="#00aca1" stroked="f">
              <v:path arrowok="t"/>
            </v:shape>
            <v:shape id="docshape500" o:spid="_x0000_s3300" style="position:absolute;left:5079;top:-5710;width:7161;height:7649" coordorigin="5079,-5710" coordsize="7161,7649" o:spt="100" adj="0,,0" path="m6524,-5710r-36,32l6436,-5628r-51,49l5945,-5073r-301,460l5472,-4279r-55,128l8039,-4355r1645,189l10536,-3855r244,164l10738,-3755r-44,-64l10650,-3883r-46,-64l10558,-4010r-48,-64l10462,-4137r-50,-62l10362,-4261r-52,-62l10258,-4385r-52,-61l10152,-4507r-54,-60l10044,-4627r-55,-59l9933,-4745r-56,-58l9821,-4861r-56,-57l9708,-4975r-57,-56l9595,-5086r-57,-55l8910,-5703r-9,-7m8810,-5710r1022,862l10860,-3566r380,816l11295,-2464r16,-75l11327,-2614r14,-76l11354,-2767r13,-78l11378,-2923r11,-78l11398,-3080r9,-79l11415,-3239r8,-80l11429,-3399r6,-80l11440,-3560r4,-80l11448,-3720r3,-81l11453,-3881r1,-80l11456,-4041r,-79l11456,-4199r-1,-79l11454,-4357r-42,-835l11360,-5710t-49,l11452,-3944r-191,1625l10946,-1477r-166,241l10845,-1278r65,-43l10975,-1365r64,-45l11103,-1456r64,-47l11231,-1551r63,-49l11358,-1650r62,-50l11483,-1752r62,-52l11606,-1857r61,-53l11728,-1964r60,-54l11847,-2073r59,-55l11965,-2183r58,-56l12080,-2295r56,-56l12192,-2407r48,-49m12240,-2509r-289,334l10653,-1159r-826,375l9538,-729r75,16l9690,-698r77,14l9845,-671r78,12l10002,-647r80,10l10162,-627r80,9l10323,-610r81,7l10485,-597r81,6l10647,-586r81,4l10810,-578r81,3l10972,-573r81,1l11134,-570r81,l11295,-570r80,-1l11454,-572r786,-38m11244,1605r81,-34l11405,1535r78,-36l11560,1461r75,-39l11708,1383r73,-41l11851,1301r70,-43l11988,1215r67,-44l12120,1126r63,-45l12240,1038t,-1707l11038,-575,9392,-764r-852,-311l8296,-1239r42,65l8382,-1110r44,63l8472,-983r46,64l8566,-856r49,63l8664,-731r51,62l8766,-607r52,62l8871,-484r53,61l8978,-363r55,60l9088,-244r55,59l9199,-126r56,57l9312,-11r56,56l9425,101r57,55l9539,211r627,562l10712,1214r386,288l11244,1605t-3411,-2l7915,1636r81,31l8078,1695r81,27l8239,1748r80,23l8399,1793r80,20l8558,1831r79,17l8715,1863r78,14l8870,1889r76,11l9022,1909r76,8l9173,1924r74,5l9321,1933r72,3l9466,1938r71,1l10211,1888r541,-115l11113,1657r131,-52l9243,-82,8215,-1365r-380,-815l7781,-2466r-17,75l7749,-2316r-14,77l7721,-2162r-12,77l7697,-2007r-10,78l7677,-1850r-9,80l7660,-1691r-7,80l7646,-1531r-5,80l7636,-1370r-5,80l7628,-1210r-3,81l7622,-1049r-1,80l7620,-889r-1,79l7619,-730r1,79l7621,-573r42,836l7735,956r68,472l7833,1603m5418,-780r34,81l5488,-621r37,77l5563,-468r39,74l5642,-321r42,71l5726,-181r43,69l5813,-46r44,66l5903,84r46,62l5996,207r47,60l6091,326r48,57l6188,438r49,55l6286,546r50,52l6386,648r513,434l7364,1379r338,170l7833,1603,7626,-986r190,-1625l8132,-3454r165,-240l8232,-3652r-65,42l8103,-3566r-65,46l7974,-3474r-64,47l7846,-3379r-63,49l7720,-3280r-63,50l7595,-3178r-62,52l7472,-3073r-61,53l7350,-2966r-60,54l7230,-2857r-59,55l7113,-2747r-58,56l6998,-2635r-57,56l6885,-2523r-55,56l6261,-1846r-447,540l5522,-924r-104,144m5417,-4151r-33,81l5353,-3989r-29,80l5297,-3829r-25,80l5248,-3670r-22,79l5206,-3512r-18,78l5171,-3356r-16,77l5142,-3202r-13,77l5119,-3050r-10,76l5101,-2900r-7,74l5089,-2752r-4,72l5082,-2608r-2,72l5079,-2466r52,666l5247,-1265r117,356l5418,-780,7125,-2755,8424,-3771r826,-376l9539,-4201r-76,-16l9387,-4232r-78,-14l9232,-4259r-79,-12l9074,-4283r-79,-10l8915,-4303r-81,-9l8754,-4319r-81,-8l8592,-4333r-81,-6l8429,-4344r-81,-4l8267,-4351r-82,-3l8104,-4357r-81,-1l7942,-4359r-80,-1l7781,-4360r-79,1l7622,-4358r-846,41l6074,-4246r-479,66l5417,-4151e" filled="f" strokecolor="#d9dadc" strokeweight=".5pt">
              <v:stroke joinstyle="round"/>
              <v:formulas/>
              <v:path arrowok="t" o:connecttype="segments"/>
            </v:shape>
            <v:shape id="docshape501" o:spid="_x0000_s3299" style="position:absolute;left:11614;top:-5710;width:626;height:5717" coordorigin="11615,-5710" coordsize="626,5717" path="m12240,-5710r-625,l11615,-220r3,131l11643,-22r67,25l11842,6r398,l12240,-5710xe" fillcolor="#7f3f98" stroked="f">
              <v:path arrowok="t"/>
            </v:shape>
            <w10:wrap anchorx="page"/>
          </v:group>
        </w:pict>
      </w:r>
      <w:r>
        <w:pict w14:anchorId="1DA8447C">
          <v:shape id="docshape502" o:spid="_x0000_s3297" type="#_x0000_t202" style="position:absolute;left:0;text-align:left;margin-left:585.65pt;margin-top:-211.85pt;width:17.7pt;height:180.55pt;z-index:251571712;mso-position-horizontal-relative:page" filled="f" stroked="f">
            <v:textbox style="layout-flow:vertical;mso-layout-flow-alt:bottom-to-top;mso-next-textbox:#docshape502" inset="0,0,0,0">
              <w:txbxContent>
                <w:p w14:paraId="283A9CEB" w14:textId="77777777" w:rsidR="0055291C" w:rsidRDefault="00F23C61">
                  <w:pPr>
                    <w:spacing w:before="18"/>
                    <w:ind w:left="20"/>
                    <w:rPr>
                      <w:rFonts w:ascii="Arial"/>
                      <w:b/>
                      <w:i/>
                      <w:sz w:val="28"/>
                    </w:rPr>
                  </w:pPr>
                  <w:r>
                    <w:rPr>
                      <w:rFonts w:ascii="Arial"/>
                      <w:b/>
                      <w:i/>
                      <w:color w:val="F3F4F4"/>
                      <w:spacing w:val="-159"/>
                      <w:w w:val="92"/>
                      <w:sz w:val="28"/>
                    </w:rPr>
                    <w:t>g</w:t>
                  </w:r>
                  <w:r>
                    <w:rPr>
                      <w:rFonts w:ascii="Arial"/>
                      <w:b/>
                      <w:i/>
                      <w:color w:val="F3F4F4"/>
                      <w:w w:val="109"/>
                      <w:sz w:val="28"/>
                    </w:rPr>
                    <w:t>r</w:t>
                  </w:r>
                  <w:r>
                    <w:rPr>
                      <w:rFonts w:ascii="Arial"/>
                      <w:b/>
                      <w:i/>
                      <w:color w:val="F3F4F4"/>
                      <w:sz w:val="28"/>
                    </w:rPr>
                    <w:t xml:space="preserve"> </w:t>
                  </w:r>
                  <w:r>
                    <w:rPr>
                      <w:rFonts w:ascii="Arial"/>
                      <w:b/>
                      <w:i/>
                      <w:color w:val="F3F4F4"/>
                      <w:spacing w:val="6"/>
                      <w:sz w:val="28"/>
                    </w:rPr>
                    <w:t xml:space="preserve"> </w:t>
                  </w:r>
                  <w:proofErr w:type="spellStart"/>
                  <w:r>
                    <w:rPr>
                      <w:rFonts w:ascii="Arial"/>
                      <w:b/>
                      <w:i/>
                      <w:color w:val="F3F4F4"/>
                      <w:spacing w:val="-104"/>
                      <w:w w:val="95"/>
                      <w:sz w:val="28"/>
                    </w:rPr>
                    <w:t>e</w:t>
                  </w:r>
                  <w:r>
                    <w:rPr>
                      <w:rFonts w:ascii="Arial"/>
                      <w:b/>
                      <w:i/>
                      <w:color w:val="F3F4F4"/>
                      <w:w w:val="95"/>
                      <w:sz w:val="28"/>
                    </w:rPr>
                    <w:t>u</w:t>
                  </w:r>
                  <w:proofErr w:type="spellEnd"/>
                  <w:r>
                    <w:rPr>
                      <w:rFonts w:ascii="Arial"/>
                      <w:b/>
                      <w:i/>
                      <w:color w:val="F3F4F4"/>
                      <w:spacing w:val="30"/>
                      <w:sz w:val="28"/>
                    </w:rPr>
                    <w:t xml:space="preserve"> </w:t>
                  </w:r>
                  <w:r>
                    <w:rPr>
                      <w:rFonts w:ascii="Arial"/>
                      <w:b/>
                      <w:i/>
                      <w:color w:val="F3F4F4"/>
                      <w:spacing w:val="-102"/>
                      <w:w w:val="93"/>
                      <w:sz w:val="28"/>
                    </w:rPr>
                    <w:t>q</w:t>
                  </w:r>
                  <w:r>
                    <w:rPr>
                      <w:rFonts w:ascii="Arial"/>
                      <w:b/>
                      <w:i/>
                      <w:color w:val="F3F4F4"/>
                      <w:w w:val="101"/>
                      <w:sz w:val="28"/>
                    </w:rPr>
                    <w:t>i</w:t>
                  </w:r>
                  <w:r>
                    <w:rPr>
                      <w:rFonts w:ascii="Arial"/>
                      <w:b/>
                      <w:i/>
                      <w:color w:val="F3F4F4"/>
                      <w:sz w:val="28"/>
                    </w:rPr>
                    <w:t xml:space="preserve"> </w:t>
                  </w:r>
                  <w:r>
                    <w:rPr>
                      <w:rFonts w:ascii="Arial"/>
                      <w:b/>
                      <w:i/>
                      <w:color w:val="F3F4F4"/>
                      <w:spacing w:val="12"/>
                      <w:sz w:val="28"/>
                    </w:rPr>
                    <w:t xml:space="preserve"> </w:t>
                  </w:r>
                  <w:r>
                    <w:rPr>
                      <w:rFonts w:ascii="Arial"/>
                      <w:b/>
                      <w:i/>
                      <w:color w:val="F3F4F4"/>
                      <w:spacing w:val="-144"/>
                      <w:w w:val="96"/>
                      <w:sz w:val="28"/>
                    </w:rPr>
                    <w:t>d</w:t>
                  </w:r>
                  <w:r>
                    <w:rPr>
                      <w:rFonts w:ascii="Arial"/>
                      <w:b/>
                      <w:i/>
                      <w:color w:val="F3F4F4"/>
                      <w:w w:val="95"/>
                      <w:sz w:val="28"/>
                    </w:rPr>
                    <w:t>u</w:t>
                  </w:r>
                  <w:r>
                    <w:rPr>
                      <w:rFonts w:ascii="Arial"/>
                      <w:b/>
                      <w:i/>
                      <w:color w:val="F3F4F4"/>
                      <w:sz w:val="28"/>
                    </w:rPr>
                    <w:t xml:space="preserve"> </w:t>
                  </w:r>
                  <w:r>
                    <w:rPr>
                      <w:rFonts w:ascii="Arial"/>
                      <w:b/>
                      <w:i/>
                      <w:color w:val="F3F4F4"/>
                      <w:spacing w:val="-7"/>
                      <w:sz w:val="28"/>
                    </w:rPr>
                    <w:t xml:space="preserve"> </w:t>
                  </w:r>
                  <w:r>
                    <w:rPr>
                      <w:rFonts w:ascii="Arial"/>
                      <w:b/>
                      <w:i/>
                      <w:color w:val="F3F4F4"/>
                      <w:spacing w:val="-146"/>
                      <w:w w:val="105"/>
                      <w:sz w:val="28"/>
                    </w:rPr>
                    <w:t>a</w:t>
                  </w:r>
                  <w:r>
                    <w:rPr>
                      <w:rFonts w:ascii="Arial"/>
                      <w:b/>
                      <w:i/>
                      <w:color w:val="F3F4F4"/>
                      <w:w w:val="101"/>
                      <w:sz w:val="28"/>
                    </w:rPr>
                    <w:t>i</w:t>
                  </w:r>
                  <w:r>
                    <w:rPr>
                      <w:rFonts w:ascii="Arial"/>
                      <w:b/>
                      <w:i/>
                      <w:color w:val="F3F4F4"/>
                      <w:sz w:val="28"/>
                    </w:rPr>
                    <w:t xml:space="preserve"> </w:t>
                  </w:r>
                  <w:r>
                    <w:rPr>
                      <w:rFonts w:ascii="Arial"/>
                      <w:b/>
                      <w:i/>
                      <w:color w:val="F3F4F4"/>
                      <w:spacing w:val="12"/>
                      <w:sz w:val="28"/>
                    </w:rPr>
                    <w:t xml:space="preserve"> </w:t>
                  </w:r>
                  <w:proofErr w:type="spellStart"/>
                  <w:r>
                    <w:rPr>
                      <w:rFonts w:ascii="Arial"/>
                      <w:b/>
                      <w:i/>
                      <w:color w:val="F3F4F4"/>
                      <w:spacing w:val="-54"/>
                      <w:w w:val="109"/>
                      <w:sz w:val="28"/>
                    </w:rPr>
                    <w:t>r</w:t>
                  </w:r>
                  <w:r>
                    <w:rPr>
                      <w:rFonts w:ascii="Arial"/>
                      <w:b/>
                      <w:i/>
                      <w:color w:val="F3F4F4"/>
                      <w:w w:val="92"/>
                      <w:sz w:val="28"/>
                    </w:rPr>
                    <w:t>n</w:t>
                  </w:r>
                  <w:proofErr w:type="spellEnd"/>
                  <w:r>
                    <w:rPr>
                      <w:rFonts w:ascii="Arial"/>
                      <w:b/>
                      <w:i/>
                      <w:color w:val="F3F4F4"/>
                      <w:spacing w:val="-21"/>
                      <w:sz w:val="28"/>
                    </w:rPr>
                    <w:t xml:space="preserve"> </w:t>
                  </w:r>
                  <w:proofErr w:type="spellStart"/>
                  <w:r>
                    <w:rPr>
                      <w:rFonts w:ascii="Arial"/>
                      <w:b/>
                      <w:i/>
                      <w:color w:val="F3F4F4"/>
                      <w:spacing w:val="-38"/>
                      <w:w w:val="95"/>
                      <w:sz w:val="28"/>
                    </w:rPr>
                    <w:t>e</w:t>
                  </w:r>
                  <w:r>
                    <w:rPr>
                      <w:rFonts w:ascii="Arial"/>
                      <w:b/>
                      <w:i/>
                      <w:color w:val="F3F4F4"/>
                      <w:w w:val="86"/>
                      <w:sz w:val="28"/>
                    </w:rPr>
                    <w:t>c</w:t>
                  </w:r>
                  <w:proofErr w:type="spellEnd"/>
                  <w:r>
                    <w:rPr>
                      <w:rFonts w:ascii="Arial"/>
                      <w:b/>
                      <w:i/>
                      <w:color w:val="F3F4F4"/>
                      <w:spacing w:val="-7"/>
                      <w:sz w:val="28"/>
                    </w:rPr>
                    <w:t xml:space="preserve"> </w:t>
                  </w:r>
                  <w:r>
                    <w:rPr>
                      <w:rFonts w:ascii="Arial"/>
                      <w:b/>
                      <w:i/>
                      <w:color w:val="F3F4F4"/>
                      <w:spacing w:val="-147"/>
                      <w:w w:val="95"/>
                      <w:sz w:val="28"/>
                    </w:rPr>
                    <w:t>m</w:t>
                  </w:r>
                  <w:r>
                    <w:rPr>
                      <w:rFonts w:ascii="Arial"/>
                      <w:b/>
                      <w:i/>
                      <w:color w:val="F3F4F4"/>
                      <w:w w:val="95"/>
                      <w:sz w:val="28"/>
                    </w:rPr>
                    <w:t>e</w:t>
                  </w:r>
                  <w:r>
                    <w:rPr>
                      <w:rFonts w:ascii="Arial"/>
                      <w:b/>
                      <w:i/>
                      <w:color w:val="F3F4F4"/>
                      <w:sz w:val="28"/>
                    </w:rPr>
                    <w:t xml:space="preserve"> </w:t>
                  </w:r>
                  <w:r>
                    <w:rPr>
                      <w:rFonts w:ascii="Arial"/>
                      <w:b/>
                      <w:i/>
                      <w:color w:val="F3F4F4"/>
                      <w:spacing w:val="10"/>
                      <w:sz w:val="28"/>
                    </w:rPr>
                    <w:t xml:space="preserve"> </w:t>
                  </w:r>
                  <w:r>
                    <w:rPr>
                      <w:rFonts w:ascii="Arial"/>
                      <w:b/>
                      <w:i/>
                      <w:color w:val="F3F4F4"/>
                      <w:w w:val="95"/>
                      <w:sz w:val="28"/>
                    </w:rPr>
                    <w:t>e</w:t>
                  </w:r>
                  <w:r>
                    <w:rPr>
                      <w:rFonts w:ascii="Arial"/>
                      <w:b/>
                      <w:i/>
                      <w:color w:val="F3F4F4"/>
                      <w:sz w:val="28"/>
                    </w:rPr>
                    <w:t xml:space="preserve"> </w:t>
                  </w:r>
                  <w:r>
                    <w:rPr>
                      <w:rFonts w:ascii="Arial"/>
                      <w:b/>
                      <w:i/>
                      <w:color w:val="F3F4F4"/>
                      <w:spacing w:val="12"/>
                      <w:sz w:val="28"/>
                    </w:rPr>
                    <w:t xml:space="preserve"> </w:t>
                  </w:r>
                  <w:r>
                    <w:rPr>
                      <w:rFonts w:ascii="Arial"/>
                      <w:b/>
                      <w:i/>
                      <w:color w:val="F3F4F4"/>
                      <w:w w:val="92"/>
                      <w:sz w:val="28"/>
                    </w:rPr>
                    <w:t>n</w:t>
                  </w:r>
                  <w:r>
                    <w:rPr>
                      <w:rFonts w:ascii="Arial"/>
                      <w:b/>
                      <w:i/>
                      <w:color w:val="F3F4F4"/>
                      <w:sz w:val="28"/>
                    </w:rPr>
                    <w:t xml:space="preserve"> </w:t>
                  </w:r>
                  <w:r>
                    <w:rPr>
                      <w:rFonts w:ascii="Arial"/>
                      <w:b/>
                      <w:i/>
                      <w:color w:val="F3F4F4"/>
                      <w:spacing w:val="12"/>
                      <w:sz w:val="28"/>
                    </w:rPr>
                    <w:t xml:space="preserve"> </w:t>
                  </w:r>
                  <w:r>
                    <w:rPr>
                      <w:rFonts w:ascii="Arial"/>
                      <w:b/>
                      <w:i/>
                      <w:color w:val="F3F4F4"/>
                      <w:w w:val="124"/>
                      <w:sz w:val="28"/>
                    </w:rPr>
                    <w:t>t</w:t>
                  </w:r>
                  <w:r>
                    <w:rPr>
                      <w:rFonts w:ascii="Arial"/>
                      <w:b/>
                      <w:i/>
                      <w:color w:val="F3F4F4"/>
                      <w:sz w:val="28"/>
                    </w:rPr>
                    <w:t xml:space="preserve"> </w:t>
                  </w:r>
                  <w:r>
                    <w:rPr>
                      <w:rFonts w:ascii="Arial"/>
                      <w:b/>
                      <w:i/>
                      <w:color w:val="F3F4F4"/>
                      <w:spacing w:val="12"/>
                      <w:sz w:val="28"/>
                    </w:rPr>
                    <w:t xml:space="preserve"> </w:t>
                  </w:r>
                  <w:r>
                    <w:rPr>
                      <w:rFonts w:ascii="Arial"/>
                      <w:b/>
                      <w:i/>
                      <w:color w:val="F3F4F4"/>
                      <w:w w:val="86"/>
                      <w:sz w:val="28"/>
                    </w:rPr>
                    <w:t>s</w:t>
                  </w:r>
                </w:p>
              </w:txbxContent>
            </v:textbox>
            <w10:wrap anchorx="page"/>
          </v:shape>
        </w:pict>
      </w:r>
      <w:r>
        <w:pict w14:anchorId="5B580A02">
          <v:shape id="docshape503" o:spid="_x0000_s3296" type="#_x0000_t202" style="position:absolute;left:0;text-align:left;margin-left:44.7pt;margin-top:11.55pt;width:42.3pt;height:81.4pt;z-index:-251578880;mso-position-horizontal-relative:page" filled="f" stroked="f">
            <v:textbox style="mso-next-textbox:#docshape503" inset="0,0,0,0">
              <w:txbxContent>
                <w:p w14:paraId="5CCBB797" w14:textId="77777777" w:rsidR="0055291C" w:rsidRDefault="00F23C61">
                  <w:pPr>
                    <w:spacing w:line="1628" w:lineRule="exact"/>
                    <w:rPr>
                      <w:rFonts w:ascii="Arial"/>
                      <w:b/>
                      <w:i/>
                      <w:sz w:val="145"/>
                    </w:rPr>
                  </w:pPr>
                  <w:r>
                    <w:rPr>
                      <w:rFonts w:ascii="Arial"/>
                      <w:b/>
                      <w:i/>
                      <w:color w:val="00ACA1"/>
                      <w:w w:val="95"/>
                      <w:sz w:val="145"/>
                    </w:rPr>
                    <w:t>T</w:t>
                  </w:r>
                </w:p>
              </w:txbxContent>
            </v:textbox>
            <w10:wrap anchorx="page"/>
          </v:shape>
        </w:pict>
      </w:r>
      <w:r w:rsidR="00AD6805">
        <w:rPr>
          <w:rFonts w:ascii="ＭＳ ゴシック" w:eastAsia="ＭＳ ゴシック" w:hAnsi="ＭＳ ゴシック" w:cs="ＭＳ ゴシック" w:hint="eastAsia"/>
          <w:b/>
          <w:i/>
          <w:color w:val="00ACA1"/>
          <w:sz w:val="24"/>
          <w:lang w:eastAsia="ja-JP"/>
        </w:rPr>
        <w:t>はじめに</w:t>
      </w:r>
    </w:p>
    <w:p w14:paraId="592A82EB" w14:textId="4796B22B" w:rsidR="0055291C" w:rsidRDefault="00146F75">
      <w:pPr>
        <w:spacing w:before="144" w:line="364" w:lineRule="auto"/>
        <w:ind w:left="2029" w:right="1132"/>
        <w:jc w:val="both"/>
        <w:rPr>
          <w:rFonts w:ascii="Arial"/>
          <w:b/>
          <w:i/>
          <w:sz w:val="24"/>
          <w:lang w:eastAsia="ja-JP"/>
        </w:rPr>
      </w:pPr>
      <w:r w:rsidRPr="00146F75">
        <w:rPr>
          <w:rFonts w:ascii="ＭＳ ゴシック" w:eastAsia="ＭＳ ゴシック" w:hAnsi="ＭＳ ゴシック" w:cs="ＭＳ ゴシック" w:hint="eastAsia"/>
          <w:b/>
          <w:i/>
          <w:color w:val="545456"/>
          <w:w w:val="90"/>
          <w:sz w:val="24"/>
          <w:lang w:eastAsia="ja-JP"/>
        </w:rPr>
        <w:t>報告書作成の次のステップは、境界を定義することです。境界は、どの排出と削減が報告書に含まれるかを特定するためのものです。境界設定において、企業は以下のステップを完了するべきです。</w:t>
      </w:r>
    </w:p>
    <w:p w14:paraId="4EED4DE8" w14:textId="77777777" w:rsidR="0055291C" w:rsidRDefault="0055291C">
      <w:pPr>
        <w:pStyle w:val="a3"/>
        <w:spacing w:before="5"/>
        <w:rPr>
          <w:rFonts w:ascii="Arial"/>
          <w:b/>
          <w:i/>
          <w:sz w:val="24"/>
          <w:lang w:eastAsia="ja-JP"/>
        </w:rPr>
      </w:pPr>
    </w:p>
    <w:p w14:paraId="13397EBB" w14:textId="55629FD4" w:rsidR="00146F75" w:rsidRPr="00146F75" w:rsidRDefault="00146F75">
      <w:pPr>
        <w:pStyle w:val="a3"/>
        <w:numPr>
          <w:ilvl w:val="0"/>
          <w:numId w:val="64"/>
        </w:numPr>
        <w:ind w:left="1985" w:rightChars="473" w:right="1041" w:firstLine="0"/>
        <w:rPr>
          <w:rFonts w:ascii="Arial" w:hAnsi="Arial"/>
          <w:b/>
          <w:i/>
          <w:color w:val="545456"/>
          <w:w w:val="95"/>
          <w:sz w:val="24"/>
          <w:szCs w:val="22"/>
          <w:lang w:eastAsia="ja-JP"/>
        </w:rPr>
      </w:pPr>
      <w:r w:rsidRPr="00146F75">
        <w:rPr>
          <w:rFonts w:ascii="ＭＳ ゴシック" w:eastAsia="ＭＳ ゴシック" w:hAnsi="ＭＳ ゴシック" w:cs="ＭＳ ゴシック" w:hint="eastAsia"/>
          <w:b/>
          <w:i/>
          <w:color w:val="545456"/>
          <w:w w:val="95"/>
          <w:sz w:val="24"/>
          <w:szCs w:val="22"/>
          <w:lang w:eastAsia="ja-JP"/>
        </w:rPr>
        <w:t>調査対象製品及びその機能を果たす能力に直接関連する、ライフサイクルに沿った帰属プロセスを特定する。</w:t>
      </w:r>
    </w:p>
    <w:p w14:paraId="1FBF978A" w14:textId="3F677EAD" w:rsidR="00146F75" w:rsidRPr="00146F75" w:rsidRDefault="00146F75">
      <w:pPr>
        <w:pStyle w:val="a3"/>
        <w:numPr>
          <w:ilvl w:val="0"/>
          <w:numId w:val="64"/>
        </w:numPr>
        <w:ind w:left="1985" w:firstLine="0"/>
        <w:rPr>
          <w:rFonts w:ascii="Arial" w:hAnsi="Arial"/>
          <w:b/>
          <w:i/>
          <w:color w:val="545456"/>
          <w:w w:val="95"/>
          <w:sz w:val="24"/>
          <w:szCs w:val="22"/>
          <w:lang w:eastAsia="ja-JP"/>
        </w:rPr>
      </w:pPr>
      <w:r w:rsidRPr="00146F75">
        <w:rPr>
          <w:rFonts w:ascii="ＭＳ ゴシック" w:eastAsia="ＭＳ ゴシック" w:hAnsi="ＭＳ ゴシック" w:cs="ＭＳ ゴシック" w:hint="eastAsia"/>
          <w:b/>
          <w:i/>
          <w:color w:val="545456"/>
          <w:w w:val="95"/>
          <w:sz w:val="24"/>
          <w:szCs w:val="22"/>
          <w:lang w:eastAsia="ja-JP"/>
        </w:rPr>
        <w:t>起因するプロセスをライフサイクルのステージに分類する</w:t>
      </w:r>
    </w:p>
    <w:p w14:paraId="1425472D" w14:textId="100F45CC" w:rsidR="00146F75" w:rsidRPr="00146F75" w:rsidRDefault="00146F75">
      <w:pPr>
        <w:pStyle w:val="a3"/>
        <w:numPr>
          <w:ilvl w:val="0"/>
          <w:numId w:val="64"/>
        </w:numPr>
        <w:ind w:left="1985" w:firstLine="0"/>
        <w:rPr>
          <w:rFonts w:ascii="Arial" w:hAnsi="Arial"/>
          <w:b/>
          <w:i/>
          <w:color w:val="545456"/>
          <w:w w:val="95"/>
          <w:sz w:val="24"/>
          <w:szCs w:val="22"/>
          <w:lang w:eastAsia="ja-JP"/>
        </w:rPr>
      </w:pPr>
      <w:r w:rsidRPr="00146F75">
        <w:rPr>
          <w:rFonts w:ascii="ＭＳ ゴシック" w:eastAsia="ＭＳ ゴシック" w:hAnsi="ＭＳ ゴシック" w:cs="ＭＳ ゴシック" w:hint="eastAsia"/>
          <w:b/>
          <w:i/>
          <w:color w:val="545456"/>
          <w:w w:val="95"/>
          <w:sz w:val="24"/>
          <w:szCs w:val="22"/>
          <w:lang w:eastAsia="ja-JP"/>
        </w:rPr>
        <w:t>各プロセスに必要なサービス、材料、およびエネルギーの流れを特定する。</w:t>
      </w:r>
    </w:p>
    <w:p w14:paraId="3714E2D1" w14:textId="0396C311" w:rsidR="0055291C" w:rsidRDefault="00146F75">
      <w:pPr>
        <w:pStyle w:val="a3"/>
        <w:numPr>
          <w:ilvl w:val="0"/>
          <w:numId w:val="64"/>
        </w:numPr>
        <w:ind w:left="1985" w:firstLine="0"/>
        <w:rPr>
          <w:rFonts w:ascii="Arial"/>
          <w:b/>
          <w:i/>
          <w:sz w:val="26"/>
          <w:lang w:eastAsia="ja-JP"/>
        </w:rPr>
      </w:pPr>
      <w:r w:rsidRPr="00146F75">
        <w:rPr>
          <w:rFonts w:ascii="ＭＳ ゴシック" w:eastAsia="ＭＳ ゴシック" w:hAnsi="ＭＳ ゴシック" w:cs="ＭＳ ゴシック" w:hint="eastAsia"/>
          <w:b/>
          <w:i/>
          <w:color w:val="545456"/>
          <w:w w:val="95"/>
          <w:sz w:val="24"/>
          <w:szCs w:val="22"/>
          <w:lang w:eastAsia="ja-JP"/>
        </w:rPr>
        <w:t>製品のライフサイクルプロセスを</w:t>
      </w:r>
      <w:r w:rsidR="009268D3">
        <w:rPr>
          <w:rFonts w:ascii="ＭＳ ゴシック" w:eastAsia="ＭＳ ゴシック" w:hAnsi="ＭＳ ゴシック" w:cs="ＭＳ ゴシック" w:hint="eastAsia"/>
          <w:b/>
          <w:i/>
          <w:color w:val="545456"/>
          <w:w w:val="95"/>
          <w:sz w:val="24"/>
          <w:szCs w:val="22"/>
          <w:lang w:eastAsia="ja-JP"/>
        </w:rPr>
        <w:t>工程表</w:t>
      </w:r>
      <w:r w:rsidRPr="00146F75">
        <w:rPr>
          <w:rFonts w:ascii="ＭＳ ゴシック" w:eastAsia="ＭＳ ゴシック" w:hAnsi="ＭＳ ゴシック" w:cs="ＭＳ ゴシック" w:hint="eastAsia"/>
          <w:b/>
          <w:i/>
          <w:color w:val="545456"/>
          <w:w w:val="95"/>
          <w:sz w:val="24"/>
          <w:szCs w:val="22"/>
          <w:lang w:eastAsia="ja-JP"/>
        </w:rPr>
        <w:t>に図示する。</w:t>
      </w:r>
    </w:p>
    <w:p w14:paraId="374E343C" w14:textId="648BEEE8" w:rsidR="0055291C" w:rsidRPr="00AD6805" w:rsidRDefault="00AD6805" w:rsidP="00AD6805">
      <w:pPr>
        <w:pStyle w:val="a3"/>
        <w:spacing w:before="175"/>
        <w:ind w:leftChars="901" w:left="1983" w:rightChars="537" w:right="1181" w:hanging="1"/>
        <w:rPr>
          <w:rFonts w:ascii="ＭＳ ゴシック" w:eastAsia="ＭＳ ゴシック" w:hAnsi="ＭＳ ゴシック"/>
          <w:b/>
          <w:bCs/>
          <w:i/>
          <w:iCs/>
          <w:sz w:val="24"/>
          <w:szCs w:val="24"/>
          <w:lang w:eastAsia="ja-JP"/>
        </w:rPr>
      </w:pPr>
      <w:r w:rsidRPr="00AD6805">
        <w:rPr>
          <w:rFonts w:ascii="ＭＳ ゴシック" w:eastAsia="ＭＳ ゴシック" w:hAnsi="ＭＳ ゴシック" w:cs="ＭＳ ゴシック" w:hint="eastAsia"/>
          <w:b/>
          <w:bCs/>
          <w:i/>
          <w:iCs/>
          <w:color w:val="545456"/>
          <w:sz w:val="24"/>
          <w:szCs w:val="24"/>
          <w:lang w:eastAsia="ja-JP"/>
        </w:rPr>
        <w:t>次のセクションでは、企業が報告書の境界を定義するのに役立つ要件とガイダンスを説明します</w:t>
      </w:r>
      <w:r>
        <w:rPr>
          <w:rFonts w:ascii="ＭＳ ゴシック" w:eastAsia="ＭＳ ゴシック" w:hAnsi="ＭＳ ゴシック" w:hint="eastAsia"/>
          <w:b/>
          <w:bCs/>
          <w:i/>
          <w:iCs/>
          <w:color w:val="545456"/>
          <w:sz w:val="24"/>
          <w:szCs w:val="24"/>
          <w:lang w:eastAsia="ja-JP"/>
        </w:rPr>
        <w:t>。</w:t>
      </w:r>
    </w:p>
    <w:p w14:paraId="4E36A023" w14:textId="1AE35827" w:rsidR="0055291C" w:rsidRDefault="0055291C">
      <w:pPr>
        <w:pStyle w:val="a3"/>
        <w:rPr>
          <w:sz w:val="20"/>
          <w:lang w:eastAsia="ja-JP"/>
        </w:rPr>
      </w:pPr>
    </w:p>
    <w:p w14:paraId="20AA3D5A" w14:textId="479280B1" w:rsidR="0055291C" w:rsidRDefault="0055291C">
      <w:pPr>
        <w:pStyle w:val="a3"/>
        <w:rPr>
          <w:sz w:val="22"/>
          <w:lang w:eastAsia="ja-JP"/>
        </w:rPr>
      </w:pPr>
    </w:p>
    <w:p w14:paraId="3E0068FB" w14:textId="77777777" w:rsidR="0055291C" w:rsidRDefault="0055291C">
      <w:pPr>
        <w:rPr>
          <w:lang w:eastAsia="ja-JP"/>
        </w:rPr>
        <w:sectPr w:rsidR="0055291C">
          <w:headerReference w:type="default" r:id="rId133"/>
          <w:footerReference w:type="even" r:id="rId134"/>
          <w:footerReference w:type="default" r:id="rId135"/>
          <w:pgSz w:w="12240" w:h="15840"/>
          <w:pgMar w:top="0" w:right="0" w:bottom="1040" w:left="0" w:header="0" w:footer="859" w:gutter="0"/>
          <w:pgNumType w:start="33"/>
          <w:cols w:space="720"/>
        </w:sectPr>
      </w:pPr>
    </w:p>
    <w:p w14:paraId="30C8435F" w14:textId="7BCF9C1E" w:rsidR="0055291C" w:rsidRDefault="00AD6805" w:rsidP="00AD6805">
      <w:pPr>
        <w:pStyle w:val="3"/>
        <w:tabs>
          <w:tab w:val="left" w:pos="1853"/>
          <w:tab w:val="left" w:pos="1854"/>
        </w:tabs>
        <w:ind w:left="1133"/>
        <w:rPr>
          <w:lang w:eastAsia="ja-JP"/>
        </w:rPr>
      </w:pPr>
      <w:r w:rsidRPr="00AD6805">
        <w:rPr>
          <w:rFonts w:ascii="ＭＳ 明朝" w:eastAsia="ＭＳ 明朝" w:hAnsi="ＭＳ 明朝" w:cs="ＭＳ 明朝" w:hint="eastAsia"/>
          <w:color w:val="00ACA1"/>
          <w:lang w:eastAsia="ja-JP"/>
        </w:rPr>
        <w:t>7.2　要求事項</w:t>
      </w:r>
    </w:p>
    <w:p w14:paraId="0DCD535B" w14:textId="1EB99E05" w:rsidR="0055291C" w:rsidRDefault="00F60F23">
      <w:pPr>
        <w:rPr>
          <w:rFonts w:ascii="Arial"/>
          <w:b/>
          <w:i/>
          <w:sz w:val="20"/>
          <w:lang w:eastAsia="ja-JP"/>
        </w:rPr>
      </w:pPr>
      <w:r>
        <w:rPr>
          <w:noProof/>
        </w:rPr>
        <mc:AlternateContent>
          <mc:Choice Requires="wps">
            <w:drawing>
              <wp:anchor distT="0" distB="0" distL="114300" distR="114300" simplePos="0" relativeHeight="251453952" behindDoc="0" locked="0" layoutInCell="1" allowOverlap="1" wp14:anchorId="01A1F77D" wp14:editId="3A6F5C2C">
                <wp:simplePos x="0" y="0"/>
                <wp:positionH relativeFrom="column">
                  <wp:posOffset>704850</wp:posOffset>
                </wp:positionH>
                <wp:positionV relativeFrom="paragraph">
                  <wp:posOffset>100330</wp:posOffset>
                </wp:positionV>
                <wp:extent cx="2971800" cy="463550"/>
                <wp:effectExtent l="0" t="0" r="0" b="0"/>
                <wp:wrapNone/>
                <wp:docPr id="64" name="四角形: 角を丸くする 64"/>
                <wp:cNvGraphicFramePr/>
                <a:graphic xmlns:a="http://schemas.openxmlformats.org/drawingml/2006/main">
                  <a:graphicData uri="http://schemas.microsoft.com/office/word/2010/wordprocessingShape">
                    <wps:wsp>
                      <wps:cNvSpPr/>
                      <wps:spPr>
                        <a:xfrm>
                          <a:off x="0" y="0"/>
                          <a:ext cx="2971800" cy="463550"/>
                        </a:xfrm>
                        <a:prstGeom prst="roundRect">
                          <a:avLst/>
                        </a:prstGeom>
                        <a:solidFill>
                          <a:srgbClr val="70029C">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845D16" w14:textId="7CB7B677" w:rsidR="00F60F23" w:rsidRPr="00F60F23" w:rsidRDefault="00F60F23" w:rsidP="00F60F23">
                            <w:pPr>
                              <w:rPr>
                                <w:rFonts w:asciiTheme="minorEastAsia" w:eastAsiaTheme="minorEastAsia" w:hAnsiTheme="minorEastAsia" w:cstheme="minorBidi"/>
                                <w:b/>
                                <w:bCs/>
                                <w:i/>
                                <w:iCs/>
                                <w:color w:val="000000" w:themeColor="text1"/>
                                <w:sz w:val="19"/>
                                <w:szCs w:val="19"/>
                                <w:lang w:eastAsia="ja-JP"/>
                              </w:rPr>
                            </w:pPr>
                            <w:r w:rsidRPr="00F60F23">
                              <w:rPr>
                                <w:rFonts w:asciiTheme="minorEastAsia" w:eastAsiaTheme="minorEastAsia" w:hAnsiTheme="minorEastAsia" w:cstheme="minorBidi" w:hint="eastAsia"/>
                                <w:b/>
                                <w:bCs/>
                                <w:i/>
                                <w:iCs/>
                                <w:color w:val="000000" w:themeColor="text1"/>
                                <w:sz w:val="19"/>
                                <w:szCs w:val="19"/>
                                <w:lang w:eastAsia="ja-JP"/>
                              </w:rPr>
                              <w:t>製品</w:t>
                            </w:r>
                            <w:r w:rsidRPr="00F60F23">
                              <w:rPr>
                                <w:rFonts w:asciiTheme="minorEastAsia" w:eastAsiaTheme="minorEastAsia" w:hAnsiTheme="minorEastAsia" w:cstheme="minorBidi"/>
                                <w:b/>
                                <w:bCs/>
                                <w:i/>
                                <w:iCs/>
                                <w:color w:val="000000" w:themeColor="text1"/>
                                <w:sz w:val="19"/>
                                <w:szCs w:val="19"/>
                                <w:lang w:eastAsia="ja-JP"/>
                              </w:rPr>
                              <w:t>GHG</w:t>
                            </w:r>
                            <w:r w:rsidR="003D29F0">
                              <w:rPr>
                                <w:rFonts w:asciiTheme="minorEastAsia" w:eastAsiaTheme="minorEastAsia" w:hAnsiTheme="minorEastAsia" w:cstheme="minorBidi" w:hint="eastAsia"/>
                                <w:b/>
                                <w:bCs/>
                                <w:i/>
                                <w:iCs/>
                                <w:color w:val="000000" w:themeColor="text1"/>
                                <w:sz w:val="19"/>
                                <w:szCs w:val="19"/>
                                <w:lang w:eastAsia="ja-JP"/>
                              </w:rPr>
                              <w:t>排出量</w:t>
                            </w:r>
                            <w:r w:rsidRPr="00F60F23">
                              <w:rPr>
                                <w:rFonts w:asciiTheme="minorEastAsia" w:eastAsiaTheme="minorEastAsia" w:hAnsiTheme="minorEastAsia" w:cstheme="minorBidi" w:hint="eastAsia"/>
                                <w:b/>
                                <w:bCs/>
                                <w:i/>
                                <w:iCs/>
                                <w:color w:val="000000" w:themeColor="text1"/>
                                <w:sz w:val="19"/>
                                <w:szCs w:val="19"/>
                                <w:lang w:eastAsia="ja-JP"/>
                              </w:rPr>
                              <w:t>の算定範囲には、帰属するすべての過程を含まなくてはならない。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1A1F77D" id="四角形: 角を丸くする 64" o:spid="_x0000_s1049" style="position:absolute;margin-left:55.5pt;margin-top:7.9pt;width:234pt;height:36.5pt;z-index:25145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" fillcolor="#70029c" stroked="f" strokeweight="2pt">
                <v:fill opacity="16448f"/>
                <v:textbox>
                  <w:txbxContent>
                    <w:p w14:paraId="48845D16" w14:textId="7CB7B677" w:rsidR="00F60F23" w:rsidRPr="00F60F23" w:rsidRDefault="00F60F23" w:rsidP="00F60F23">
                      <w:pPr>
                        <w:rPr>
                          <w:rFonts w:asciiTheme="minorEastAsia" w:eastAsiaTheme="minorEastAsia" w:hAnsiTheme="minorEastAsia" w:cstheme="minorBidi"/>
                          <w:b/>
                          <w:bCs/>
                          <w:i/>
                          <w:iCs/>
                          <w:color w:val="000000" w:themeColor="text1"/>
                          <w:sz w:val="19"/>
                          <w:szCs w:val="19"/>
                          <w:lang w:eastAsia="ja-JP"/>
                        </w:rPr>
                      </w:pPr>
                      <w:r w:rsidRPr="00F60F23">
                        <w:rPr>
                          <w:rFonts w:asciiTheme="minorEastAsia" w:eastAsiaTheme="minorEastAsia" w:hAnsiTheme="minorEastAsia" w:cstheme="minorBidi" w:hint="eastAsia"/>
                          <w:b/>
                          <w:bCs/>
                          <w:i/>
                          <w:iCs/>
                          <w:color w:val="000000" w:themeColor="text1"/>
                          <w:sz w:val="19"/>
                          <w:szCs w:val="19"/>
                          <w:lang w:eastAsia="ja-JP"/>
                        </w:rPr>
                        <w:t>製品</w:t>
                      </w:r>
                      <w:r w:rsidRPr="00F60F23">
                        <w:rPr>
                          <w:rFonts w:asciiTheme="minorEastAsia" w:eastAsiaTheme="minorEastAsia" w:hAnsiTheme="minorEastAsia" w:cstheme="minorBidi"/>
                          <w:b/>
                          <w:bCs/>
                          <w:i/>
                          <w:iCs/>
                          <w:color w:val="000000" w:themeColor="text1"/>
                          <w:sz w:val="19"/>
                          <w:szCs w:val="19"/>
                          <w:lang w:eastAsia="ja-JP"/>
                        </w:rPr>
                        <w:t>GHG</w:t>
                      </w:r>
                      <w:r w:rsidR="003D29F0">
                        <w:rPr>
                          <w:rFonts w:asciiTheme="minorEastAsia" w:eastAsiaTheme="minorEastAsia" w:hAnsiTheme="minorEastAsia" w:cstheme="minorBidi" w:hint="eastAsia"/>
                          <w:b/>
                          <w:bCs/>
                          <w:i/>
                          <w:iCs/>
                          <w:color w:val="000000" w:themeColor="text1"/>
                          <w:sz w:val="19"/>
                          <w:szCs w:val="19"/>
                          <w:lang w:eastAsia="ja-JP"/>
                        </w:rPr>
                        <w:t>排出量</w:t>
                      </w:r>
                      <w:r w:rsidRPr="00F60F23">
                        <w:rPr>
                          <w:rFonts w:asciiTheme="minorEastAsia" w:eastAsiaTheme="minorEastAsia" w:hAnsiTheme="minorEastAsia" w:cstheme="minorBidi" w:hint="eastAsia"/>
                          <w:b/>
                          <w:bCs/>
                          <w:i/>
                          <w:iCs/>
                          <w:color w:val="000000" w:themeColor="text1"/>
                          <w:sz w:val="19"/>
                          <w:szCs w:val="19"/>
                          <w:lang w:eastAsia="ja-JP"/>
                        </w:rPr>
                        <w:t>の算定範囲には、帰属するすべての過程を含まなくてはならない。</w:t>
                      </w:r>
                    </w:p>
                  </w:txbxContent>
                </v:textbox>
              </v:roundrect>
            </w:pict>
          </mc:Fallback>
        </mc:AlternateContent>
      </w:r>
      <w:r w:rsidR="00F23C61">
        <w:rPr>
          <w:lang w:eastAsia="ja-JP"/>
        </w:rPr>
        <w:br w:type="column"/>
      </w:r>
    </w:p>
    <w:p w14:paraId="1903743F" w14:textId="639ACB12" w:rsidR="0055291C" w:rsidRDefault="00F60F23">
      <w:pPr>
        <w:pStyle w:val="a3"/>
        <w:spacing w:before="6"/>
        <w:rPr>
          <w:rFonts w:ascii="Arial"/>
          <w:b/>
          <w:i/>
          <w:sz w:val="29"/>
          <w:lang w:eastAsia="ja-JP"/>
        </w:rPr>
      </w:pPr>
      <w:r>
        <w:rPr>
          <w:noProof/>
        </w:rPr>
        <mc:AlternateContent>
          <mc:Choice Requires="wps">
            <w:drawing>
              <wp:anchor distT="0" distB="0" distL="114300" distR="114300" simplePos="0" relativeHeight="251454976" behindDoc="0" locked="0" layoutInCell="1" allowOverlap="1" wp14:anchorId="4C5ECC70" wp14:editId="5D2FCCF7">
                <wp:simplePos x="0" y="0"/>
                <wp:positionH relativeFrom="column">
                  <wp:posOffset>699770</wp:posOffset>
                </wp:positionH>
                <wp:positionV relativeFrom="paragraph">
                  <wp:posOffset>215265</wp:posOffset>
                </wp:positionV>
                <wp:extent cx="3016250" cy="463550"/>
                <wp:effectExtent l="0" t="0" r="0" b="0"/>
                <wp:wrapNone/>
                <wp:docPr id="66" name="四角形: 角を丸くする 66"/>
                <wp:cNvGraphicFramePr/>
                <a:graphic xmlns:a="http://schemas.openxmlformats.org/drawingml/2006/main">
                  <a:graphicData uri="http://schemas.microsoft.com/office/word/2010/wordprocessingShape">
                    <wps:wsp>
                      <wps:cNvSpPr/>
                      <wps:spPr>
                        <a:xfrm>
                          <a:off x="0" y="0"/>
                          <a:ext cx="3016250" cy="463550"/>
                        </a:xfrm>
                        <a:prstGeom prst="roundRect">
                          <a:avLst/>
                        </a:prstGeom>
                        <a:solidFill>
                          <a:srgbClr val="70029C">
                            <a:alpha val="25098"/>
                          </a:srgbClr>
                        </a:solidFill>
                        <a:ln w="25400" cap="flat" cmpd="sng" algn="ctr">
                          <a:noFill/>
                          <a:prstDash val="solid"/>
                        </a:ln>
                        <a:effectLst/>
                      </wps:spPr>
                      <wps:txbx>
                        <w:txbxContent>
                          <w:p w14:paraId="616510F2" w14:textId="749E8A1B" w:rsidR="00F60F23" w:rsidRPr="00F60F23" w:rsidRDefault="00F60F23" w:rsidP="00F60F23">
                            <w:pPr>
                              <w:rPr>
                                <w:rFonts w:asciiTheme="minorEastAsia" w:eastAsiaTheme="minorEastAsia" w:hAnsiTheme="minorEastAsia" w:cstheme="minorBidi"/>
                                <w:b/>
                                <w:bCs/>
                                <w:i/>
                                <w:iCs/>
                                <w:color w:val="000000" w:themeColor="text1"/>
                                <w:sz w:val="19"/>
                                <w:szCs w:val="19"/>
                                <w:lang w:eastAsia="ja-JP"/>
                              </w:rPr>
                            </w:pPr>
                            <w:r w:rsidRPr="00F60F23">
                              <w:rPr>
                                <w:rFonts w:ascii="ＭＳ ゴシック" w:eastAsia="ＭＳ ゴシック" w:hAnsi="ＭＳ ゴシック" w:cs="ＭＳ ゴシック" w:hint="eastAsia"/>
                                <w:b/>
                                <w:bCs/>
                                <w:i/>
                                <w:iCs/>
                                <w:color w:val="000000" w:themeColor="text1"/>
                                <w:sz w:val="19"/>
                                <w:szCs w:val="19"/>
                                <w:lang w:eastAsia="ja-JP"/>
                              </w:rPr>
                              <w:t>企業は、ライフサイクルステージを定義し説明しなければならない。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5ECC70" id="四角形: 角を丸くする 66" o:spid="_x0000_s1050" style="position:absolute;margin-left:55.1pt;margin-top:16.95pt;width:237.5pt;height:36.5pt;z-index:2514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" fillcolor="#70029c" stroked="f" strokeweight="2pt">
                <v:fill opacity="16448f"/>
                <v:textbox>
                  <w:txbxContent>
                    <w:p w14:paraId="616510F2" w14:textId="749E8A1B" w:rsidR="00F60F23" w:rsidRPr="00F60F23" w:rsidRDefault="00F60F23" w:rsidP="00F60F23">
                      <w:pPr>
                        <w:rPr>
                          <w:rFonts w:asciiTheme="minorEastAsia" w:eastAsiaTheme="minorEastAsia" w:hAnsiTheme="minorEastAsia" w:cstheme="minorBidi"/>
                          <w:b/>
                          <w:bCs/>
                          <w:i/>
                          <w:iCs/>
                          <w:color w:val="000000" w:themeColor="text1"/>
                          <w:sz w:val="19"/>
                          <w:szCs w:val="19"/>
                          <w:lang w:eastAsia="ja-JP"/>
                        </w:rPr>
                      </w:pPr>
                      <w:r w:rsidRPr="00F60F23">
                        <w:rPr>
                          <w:rFonts w:ascii="ＭＳ ゴシック" w:eastAsia="ＭＳ ゴシック" w:hAnsi="ＭＳ ゴシック" w:cs="ＭＳ ゴシック" w:hint="eastAsia"/>
                          <w:b/>
                          <w:bCs/>
                          <w:i/>
                          <w:iCs/>
                          <w:color w:val="000000" w:themeColor="text1"/>
                          <w:sz w:val="19"/>
                          <w:szCs w:val="19"/>
                          <w:lang w:eastAsia="ja-JP"/>
                        </w:rPr>
                        <w:t>企業は、ライフサイクルステージを定義し説明しなければならない。</w:t>
                      </w:r>
                    </w:p>
                  </w:txbxContent>
                </v:textbox>
              </v:roundrect>
            </w:pict>
          </mc:Fallback>
        </mc:AlternateContent>
      </w:r>
    </w:p>
    <w:p w14:paraId="5C235580" w14:textId="6672F7D6" w:rsidR="0055291C" w:rsidRDefault="0055291C">
      <w:pPr>
        <w:spacing w:line="312" w:lineRule="auto"/>
        <w:rPr>
          <w:lang w:eastAsia="ja-JP"/>
        </w:rPr>
      </w:pPr>
    </w:p>
    <w:p w14:paraId="0FC49C45" w14:textId="77777777" w:rsidR="00F60F23" w:rsidRDefault="00F60F23">
      <w:pPr>
        <w:spacing w:line="312" w:lineRule="auto"/>
        <w:rPr>
          <w:lang w:eastAsia="ja-JP"/>
        </w:rPr>
      </w:pPr>
    </w:p>
    <w:p w14:paraId="795BF7FF" w14:textId="04ABCFCC" w:rsidR="00F60F23" w:rsidRDefault="00F60F23">
      <w:pPr>
        <w:spacing w:line="312" w:lineRule="auto"/>
        <w:rPr>
          <w:lang w:eastAsia="ja-JP"/>
        </w:rPr>
        <w:sectPr w:rsidR="00F60F23">
          <w:type w:val="continuous"/>
          <w:pgSz w:w="12240" w:h="15840"/>
          <w:pgMar w:top="740" w:right="0" w:bottom="280" w:left="0" w:header="0" w:footer="859" w:gutter="0"/>
          <w:cols w:num="2" w:space="720" w:equalWidth="0">
            <w:col w:w="3421" w:space="1707"/>
            <w:col w:w="7112"/>
          </w:cols>
        </w:sectPr>
      </w:pPr>
    </w:p>
    <w:p w14:paraId="5845DE22" w14:textId="77777777" w:rsidR="0055291C" w:rsidRDefault="0055291C">
      <w:pPr>
        <w:pStyle w:val="a3"/>
        <w:spacing w:before="2"/>
        <w:rPr>
          <w:sz w:val="28"/>
          <w:lang w:eastAsia="ja-JP"/>
        </w:rPr>
      </w:pPr>
    </w:p>
    <w:p w14:paraId="0B6798CB" w14:textId="77777777" w:rsidR="0055291C" w:rsidRDefault="0055291C">
      <w:pPr>
        <w:rPr>
          <w:sz w:val="28"/>
          <w:lang w:eastAsia="ja-JP"/>
        </w:rPr>
        <w:sectPr w:rsidR="0055291C">
          <w:type w:val="continuous"/>
          <w:pgSz w:w="12240" w:h="15840"/>
          <w:pgMar w:top="740" w:right="0" w:bottom="280" w:left="0" w:header="0" w:footer="859" w:gutter="0"/>
          <w:cols w:space="720"/>
        </w:sectPr>
      </w:pPr>
    </w:p>
    <w:p w14:paraId="205D6071" w14:textId="619B907D" w:rsidR="0055291C" w:rsidRDefault="00F60F23" w:rsidP="003766CC">
      <w:pPr>
        <w:pStyle w:val="a3"/>
        <w:spacing w:before="102" w:line="312" w:lineRule="auto"/>
        <w:ind w:left="1133" w:right="-4" w:firstLineChars="100" w:firstLine="190"/>
        <w:rPr>
          <w:lang w:eastAsia="ja-JP"/>
        </w:rPr>
      </w:pPr>
      <w:r w:rsidRPr="00F60F23">
        <w:rPr>
          <w:rFonts w:ascii="ＭＳ ゴシック" w:eastAsia="ＭＳ ゴシック" w:hAnsi="ＭＳ ゴシック" w:cs="ＭＳ ゴシック" w:hint="eastAsia"/>
          <w:lang w:eastAsia="ja-JP"/>
        </w:rPr>
        <w:t>報告書は、製品となるサービス、材料、エネルギーの流れ、製品を作る流れ、製品のライフサイクルを通して運ばれる流れから構成されます。これらは帰属プロセスとして定義されます。例えば、調査対象製品の部品や梱包材、製品を作る工程、製品の品質を向上させるために使用する材料（例：肥料や潤滑油）、製品の移動、作成、保管に使用するエネルギーなどがあります。</w:t>
      </w:r>
    </w:p>
    <w:p w14:paraId="2587ED9F" w14:textId="76B49FEE" w:rsidR="0055291C" w:rsidRPr="00F60F23" w:rsidRDefault="00F23C61" w:rsidP="00F60F23">
      <w:pPr>
        <w:rPr>
          <w:sz w:val="20"/>
          <w:lang w:eastAsia="ja-JP"/>
        </w:rPr>
      </w:pPr>
      <w:r>
        <w:rPr>
          <w:lang w:eastAsia="ja-JP"/>
        </w:rPr>
        <w:br w:type="column"/>
      </w:r>
    </w:p>
    <w:p w14:paraId="6AB3B644" w14:textId="5F02C571" w:rsidR="0055291C" w:rsidRDefault="003766CC" w:rsidP="003766CC">
      <w:pPr>
        <w:pStyle w:val="a3"/>
        <w:spacing w:line="312" w:lineRule="auto"/>
        <w:ind w:left="323" w:right="1303" w:firstLineChars="100" w:firstLine="190"/>
        <w:rPr>
          <w:lang w:eastAsia="ja-JP"/>
        </w:rPr>
      </w:pPr>
      <w:r w:rsidRPr="003766CC">
        <w:rPr>
          <w:rFonts w:ascii="ＭＳ ゴシック" w:eastAsia="ＭＳ ゴシック" w:hAnsi="ＭＳ ゴシック" w:cs="ＭＳ ゴシック" w:hint="eastAsia"/>
          <w:lang w:eastAsia="ja-JP"/>
        </w:rPr>
        <w:t>製品のライフサイクルは、相互に関連したステージで構成されており、プロセス、データ収集、</w:t>
      </w:r>
      <w:r>
        <w:rPr>
          <w:rFonts w:ascii="ＭＳ ゴシック" w:eastAsia="ＭＳ ゴシック" w:hAnsi="ＭＳ ゴシック" w:cs="ＭＳ ゴシック" w:hint="eastAsia"/>
          <w:lang w:eastAsia="ja-JP"/>
        </w:rPr>
        <w:t>算出</w:t>
      </w:r>
      <w:r w:rsidRPr="003766CC">
        <w:rPr>
          <w:rFonts w:ascii="ＭＳ ゴシック" w:eastAsia="ＭＳ ゴシック" w:hAnsi="ＭＳ ゴシック" w:cs="ＭＳ ゴシック" w:hint="eastAsia"/>
          <w:lang w:eastAsia="ja-JP"/>
        </w:rPr>
        <w:t>結果を整理するのに有効な方法です。本規格では、図</w:t>
      </w:r>
      <w:r w:rsidRPr="003766CC">
        <w:rPr>
          <w:lang w:eastAsia="ja-JP"/>
        </w:rPr>
        <w:t>7.1</w:t>
      </w:r>
      <w:r w:rsidRPr="003766CC">
        <w:rPr>
          <w:rFonts w:ascii="ＭＳ ゴシック" w:eastAsia="ＭＳ ゴシック" w:hAnsi="ＭＳ ゴシック" w:cs="ＭＳ ゴシック" w:hint="eastAsia"/>
          <w:lang w:eastAsia="ja-JP"/>
        </w:rPr>
        <w:t>に示す</w:t>
      </w:r>
      <w:r w:rsidRPr="003766CC">
        <w:rPr>
          <w:lang w:eastAsia="ja-JP"/>
        </w:rPr>
        <w:t>5</w:t>
      </w:r>
      <w:r w:rsidRPr="003766CC">
        <w:rPr>
          <w:rFonts w:ascii="ＭＳ ゴシック" w:eastAsia="ＭＳ ゴシック" w:hAnsi="ＭＳ ゴシック" w:cs="ＭＳ ゴシック" w:hint="eastAsia"/>
          <w:lang w:eastAsia="ja-JP"/>
        </w:rPr>
        <w:t>つの一般的なライフサイクルステージを特定し、本規格全体を通じて参照しています。</w:t>
      </w:r>
    </w:p>
    <w:p w14:paraId="0B642FD0"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899" w:space="40"/>
            <w:col w:w="6301"/>
          </w:cols>
        </w:sectPr>
      </w:pPr>
    </w:p>
    <w:p w14:paraId="1D8B01A0" w14:textId="77777777" w:rsidR="0055291C" w:rsidRDefault="0055291C">
      <w:pPr>
        <w:pStyle w:val="a3"/>
        <w:rPr>
          <w:sz w:val="20"/>
          <w:lang w:eastAsia="ja-JP"/>
        </w:rPr>
      </w:pPr>
    </w:p>
    <w:p w14:paraId="78CA2067" w14:textId="77777777" w:rsidR="0055291C" w:rsidRDefault="0055291C">
      <w:pPr>
        <w:pStyle w:val="a3"/>
        <w:rPr>
          <w:sz w:val="20"/>
          <w:lang w:eastAsia="ja-JP"/>
        </w:rPr>
      </w:pPr>
    </w:p>
    <w:p w14:paraId="7D4A01FB" w14:textId="77777777" w:rsidR="0055291C" w:rsidRDefault="0055291C">
      <w:pPr>
        <w:pStyle w:val="a3"/>
        <w:rPr>
          <w:sz w:val="20"/>
          <w:lang w:eastAsia="ja-JP"/>
        </w:rPr>
      </w:pPr>
    </w:p>
    <w:p w14:paraId="1B3AF00C" w14:textId="77777777" w:rsidR="0055291C" w:rsidRDefault="0055291C">
      <w:pPr>
        <w:pStyle w:val="a3"/>
        <w:rPr>
          <w:sz w:val="20"/>
          <w:lang w:eastAsia="ja-JP"/>
        </w:rPr>
      </w:pPr>
    </w:p>
    <w:p w14:paraId="3F17CB8F" w14:textId="77777777" w:rsidR="0055291C" w:rsidRDefault="0055291C">
      <w:pPr>
        <w:pStyle w:val="a3"/>
        <w:spacing w:before="7"/>
        <w:rPr>
          <w:sz w:val="21"/>
          <w:lang w:eastAsia="ja-JP"/>
        </w:rPr>
      </w:pPr>
    </w:p>
    <w:p w14:paraId="0EE90691" w14:textId="42E37499" w:rsidR="0055291C" w:rsidRDefault="00503E44">
      <w:pPr>
        <w:pStyle w:val="6"/>
        <w:spacing w:before="1"/>
        <w:rPr>
          <w:lang w:eastAsia="ja-JP"/>
        </w:rPr>
      </w:pPr>
      <w:r w:rsidRPr="00503E44">
        <w:rPr>
          <w:rFonts w:ascii="ＭＳ 明朝" w:eastAsia="ＭＳ 明朝" w:hAnsi="ＭＳ 明朝" w:cs="ＭＳ 明朝" w:hint="eastAsia"/>
          <w:color w:val="00ACA1"/>
          <w:w w:val="95"/>
          <w:lang w:eastAsia="ja-JP"/>
        </w:rPr>
        <w:t>図</w:t>
      </w:r>
      <w:r w:rsidRPr="00503E44">
        <w:rPr>
          <w:color w:val="00ACA1"/>
          <w:w w:val="95"/>
          <w:lang w:eastAsia="ja-JP"/>
        </w:rPr>
        <w:t xml:space="preserve"> [7.1] </w:t>
      </w:r>
      <w:r w:rsidRPr="00503E44">
        <w:rPr>
          <w:rFonts w:ascii="ＭＳ 明朝" w:eastAsia="ＭＳ 明朝" w:hAnsi="ＭＳ 明朝" w:cs="ＭＳ 明朝" w:hint="eastAsia"/>
          <w:color w:val="000000" w:themeColor="text1"/>
          <w:w w:val="95"/>
          <w:lang w:eastAsia="ja-JP"/>
        </w:rPr>
        <w:t>製品ライフサイクルの</w:t>
      </w:r>
      <w:r w:rsidRPr="00503E44">
        <w:rPr>
          <w:color w:val="000000" w:themeColor="text1"/>
          <w:w w:val="95"/>
          <w:lang w:eastAsia="ja-JP"/>
        </w:rPr>
        <w:t>5</w:t>
      </w:r>
      <w:r w:rsidRPr="00503E44">
        <w:rPr>
          <w:rFonts w:ascii="ＭＳ 明朝" w:eastAsia="ＭＳ 明朝" w:hAnsi="ＭＳ 明朝" w:cs="ＭＳ 明朝" w:hint="eastAsia"/>
          <w:color w:val="000000" w:themeColor="text1"/>
          <w:w w:val="95"/>
          <w:lang w:eastAsia="ja-JP"/>
        </w:rPr>
        <w:t>つのステージ（説明のため簡略化しています）</w:t>
      </w:r>
    </w:p>
    <w:p w14:paraId="1CADA572" w14:textId="77777777" w:rsidR="0055291C" w:rsidRDefault="0055291C">
      <w:pPr>
        <w:pStyle w:val="a3"/>
        <w:rPr>
          <w:rFonts w:ascii="Arial"/>
          <w:b/>
          <w:sz w:val="20"/>
          <w:lang w:eastAsia="ja-JP"/>
        </w:rPr>
      </w:pPr>
    </w:p>
    <w:p w14:paraId="4CB0C5CE" w14:textId="77777777" w:rsidR="0055291C" w:rsidRDefault="0055291C">
      <w:pPr>
        <w:pStyle w:val="a3"/>
        <w:rPr>
          <w:rFonts w:ascii="Arial"/>
          <w:b/>
          <w:sz w:val="20"/>
          <w:lang w:eastAsia="ja-JP"/>
        </w:rPr>
      </w:pPr>
    </w:p>
    <w:p w14:paraId="34A13CF0" w14:textId="3A31981E" w:rsidR="0055291C" w:rsidRDefault="000C572A">
      <w:pPr>
        <w:pStyle w:val="a3"/>
        <w:spacing w:before="9"/>
        <w:rPr>
          <w:rFonts w:ascii="Arial"/>
          <w:b/>
          <w:sz w:val="11"/>
          <w:lang w:eastAsia="ja-JP"/>
        </w:rPr>
      </w:pPr>
      <w:r>
        <w:rPr>
          <w:noProof/>
        </w:rPr>
        <mc:AlternateContent>
          <mc:Choice Requires="wps">
            <w:drawing>
              <wp:anchor distT="0" distB="0" distL="114300" distR="114300" simplePos="0" relativeHeight="251463168" behindDoc="0" locked="0" layoutInCell="1" allowOverlap="1" wp14:anchorId="1BA57FBB" wp14:editId="2E046400">
                <wp:simplePos x="0" y="0"/>
                <wp:positionH relativeFrom="column">
                  <wp:posOffset>5791200</wp:posOffset>
                </wp:positionH>
                <wp:positionV relativeFrom="paragraph">
                  <wp:posOffset>2247900</wp:posOffset>
                </wp:positionV>
                <wp:extent cx="457200" cy="190500"/>
                <wp:effectExtent l="0" t="0" r="0" b="0"/>
                <wp:wrapNone/>
                <wp:docPr id="72" name="テキスト ボックス 72"/>
                <wp:cNvGraphicFramePr/>
                <a:graphic xmlns:a="http://schemas.openxmlformats.org/drawingml/2006/main">
                  <a:graphicData uri="http://schemas.microsoft.com/office/word/2010/wordprocessingShape">
                    <wps:wsp>
                      <wps:cNvSpPr txBox="1"/>
                      <wps:spPr>
                        <a:xfrm>
                          <a:off x="0" y="0"/>
                          <a:ext cx="457200" cy="190500"/>
                        </a:xfrm>
                        <a:prstGeom prst="rect">
                          <a:avLst/>
                        </a:prstGeom>
                        <a:noFill/>
                        <a:ln w="6350">
                          <a:noFill/>
                        </a:ln>
                      </wps:spPr>
                      <wps:txbx>
                        <w:txbxContent>
                          <w:p w14:paraId="74989943" w14:textId="44550217" w:rsidR="000C572A" w:rsidRPr="000C572A" w:rsidRDefault="000C572A">
                            <w:pPr>
                              <w:rPr>
                                <w:rFonts w:ascii="ＭＳ ゴシック" w:eastAsia="ＭＳ ゴシック" w:hAnsi="ＭＳ ゴシック" w:cs="ＭＳ ゴシック"/>
                                <w:b/>
                                <w:bCs/>
                                <w:i/>
                                <w:iCs/>
                                <w:color w:val="FFFFFF" w:themeColor="background1"/>
                                <w:sz w:val="12"/>
                                <w:szCs w:val="12"/>
                                <w:lang w:eastAsia="ja-JP"/>
                              </w:rPr>
                            </w:pPr>
                            <w:r w:rsidRPr="000C572A">
                              <w:rPr>
                                <w:rFonts w:ascii="ＭＳ ゴシック" w:eastAsia="ＭＳ ゴシック" w:hAnsi="ＭＳ ゴシック" w:cs="ＭＳ ゴシック" w:hint="eastAsia"/>
                                <w:b/>
                                <w:bCs/>
                                <w:i/>
                                <w:iCs/>
                                <w:color w:val="FFFFFF" w:themeColor="background1"/>
                                <w:sz w:val="12"/>
                                <w:szCs w:val="12"/>
                                <w:lang w:eastAsia="ja-JP"/>
                              </w:rPr>
                              <w:t>使用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57FBB" id="テキスト ボックス 72" o:spid="_x0000_s1051" type="#_x0000_t202" style="position:absolute;margin-left:456pt;margin-top:177pt;width:36pt;height:15pt;z-index:2514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" filled="f" stroked="f" strokeweight=".5pt">
                <v:textbox>
                  <w:txbxContent>
                    <w:p w14:paraId="74989943" w14:textId="44550217" w:rsidR="000C572A" w:rsidRPr="000C572A" w:rsidRDefault="000C572A">
                      <w:pPr>
                        <w:rPr>
                          <w:rFonts w:ascii="ＭＳ ゴシック" w:eastAsia="ＭＳ ゴシック" w:hAnsi="ＭＳ ゴシック" w:cs="ＭＳ ゴシック"/>
                          <w:b/>
                          <w:bCs/>
                          <w:i/>
                          <w:iCs/>
                          <w:color w:val="FFFFFF" w:themeColor="background1"/>
                          <w:sz w:val="12"/>
                          <w:szCs w:val="12"/>
                          <w:lang w:eastAsia="ja-JP"/>
                        </w:rPr>
                      </w:pPr>
                      <w:r w:rsidRPr="000C572A">
                        <w:rPr>
                          <w:rFonts w:ascii="ＭＳ ゴシック" w:eastAsia="ＭＳ ゴシック" w:hAnsi="ＭＳ ゴシック" w:cs="ＭＳ ゴシック" w:hint="eastAsia"/>
                          <w:b/>
                          <w:bCs/>
                          <w:i/>
                          <w:iCs/>
                          <w:color w:val="FFFFFF" w:themeColor="background1"/>
                          <w:sz w:val="12"/>
                          <w:szCs w:val="12"/>
                          <w:lang w:eastAsia="ja-JP"/>
                        </w:rPr>
                        <w:t>使用</w:t>
                      </w:r>
                    </w:p>
                  </w:txbxContent>
                </v:textbox>
              </v:shape>
            </w:pict>
          </mc:Fallback>
        </mc:AlternateContent>
      </w:r>
      <w:r w:rsidR="001F0A55">
        <w:rPr>
          <w:noProof/>
        </w:rPr>
        <mc:AlternateContent>
          <mc:Choice Requires="wps">
            <w:drawing>
              <wp:anchor distT="0" distB="0" distL="114300" distR="114300" simplePos="0" relativeHeight="251457024" behindDoc="0" locked="0" layoutInCell="1" allowOverlap="1" wp14:anchorId="4F93F28A" wp14:editId="0AB86D25">
                <wp:simplePos x="0" y="0"/>
                <wp:positionH relativeFrom="column">
                  <wp:posOffset>2914650</wp:posOffset>
                </wp:positionH>
                <wp:positionV relativeFrom="paragraph">
                  <wp:posOffset>3282950</wp:posOffset>
                </wp:positionV>
                <wp:extent cx="527050" cy="285750"/>
                <wp:effectExtent l="0" t="0" r="0" b="0"/>
                <wp:wrapNone/>
                <wp:docPr id="70" name="テキスト ボックス 70"/>
                <wp:cNvGraphicFramePr/>
                <a:graphic xmlns:a="http://schemas.openxmlformats.org/drawingml/2006/main">
                  <a:graphicData uri="http://schemas.microsoft.com/office/word/2010/wordprocessingShape">
                    <wps:wsp>
                      <wps:cNvSpPr txBox="1"/>
                      <wps:spPr>
                        <a:xfrm>
                          <a:off x="0" y="0"/>
                          <a:ext cx="527050" cy="285750"/>
                        </a:xfrm>
                        <a:prstGeom prst="rect">
                          <a:avLst/>
                        </a:prstGeom>
                        <a:noFill/>
                        <a:ln w="6350">
                          <a:noFill/>
                        </a:ln>
                      </wps:spPr>
                      <wps:txbx>
                        <w:txbxContent>
                          <w:p w14:paraId="3279B7ED" w14:textId="6CBF0E10" w:rsidR="001F0A55" w:rsidRPr="001F0A55" w:rsidRDefault="001F0A55">
                            <w:pPr>
                              <w:rPr>
                                <w:rFonts w:ascii="ＭＳ ゴシック" w:eastAsia="ＭＳ ゴシック" w:hAnsi="ＭＳ ゴシック" w:cs="ＭＳ ゴシック"/>
                                <w:b/>
                                <w:bCs/>
                                <w:i/>
                                <w:iCs/>
                                <w:color w:val="FFFFFF" w:themeColor="background1"/>
                                <w:sz w:val="19"/>
                                <w:szCs w:val="19"/>
                                <w:lang w:eastAsia="ja-JP"/>
                              </w:rPr>
                            </w:pPr>
                            <w:r w:rsidRPr="001F0A55">
                              <w:rPr>
                                <w:rFonts w:ascii="ＭＳ ゴシック" w:eastAsia="ＭＳ ゴシック" w:hAnsi="ＭＳ ゴシック" w:cs="ＭＳ ゴシック" w:hint="eastAsia"/>
                                <w:b/>
                                <w:bCs/>
                                <w:i/>
                                <w:iCs/>
                                <w:color w:val="FFFFFF" w:themeColor="background1"/>
                                <w:sz w:val="19"/>
                                <w:szCs w:val="19"/>
                                <w:lang w:eastAsia="ja-JP"/>
                              </w:rPr>
                              <w:t>使用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93F28A" id="テキスト ボックス 70" o:spid="_x0000_s1052" type="#_x0000_t202" style="position:absolute;margin-left:229.5pt;margin-top:258.5pt;width:41.5pt;height:22.5pt;z-index:251457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" filled="f" stroked="f" strokeweight=".5pt">
                <v:textbox>
                  <w:txbxContent>
                    <w:p w14:paraId="3279B7ED" w14:textId="6CBF0E10" w:rsidR="001F0A55" w:rsidRPr="001F0A55" w:rsidRDefault="001F0A55">
                      <w:pPr>
                        <w:rPr>
                          <w:rFonts w:ascii="ＭＳ ゴシック" w:eastAsia="ＭＳ ゴシック" w:hAnsi="ＭＳ ゴシック" w:cs="ＭＳ ゴシック"/>
                          <w:b/>
                          <w:bCs/>
                          <w:i/>
                          <w:iCs/>
                          <w:color w:val="FFFFFF" w:themeColor="background1"/>
                          <w:sz w:val="19"/>
                          <w:szCs w:val="19"/>
                          <w:lang w:eastAsia="ja-JP"/>
                        </w:rPr>
                      </w:pPr>
                      <w:r w:rsidRPr="001F0A55">
                        <w:rPr>
                          <w:rFonts w:ascii="ＭＳ ゴシック" w:eastAsia="ＭＳ ゴシック" w:hAnsi="ＭＳ ゴシック" w:cs="ＭＳ ゴシック" w:hint="eastAsia"/>
                          <w:b/>
                          <w:bCs/>
                          <w:i/>
                          <w:iCs/>
                          <w:color w:val="FFFFFF" w:themeColor="background1"/>
                          <w:sz w:val="19"/>
                          <w:szCs w:val="19"/>
                          <w:lang w:eastAsia="ja-JP"/>
                        </w:rPr>
                        <w:t>使用</w:t>
                      </w:r>
                    </w:p>
                  </w:txbxContent>
                </v:textbox>
              </v:shape>
            </w:pict>
          </mc:Fallback>
        </mc:AlternateContent>
      </w:r>
      <w:r w:rsidR="00000000">
        <w:pict w14:anchorId="18483EB8">
          <v:group id="docshapegroup512" o:spid="_x0000_s3253" style="position:absolute;margin-left:108.45pt;margin-top:8pt;width:405.15pt;height:338.1pt;z-index:-251516416;mso-wrap-distance-left:0;mso-wrap-distance-right:0;mso-position-horizontal-relative:page;mso-position-vertical-relative:text" coordorigin="2189,160" coordsize="8103,6762">
            <v:shape id="docshape513" o:spid="_x0000_s3289" style="position:absolute;left:2189;top:330;width:2954;height:6291" coordorigin="2189,330" coordsize="2954,6291" o:spt="100" adj="0,,0" path="m4080,6621r-1,-164l2451,6457r-38,-8l2382,6428r-22,-31l2353,6358r,-5674l2361,645r21,-31l2414,593r38,-8l3533,585r2,54l3540,663r12,14l3570,679r22,-9l3777,548r17,-18l3800,510r-5,-21l3778,471,3590,340r-22,-10l3550,333r-12,13l3534,369r,53l2288,421r-38,8l2219,450r-22,32l2190,520r-1,6002l2197,6560r21,32l2250,6613r38,8l4080,6621xm5143,2279r-2,-17l5127,2250r-23,-5l5051,2245r-1,-205l5048,2029r-6,-9l5032,2013r-11,-2l4915,2012r-12,2l4894,2020r-6,9l4885,2040r1,206l4832,2246r-23,5l4795,2263r-3,18l4802,2303r122,185l4942,2506r20,6l4983,2506r18,-17l5133,2301r10,-22xm5143,1082r-2,-18l5127,1052r-23,-5l5051,1048r-1,-206l5048,831r-6,-9l5032,816r-11,-3l4915,814r-12,2l4894,822r-6,9l4885,842r1,206l4832,1048r-23,5l4795,1065r-3,18l4802,1106r122,184l4942,1308r20,6l4983,1308r18,-17l5133,1103r10,-21xe" fillcolor="#b8babd" stroked="f">
              <v:stroke joinstyle="round"/>
              <v:formulas/>
              <v:path arrowok="t" o:connecttype="segments"/>
            </v:shape>
            <v:shape id="docshape514" o:spid="_x0000_s3288" style="position:absolute;left:3954;top:1383;width:2028;height:716" coordorigin="3954,1383" coordsize="2028,716" path="m5882,1383r-1829,l4015,1391r-32,21l3962,1444r-8,38l3954,2000r8,38l3983,2070r32,21l4053,2099r1829,l5921,2091r31,-21l5974,2038r7,-38l5981,1482r-7,-38l5952,1412r-31,-21l5882,1383xe" fillcolor="#545456" stroked="f">
              <v:path arrowok="t"/>
            </v:shape>
            <v:shape id="docshape515" o:spid="_x0000_s3287" style="position:absolute;left:3954;top:176;width:2028;height:716" coordorigin="3954,176" coordsize="2028,716" path="m5882,176r-1829,l4015,184r-32,21l3962,237r-8,38l3954,793r8,38l3983,863r32,21l4053,892r1829,l5921,884r31,-21l5974,831r7,-38l5981,275r-7,-38l5952,205r-31,-21l5882,176xe" fillcolor="#00aca1" stroked="f">
              <v:path arrowok="t"/>
            </v:shape>
            <v:shape id="docshape516" o:spid="_x0000_s3286" style="position:absolute;left:4792;top:3209;width:351;height:501" coordorigin="4792,3209" coordsize="351,501" path="m5021,3209r-106,l4885,3238r1,206l4832,3444r-23,5l4795,3461r-3,18l4802,3501r122,185l4942,3703r20,6l4983,3704r18,-17l5133,3499r10,-22l5141,3459r-14,-12l5104,3443r-53,l5050,3238r-2,-11l5042,3217r-10,-6l5021,3209xe" fillcolor="#b8babd" stroked="f">
              <v:path arrowok="t"/>
            </v:shape>
            <v:shape id="docshape517" o:spid="_x0000_s3285" style="position:absolute;left:3940;top:2593;width:2028;height:716" coordorigin="3940,2594" coordsize="2028,716" path="m5869,2594r-1829,l4001,2601r-31,22l3948,2654r-8,38l3940,3210r8,39l3970,3280r31,21l4040,3309r1829,l5907,3301r32,-21l5960,3249r8,-39l5968,2692r-8,-38l5939,2623r-32,-22l5869,2594xe" fillcolor="#545456" stroked="f">
              <v:path arrowok="t"/>
            </v:shape>
            <v:shape id="docshape518" o:spid="_x0000_s3284" style="position:absolute;left:4792;top:4406;width:351;height:501" coordorigin="4792,4407" coordsize="351,501" path="m5021,4407r-106,l4885,4436r1,206l4832,4642r-23,4l4795,4659r-3,18l4802,4699r122,184l4942,4901r20,6l4983,4902r18,-18l5133,4697r10,-22l5141,4657r-14,-12l5104,4641r-53,l5050,4436r-2,-11l5042,4415r-10,-6l5021,4407xe" fillcolor="#b8babd" stroked="f">
              <v:path arrowok="t"/>
            </v:shape>
            <v:shape id="docshape519" o:spid="_x0000_s3283" style="position:absolute;left:3940;top:3800;width:2028;height:716" coordorigin="3940,3801" coordsize="2028,716" path="m5869,3801r-1829,l4001,3808r-31,22l3948,3861r-8,38l3940,4417r8,39l3970,4487r31,21l4040,4516r1829,l5907,4508r32,-21l5960,4456r8,-39l5968,3899r-8,-38l5939,3830r-32,-22l5869,3801xe" fillcolor="#545456" stroked="f">
              <v:path arrowok="t"/>
            </v:shape>
            <v:shape id="docshape520" o:spid="_x0000_s3282" style="position:absolute;left:4792;top:5033;width:4814;height:1587" coordorigin="4792,5034" coordsize="4814,1587" o:spt="100" adj="0,,0" path="m5143,5873r-2,-18l5127,5843r-23,-4l5051,5839r-1,-205l5048,5622r-6,-9l5032,5607r-11,-2l4915,5605r-12,2l4894,5613r-6,10l4885,5634r1,205l4832,5840r-23,4l4795,5857r-3,18l4802,5897r122,184l4942,6099r20,6l4983,6099r18,-17l5133,5895r10,-22xm9606,5264r-9,-22l9474,5058r-18,-18l9436,5034r-21,6l9397,5057r-132,187l9255,5266r2,18l9271,5296r23,4l9347,5300r1,1058l9340,6397r-21,31l9288,6449r-39,8l5190,6464r-12,157l9413,6621r38,-8l9483,6592r21,-32l9512,6522r1,-1222l9566,5299r23,-4l9603,5282r3,-18xe" fillcolor="#b8babd" stroked="f">
              <v:stroke joinstyle="round"/>
              <v:formulas/>
              <v:path arrowok="t" o:connecttype="segments"/>
            </v:shape>
            <v:shape id="docshape521" o:spid="_x0000_s3281" style="position:absolute;left:3954;top:5007;width:2028;height:1914" coordorigin="3954,5008" coordsize="2028,1914" o:spt="100" adj="0,,0" path="m5981,6305r-7,-39l5952,6235r-31,-21l5882,6206r-1829,l4015,6214r-32,21l3962,6266r-8,39l3954,6823r8,38l3983,6893r32,21l4053,6922r1829,l5921,6914r31,-21l5974,6861r7,-38l5981,6305xm5981,5106r-7,-38l5952,5037r-31,-22l5882,5008r-1829,l4015,5015r-32,22l3962,5068r-8,38l3954,5624r8,39l3983,5694r32,21l4053,5723r1829,l5921,5715r31,-21l5974,5663r7,-39l5981,5106xe" fillcolor="#545456" stroked="f">
              <v:stroke joinstyle="round"/>
              <v:formulas/>
              <v:path arrowok="t" o:connecttype="segments"/>
            </v:shape>
            <v:shape id="docshape522" o:spid="_x0000_s3280" type="#_x0000_t75" style="position:absolute;left:9318;top:780;width:227;height:323">
              <v:imagedata r:id="rId136" o:title=""/>
            </v:shape>
            <v:shape id="docshape523" o:spid="_x0000_s3279" type="#_x0000_t75" style="position:absolute;left:9318;top:1552;width:227;height:323">
              <v:imagedata r:id="rId136" o:title=""/>
            </v:shape>
            <v:shape id="docshape524" o:spid="_x0000_s3278" type="#_x0000_t75" style="position:absolute;left:9318;top:2324;width:227;height:323">
              <v:imagedata r:id="rId137" o:title=""/>
            </v:shape>
            <v:shape id="docshape525" o:spid="_x0000_s3277" type="#_x0000_t75" style="position:absolute;left:9318;top:3096;width:227;height:323">
              <v:imagedata r:id="rId137" o:title=""/>
            </v:shape>
            <v:shape id="docshape526" o:spid="_x0000_s3276" type="#_x0000_t75" style="position:absolute;left:9318;top:3869;width:227;height:323">
              <v:imagedata r:id="rId138" o:title=""/>
            </v:shape>
            <v:shape id="docshape527" o:spid="_x0000_s3275" style="position:absolute;left:8778;top:1147;width:1308;height:462" coordorigin="8778,1147" coordsize="1308,462" path="m10021,1147r-1179,l8817,1152r-20,14l8783,1186r-5,25l8778,1545r5,25l8797,1590r20,14l8842,1609r1179,l10046,1604r20,-14l10080,1570r5,-25l10085,1211r-5,-25l10066,1166r-20,-14l10021,1147xe" fillcolor="#545456" stroked="f">
              <v:path arrowok="t"/>
            </v:shape>
            <v:shape id="docshape528" o:spid="_x0000_s3274" style="position:absolute;left:8778;top:369;width:1308;height:462" coordorigin="8778,369" coordsize="1308,462" path="m10021,369r-1179,l8817,374r-20,14l8783,408r-5,25l8778,767r5,25l8797,812r20,13l8842,831r1179,l10046,825r20,-13l10080,792r5,-25l10085,433r-5,-25l10066,388r-20,-14l10021,369xe" fillcolor="#00aca1" stroked="f">
              <v:path arrowok="t"/>
            </v:shape>
            <v:shape id="docshape529" o:spid="_x0000_s3273" style="position:absolute;left:8769;top:1927;width:1316;height:2791" coordorigin="8769,1928" coordsize="1316,2791" o:spt="100" adj="0,,0" path="m10076,2770r-5,-25l10058,2725r-21,-14l10012,2706r-1179,l8808,2711r-20,14l8774,2745r-5,25l8769,3104r5,24l8788,3149r20,13l8833,3167r1179,l10037,3162r21,-13l10071,3128r5,-24l10076,2770xm10076,1991r-5,-24l10058,1946r-21,-13l10012,1928r-1179,l8808,1933r-20,13l8774,1967r-5,24l8769,2325r5,25l8788,2370r20,14l8833,2389r1179,l10037,2384r21,-14l10071,2350r5,-25l10076,1991xm10085,4321r-5,-25l10066,4276r-20,-14l10021,4257r-1179,l8817,4262r-20,14l8783,4296r-5,25l8778,4654r5,25l8797,4699r20,14l8842,4718r1179,l10046,4713r20,-14l10080,4679r5,-25l10085,4321xm10085,3548r-5,-25l10066,3503r-20,-14l10021,3484r-1179,l8817,3489r-20,14l8783,3523r-5,25l8778,3882r5,25l8797,3927r20,13l8842,3945r1179,l10046,3940r20,-13l10080,3907r5,-25l10085,3548xe" fillcolor="#545456" stroked="f">
              <v:stroke joinstyle="round"/>
              <v:formulas/>
              <v:path arrowok="t" o:connecttype="segments"/>
            </v:shape>
            <v:line id="_x0000_s3272" style="position:absolute" from="8608,312" to="8608,4880" strokecolor="#7a7c7e" strokeweight="3.06pt">
              <v:stroke dashstyle="dot"/>
            </v:line>
            <v:line id="_x0000_s3271" style="position:absolute" from="8735,4941" to="10197,4941" strokecolor="#7a7c7e" strokeweight="3.06pt">
              <v:stroke dashstyle="dot"/>
            </v:line>
            <v:line id="_x0000_s3270" style="position:absolute" from="10261,4819" to="10261,252" strokecolor="#7a7c7e" strokeweight="3.06pt">
              <v:stroke dashstyle="dot"/>
            </v:line>
            <v:line id="_x0000_s3269" style="position:absolute" from="10133,191" to="8672,191" strokecolor="#7a7c7e" strokeweight="3.06pt">
              <v:stroke dashstyle="dot"/>
            </v:line>
            <v:shape id="docshape530" o:spid="_x0000_s3268" style="position:absolute;left:8577;top:159;width:1714;height:4812" coordorigin="8577,160" coordsize="1714,4812" o:spt="100" adj="0,,0" path="m8639,4941r-9,-21l8608,4911r-22,9l8577,4941r9,22l8608,4972r22,-9l8639,4941xm8639,191r-9,-22l8608,160r-22,9l8577,191r9,21l8608,221r22,-9l8639,191xm10291,4941r-9,-21l10261,4911r-22,9l10230,4941r9,22l10261,4972r21,-9l10291,4941xm10291,191r-9,-22l10261,160r-22,9l10230,191r9,21l10261,221r21,-9l10291,191xe" fillcolor="#7a7c7e" stroked="f">
              <v:stroke joinstyle="round"/>
              <v:formulas/>
              <v:path arrowok="t" o:connecttype="segments"/>
            </v:shape>
            <v:shape id="docshape531" o:spid="_x0000_s3267" type="#_x0000_t202" style="position:absolute;left:4374;top:270;width:1208;height:429" filled="f" stroked="f">
              <v:textbox style="mso-next-textbox:#docshape531" inset="0,0,0,0">
                <w:txbxContent>
                  <w:p w14:paraId="6A90EDE4" w14:textId="70615D19" w:rsidR="0055291C" w:rsidRDefault="001F0A55" w:rsidP="000C572A">
                    <w:pPr>
                      <w:spacing w:line="429" w:lineRule="exact"/>
                      <w:jc w:val="center"/>
                      <w:rPr>
                        <w:rFonts w:ascii="Arial"/>
                        <w:b/>
                        <w:i/>
                        <w:sz w:val="38"/>
                      </w:rPr>
                    </w:pPr>
                    <w:r>
                      <w:rPr>
                        <w:rFonts w:ascii="ＭＳ ゴシック" w:eastAsia="ＭＳ ゴシック" w:hAnsi="ＭＳ ゴシック" w:cs="ＭＳ ゴシック" w:hint="eastAsia"/>
                        <w:b/>
                        <w:i/>
                        <w:color w:val="FFFFFF"/>
                        <w:sz w:val="38"/>
                        <w:lang w:eastAsia="ja-JP"/>
                      </w:rPr>
                      <w:t>原料</w:t>
                    </w:r>
                  </w:p>
                </w:txbxContent>
              </v:textbox>
            </v:shape>
            <v:shape id="docshape532" o:spid="_x0000_s3266" type="#_x0000_t202" style="position:absolute;left:9048;top:429;width:786;height:277" filled="f" stroked="f">
              <v:textbox style="mso-next-textbox:#docshape532" inset="0,0,0,0">
                <w:txbxContent>
                  <w:p w14:paraId="799AB579" w14:textId="41E56D48" w:rsidR="0055291C" w:rsidRDefault="000C572A" w:rsidP="000C572A">
                    <w:pPr>
                      <w:spacing w:before="5" w:line="272" w:lineRule="exact"/>
                      <w:jc w:val="center"/>
                      <w:rPr>
                        <w:rFonts w:ascii="Arial"/>
                        <w:b/>
                        <w:i/>
                        <w:sz w:val="24"/>
                      </w:rPr>
                    </w:pPr>
                    <w:r>
                      <w:rPr>
                        <w:rFonts w:ascii="ＭＳ ゴシック" w:eastAsia="ＭＳ ゴシック" w:hAnsi="ＭＳ ゴシック" w:cs="ＭＳ ゴシック" w:hint="eastAsia"/>
                        <w:b/>
                        <w:i/>
                        <w:color w:val="FFFFFF"/>
                        <w:w w:val="105"/>
                        <w:sz w:val="24"/>
                        <w:lang w:eastAsia="ja-JP"/>
                      </w:rPr>
                      <w:t>原料</w:t>
                    </w:r>
                  </w:p>
                </w:txbxContent>
              </v:textbox>
            </v:shape>
            <v:shape id="docshape533" o:spid="_x0000_s3265" type="#_x0000_t202" style="position:absolute;left:8863;top:1225;width:1153;height:289" filled="f" stroked="f">
              <v:textbox style="mso-next-textbox:#docshape533" inset="0,0,0,0">
                <w:txbxContent>
                  <w:p w14:paraId="4E2354B2" w14:textId="14DEE4D4" w:rsidR="0055291C" w:rsidRDefault="000C572A">
                    <w:pPr>
                      <w:spacing w:line="261" w:lineRule="auto"/>
                      <w:ind w:left="96" w:right="7" w:hanging="97"/>
                      <w:rPr>
                        <w:rFonts w:ascii="Arial"/>
                        <w:b/>
                        <w:i/>
                        <w:sz w:val="12"/>
                      </w:rPr>
                    </w:pPr>
                    <w:r>
                      <w:rPr>
                        <w:rFonts w:ascii="ＭＳ ゴシック" w:eastAsia="ＭＳ ゴシック" w:hAnsi="ＭＳ ゴシック" w:cs="ＭＳ ゴシック" w:hint="eastAsia"/>
                        <w:b/>
                        <w:i/>
                        <w:color w:val="FFFFFF"/>
                        <w:sz w:val="12"/>
                        <w:lang w:eastAsia="ja-JP"/>
                      </w:rPr>
                      <w:t>素材入手と前処理</w:t>
                    </w:r>
                  </w:p>
                </w:txbxContent>
              </v:textbox>
            </v:shape>
            <v:shape id="docshape534" o:spid="_x0000_s3264" type="#_x0000_t202" style="position:absolute;left:4087;top:1503;width:1777;height:448" filled="f" stroked="f">
              <v:textbox style="mso-next-textbox:#docshape534" inset="0,0,0,0">
                <w:txbxContent>
                  <w:p w14:paraId="74A4800E" w14:textId="76F7CFBF" w:rsidR="0055291C" w:rsidRDefault="001F0A55" w:rsidP="001F0A55">
                    <w:pPr>
                      <w:spacing w:line="256" w:lineRule="auto"/>
                      <w:ind w:left="148" w:right="13" w:hanging="149"/>
                      <w:jc w:val="center"/>
                      <w:rPr>
                        <w:rFonts w:ascii="Arial"/>
                        <w:b/>
                        <w:i/>
                        <w:sz w:val="19"/>
                      </w:rPr>
                    </w:pPr>
                    <w:r>
                      <w:rPr>
                        <w:rFonts w:ascii="ＭＳ ゴシック" w:eastAsia="ＭＳ ゴシック" w:hAnsi="ＭＳ ゴシック" w:cs="ＭＳ ゴシック" w:hint="eastAsia"/>
                        <w:b/>
                        <w:i/>
                        <w:color w:val="FFFFFF"/>
                        <w:spacing w:val="-2"/>
                        <w:sz w:val="19"/>
                        <w:lang w:eastAsia="ja-JP"/>
                      </w:rPr>
                      <w:t>素材入手と前処理</w:t>
                    </w:r>
                  </w:p>
                </w:txbxContent>
              </v:textbox>
            </v:shape>
            <v:shape id="docshape535" o:spid="_x0000_s3263" type="#_x0000_t202" style="position:absolute;left:9103;top:2098;width:636;height:139" filled="f" stroked="f">
              <v:textbox style="mso-next-textbox:#docshape535" inset="0,0,0,0">
                <w:txbxContent>
                  <w:p w14:paraId="314C47BD" w14:textId="5368CD33" w:rsidR="0055291C" w:rsidRDefault="000C572A" w:rsidP="000C572A">
                    <w:pPr>
                      <w:spacing w:before="2" w:line="136" w:lineRule="exact"/>
                      <w:jc w:val="center"/>
                      <w:rPr>
                        <w:rFonts w:ascii="Arial"/>
                        <w:b/>
                        <w:i/>
                        <w:sz w:val="12"/>
                      </w:rPr>
                    </w:pPr>
                    <w:r>
                      <w:rPr>
                        <w:rFonts w:ascii="ＭＳ ゴシック" w:eastAsia="ＭＳ ゴシック" w:hAnsi="ＭＳ ゴシック" w:cs="ＭＳ ゴシック" w:hint="eastAsia"/>
                        <w:b/>
                        <w:i/>
                        <w:color w:val="FFFFFF"/>
                        <w:sz w:val="12"/>
                        <w:lang w:eastAsia="ja-JP"/>
                      </w:rPr>
                      <w:t>生産</w:t>
                    </w:r>
                  </w:p>
                </w:txbxContent>
              </v:textbox>
            </v:shape>
            <v:shape id="docshape536" o:spid="_x0000_s3262" type="#_x0000_t202" style="position:absolute;left:4458;top:2858;width:976;height:215" filled="f" stroked="f">
              <v:textbox style="mso-next-textbox:#docshape536" inset="0,0,0,0">
                <w:txbxContent>
                  <w:p w14:paraId="0FB00BEE" w14:textId="33146E1B" w:rsidR="0055291C" w:rsidRPr="001F0A55" w:rsidRDefault="001F0A55" w:rsidP="001F0A55">
                    <w:pPr>
                      <w:spacing w:line="214" w:lineRule="exact"/>
                      <w:jc w:val="center"/>
                      <w:rPr>
                        <w:rFonts w:ascii="Arial"/>
                        <w:b/>
                        <w:i/>
                        <w:color w:val="FFFFFF" w:themeColor="background1"/>
                        <w:sz w:val="19"/>
                      </w:rPr>
                    </w:pPr>
                    <w:r w:rsidRPr="001F0A55">
                      <w:rPr>
                        <w:rFonts w:ascii="ＭＳ ゴシック" w:eastAsia="ＭＳ ゴシック" w:hAnsi="ＭＳ ゴシック" w:cs="ＭＳ ゴシック" w:hint="eastAsia"/>
                        <w:b/>
                        <w:i/>
                        <w:color w:val="FFFFFF" w:themeColor="background1"/>
                        <w:sz w:val="19"/>
                        <w:lang w:eastAsia="ja-JP"/>
                      </w:rPr>
                      <w:t>生産</w:t>
                    </w:r>
                  </w:p>
                </w:txbxContent>
              </v:textbox>
            </v:shape>
            <v:shape id="docshape537" o:spid="_x0000_s3261" type="#_x0000_t202" style="position:absolute;left:9107;top:2770;width:686;height:289" filled="f" stroked="f">
              <v:textbox style="mso-next-textbox:#docshape537" inset="0,0,0,0">
                <w:txbxContent>
                  <w:p w14:paraId="2AB3F4A9" w14:textId="26D860E9" w:rsidR="0055291C" w:rsidRDefault="000C572A">
                    <w:pPr>
                      <w:spacing w:line="261" w:lineRule="auto"/>
                      <w:ind w:left="32" w:right="7" w:hanging="33"/>
                      <w:rPr>
                        <w:rFonts w:ascii="Arial"/>
                        <w:b/>
                        <w:i/>
                        <w:sz w:val="12"/>
                      </w:rPr>
                    </w:pPr>
                    <w:r>
                      <w:rPr>
                        <w:rFonts w:ascii="ＭＳ ゴシック" w:eastAsia="ＭＳ ゴシック" w:hAnsi="ＭＳ ゴシック" w:cs="ＭＳ ゴシック" w:hint="eastAsia"/>
                        <w:b/>
                        <w:i/>
                        <w:color w:val="FFFFFF"/>
                        <w:sz w:val="12"/>
                        <w:lang w:eastAsia="ja-JP"/>
                      </w:rPr>
                      <w:t>流通、保管</w:t>
                    </w:r>
                  </w:p>
                </w:txbxContent>
              </v:textbox>
            </v:shape>
            <v:shape id="docshape538" o:spid="_x0000_s3260" type="#_x0000_t202" style="position:absolute;left:9331;top:3642;width:220;height:140" filled="f" stroked="f">
              <v:textbox style="mso-next-textbox:#docshape538" inset="0,0,0,0">
                <w:txbxContent>
                  <w:p w14:paraId="0CB56EA7" w14:textId="30A3AF0D" w:rsidR="0055291C" w:rsidRDefault="0055291C">
                    <w:pPr>
                      <w:spacing w:before="3" w:line="136" w:lineRule="exact"/>
                      <w:rPr>
                        <w:rFonts w:ascii="Arial"/>
                        <w:b/>
                        <w:i/>
                        <w:sz w:val="12"/>
                      </w:rPr>
                    </w:pPr>
                  </w:p>
                </w:txbxContent>
              </v:textbox>
            </v:shape>
            <v:shape id="docshape539" o:spid="_x0000_s3259" type="#_x0000_t202" style="position:absolute;left:4464;top:3900;width:1053;height:448" filled="f" stroked="f">
              <v:textbox style="mso-next-textbox:#docshape539" inset="0,0,0,0">
                <w:txbxContent>
                  <w:p w14:paraId="0E23A31A" w14:textId="24D7DCB1" w:rsidR="0055291C" w:rsidRDefault="001F0A55" w:rsidP="001F0A55">
                    <w:pPr>
                      <w:spacing w:line="256" w:lineRule="auto"/>
                      <w:ind w:left="49" w:right="1" w:hanging="50"/>
                      <w:jc w:val="center"/>
                      <w:rPr>
                        <w:rFonts w:ascii="Arial"/>
                        <w:b/>
                        <w:i/>
                        <w:sz w:val="19"/>
                      </w:rPr>
                    </w:pPr>
                    <w:r>
                      <w:rPr>
                        <w:rFonts w:ascii="ＭＳ ゴシック" w:eastAsia="ＭＳ ゴシック" w:hAnsi="ＭＳ ゴシック" w:cs="ＭＳ ゴシック" w:hint="eastAsia"/>
                        <w:b/>
                        <w:i/>
                        <w:color w:val="FFFFFF"/>
                        <w:spacing w:val="-1"/>
                        <w:sz w:val="19"/>
                        <w:lang w:eastAsia="ja-JP"/>
                      </w:rPr>
                      <w:t>流通、保管</w:t>
                    </w:r>
                  </w:p>
                </w:txbxContent>
              </v:textbox>
            </v:shape>
            <v:shape id="docshape540" o:spid="_x0000_s3258" type="#_x0000_t202" style="position:absolute;left:9095;top:4405;width:651;height:143" filled="f" stroked="f">
              <v:textbox style="mso-next-textbox:#docshape540" inset="0,0,0,0">
                <w:txbxContent>
                  <w:p w14:paraId="6E8951DA" w14:textId="7E6051A9" w:rsidR="0055291C" w:rsidRDefault="000C572A" w:rsidP="000C572A">
                    <w:pPr>
                      <w:spacing w:before="5" w:line="137" w:lineRule="exact"/>
                      <w:jc w:val="center"/>
                      <w:rPr>
                        <w:rFonts w:ascii="Arial"/>
                        <w:b/>
                        <w:i/>
                        <w:sz w:val="12"/>
                      </w:rPr>
                    </w:pPr>
                    <w:r>
                      <w:rPr>
                        <w:rFonts w:ascii="ＭＳ ゴシック" w:eastAsia="ＭＳ ゴシック" w:hAnsi="ＭＳ ゴシック" w:cs="ＭＳ ゴシック" w:hint="eastAsia"/>
                        <w:b/>
                        <w:i/>
                        <w:color w:val="F1F1F2"/>
                        <w:w w:val="110"/>
                        <w:sz w:val="12"/>
                        <w:lang w:eastAsia="ja-JP"/>
                      </w:rPr>
                      <w:t>廃棄</w:t>
                    </w:r>
                  </w:p>
                </w:txbxContent>
              </v:textbox>
            </v:shape>
            <v:shape id="docshape541" o:spid="_x0000_s3257" type="#_x0000_t202" style="position:absolute;left:4812;top:5252;width:330;height:217" filled="f" stroked="f">
              <v:textbox style="mso-next-textbox:#docshape541" inset="0,0,0,0">
                <w:txbxContent>
                  <w:p w14:paraId="5751C53D" w14:textId="526E67B1" w:rsidR="0055291C" w:rsidRPr="001F0A55" w:rsidRDefault="0055291C">
                    <w:pPr>
                      <w:spacing w:before="2" w:line="215" w:lineRule="exact"/>
                      <w:rPr>
                        <w:rFonts w:ascii="Arial"/>
                        <w:b/>
                        <w:i/>
                        <w:color w:val="FFFFFF" w:themeColor="background1"/>
                        <w:sz w:val="19"/>
                      </w:rPr>
                    </w:pPr>
                  </w:p>
                </w:txbxContent>
              </v:textbox>
            </v:shape>
            <v:shape id="docshape542" o:spid="_x0000_s3256" type="#_x0000_t202" style="position:absolute;left:2765;top:5977;width:1053;height:421" filled="f" stroked="f">
              <v:textbox style="mso-next-textbox:#docshape542" inset="0,0,0,0">
                <w:txbxContent>
                  <w:p w14:paraId="2FD2E35B" w14:textId="7198A548" w:rsidR="001F0A55" w:rsidRPr="000C572A" w:rsidRDefault="001F0A55" w:rsidP="000C572A">
                    <w:pPr>
                      <w:spacing w:before="18" w:line="220" w:lineRule="auto"/>
                      <w:ind w:left="212" w:right="12" w:hanging="213"/>
                      <w:rPr>
                        <w:rFonts w:ascii="Arial"/>
                        <w:b/>
                        <w:i/>
                        <w:sz w:val="19"/>
                      </w:rPr>
                    </w:pPr>
                    <w:r>
                      <w:rPr>
                        <w:rFonts w:ascii="ＭＳ ゴシック" w:eastAsia="ＭＳ ゴシック" w:hAnsi="ＭＳ ゴシック" w:cs="ＭＳ ゴシック" w:hint="eastAsia"/>
                        <w:b/>
                        <w:i/>
                        <w:color w:val="545456"/>
                        <w:spacing w:val="-3"/>
                        <w:w w:val="105"/>
                        <w:sz w:val="19"/>
                        <w:lang w:eastAsia="ja-JP"/>
                      </w:rPr>
                      <w:t>自然に還る</w:t>
                    </w:r>
                  </w:p>
                </w:txbxContent>
              </v:textbox>
            </v:shape>
            <v:shape id="docshape543" o:spid="_x0000_s3255" type="#_x0000_t202" style="position:absolute;left:6471;top:6005;width:2368;height:421" filled="f" stroked="f">
              <v:textbox style="mso-next-textbox:#docshape543" inset="0,0,0,0">
                <w:txbxContent>
                  <w:p w14:paraId="22E93D2A" w14:textId="3A8D15FD" w:rsidR="0055291C" w:rsidRDefault="000C572A" w:rsidP="000C572A">
                    <w:pPr>
                      <w:spacing w:before="18" w:line="220" w:lineRule="auto"/>
                      <w:rPr>
                        <w:rFonts w:ascii="Arial"/>
                        <w:b/>
                        <w:i/>
                        <w:sz w:val="19"/>
                        <w:lang w:eastAsia="ja-JP"/>
                      </w:rPr>
                    </w:pPr>
                    <w:r>
                      <w:rPr>
                        <w:rFonts w:ascii="ＭＳ ゴシック" w:eastAsia="ＭＳ ゴシック" w:hAnsi="ＭＳ ゴシック" w:cs="ＭＳ ゴシック" w:hint="eastAsia"/>
                        <w:b/>
                        <w:i/>
                        <w:color w:val="545456"/>
                        <w:sz w:val="19"/>
                        <w:lang w:eastAsia="ja-JP"/>
                      </w:rPr>
                      <w:t>リサイクル、リユースして他製品のライフサイクルへ</w:t>
                    </w:r>
                  </w:p>
                </w:txbxContent>
              </v:textbox>
            </v:shape>
            <v:shape id="docshape544" o:spid="_x0000_s3254" type="#_x0000_t202" style="position:absolute;left:4445;top:6436;width:999;height:221" filled="f" stroked="f">
              <v:textbox style="mso-next-textbox:#docshape544" inset="0,0,0,0">
                <w:txbxContent>
                  <w:p w14:paraId="63C7481E" w14:textId="5C5479D6" w:rsidR="0055291C" w:rsidRDefault="001F0A55" w:rsidP="001F0A55">
                    <w:pPr>
                      <w:spacing w:before="5" w:line="215" w:lineRule="exact"/>
                      <w:jc w:val="center"/>
                      <w:rPr>
                        <w:rFonts w:ascii="Arial"/>
                        <w:b/>
                        <w:i/>
                        <w:sz w:val="19"/>
                      </w:rPr>
                    </w:pPr>
                    <w:r>
                      <w:rPr>
                        <w:rFonts w:ascii="ＭＳ ゴシック" w:eastAsia="ＭＳ ゴシック" w:hAnsi="ＭＳ ゴシック" w:cs="ＭＳ ゴシック" w:hint="eastAsia"/>
                        <w:b/>
                        <w:i/>
                        <w:color w:val="F1F1F2"/>
                        <w:w w:val="105"/>
                        <w:sz w:val="19"/>
                        <w:lang w:eastAsia="ja-JP"/>
                      </w:rPr>
                      <w:t>廃棄</w:t>
                    </w:r>
                  </w:p>
                </w:txbxContent>
              </v:textbox>
            </v:shape>
            <w10:wrap type="topAndBottom" anchorx="page"/>
          </v:group>
        </w:pict>
      </w:r>
    </w:p>
    <w:p w14:paraId="28AB9982" w14:textId="77777777" w:rsidR="0055291C" w:rsidRDefault="0055291C">
      <w:pPr>
        <w:pStyle w:val="a3"/>
        <w:rPr>
          <w:rFonts w:ascii="Arial"/>
          <w:b/>
          <w:sz w:val="20"/>
          <w:lang w:eastAsia="ja-JP"/>
        </w:rPr>
      </w:pPr>
    </w:p>
    <w:p w14:paraId="5A2CCD4B" w14:textId="77777777" w:rsidR="0055291C" w:rsidRDefault="0055291C">
      <w:pPr>
        <w:pStyle w:val="a3"/>
        <w:spacing w:before="5"/>
        <w:rPr>
          <w:rFonts w:ascii="Arial"/>
          <w:b/>
          <w:sz w:val="16"/>
          <w:lang w:eastAsia="ja-JP"/>
        </w:rPr>
      </w:pPr>
    </w:p>
    <w:p w14:paraId="03CC9183" w14:textId="77777777" w:rsidR="0055291C" w:rsidRDefault="0055291C">
      <w:pPr>
        <w:rPr>
          <w:rFonts w:ascii="Arial"/>
          <w:sz w:val="16"/>
          <w:lang w:eastAsia="ja-JP"/>
        </w:rPr>
        <w:sectPr w:rsidR="0055291C">
          <w:headerReference w:type="even" r:id="rId139"/>
          <w:pgSz w:w="12240" w:h="15840"/>
          <w:pgMar w:top="620" w:right="0" w:bottom="1040" w:left="0" w:header="0" w:footer="859" w:gutter="0"/>
          <w:cols w:space="720"/>
        </w:sectPr>
      </w:pPr>
    </w:p>
    <w:p w14:paraId="42892FE2" w14:textId="0FD5166C" w:rsidR="0055291C" w:rsidRDefault="00CF5ADF" w:rsidP="00CF5ADF">
      <w:pPr>
        <w:pStyle w:val="a3"/>
        <w:spacing w:before="140" w:line="312" w:lineRule="auto"/>
        <w:ind w:left="1147" w:right="-1"/>
        <w:rPr>
          <w:lang w:eastAsia="ja-JP"/>
        </w:rPr>
      </w:pPr>
      <w:r w:rsidRPr="00CF5ADF">
        <w:rPr>
          <w:rFonts w:ascii="ＭＳ ゴシック" w:eastAsia="ＭＳ ゴシック" w:hAnsi="ＭＳ ゴシック" w:cs="ＭＳ ゴシック" w:hint="eastAsia"/>
          <w:lang w:eastAsia="ja-JP"/>
        </w:rPr>
        <w:t>企業は、特定の製品のライフサイクルをよりよく反映させるために、ステージを精緻化したり、別の方法で分類したりすることがあります。例えば、企業は、より多くの段階に分解したり（流通と保管を分けるなど）、調査対象製品がサービスである場合には</w:t>
      </w:r>
      <w:r>
        <w:rPr>
          <w:rFonts w:ascii="ＭＳ ゴシック" w:eastAsia="ＭＳ ゴシック" w:hAnsi="ＭＳ ゴシック" w:cs="ＭＳ ゴシック" w:hint="eastAsia"/>
          <w:lang w:eastAsia="ja-JP"/>
        </w:rPr>
        <w:t>「</w:t>
      </w:r>
      <w:r w:rsidRPr="00CF5ADF">
        <w:rPr>
          <w:rFonts w:ascii="ＭＳ ゴシック" w:eastAsia="ＭＳ ゴシック" w:hAnsi="ＭＳ ゴシック" w:cs="ＭＳ ゴシック" w:hint="eastAsia"/>
          <w:lang w:eastAsia="ja-JP"/>
        </w:rPr>
        <w:t>サービス提供</w:t>
      </w:r>
      <w:r>
        <w:rPr>
          <w:rFonts w:ascii="ＭＳ ゴシック" w:eastAsia="ＭＳ ゴシック" w:hAnsi="ＭＳ ゴシック" w:cs="ＭＳ ゴシック" w:hint="eastAsia"/>
          <w:lang w:eastAsia="ja-JP"/>
        </w:rPr>
        <w:t>」と呼ぶ</w:t>
      </w:r>
      <w:r w:rsidRPr="00CF5ADF">
        <w:rPr>
          <w:rFonts w:ascii="ＭＳ ゴシック" w:eastAsia="ＭＳ ゴシック" w:hAnsi="ＭＳ ゴシック" w:cs="ＭＳ ゴシック" w:hint="eastAsia"/>
          <w:lang w:eastAsia="ja-JP"/>
        </w:rPr>
        <w:t>など、段階内で行われるプロセスをより適切に説明する用語を使用</w:t>
      </w:r>
      <w:r>
        <w:rPr>
          <w:rFonts w:ascii="ＭＳ ゴシック" w:eastAsia="ＭＳ ゴシック" w:hAnsi="ＭＳ ゴシック" w:cs="ＭＳ ゴシック" w:hint="eastAsia"/>
          <w:lang w:eastAsia="ja-JP"/>
        </w:rPr>
        <w:t>したり</w:t>
      </w:r>
      <w:r w:rsidRPr="00CF5ADF">
        <w:rPr>
          <w:rFonts w:ascii="ＭＳ ゴシック" w:eastAsia="ＭＳ ゴシック" w:hAnsi="ＭＳ ゴシック" w:cs="ＭＳ ゴシック" w:hint="eastAsia"/>
          <w:lang w:eastAsia="ja-JP"/>
        </w:rPr>
        <w:t>することができます。すべての段階は、明確かつ論理的な境界を持ち、ライフサイクルを通じて連続的かつ相互に関連するものであるべきです。</w:t>
      </w:r>
    </w:p>
    <w:p w14:paraId="23FEC6BF" w14:textId="01A7045F" w:rsidR="0055291C" w:rsidRDefault="00CF5ADF" w:rsidP="00DB1C44">
      <w:pPr>
        <w:pStyle w:val="a3"/>
        <w:spacing w:before="102" w:line="312" w:lineRule="auto"/>
        <w:ind w:left="268" w:right="1561" w:firstLineChars="100" w:firstLine="190"/>
        <w:rPr>
          <w:lang w:eastAsia="ja-JP"/>
        </w:rPr>
      </w:pPr>
      <w:r>
        <w:rPr>
          <w:noProof/>
        </w:rPr>
        <mc:AlternateContent>
          <mc:Choice Requires="wps">
            <w:drawing>
              <wp:anchor distT="0" distB="0" distL="114300" distR="114300" simplePos="0" relativeHeight="251456000" behindDoc="0" locked="0" layoutInCell="1" allowOverlap="1" wp14:anchorId="56C11C09" wp14:editId="0DD6F66D">
                <wp:simplePos x="0" y="0"/>
                <wp:positionH relativeFrom="column">
                  <wp:posOffset>749300</wp:posOffset>
                </wp:positionH>
                <wp:positionV relativeFrom="paragraph">
                  <wp:posOffset>161925</wp:posOffset>
                </wp:positionV>
                <wp:extent cx="3016250" cy="692150"/>
                <wp:effectExtent l="0" t="0" r="0" b="0"/>
                <wp:wrapNone/>
                <wp:docPr id="68" name="四角形: 角を丸くする 68"/>
                <wp:cNvGraphicFramePr/>
                <a:graphic xmlns:a="http://schemas.openxmlformats.org/drawingml/2006/main">
                  <a:graphicData uri="http://schemas.microsoft.com/office/word/2010/wordprocessingShape">
                    <wps:wsp>
                      <wps:cNvSpPr/>
                      <wps:spPr>
                        <a:xfrm>
                          <a:off x="0" y="0"/>
                          <a:ext cx="3016250" cy="692150"/>
                        </a:xfrm>
                        <a:prstGeom prst="roundRect">
                          <a:avLst/>
                        </a:prstGeom>
                        <a:solidFill>
                          <a:srgbClr val="70029C">
                            <a:alpha val="25098"/>
                          </a:srgbClr>
                        </a:solidFill>
                        <a:ln w="25400" cap="flat" cmpd="sng" algn="ctr">
                          <a:noFill/>
                          <a:prstDash val="solid"/>
                        </a:ln>
                        <a:effectLst/>
                      </wps:spPr>
                      <wps:txbx>
                        <w:txbxContent>
                          <w:p w14:paraId="3239BD29" w14:textId="6A3FAEC8" w:rsidR="00CF5ADF" w:rsidRPr="00CF5ADF" w:rsidRDefault="00CF5ADF" w:rsidP="00CF5ADF">
                            <w:pPr>
                              <w:rPr>
                                <w:rFonts w:asciiTheme="minorEastAsia" w:eastAsiaTheme="minorEastAsia" w:hAnsiTheme="minorEastAsia" w:cstheme="minorBidi"/>
                                <w:b/>
                                <w:bCs/>
                                <w:i/>
                                <w:iCs/>
                                <w:color w:val="000000" w:themeColor="text1"/>
                                <w:sz w:val="19"/>
                                <w:szCs w:val="19"/>
                                <w:lang w:eastAsia="ja-JP"/>
                              </w:rPr>
                            </w:pPr>
                            <w:r w:rsidRPr="00CF5ADF">
                              <w:rPr>
                                <w:rFonts w:ascii="ＭＳ ゴシック" w:eastAsia="ＭＳ ゴシック" w:hAnsi="ＭＳ ゴシック" w:cs="ＭＳ ゴシック" w:hint="eastAsia"/>
                                <w:b/>
                                <w:bCs/>
                                <w:i/>
                                <w:iCs/>
                                <w:color w:val="000000" w:themeColor="text1"/>
                                <w:sz w:val="19"/>
                                <w:szCs w:val="19"/>
                                <w:lang w:eastAsia="ja-JP"/>
                              </w:rPr>
                              <w:t>企業は、排出量報告書において、算定範囲に帰属する過程の除外要素を開示し、その理由を説明しなければならない。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C11C09" id="四角形: 角を丸くする 68" o:spid="_x0000_s1053" style="position:absolute;left:0;text-align:left;margin-left:59pt;margin-top:12.75pt;width:237.5pt;height:54.5pt;z-index:2514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" fillcolor="#70029c" stroked="f" strokeweight="2pt">
                <v:fill opacity="16448f"/>
                <v:textbox>
                  <w:txbxContent>
                    <w:p w14:paraId="3239BD29" w14:textId="6A3FAEC8" w:rsidR="00CF5ADF" w:rsidRPr="00CF5ADF" w:rsidRDefault="00CF5ADF" w:rsidP="00CF5ADF">
                      <w:pPr>
                        <w:rPr>
                          <w:rFonts w:asciiTheme="minorEastAsia" w:eastAsiaTheme="minorEastAsia" w:hAnsiTheme="minorEastAsia" w:cstheme="minorBidi"/>
                          <w:b/>
                          <w:bCs/>
                          <w:i/>
                          <w:iCs/>
                          <w:color w:val="000000" w:themeColor="text1"/>
                          <w:sz w:val="19"/>
                          <w:szCs w:val="19"/>
                          <w:lang w:eastAsia="ja-JP"/>
                        </w:rPr>
                      </w:pPr>
                      <w:r w:rsidRPr="00CF5ADF">
                        <w:rPr>
                          <w:rFonts w:ascii="ＭＳ ゴシック" w:eastAsia="ＭＳ ゴシック" w:hAnsi="ＭＳ ゴシック" w:cs="ＭＳ ゴシック" w:hint="eastAsia"/>
                          <w:b/>
                          <w:bCs/>
                          <w:i/>
                          <w:iCs/>
                          <w:color w:val="000000" w:themeColor="text1"/>
                          <w:sz w:val="19"/>
                          <w:szCs w:val="19"/>
                          <w:lang w:eastAsia="ja-JP"/>
                        </w:rPr>
                        <w:t>企業は、排出量報告書において、算定範囲に帰属する過程の除外要素を開示し、その理由を説明しなければならない。</w:t>
                      </w:r>
                    </w:p>
                  </w:txbxContent>
                </v:textbox>
              </v:roundrect>
            </w:pict>
          </mc:Fallback>
        </mc:AlternateContent>
      </w:r>
      <w:r w:rsidR="00F23C61">
        <w:rPr>
          <w:lang w:eastAsia="ja-JP"/>
        </w:rPr>
        <w:br w:type="column"/>
      </w:r>
      <w:r w:rsidR="00DB1C44" w:rsidRPr="00DB1C44">
        <w:rPr>
          <w:rFonts w:ascii="ＭＳ ゴシック" w:eastAsia="ＭＳ ゴシック" w:hAnsi="ＭＳ ゴシック" w:cs="ＭＳ ゴシック" w:hint="eastAsia"/>
          <w:color w:val="545456"/>
          <w:lang w:eastAsia="ja-JP"/>
        </w:rPr>
        <w:t>以下のすべてが当てはまる場合、帰属プロセスを</w:t>
      </w:r>
      <w:r w:rsidR="00503E44">
        <w:rPr>
          <w:rFonts w:ascii="ＭＳ ゴシック" w:eastAsia="ＭＳ ゴシック" w:hAnsi="ＭＳ ゴシック" w:cs="ＭＳ ゴシック" w:hint="eastAsia"/>
          <w:color w:val="545456"/>
          <w:lang w:eastAsia="ja-JP"/>
        </w:rPr>
        <w:t>算出範囲</w:t>
      </w:r>
      <w:r w:rsidR="00DB1C44" w:rsidRPr="00DB1C44">
        <w:rPr>
          <w:rFonts w:ascii="ＭＳ ゴシック" w:eastAsia="ＭＳ ゴシック" w:hAnsi="ＭＳ ゴシック" w:cs="ＭＳ ゴシック" w:hint="eastAsia"/>
          <w:color w:val="545456"/>
          <w:lang w:eastAsia="ja-JP"/>
        </w:rPr>
        <w:t>から除外することができ</w:t>
      </w:r>
      <w:r w:rsidR="00DB1C44">
        <w:rPr>
          <w:rFonts w:ascii="ＭＳ ゴシック" w:eastAsia="ＭＳ ゴシック" w:hAnsi="ＭＳ ゴシック" w:cs="ＭＳ ゴシック" w:hint="eastAsia"/>
          <w:color w:val="545456"/>
          <w:lang w:eastAsia="ja-JP"/>
        </w:rPr>
        <w:t>ます。</w:t>
      </w:r>
    </w:p>
    <w:p w14:paraId="24D4D8FD" w14:textId="09FDBFB4" w:rsidR="00DB1C44" w:rsidRPr="00DB1C44" w:rsidRDefault="00DB1C44">
      <w:pPr>
        <w:pStyle w:val="a5"/>
        <w:numPr>
          <w:ilvl w:val="0"/>
          <w:numId w:val="57"/>
        </w:numPr>
        <w:tabs>
          <w:tab w:val="left" w:pos="528"/>
        </w:tabs>
        <w:spacing w:line="225" w:lineRule="exact"/>
        <w:ind w:rightChars="580" w:right="1276"/>
        <w:rPr>
          <w:color w:val="545456"/>
          <w:spacing w:val="-1"/>
          <w:sz w:val="19"/>
          <w:lang w:eastAsia="ja-JP"/>
        </w:rPr>
      </w:pPr>
      <w:r w:rsidRPr="00DB1C44">
        <w:rPr>
          <w:rFonts w:ascii="ＭＳ ゴシック" w:eastAsia="ＭＳ ゴシック" w:hAnsi="ＭＳ ゴシック" w:cs="ＭＳ ゴシック" w:hint="eastAsia"/>
          <w:color w:val="545456"/>
          <w:spacing w:val="-1"/>
          <w:sz w:val="19"/>
          <w:lang w:eastAsia="ja-JP"/>
        </w:rPr>
        <w:t>一次データまたは二次データを収集できないため、データギャップが存在する。</w:t>
      </w:r>
    </w:p>
    <w:p w14:paraId="14951FCE" w14:textId="293249D4" w:rsidR="00DB1C44" w:rsidRPr="00DB1C44" w:rsidRDefault="00DB1C44">
      <w:pPr>
        <w:pStyle w:val="a5"/>
        <w:numPr>
          <w:ilvl w:val="0"/>
          <w:numId w:val="57"/>
        </w:numPr>
        <w:tabs>
          <w:tab w:val="left" w:pos="528"/>
        </w:tabs>
        <w:spacing w:line="225" w:lineRule="exact"/>
        <w:ind w:rightChars="580" w:right="1276"/>
        <w:rPr>
          <w:color w:val="545456"/>
          <w:spacing w:val="-1"/>
          <w:sz w:val="19"/>
          <w:lang w:eastAsia="ja-JP"/>
        </w:rPr>
      </w:pPr>
      <w:r w:rsidRPr="00DB1C44">
        <w:rPr>
          <w:rFonts w:ascii="ＭＳ ゴシック" w:eastAsia="ＭＳ ゴシック" w:hAnsi="ＭＳ ゴシック" w:cs="ＭＳ ゴシック" w:hint="eastAsia"/>
          <w:color w:val="545456"/>
          <w:spacing w:val="-1"/>
          <w:sz w:val="19"/>
          <w:lang w:eastAsia="ja-JP"/>
        </w:rPr>
        <w:t>データギャップを埋めるための外挿データおよび</w:t>
      </w:r>
      <w:r w:rsidR="00ED7AD9">
        <w:rPr>
          <w:rFonts w:ascii="ＭＳ ゴシック" w:eastAsia="ＭＳ ゴシック" w:hAnsi="ＭＳ ゴシック" w:cs="ＭＳ ゴシック" w:hint="eastAsia"/>
          <w:color w:val="545456"/>
          <w:spacing w:val="-1"/>
          <w:sz w:val="19"/>
          <w:lang w:eastAsia="ja-JP"/>
        </w:rPr>
        <w:t>代替</w:t>
      </w:r>
      <w:r w:rsidRPr="00DB1C44">
        <w:rPr>
          <w:rFonts w:ascii="ＭＳ ゴシック" w:eastAsia="ＭＳ ゴシック" w:hAnsi="ＭＳ ゴシック" w:cs="ＭＳ ゴシック" w:hint="eastAsia"/>
          <w:color w:val="545456"/>
          <w:spacing w:val="-1"/>
          <w:sz w:val="19"/>
          <w:lang w:eastAsia="ja-JP"/>
        </w:rPr>
        <w:t>データが決定できない。</w:t>
      </w:r>
    </w:p>
    <w:p w14:paraId="70A4EEF3" w14:textId="60E724CE" w:rsidR="0055291C" w:rsidRDefault="00DB1C44">
      <w:pPr>
        <w:pStyle w:val="a5"/>
        <w:numPr>
          <w:ilvl w:val="0"/>
          <w:numId w:val="57"/>
        </w:numPr>
        <w:tabs>
          <w:tab w:val="left" w:pos="528"/>
        </w:tabs>
        <w:spacing w:line="225" w:lineRule="exact"/>
        <w:ind w:rightChars="580" w:right="1276"/>
        <w:rPr>
          <w:sz w:val="19"/>
          <w:lang w:eastAsia="ja-JP"/>
        </w:rPr>
      </w:pPr>
      <w:r w:rsidRPr="00DB1C44">
        <w:rPr>
          <w:rFonts w:ascii="ＭＳ ゴシック" w:eastAsia="ＭＳ ゴシック" w:hAnsi="ＭＳ ゴシック" w:cs="ＭＳ ゴシック" w:hint="eastAsia"/>
          <w:color w:val="545456"/>
          <w:spacing w:val="-1"/>
          <w:sz w:val="19"/>
          <w:lang w:eastAsia="ja-JP"/>
        </w:rPr>
        <w:t>推定により、データが重要でないと判断される</w:t>
      </w:r>
    </w:p>
    <w:p w14:paraId="026FE62E" w14:textId="17F718DC" w:rsidR="0055291C" w:rsidRDefault="00DB1C44" w:rsidP="00DB1C44">
      <w:pPr>
        <w:pStyle w:val="a3"/>
        <w:spacing w:before="197" w:line="312" w:lineRule="auto"/>
        <w:ind w:left="268" w:right="1131" w:firstLineChars="100" w:firstLine="190"/>
        <w:rPr>
          <w:lang w:eastAsia="ja-JP"/>
        </w:rPr>
      </w:pPr>
      <w:r w:rsidRPr="00DB1C44">
        <w:rPr>
          <w:rFonts w:ascii="ＭＳ ゴシック" w:eastAsia="ＭＳ ゴシック" w:hAnsi="ＭＳ ゴシック" w:cs="ＭＳ ゴシック" w:hint="eastAsia"/>
          <w:color w:val="545456"/>
          <w:lang w:eastAsia="ja-JP"/>
        </w:rPr>
        <w:t>データの種類の定義とデータギャップを埋めるためのガイダンスは、第</w:t>
      </w:r>
      <w:r w:rsidRPr="00DB1C44">
        <w:rPr>
          <w:color w:val="545456"/>
          <w:lang w:eastAsia="ja-JP"/>
        </w:rPr>
        <w:t>8</w:t>
      </w:r>
      <w:r w:rsidRPr="00DB1C44">
        <w:rPr>
          <w:rFonts w:ascii="ＭＳ ゴシック" w:eastAsia="ＭＳ ゴシック" w:hAnsi="ＭＳ ゴシック" w:cs="ＭＳ ゴシック" w:hint="eastAsia"/>
          <w:color w:val="545456"/>
          <w:lang w:eastAsia="ja-JP"/>
        </w:rPr>
        <w:t>章に含まれています。</w:t>
      </w:r>
    </w:p>
    <w:p w14:paraId="19DE169B" w14:textId="4FA0A77F" w:rsidR="0055291C" w:rsidRPr="00503E44" w:rsidRDefault="00503E44" w:rsidP="00503E44">
      <w:pPr>
        <w:pStyle w:val="a3"/>
        <w:spacing w:before="141" w:line="312" w:lineRule="auto"/>
        <w:ind w:left="268" w:right="1137" w:firstLineChars="100" w:firstLine="180"/>
        <w:rPr>
          <w:rFonts w:ascii="ＭＳ ゴシック" w:eastAsia="ＭＳ ゴシック" w:hAnsi="ＭＳ ゴシック"/>
          <w:lang w:eastAsia="ja-JP"/>
        </w:rPr>
      </w:pPr>
      <w:r w:rsidRPr="00503E44">
        <w:rPr>
          <w:rFonts w:ascii="ＭＳ ゴシック" w:eastAsia="ＭＳ ゴシック" w:hAnsi="ＭＳ ゴシック" w:cs="ＭＳ ゴシック" w:hint="eastAsia"/>
          <w:color w:val="545456"/>
          <w:w w:val="95"/>
          <w:lang w:eastAsia="ja-JP"/>
        </w:rPr>
        <w:t>企業は、報告書において、帰属するプロセスの除外要素を開示し、その正当性を示さなければなりません。これには、使用した推定技法と、重要性の閾値の定義を含むべきです。</w:t>
      </w:r>
    </w:p>
    <w:p w14:paraId="7815EC02"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961" w:space="40"/>
            <w:col w:w="6239"/>
          </w:cols>
        </w:sectPr>
      </w:pPr>
    </w:p>
    <w:p w14:paraId="7C0C064E" w14:textId="77777777" w:rsidR="0055291C" w:rsidRDefault="0055291C">
      <w:pPr>
        <w:pStyle w:val="a3"/>
        <w:rPr>
          <w:sz w:val="20"/>
          <w:lang w:eastAsia="ja-JP"/>
        </w:rPr>
      </w:pPr>
    </w:p>
    <w:p w14:paraId="745AC8A8" w14:textId="3B0A06FA" w:rsidR="0055291C" w:rsidRDefault="0055291C">
      <w:pPr>
        <w:pStyle w:val="a3"/>
        <w:rPr>
          <w:sz w:val="20"/>
          <w:lang w:eastAsia="ja-JP"/>
        </w:rPr>
      </w:pPr>
    </w:p>
    <w:p w14:paraId="59D0CBA4" w14:textId="417E5627" w:rsidR="0055291C" w:rsidRDefault="0055291C">
      <w:pPr>
        <w:pStyle w:val="a3"/>
        <w:rPr>
          <w:sz w:val="20"/>
          <w:lang w:eastAsia="ja-JP"/>
        </w:rPr>
      </w:pPr>
    </w:p>
    <w:p w14:paraId="3A214119" w14:textId="77777777" w:rsidR="0055291C" w:rsidRDefault="0055291C">
      <w:pPr>
        <w:pStyle w:val="a3"/>
        <w:spacing w:before="4"/>
        <w:rPr>
          <w:sz w:val="24"/>
          <w:lang w:eastAsia="ja-JP"/>
        </w:rPr>
      </w:pPr>
    </w:p>
    <w:p w14:paraId="28CB32DA" w14:textId="135C304C" w:rsidR="0055291C" w:rsidRDefault="00000000">
      <w:pPr>
        <w:spacing w:before="1"/>
        <w:ind w:right="1121"/>
        <w:jc w:val="right"/>
        <w:rPr>
          <w:rFonts w:ascii="Arial"/>
          <w:i/>
          <w:sz w:val="19"/>
          <w:lang w:eastAsia="ja-JP"/>
        </w:rPr>
      </w:pPr>
      <w:r>
        <w:pict w14:anchorId="1C3E3039">
          <v:group id="docshapegroup548" o:spid="_x0000_s3247" style="position:absolute;left:0;text-align:left;margin-left:580.75pt;margin-top:-47.75pt;width:31.3pt;height:285.85pt;z-index:251573760;mso-position-horizontal-relative:page" coordorigin="11615,-955" coordsize="626,5717">
            <v:shape id="docshape549" o:spid="_x0000_s3249" style="position:absolute;left:11614;top:-955;width:626;height:5717" coordorigin="11615,-955" coordsize="626,5717" path="m12240,-955r-625,l11615,4535r3,131l11643,4733r67,25l11842,4761r398,l12240,-955xe" fillcolor="#00aca1" stroked="f">
              <v:path arrowok="t"/>
            </v:shape>
            <v:shape id="docshape550" o:spid="_x0000_s3248" style="position:absolute;left:11614;top:-955;width:626;height:5717" coordorigin="11615,-955" coordsize="626,5717" path="m12240,-955r-625,l11615,4535r3,131l11643,4733r67,25l11842,4761r398,l12240,-955xe" fillcolor="#7f3f98" stroked="f">
              <v:path arrowok="t"/>
            </v:shape>
            <w10:wrap anchorx="page"/>
          </v:group>
        </w:pict>
      </w:r>
      <w:r w:rsidR="00F23C61">
        <w:rPr>
          <w:rFonts w:ascii="Arial"/>
          <w:b/>
          <w:i/>
          <w:color w:val="7F3F98"/>
          <w:sz w:val="19"/>
          <w:lang w:eastAsia="ja-JP"/>
        </w:rPr>
        <w:t>CHAPTER</w:t>
      </w:r>
      <w:r w:rsidR="00F23C61">
        <w:rPr>
          <w:rFonts w:ascii="Arial"/>
          <w:b/>
          <w:i/>
          <w:color w:val="7F3F98"/>
          <w:spacing w:val="9"/>
          <w:sz w:val="19"/>
          <w:lang w:eastAsia="ja-JP"/>
        </w:rPr>
        <w:t xml:space="preserve"> </w:t>
      </w:r>
      <w:r w:rsidR="00F23C61">
        <w:rPr>
          <w:rFonts w:ascii="Arial"/>
          <w:b/>
          <w:i/>
          <w:color w:val="7F3F98"/>
          <w:sz w:val="19"/>
          <w:lang w:eastAsia="ja-JP"/>
        </w:rPr>
        <w:t>07</w:t>
      </w:r>
      <w:r w:rsidR="00F23C61">
        <w:rPr>
          <w:rFonts w:ascii="Arial"/>
          <w:b/>
          <w:i/>
          <w:color w:val="7F3F98"/>
          <w:spacing w:val="10"/>
          <w:sz w:val="19"/>
          <w:lang w:eastAsia="ja-JP"/>
        </w:rPr>
        <w:t xml:space="preserve"> </w:t>
      </w:r>
      <w:r w:rsidR="00F23C61">
        <w:rPr>
          <w:rFonts w:ascii="Arial"/>
          <w:i/>
          <w:color w:val="545456"/>
          <w:sz w:val="19"/>
          <w:lang w:eastAsia="ja-JP"/>
        </w:rPr>
        <w:t>Boundary</w:t>
      </w:r>
      <w:r w:rsidR="00F23C61">
        <w:rPr>
          <w:rFonts w:ascii="Arial"/>
          <w:i/>
          <w:color w:val="545456"/>
          <w:spacing w:val="7"/>
          <w:sz w:val="19"/>
          <w:lang w:eastAsia="ja-JP"/>
        </w:rPr>
        <w:t xml:space="preserve"> </w:t>
      </w:r>
      <w:r w:rsidR="00F23C61">
        <w:rPr>
          <w:rFonts w:ascii="Arial"/>
          <w:i/>
          <w:color w:val="545456"/>
          <w:sz w:val="19"/>
          <w:lang w:eastAsia="ja-JP"/>
        </w:rPr>
        <w:t>Setting</w:t>
      </w:r>
    </w:p>
    <w:p w14:paraId="166A95B6" w14:textId="2709F18C" w:rsidR="0055291C" w:rsidRDefault="00C13E33">
      <w:pPr>
        <w:pStyle w:val="a3"/>
        <w:rPr>
          <w:rFonts w:ascii="Arial"/>
          <w:i/>
          <w:sz w:val="20"/>
          <w:lang w:eastAsia="ja-JP"/>
        </w:rPr>
      </w:pPr>
      <w:r w:rsidRPr="00C13E33">
        <w:rPr>
          <w:noProof/>
          <w:sz w:val="22"/>
          <w:szCs w:val="22"/>
        </w:rPr>
        <mc:AlternateContent>
          <mc:Choice Requires="wps">
            <w:drawing>
              <wp:anchor distT="0" distB="0" distL="114300" distR="114300" simplePos="0" relativeHeight="251460096" behindDoc="0" locked="0" layoutInCell="1" allowOverlap="1" wp14:anchorId="352B5EBA" wp14:editId="001C7766">
                <wp:simplePos x="0" y="0"/>
                <wp:positionH relativeFrom="column">
                  <wp:posOffset>4000500</wp:posOffset>
                </wp:positionH>
                <wp:positionV relativeFrom="paragraph">
                  <wp:posOffset>85090</wp:posOffset>
                </wp:positionV>
                <wp:extent cx="3016250" cy="520700"/>
                <wp:effectExtent l="0" t="0" r="0" b="0"/>
                <wp:wrapNone/>
                <wp:docPr id="78" name="四角形: 角を丸くする 78"/>
                <wp:cNvGraphicFramePr/>
                <a:graphic xmlns:a="http://schemas.openxmlformats.org/drawingml/2006/main">
                  <a:graphicData uri="http://schemas.microsoft.com/office/word/2010/wordprocessingShape">
                    <wps:wsp>
                      <wps:cNvSpPr/>
                      <wps:spPr>
                        <a:xfrm>
                          <a:off x="0" y="0"/>
                          <a:ext cx="3016250" cy="520700"/>
                        </a:xfrm>
                        <a:prstGeom prst="roundRect">
                          <a:avLst/>
                        </a:prstGeom>
                        <a:solidFill>
                          <a:srgbClr val="70029C">
                            <a:alpha val="25098"/>
                          </a:srgbClr>
                        </a:solidFill>
                        <a:ln w="25400" cap="flat" cmpd="sng" algn="ctr">
                          <a:noFill/>
                          <a:prstDash val="solid"/>
                        </a:ln>
                        <a:effectLst/>
                      </wps:spPr>
                      <wps:txbx>
                        <w:txbxContent>
                          <w:p w14:paraId="3ACCEBCC" w14:textId="418DB7C6" w:rsidR="00C13E33" w:rsidRPr="00C13E33" w:rsidRDefault="00C13E33" w:rsidP="00C13E33">
                            <w:pPr>
                              <w:rPr>
                                <w:rFonts w:asciiTheme="minorEastAsia" w:eastAsiaTheme="minorEastAsia" w:hAnsiTheme="minorEastAsia" w:cstheme="minorBidi"/>
                                <w:b/>
                                <w:bCs/>
                                <w:i/>
                                <w:iCs/>
                                <w:color w:val="000000" w:themeColor="text1"/>
                                <w:sz w:val="19"/>
                                <w:szCs w:val="19"/>
                                <w:lang w:eastAsia="ja-JP"/>
                              </w:rPr>
                            </w:pPr>
                            <w:r w:rsidRPr="00C13E33">
                              <w:rPr>
                                <w:rFonts w:ascii="ＭＳ ゴシック" w:eastAsia="ＭＳ ゴシック" w:hAnsi="ＭＳ ゴシック" w:cs="ＭＳ ゴシック" w:hint="eastAsia"/>
                                <w:b/>
                                <w:bCs/>
                                <w:i/>
                                <w:iCs/>
                                <w:color w:val="000000" w:themeColor="text1"/>
                                <w:sz w:val="19"/>
                                <w:szCs w:val="19"/>
                                <w:lang w:eastAsia="ja-JP"/>
                              </w:rPr>
                              <w:t>企業は、算定範囲に帰属する過程を</w:t>
                            </w:r>
                            <w:r w:rsidR="003D29F0">
                              <w:rPr>
                                <w:rFonts w:ascii="ＭＳ ゴシック" w:eastAsia="ＭＳ ゴシック" w:hAnsi="ＭＳ ゴシック" w:cs="ＭＳ ゴシック" w:hint="eastAsia"/>
                                <w:b/>
                                <w:bCs/>
                                <w:i/>
                                <w:iCs/>
                                <w:color w:val="000000" w:themeColor="text1"/>
                                <w:sz w:val="19"/>
                                <w:szCs w:val="19"/>
                                <w:lang w:eastAsia="ja-JP"/>
                              </w:rPr>
                              <w:t>工程表</w:t>
                            </w:r>
                            <w:r w:rsidRPr="00C13E33">
                              <w:rPr>
                                <w:rFonts w:ascii="ＭＳ ゴシック" w:eastAsia="ＭＳ ゴシック" w:hAnsi="ＭＳ ゴシック" w:cs="ＭＳ ゴシック" w:hint="eastAsia"/>
                                <w:b/>
                                <w:bCs/>
                                <w:i/>
                                <w:iCs/>
                                <w:color w:val="000000" w:themeColor="text1"/>
                                <w:sz w:val="19"/>
                                <w:szCs w:val="19"/>
                                <w:lang w:eastAsia="ja-JP"/>
                              </w:rPr>
                              <w:t>の形で報告しなければならない</w:t>
                            </w:r>
                            <w:r w:rsidR="000A59A5">
                              <w:rPr>
                                <w:rFonts w:ascii="ＭＳ ゴシック" w:eastAsia="ＭＳ ゴシック" w:hAnsi="ＭＳ ゴシック" w:cs="ＭＳ ゴシック" w:hint="eastAsia"/>
                                <w:b/>
                                <w:bCs/>
                                <w:i/>
                                <w:iCs/>
                                <w:color w:val="000000" w:themeColor="text1"/>
                                <w:sz w:val="19"/>
                                <w:szCs w:val="19"/>
                                <w:lang w:eastAsia="ja-JP"/>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2B5EBA" id="四角形: 角を丸くする 78" o:spid="_x0000_s1054" style="position:absolute;margin-left:315pt;margin-top:6.7pt;width:237.5pt;height:41pt;z-index:2514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" fillcolor="#70029c" stroked="f" strokeweight="2pt">
                <v:fill opacity="16448f"/>
                <v:textbox>
                  <w:txbxContent>
                    <w:p w14:paraId="3ACCEBCC" w14:textId="418DB7C6" w:rsidR="00C13E33" w:rsidRPr="00C13E33" w:rsidRDefault="00C13E33" w:rsidP="00C13E33">
                      <w:pPr>
                        <w:rPr>
                          <w:rFonts w:asciiTheme="minorEastAsia" w:eastAsiaTheme="minorEastAsia" w:hAnsiTheme="minorEastAsia" w:cstheme="minorBidi"/>
                          <w:b/>
                          <w:bCs/>
                          <w:i/>
                          <w:iCs/>
                          <w:color w:val="000000" w:themeColor="text1"/>
                          <w:sz w:val="19"/>
                          <w:szCs w:val="19"/>
                          <w:lang w:eastAsia="ja-JP"/>
                        </w:rPr>
                      </w:pPr>
                      <w:r w:rsidRPr="00C13E33">
                        <w:rPr>
                          <w:rFonts w:ascii="ＭＳ ゴシック" w:eastAsia="ＭＳ ゴシック" w:hAnsi="ＭＳ ゴシック" w:cs="ＭＳ ゴシック" w:hint="eastAsia"/>
                          <w:b/>
                          <w:bCs/>
                          <w:i/>
                          <w:iCs/>
                          <w:color w:val="000000" w:themeColor="text1"/>
                          <w:sz w:val="19"/>
                          <w:szCs w:val="19"/>
                          <w:lang w:eastAsia="ja-JP"/>
                        </w:rPr>
                        <w:t>企業は、算定範囲に帰属する過程を</w:t>
                      </w:r>
                      <w:r w:rsidR="003D29F0">
                        <w:rPr>
                          <w:rFonts w:ascii="ＭＳ ゴシック" w:eastAsia="ＭＳ ゴシック" w:hAnsi="ＭＳ ゴシック" w:cs="ＭＳ ゴシック" w:hint="eastAsia"/>
                          <w:b/>
                          <w:bCs/>
                          <w:i/>
                          <w:iCs/>
                          <w:color w:val="000000" w:themeColor="text1"/>
                          <w:sz w:val="19"/>
                          <w:szCs w:val="19"/>
                          <w:lang w:eastAsia="ja-JP"/>
                        </w:rPr>
                        <w:t>工程表</w:t>
                      </w:r>
                      <w:r w:rsidRPr="00C13E33">
                        <w:rPr>
                          <w:rFonts w:ascii="ＭＳ ゴシック" w:eastAsia="ＭＳ ゴシック" w:hAnsi="ＭＳ ゴシック" w:cs="ＭＳ ゴシック" w:hint="eastAsia"/>
                          <w:b/>
                          <w:bCs/>
                          <w:i/>
                          <w:iCs/>
                          <w:color w:val="000000" w:themeColor="text1"/>
                          <w:sz w:val="19"/>
                          <w:szCs w:val="19"/>
                          <w:lang w:eastAsia="ja-JP"/>
                        </w:rPr>
                        <w:t>の形で報告しなければならない</w:t>
                      </w:r>
                      <w:r w:rsidR="000A59A5">
                        <w:rPr>
                          <w:rFonts w:ascii="ＭＳ ゴシック" w:eastAsia="ＭＳ ゴシック" w:hAnsi="ＭＳ ゴシック" w:cs="ＭＳ ゴシック" w:hint="eastAsia"/>
                          <w:b/>
                          <w:bCs/>
                          <w:i/>
                          <w:iCs/>
                          <w:color w:val="000000" w:themeColor="text1"/>
                          <w:sz w:val="19"/>
                          <w:szCs w:val="19"/>
                          <w:lang w:eastAsia="ja-JP"/>
                        </w:rPr>
                        <w:t>。</w:t>
                      </w:r>
                    </w:p>
                  </w:txbxContent>
                </v:textbox>
              </v:roundrect>
            </w:pict>
          </mc:Fallback>
        </mc:AlternateContent>
      </w:r>
    </w:p>
    <w:p w14:paraId="11FE29A8" w14:textId="2B5A86CC" w:rsidR="0055291C" w:rsidRDefault="00C13E33">
      <w:pPr>
        <w:pStyle w:val="a3"/>
        <w:spacing w:before="6"/>
        <w:rPr>
          <w:rFonts w:ascii="Arial"/>
          <w:i/>
          <w:sz w:val="22"/>
          <w:lang w:eastAsia="ja-JP"/>
        </w:rPr>
      </w:pPr>
      <w:r w:rsidRPr="000E70BB">
        <w:rPr>
          <w:noProof/>
          <w:sz w:val="22"/>
          <w:szCs w:val="22"/>
        </w:rPr>
        <mc:AlternateContent>
          <mc:Choice Requires="wps">
            <w:drawing>
              <wp:anchor distT="0" distB="0" distL="114300" distR="114300" simplePos="0" relativeHeight="251459072" behindDoc="0" locked="0" layoutInCell="1" allowOverlap="1" wp14:anchorId="159DAF0B" wp14:editId="0F2B02F0">
                <wp:simplePos x="0" y="0"/>
                <wp:positionH relativeFrom="column">
                  <wp:posOffset>457200</wp:posOffset>
                </wp:positionH>
                <wp:positionV relativeFrom="paragraph">
                  <wp:posOffset>32385</wp:posOffset>
                </wp:positionV>
                <wp:extent cx="3111500" cy="314960"/>
                <wp:effectExtent l="0" t="0" r="0" b="8890"/>
                <wp:wrapNone/>
                <wp:docPr id="76" name="フリーフォーム: 図形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11500" cy="314960"/>
                        </a:xfrm>
                        <a:custGeom>
                          <a:avLst/>
                          <a:gdLst>
                            <a:gd name="T0" fmla="+- 0 10936 3698"/>
                            <a:gd name="T1" fmla="*/ T0 w 7409"/>
                            <a:gd name="T2" fmla="+- 0 -5 -5"/>
                            <a:gd name="T3" fmla="*/ -5 h 496"/>
                            <a:gd name="T4" fmla="+- 0 3868 3698"/>
                            <a:gd name="T5" fmla="*/ T4 w 7409"/>
                            <a:gd name="T6" fmla="+- 0 -5 -5"/>
                            <a:gd name="T7" fmla="*/ -5 h 496"/>
                            <a:gd name="T8" fmla="+- 0 3770 3698"/>
                            <a:gd name="T9" fmla="*/ T8 w 7409"/>
                            <a:gd name="T10" fmla="+- 0 -2 -5"/>
                            <a:gd name="T11" fmla="*/ -2 h 496"/>
                            <a:gd name="T12" fmla="+- 0 3719 3698"/>
                            <a:gd name="T13" fmla="*/ T12 w 7409"/>
                            <a:gd name="T14" fmla="+- 0 16 -5"/>
                            <a:gd name="T15" fmla="*/ 16 h 496"/>
                            <a:gd name="T16" fmla="+- 0 3700 3698"/>
                            <a:gd name="T17" fmla="*/ T16 w 7409"/>
                            <a:gd name="T18" fmla="+- 0 67 -5"/>
                            <a:gd name="T19" fmla="*/ 67 h 496"/>
                            <a:gd name="T20" fmla="+- 0 3698 3698"/>
                            <a:gd name="T21" fmla="*/ T20 w 7409"/>
                            <a:gd name="T22" fmla="+- 0 165 -5"/>
                            <a:gd name="T23" fmla="*/ 165 h 496"/>
                            <a:gd name="T24" fmla="+- 0 3698 3698"/>
                            <a:gd name="T25" fmla="*/ T24 w 7409"/>
                            <a:gd name="T26" fmla="+- 0 490 -5"/>
                            <a:gd name="T27" fmla="*/ 490 h 496"/>
                            <a:gd name="T28" fmla="+- 0 11106 3698"/>
                            <a:gd name="T29" fmla="*/ T28 w 7409"/>
                            <a:gd name="T30" fmla="+- 0 490 -5"/>
                            <a:gd name="T31" fmla="*/ 490 h 496"/>
                            <a:gd name="T32" fmla="+- 0 11106 3698"/>
                            <a:gd name="T33" fmla="*/ T32 w 7409"/>
                            <a:gd name="T34" fmla="+- 0 165 -5"/>
                            <a:gd name="T35" fmla="*/ 165 h 496"/>
                            <a:gd name="T36" fmla="+- 0 11103 3698"/>
                            <a:gd name="T37" fmla="*/ T36 w 7409"/>
                            <a:gd name="T38" fmla="+- 0 67 -5"/>
                            <a:gd name="T39" fmla="*/ 67 h 496"/>
                            <a:gd name="T40" fmla="+- 0 11085 3698"/>
                            <a:gd name="T41" fmla="*/ T40 w 7409"/>
                            <a:gd name="T42" fmla="+- 0 16 -5"/>
                            <a:gd name="T43" fmla="*/ 16 h 496"/>
                            <a:gd name="T44" fmla="+- 0 11034 3698"/>
                            <a:gd name="T45" fmla="*/ T44 w 7409"/>
                            <a:gd name="T46" fmla="+- 0 -2 -5"/>
                            <a:gd name="T47" fmla="*/ -2 h 496"/>
                            <a:gd name="T48" fmla="+- 0 10936 3698"/>
                            <a:gd name="T49" fmla="*/ T48 w 7409"/>
                            <a:gd name="T50" fmla="+- 0 -5 -5"/>
                            <a:gd name="T51" fmla="*/ -5 h 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409" h="496">
                              <a:moveTo>
                                <a:pt x="7238" y="0"/>
                              </a:moveTo>
                              <a:lnTo>
                                <a:pt x="170" y="0"/>
                              </a:lnTo>
                              <a:lnTo>
                                <a:pt x="72" y="3"/>
                              </a:lnTo>
                              <a:lnTo>
                                <a:pt x="21" y="21"/>
                              </a:lnTo>
                              <a:lnTo>
                                <a:pt x="2" y="72"/>
                              </a:lnTo>
                              <a:lnTo>
                                <a:pt x="0" y="170"/>
                              </a:lnTo>
                              <a:lnTo>
                                <a:pt x="0" y="495"/>
                              </a:lnTo>
                              <a:lnTo>
                                <a:pt x="7408" y="495"/>
                              </a:lnTo>
                              <a:lnTo>
                                <a:pt x="7408" y="170"/>
                              </a:lnTo>
                              <a:lnTo>
                                <a:pt x="7405" y="72"/>
                              </a:lnTo>
                              <a:lnTo>
                                <a:pt x="7387" y="21"/>
                              </a:lnTo>
                              <a:lnTo>
                                <a:pt x="7336" y="3"/>
                              </a:lnTo>
                              <a:lnTo>
                                <a:pt x="7238" y="0"/>
                              </a:lnTo>
                              <a:close/>
                            </a:path>
                          </a:pathLst>
                        </a:custGeom>
                        <a:solidFill>
                          <a:srgbClr val="00ACA1"/>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3536984" w14:textId="37E5A7B0" w:rsidR="000E70BB" w:rsidRDefault="000E70BB" w:rsidP="000E70BB">
                            <w:pPr>
                              <w:rPr>
                                <w:b/>
                                <w:bCs/>
                                <w:i/>
                                <w:iCs/>
                                <w:color w:val="FFFFFF" w:themeColor="background1"/>
                                <w:sz w:val="20"/>
                                <w:szCs w:val="21"/>
                                <w:lang w:eastAsia="ja-JP"/>
                              </w:rPr>
                            </w:pPr>
                            <w:r>
                              <w:rPr>
                                <w:rFonts w:ascii="ＭＳ ゴシック" w:eastAsia="ＭＳ ゴシック" w:hAnsi="ＭＳ ゴシック" w:cs="ＭＳ ゴシック"/>
                                <w:b/>
                                <w:bCs/>
                                <w:i/>
                                <w:iCs/>
                                <w:color w:val="FFFFFF" w:themeColor="background1"/>
                                <w:sz w:val="20"/>
                                <w:szCs w:val="21"/>
                                <w:lang w:eastAsia="ja-JP"/>
                              </w:rPr>
                              <w:t>ＲＳＡ</w:t>
                            </w:r>
                          </w:p>
                        </w:txbxContent>
                      </wps:txbx>
                      <wps:bodyPr rot="0" vertOverflow="clip" horzOverflow="clip" vert="horz" wrap="square" lIns="91440" tIns="45720" rIns="91440" bIns="45720" anchor="t" anchorCtr="0" upright="1">
                        <a:noAutofit/>
                      </wps:bodyPr>
                    </wps:wsp>
                  </a:graphicData>
                </a:graphic>
                <wp14:sizeRelH relativeFrom="margin">
                  <wp14:pctWidth>0</wp14:pctWidth>
                </wp14:sizeRelH>
              </wp:anchor>
            </w:drawing>
          </mc:Choice>
          <mc:Fallback>
            <w:pict>
              <v:shape w14:anchorId="159DAF0B" id="フリーフォーム: 図形 76" o:spid="_x0000_s1055" style="position:absolute;margin-left:36pt;margin-top:2.55pt;width:245pt;height:24.8pt;z-index:25145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7409,49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" adj="-11796480,,5400" path="m7238,l170,,72,3,21,21,2,72,,170,,495r7408,l7408,170r-3,-98l7387,21,7336,3,7238,xe" fillcolor="#00aca1" stroked="f">
                <v:stroke joinstyle="round"/>
                <v:formulas/>
                <v:path arrowok="t" o:connecttype="custom" o:connectlocs="3039686,-3175;71394,-3175;30237,-1270;8819,10160;840,42545;0,104775;0,311150;3111080,311150;3111080,104775;3109820,42545;3102261,10160;3080843,-1270;3039686,-3175" o:connectangles="0,0,0,0,0,0,0,0,0,0,0,0,0" textboxrect="0,0,7409,496"/>
                <v:textbox>
                  <w:txbxContent>
                    <w:p w14:paraId="43536984" w14:textId="37E5A7B0" w:rsidR="000E70BB" w:rsidRDefault="000E70BB" w:rsidP="000E70BB">
                      <w:pPr>
                        <w:rPr>
                          <w:b/>
                          <w:bCs/>
                          <w:i/>
                          <w:iCs/>
                          <w:color w:val="FFFFFF" w:themeColor="background1"/>
                          <w:sz w:val="20"/>
                          <w:szCs w:val="21"/>
                          <w:lang w:eastAsia="ja-JP"/>
                        </w:rPr>
                      </w:pPr>
                      <w:r>
                        <w:rPr>
                          <w:rFonts w:ascii="ＭＳ ゴシック" w:eastAsia="ＭＳ ゴシック" w:hAnsi="ＭＳ ゴシック" w:cs="ＭＳ ゴシック"/>
                          <w:b/>
                          <w:bCs/>
                          <w:i/>
                          <w:iCs/>
                          <w:color w:val="FFFFFF" w:themeColor="background1"/>
                          <w:sz w:val="20"/>
                          <w:szCs w:val="21"/>
                          <w:lang w:eastAsia="ja-JP"/>
                        </w:rPr>
                        <w:t>ＲＳＡ</w:t>
                      </w:r>
                    </w:p>
                  </w:txbxContent>
                </v:textbox>
              </v:shape>
            </w:pict>
          </mc:Fallback>
        </mc:AlternateContent>
      </w:r>
    </w:p>
    <w:p w14:paraId="5E90D0E5" w14:textId="6465D833" w:rsidR="0055291C" w:rsidRDefault="0055291C">
      <w:pPr>
        <w:pStyle w:val="a3"/>
        <w:spacing w:before="6"/>
        <w:rPr>
          <w:rFonts w:ascii="Arial"/>
          <w:i/>
          <w:sz w:val="8"/>
          <w:lang w:eastAsia="ja-JP"/>
        </w:rPr>
      </w:pPr>
    </w:p>
    <w:p w14:paraId="63CF522D" w14:textId="4D2386D2" w:rsidR="00C13E33" w:rsidRDefault="00C13E33">
      <w:pPr>
        <w:pStyle w:val="a3"/>
        <w:spacing w:before="103" w:line="312" w:lineRule="auto"/>
        <w:ind w:left="6300" w:right="1209"/>
        <w:rPr>
          <w:color w:val="545456"/>
          <w:spacing w:val="-1"/>
          <w:lang w:eastAsia="ja-JP"/>
        </w:rPr>
      </w:pPr>
      <w:r>
        <w:rPr>
          <w:noProof/>
        </w:rPr>
        <mc:AlternateContent>
          <mc:Choice Requires="wps">
            <w:drawing>
              <wp:anchor distT="0" distB="0" distL="114300" distR="114300" simplePos="0" relativeHeight="251458048" behindDoc="0" locked="0" layoutInCell="1" allowOverlap="1" wp14:anchorId="368C1D9C" wp14:editId="603FEB19">
                <wp:simplePos x="0" y="0"/>
                <wp:positionH relativeFrom="column">
                  <wp:posOffset>457200</wp:posOffset>
                </wp:positionH>
                <wp:positionV relativeFrom="paragraph">
                  <wp:posOffset>157480</wp:posOffset>
                </wp:positionV>
                <wp:extent cx="3111500" cy="4495800"/>
                <wp:effectExtent l="0" t="0" r="0" b="0"/>
                <wp:wrapNone/>
                <wp:docPr id="74" name="正方形/長方形 74"/>
                <wp:cNvGraphicFramePr/>
                <a:graphic xmlns:a="http://schemas.openxmlformats.org/drawingml/2006/main">
                  <a:graphicData uri="http://schemas.microsoft.com/office/word/2010/wordprocessingShape">
                    <wps:wsp>
                      <wps:cNvSpPr/>
                      <wps:spPr>
                        <a:xfrm>
                          <a:off x="0" y="0"/>
                          <a:ext cx="3111500" cy="44958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C662DB" w14:textId="77777777" w:rsidR="00BA1530" w:rsidRPr="000E70BB" w:rsidRDefault="00BA1530" w:rsidP="00C13E33">
                            <w:pPr>
                              <w:ind w:rightChars="1115" w:right="2453" w:firstLineChars="100" w:firstLine="190"/>
                              <w:rPr>
                                <w:color w:val="000000" w:themeColor="text1"/>
                                <w:sz w:val="19"/>
                                <w:szCs w:val="19"/>
                                <w:lang w:eastAsia="ja-JP"/>
                              </w:rPr>
                            </w:pPr>
                            <w:r w:rsidRPr="000E70BB">
                              <w:rPr>
                                <w:rFonts w:ascii="ＭＳ ゴシック" w:eastAsia="ＭＳ ゴシック" w:hAnsi="ＭＳ ゴシック" w:cs="ＭＳ ゴシック" w:hint="eastAsia"/>
                                <w:color w:val="000000" w:themeColor="text1"/>
                                <w:sz w:val="19"/>
                                <w:szCs w:val="19"/>
                                <w:lang w:eastAsia="ja-JP"/>
                              </w:rPr>
                              <w:t>世界有数の多国籍保険グループである</w:t>
                            </w:r>
                            <w:r w:rsidRPr="000E70BB">
                              <w:rPr>
                                <w:color w:val="000000" w:themeColor="text1"/>
                                <w:sz w:val="19"/>
                                <w:szCs w:val="19"/>
                                <w:lang w:eastAsia="ja-JP"/>
                              </w:rPr>
                              <w:t>RSA</w:t>
                            </w:r>
                            <w:r w:rsidRPr="000E70BB">
                              <w:rPr>
                                <w:rFonts w:ascii="ＭＳ ゴシック" w:eastAsia="ＭＳ ゴシック" w:hAnsi="ＭＳ ゴシック" w:cs="ＭＳ ゴシック" w:hint="eastAsia"/>
                                <w:color w:val="000000" w:themeColor="text1"/>
                                <w:sz w:val="19"/>
                                <w:szCs w:val="19"/>
                                <w:lang w:eastAsia="ja-JP"/>
                              </w:rPr>
                              <w:t>は、</w:t>
                            </w:r>
                            <w:r w:rsidRPr="000E70BB">
                              <w:rPr>
                                <w:color w:val="000000" w:themeColor="text1"/>
                                <w:sz w:val="19"/>
                                <w:szCs w:val="19"/>
                                <w:lang w:eastAsia="ja-JP"/>
                              </w:rPr>
                              <w:t>130</w:t>
                            </w:r>
                            <w:r w:rsidRPr="000E70BB">
                              <w:rPr>
                                <w:rFonts w:ascii="ＭＳ ゴシック" w:eastAsia="ＭＳ ゴシック" w:hAnsi="ＭＳ ゴシック" w:cs="ＭＳ ゴシック" w:hint="eastAsia"/>
                                <w:color w:val="000000" w:themeColor="text1"/>
                                <w:sz w:val="19"/>
                                <w:szCs w:val="19"/>
                                <w:lang w:eastAsia="ja-JP"/>
                              </w:rPr>
                              <w:t>カ国以上でサービスを提供しています。</w:t>
                            </w:r>
                          </w:p>
                          <w:p w14:paraId="6FD72F04" w14:textId="77777777" w:rsidR="007B2C03" w:rsidRDefault="00BA1530" w:rsidP="007B2C03">
                            <w:pPr>
                              <w:ind w:rightChars="1050" w:right="2310"/>
                              <w:rPr>
                                <w:rFonts w:ascii="ＭＳ ゴシック" w:eastAsia="ＭＳ ゴシック" w:hAnsi="ＭＳ ゴシック" w:cs="ＭＳ ゴシック"/>
                                <w:color w:val="000000" w:themeColor="text1"/>
                                <w:sz w:val="19"/>
                                <w:szCs w:val="19"/>
                                <w:lang w:eastAsia="ja-JP"/>
                              </w:rPr>
                            </w:pPr>
                            <w:r w:rsidRPr="000E70BB">
                              <w:rPr>
                                <w:color w:val="000000" w:themeColor="text1"/>
                                <w:sz w:val="19"/>
                                <w:szCs w:val="19"/>
                                <w:lang w:eastAsia="ja-JP"/>
                              </w:rPr>
                              <w:t>RSA</w:t>
                            </w:r>
                            <w:r w:rsidRPr="000E70BB">
                              <w:rPr>
                                <w:rFonts w:ascii="ＭＳ ゴシック" w:eastAsia="ＭＳ ゴシック" w:hAnsi="ＭＳ ゴシック" w:cs="ＭＳ ゴシック" w:hint="eastAsia"/>
                                <w:color w:val="000000" w:themeColor="text1"/>
                                <w:sz w:val="19"/>
                                <w:szCs w:val="19"/>
                                <w:lang w:eastAsia="ja-JP"/>
                              </w:rPr>
                              <w:t>は、同社の住宅保険「</w:t>
                            </w:r>
                            <w:r w:rsidRPr="000E70BB">
                              <w:rPr>
                                <w:color w:val="000000" w:themeColor="text1"/>
                                <w:sz w:val="19"/>
                                <w:szCs w:val="19"/>
                                <w:lang w:eastAsia="ja-JP"/>
                              </w:rPr>
                              <w:t>MORE TH&gt;N®</w:t>
                            </w:r>
                            <w:r w:rsidRPr="000E70BB">
                              <w:rPr>
                                <w:rFonts w:ascii="ＭＳ ゴシック" w:eastAsia="ＭＳ ゴシック" w:hAnsi="ＭＳ ゴシック" w:cs="ＭＳ ゴシック" w:hint="eastAsia"/>
                                <w:color w:val="000000" w:themeColor="text1"/>
                                <w:sz w:val="19"/>
                                <w:szCs w:val="19"/>
                                <w:lang w:eastAsia="ja-JP"/>
                              </w:rPr>
                              <w:t>」を対象に</w:t>
                            </w:r>
                            <w:r w:rsidRPr="000E70BB">
                              <w:rPr>
                                <w:color w:val="000000" w:themeColor="text1"/>
                                <w:sz w:val="19"/>
                                <w:szCs w:val="19"/>
                                <w:lang w:eastAsia="ja-JP"/>
                              </w:rPr>
                              <w:t>GHG</w:t>
                            </w:r>
                            <w:r w:rsidRPr="000E70BB">
                              <w:rPr>
                                <w:rFonts w:ascii="ＭＳ ゴシック" w:eastAsia="ＭＳ ゴシック" w:hAnsi="ＭＳ ゴシック" w:cs="ＭＳ ゴシック" w:hint="eastAsia"/>
                                <w:color w:val="000000" w:themeColor="text1"/>
                                <w:sz w:val="19"/>
                                <w:szCs w:val="19"/>
                                <w:lang w:eastAsia="ja-JP"/>
                              </w:rPr>
                              <w:t>排出量調査を実施しました。</w:t>
                            </w:r>
                          </w:p>
                          <w:p w14:paraId="18C940DB" w14:textId="45B5F079" w:rsidR="00BA1530" w:rsidRPr="000E70BB" w:rsidRDefault="00BA1530" w:rsidP="00C13E33">
                            <w:pPr>
                              <w:ind w:rightChars="20" w:right="44"/>
                              <w:rPr>
                                <w:rFonts w:ascii="ＭＳ ゴシック" w:eastAsia="ＭＳ ゴシック" w:hAnsi="ＭＳ ゴシック" w:cs="ＭＳ ゴシック"/>
                                <w:color w:val="000000" w:themeColor="text1"/>
                                <w:sz w:val="19"/>
                                <w:szCs w:val="19"/>
                                <w:lang w:eastAsia="ja-JP"/>
                              </w:rPr>
                            </w:pPr>
                            <w:r w:rsidRPr="000E70BB">
                              <w:rPr>
                                <w:color w:val="000000" w:themeColor="text1"/>
                                <w:sz w:val="19"/>
                                <w:szCs w:val="19"/>
                                <w:lang w:eastAsia="ja-JP"/>
                              </w:rPr>
                              <w:t>MORE TH&gt;N®</w:t>
                            </w:r>
                            <w:r w:rsidRPr="000E70BB">
                              <w:rPr>
                                <w:rFonts w:ascii="ＭＳ ゴシック" w:eastAsia="ＭＳ ゴシック" w:hAnsi="ＭＳ ゴシック" w:cs="ＭＳ ゴシック" w:hint="eastAsia"/>
                                <w:color w:val="000000" w:themeColor="text1"/>
                                <w:sz w:val="19"/>
                                <w:szCs w:val="19"/>
                                <w:lang w:eastAsia="ja-JP"/>
                              </w:rPr>
                              <w:t>住宅保険は、建物と家財を損害、損失、盗難から保護する保険です。</w:t>
                            </w:r>
                            <w:r w:rsidR="00C13E33" w:rsidRPr="000E70BB">
                              <w:rPr>
                                <w:color w:val="000000" w:themeColor="text1"/>
                                <w:sz w:val="19"/>
                                <w:szCs w:val="19"/>
                                <w:lang w:eastAsia="ja-JP"/>
                              </w:rPr>
                              <w:t>RSA</w:t>
                            </w:r>
                            <w:r w:rsidRPr="000E70BB">
                              <w:rPr>
                                <w:rFonts w:ascii="ＭＳ ゴシック" w:eastAsia="ＭＳ ゴシック" w:hAnsi="ＭＳ ゴシック" w:cs="ＭＳ ゴシック" w:hint="eastAsia"/>
                                <w:color w:val="000000" w:themeColor="text1"/>
                                <w:sz w:val="19"/>
                                <w:szCs w:val="19"/>
                                <w:lang w:eastAsia="ja-JP"/>
                              </w:rPr>
                              <w:t>は分析単位を</w:t>
                            </w:r>
                            <w:r w:rsidRPr="000E70BB">
                              <w:rPr>
                                <w:color w:val="000000" w:themeColor="text1"/>
                                <w:sz w:val="19"/>
                                <w:szCs w:val="19"/>
                                <w:lang w:eastAsia="ja-JP"/>
                              </w:rPr>
                              <w:t>1</w:t>
                            </w:r>
                            <w:r w:rsidRPr="000E70BB">
                              <w:rPr>
                                <w:rFonts w:ascii="ＭＳ ゴシック" w:eastAsia="ＭＳ ゴシック" w:hAnsi="ＭＳ ゴシック" w:cs="ＭＳ ゴシック" w:hint="eastAsia"/>
                                <w:color w:val="000000" w:themeColor="text1"/>
                                <w:sz w:val="19"/>
                                <w:szCs w:val="19"/>
                                <w:lang w:eastAsia="ja-JP"/>
                              </w:rPr>
                              <w:t>年間の保険契約の提供として定義しました。</w:t>
                            </w:r>
                            <w:r w:rsidRPr="000E70BB">
                              <w:rPr>
                                <w:color w:val="000000" w:themeColor="text1"/>
                                <w:sz w:val="19"/>
                                <w:szCs w:val="19"/>
                                <w:lang w:eastAsia="ja-JP"/>
                              </w:rPr>
                              <w:t>RSA</w:t>
                            </w:r>
                            <w:r w:rsidRPr="000E70BB">
                              <w:rPr>
                                <w:rFonts w:ascii="ＭＳ ゴシック" w:eastAsia="ＭＳ ゴシック" w:hAnsi="ＭＳ ゴシック" w:cs="ＭＳ ゴシック" w:hint="eastAsia"/>
                                <w:color w:val="000000" w:themeColor="text1"/>
                                <w:sz w:val="19"/>
                                <w:szCs w:val="19"/>
                                <w:lang w:eastAsia="ja-JP"/>
                              </w:rPr>
                              <w:t>は、保険のようなサービスには一般的なステージが必要であると考え、以下のライフサイクルステージを報告書に採用しました。</w:t>
                            </w:r>
                          </w:p>
                          <w:p w14:paraId="31E620E3" w14:textId="77777777" w:rsidR="000E70BB" w:rsidRPr="000E70BB" w:rsidRDefault="000E70BB">
                            <w:pPr>
                              <w:pStyle w:val="a5"/>
                              <w:numPr>
                                <w:ilvl w:val="0"/>
                                <w:numId w:val="65"/>
                              </w:numPr>
                              <w:spacing w:before="123" w:line="280" w:lineRule="atLeast"/>
                              <w:rPr>
                                <w:color w:val="545456"/>
                                <w:sz w:val="18"/>
                                <w:lang w:eastAsia="ja-JP"/>
                              </w:rPr>
                            </w:pPr>
                            <w:r w:rsidRPr="000E70BB">
                              <w:rPr>
                                <w:rFonts w:ascii="ＭＳ ゴシック" w:eastAsia="ＭＳ ゴシック" w:hAnsi="ＭＳ ゴシック" w:cs="ＭＳ ゴシック" w:hint="eastAsia"/>
                                <w:color w:val="545456"/>
                                <w:sz w:val="18"/>
                                <w:lang w:eastAsia="ja-JP"/>
                              </w:rPr>
                              <w:t>お客様による見積もり依頼</w:t>
                            </w:r>
                          </w:p>
                          <w:p w14:paraId="64887802" w14:textId="77777777" w:rsidR="000E70BB" w:rsidRPr="000E70BB" w:rsidRDefault="000E70BB">
                            <w:pPr>
                              <w:pStyle w:val="a5"/>
                              <w:numPr>
                                <w:ilvl w:val="0"/>
                                <w:numId w:val="65"/>
                              </w:numPr>
                              <w:spacing w:before="123" w:line="280" w:lineRule="atLeast"/>
                              <w:rPr>
                                <w:color w:val="545456"/>
                                <w:sz w:val="18"/>
                                <w:lang w:eastAsia="ja-JP"/>
                              </w:rPr>
                            </w:pPr>
                            <w:r w:rsidRPr="000E70BB">
                              <w:rPr>
                                <w:color w:val="545456"/>
                                <w:sz w:val="18"/>
                                <w:lang w:eastAsia="ja-JP"/>
                              </w:rPr>
                              <w:t>RSA</w:t>
                            </w:r>
                            <w:r w:rsidRPr="000E70BB">
                              <w:rPr>
                                <w:rFonts w:ascii="ＭＳ ゴシック" w:eastAsia="ＭＳ ゴシック" w:hAnsi="ＭＳ ゴシック" w:cs="ＭＳ ゴシック" w:hint="eastAsia"/>
                                <w:color w:val="545456"/>
                                <w:sz w:val="18"/>
                                <w:lang w:eastAsia="ja-JP"/>
                              </w:rPr>
                              <w:t>による見積りの提示</w:t>
                            </w:r>
                          </w:p>
                          <w:p w14:paraId="6270D2DF" w14:textId="77777777" w:rsidR="000E70BB" w:rsidRPr="000E70BB" w:rsidRDefault="000E70BB">
                            <w:pPr>
                              <w:pStyle w:val="a5"/>
                              <w:numPr>
                                <w:ilvl w:val="0"/>
                                <w:numId w:val="65"/>
                              </w:numPr>
                              <w:spacing w:before="123" w:line="280" w:lineRule="atLeast"/>
                              <w:rPr>
                                <w:color w:val="545456"/>
                                <w:sz w:val="18"/>
                                <w:lang w:eastAsia="ja-JP"/>
                              </w:rPr>
                            </w:pPr>
                            <w:r w:rsidRPr="000E70BB">
                              <w:rPr>
                                <w:color w:val="545456"/>
                                <w:sz w:val="18"/>
                                <w:lang w:eastAsia="ja-JP"/>
                              </w:rPr>
                              <w:t>RSA</w:t>
                            </w:r>
                            <w:r w:rsidRPr="000E70BB">
                              <w:rPr>
                                <w:rFonts w:ascii="ＭＳ ゴシック" w:eastAsia="ＭＳ ゴシック" w:hAnsi="ＭＳ ゴシック" w:cs="ＭＳ ゴシック" w:hint="eastAsia"/>
                                <w:color w:val="545456"/>
                                <w:sz w:val="18"/>
                                <w:lang w:eastAsia="ja-JP"/>
                              </w:rPr>
                              <w:t>による保険契約の設定とその後の変更</w:t>
                            </w:r>
                          </w:p>
                          <w:p w14:paraId="1D568F4E" w14:textId="77777777" w:rsidR="000E70BB" w:rsidRPr="000E70BB" w:rsidRDefault="000E70BB">
                            <w:pPr>
                              <w:pStyle w:val="a5"/>
                              <w:numPr>
                                <w:ilvl w:val="0"/>
                                <w:numId w:val="65"/>
                              </w:numPr>
                              <w:spacing w:before="123" w:line="280" w:lineRule="atLeast"/>
                              <w:rPr>
                                <w:color w:val="545456"/>
                                <w:sz w:val="18"/>
                                <w:lang w:eastAsia="ja-JP"/>
                              </w:rPr>
                            </w:pPr>
                            <w:r w:rsidRPr="000E70BB">
                              <w:rPr>
                                <w:color w:val="545456"/>
                                <w:sz w:val="18"/>
                                <w:lang w:eastAsia="ja-JP"/>
                              </w:rPr>
                              <w:t>RSA</w:t>
                            </w:r>
                            <w:r w:rsidRPr="000E70BB">
                              <w:rPr>
                                <w:rFonts w:ascii="ＭＳ ゴシック" w:eastAsia="ＭＳ ゴシック" w:hAnsi="ＭＳ ゴシック" w:cs="ＭＳ ゴシック" w:hint="eastAsia"/>
                                <w:color w:val="545456"/>
                                <w:sz w:val="18"/>
                                <w:lang w:eastAsia="ja-JP"/>
                              </w:rPr>
                              <w:t>が保険期間中に送信する通信</w:t>
                            </w:r>
                          </w:p>
                          <w:p w14:paraId="1CC45218" w14:textId="1F34B48D" w:rsidR="000E70BB" w:rsidRPr="007B2C03" w:rsidRDefault="000E70BB">
                            <w:pPr>
                              <w:pStyle w:val="a5"/>
                              <w:numPr>
                                <w:ilvl w:val="0"/>
                                <w:numId w:val="65"/>
                              </w:numPr>
                              <w:spacing w:before="123" w:line="280" w:lineRule="atLeast"/>
                              <w:rPr>
                                <w:sz w:val="18"/>
                                <w:lang w:eastAsia="ja-JP"/>
                              </w:rPr>
                            </w:pPr>
                            <w:r w:rsidRPr="000E70BB">
                              <w:rPr>
                                <w:color w:val="545456"/>
                                <w:sz w:val="18"/>
                                <w:lang w:eastAsia="ja-JP"/>
                              </w:rPr>
                              <w:t>RSA</w:t>
                            </w:r>
                            <w:r w:rsidRPr="000E70BB">
                              <w:rPr>
                                <w:rFonts w:ascii="ＭＳ ゴシック" w:eastAsia="ＭＳ ゴシック" w:hAnsi="ＭＳ ゴシック" w:cs="ＭＳ ゴシック" w:hint="eastAsia"/>
                                <w:color w:val="545456"/>
                                <w:sz w:val="18"/>
                                <w:lang w:eastAsia="ja-JP"/>
                              </w:rPr>
                              <w:t>が保険期間中に処理するクレーム</w:t>
                            </w:r>
                            <w:r w:rsidRPr="000E70BB">
                              <w:rPr>
                                <w:color w:val="545456"/>
                                <w:sz w:val="18"/>
                                <w:lang w:eastAsia="ja-JP"/>
                              </w:rPr>
                              <w:t>RSA</w:t>
                            </w:r>
                            <w:r w:rsidRPr="000E70BB">
                              <w:rPr>
                                <w:color w:val="545456"/>
                                <w:spacing w:val="2"/>
                                <w:sz w:val="18"/>
                                <w:lang w:eastAsia="ja-JP"/>
                              </w:rPr>
                              <w:t xml:space="preserve"> </w:t>
                            </w:r>
                          </w:p>
                          <w:p w14:paraId="43FF5432" w14:textId="77777777" w:rsidR="007B2C03" w:rsidRPr="000E70BB" w:rsidRDefault="007B2C03" w:rsidP="007B2C03">
                            <w:pPr>
                              <w:pStyle w:val="a5"/>
                              <w:spacing w:before="123" w:line="280" w:lineRule="atLeast"/>
                              <w:ind w:left="420" w:firstLine="0"/>
                              <w:rPr>
                                <w:sz w:val="18"/>
                                <w:lang w:eastAsia="ja-JP"/>
                              </w:rPr>
                            </w:pPr>
                          </w:p>
                          <w:p w14:paraId="34EAE1D3" w14:textId="7EC9A010" w:rsidR="000E70BB" w:rsidRPr="000E70BB" w:rsidRDefault="000E70BB" w:rsidP="000E70BB">
                            <w:pPr>
                              <w:ind w:firstLineChars="100" w:firstLine="190"/>
                              <w:rPr>
                                <w:color w:val="000000" w:themeColor="text1"/>
                                <w:sz w:val="19"/>
                                <w:szCs w:val="19"/>
                                <w:lang w:eastAsia="ja-JP"/>
                              </w:rPr>
                            </w:pPr>
                            <w:r w:rsidRPr="000E70BB">
                              <w:rPr>
                                <w:rFonts w:ascii="ＭＳ ゴシック" w:eastAsia="ＭＳ ゴシック" w:hAnsi="ＭＳ ゴシック" w:cs="ＭＳ ゴシック" w:hint="eastAsia"/>
                                <w:color w:val="000000" w:themeColor="text1"/>
                                <w:sz w:val="19"/>
                                <w:szCs w:val="19"/>
                                <w:lang w:eastAsia="ja-JP"/>
                              </w:rPr>
                              <w:t>この結果をもとに、保険会社のライフサイクルステージごとにプロセスを分類し、その中で</w:t>
                            </w:r>
                            <w:r w:rsidRPr="000E70BB">
                              <w:rPr>
                                <w:color w:val="000000" w:themeColor="text1"/>
                                <w:sz w:val="19"/>
                                <w:szCs w:val="19"/>
                                <w:lang w:eastAsia="ja-JP"/>
                              </w:rPr>
                              <w:t>GHG</w:t>
                            </w:r>
                            <w:r w:rsidRPr="000E70BB">
                              <w:rPr>
                                <w:rFonts w:ascii="ＭＳ ゴシック" w:eastAsia="ＭＳ ゴシック" w:hAnsi="ＭＳ ゴシック" w:cs="ＭＳ ゴシック" w:hint="eastAsia"/>
                                <w:color w:val="000000" w:themeColor="text1"/>
                                <w:sz w:val="19"/>
                                <w:szCs w:val="19"/>
                                <w:lang w:eastAsia="ja-JP"/>
                              </w:rPr>
                              <w:t>排出量の多いプロセスを特定しました。この結果は、サプライヤーとの</w:t>
                            </w:r>
                            <w:r w:rsidRPr="000E70BB">
                              <w:rPr>
                                <w:color w:val="000000" w:themeColor="text1"/>
                                <w:sz w:val="19"/>
                                <w:szCs w:val="19"/>
                                <w:lang w:eastAsia="ja-JP"/>
                              </w:rPr>
                              <w:t>GHG</w:t>
                            </w:r>
                            <w:r w:rsidRPr="000E70BB">
                              <w:rPr>
                                <w:rFonts w:ascii="ＭＳ ゴシック" w:eastAsia="ＭＳ ゴシック" w:hAnsi="ＭＳ ゴシック" w:cs="ＭＳ ゴシック" w:hint="eastAsia"/>
                                <w:color w:val="000000" w:themeColor="text1"/>
                                <w:sz w:val="19"/>
                                <w:szCs w:val="19"/>
                                <w:lang w:eastAsia="ja-JP"/>
                              </w:rPr>
                              <w:t>排出量削減活動の基礎となります。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368C1D9C" id="正方形/長方形 74" o:spid="_x0000_s1056" style="position:absolute;left:0;text-align:left;margin-left:36pt;margin-top:12.4pt;width:245pt;height:354pt;z-index:25145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" fillcolor="#f2f2f2 [3052]" stroked="f" strokeweight="2pt">
                <v:textbox>
                  <w:txbxContent>
                    <w:p w14:paraId="08C662DB" w14:textId="77777777" w:rsidR="00BA1530" w:rsidRPr="000E70BB" w:rsidRDefault="00BA1530" w:rsidP="00C13E33">
                      <w:pPr>
                        <w:ind w:rightChars="1115" w:right="2453" w:firstLineChars="100" w:firstLine="190"/>
                        <w:rPr>
                          <w:color w:val="000000" w:themeColor="text1"/>
                          <w:sz w:val="19"/>
                          <w:szCs w:val="19"/>
                          <w:lang w:eastAsia="ja-JP"/>
                        </w:rPr>
                      </w:pPr>
                      <w:r w:rsidRPr="000E70BB">
                        <w:rPr>
                          <w:rFonts w:ascii="ＭＳ ゴシック" w:eastAsia="ＭＳ ゴシック" w:hAnsi="ＭＳ ゴシック" w:cs="ＭＳ ゴシック" w:hint="eastAsia"/>
                          <w:color w:val="000000" w:themeColor="text1"/>
                          <w:sz w:val="19"/>
                          <w:szCs w:val="19"/>
                          <w:lang w:eastAsia="ja-JP"/>
                        </w:rPr>
                        <w:t>世界有数の多国籍保険グループである</w:t>
                      </w:r>
                      <w:r w:rsidRPr="000E70BB">
                        <w:rPr>
                          <w:color w:val="000000" w:themeColor="text1"/>
                          <w:sz w:val="19"/>
                          <w:szCs w:val="19"/>
                          <w:lang w:eastAsia="ja-JP"/>
                        </w:rPr>
                        <w:t>RSA</w:t>
                      </w:r>
                      <w:r w:rsidRPr="000E70BB">
                        <w:rPr>
                          <w:rFonts w:ascii="ＭＳ ゴシック" w:eastAsia="ＭＳ ゴシック" w:hAnsi="ＭＳ ゴシック" w:cs="ＭＳ ゴシック" w:hint="eastAsia"/>
                          <w:color w:val="000000" w:themeColor="text1"/>
                          <w:sz w:val="19"/>
                          <w:szCs w:val="19"/>
                          <w:lang w:eastAsia="ja-JP"/>
                        </w:rPr>
                        <w:t>は、</w:t>
                      </w:r>
                      <w:r w:rsidRPr="000E70BB">
                        <w:rPr>
                          <w:color w:val="000000" w:themeColor="text1"/>
                          <w:sz w:val="19"/>
                          <w:szCs w:val="19"/>
                          <w:lang w:eastAsia="ja-JP"/>
                        </w:rPr>
                        <w:t>130</w:t>
                      </w:r>
                      <w:r w:rsidRPr="000E70BB">
                        <w:rPr>
                          <w:rFonts w:ascii="ＭＳ ゴシック" w:eastAsia="ＭＳ ゴシック" w:hAnsi="ＭＳ ゴシック" w:cs="ＭＳ ゴシック" w:hint="eastAsia"/>
                          <w:color w:val="000000" w:themeColor="text1"/>
                          <w:sz w:val="19"/>
                          <w:szCs w:val="19"/>
                          <w:lang w:eastAsia="ja-JP"/>
                        </w:rPr>
                        <w:t>カ国以上でサービスを提供しています。</w:t>
                      </w:r>
                    </w:p>
                    <w:p w14:paraId="6FD72F04" w14:textId="77777777" w:rsidR="007B2C03" w:rsidRDefault="00BA1530" w:rsidP="007B2C03">
                      <w:pPr>
                        <w:ind w:rightChars="1050" w:right="2310"/>
                        <w:rPr>
                          <w:rFonts w:ascii="ＭＳ ゴシック" w:eastAsia="ＭＳ ゴシック" w:hAnsi="ＭＳ ゴシック" w:cs="ＭＳ ゴシック"/>
                          <w:color w:val="000000" w:themeColor="text1"/>
                          <w:sz w:val="19"/>
                          <w:szCs w:val="19"/>
                          <w:lang w:eastAsia="ja-JP"/>
                        </w:rPr>
                      </w:pPr>
                      <w:r w:rsidRPr="000E70BB">
                        <w:rPr>
                          <w:color w:val="000000" w:themeColor="text1"/>
                          <w:sz w:val="19"/>
                          <w:szCs w:val="19"/>
                          <w:lang w:eastAsia="ja-JP"/>
                        </w:rPr>
                        <w:t>RSA</w:t>
                      </w:r>
                      <w:r w:rsidRPr="000E70BB">
                        <w:rPr>
                          <w:rFonts w:ascii="ＭＳ ゴシック" w:eastAsia="ＭＳ ゴシック" w:hAnsi="ＭＳ ゴシック" w:cs="ＭＳ ゴシック" w:hint="eastAsia"/>
                          <w:color w:val="000000" w:themeColor="text1"/>
                          <w:sz w:val="19"/>
                          <w:szCs w:val="19"/>
                          <w:lang w:eastAsia="ja-JP"/>
                        </w:rPr>
                        <w:t>は、同社の住宅保険「</w:t>
                      </w:r>
                      <w:r w:rsidRPr="000E70BB">
                        <w:rPr>
                          <w:color w:val="000000" w:themeColor="text1"/>
                          <w:sz w:val="19"/>
                          <w:szCs w:val="19"/>
                          <w:lang w:eastAsia="ja-JP"/>
                        </w:rPr>
                        <w:t>MORE TH&gt;N®</w:t>
                      </w:r>
                      <w:r w:rsidRPr="000E70BB">
                        <w:rPr>
                          <w:rFonts w:ascii="ＭＳ ゴシック" w:eastAsia="ＭＳ ゴシック" w:hAnsi="ＭＳ ゴシック" w:cs="ＭＳ ゴシック" w:hint="eastAsia"/>
                          <w:color w:val="000000" w:themeColor="text1"/>
                          <w:sz w:val="19"/>
                          <w:szCs w:val="19"/>
                          <w:lang w:eastAsia="ja-JP"/>
                        </w:rPr>
                        <w:t>」を対象に</w:t>
                      </w:r>
                      <w:r w:rsidRPr="000E70BB">
                        <w:rPr>
                          <w:color w:val="000000" w:themeColor="text1"/>
                          <w:sz w:val="19"/>
                          <w:szCs w:val="19"/>
                          <w:lang w:eastAsia="ja-JP"/>
                        </w:rPr>
                        <w:t>GHG</w:t>
                      </w:r>
                      <w:r w:rsidRPr="000E70BB">
                        <w:rPr>
                          <w:rFonts w:ascii="ＭＳ ゴシック" w:eastAsia="ＭＳ ゴシック" w:hAnsi="ＭＳ ゴシック" w:cs="ＭＳ ゴシック" w:hint="eastAsia"/>
                          <w:color w:val="000000" w:themeColor="text1"/>
                          <w:sz w:val="19"/>
                          <w:szCs w:val="19"/>
                          <w:lang w:eastAsia="ja-JP"/>
                        </w:rPr>
                        <w:t>排出量調査を実施しました。</w:t>
                      </w:r>
                    </w:p>
                    <w:p w14:paraId="18C940DB" w14:textId="45B5F079" w:rsidR="00BA1530" w:rsidRPr="000E70BB" w:rsidRDefault="00BA1530" w:rsidP="00C13E33">
                      <w:pPr>
                        <w:ind w:rightChars="20" w:right="44"/>
                        <w:rPr>
                          <w:rFonts w:ascii="ＭＳ ゴシック" w:eastAsia="ＭＳ ゴシック" w:hAnsi="ＭＳ ゴシック" w:cs="ＭＳ ゴシック"/>
                          <w:color w:val="000000" w:themeColor="text1"/>
                          <w:sz w:val="19"/>
                          <w:szCs w:val="19"/>
                          <w:lang w:eastAsia="ja-JP"/>
                        </w:rPr>
                      </w:pPr>
                      <w:r w:rsidRPr="000E70BB">
                        <w:rPr>
                          <w:color w:val="000000" w:themeColor="text1"/>
                          <w:sz w:val="19"/>
                          <w:szCs w:val="19"/>
                          <w:lang w:eastAsia="ja-JP"/>
                        </w:rPr>
                        <w:t>MORE TH&gt;N®</w:t>
                      </w:r>
                      <w:r w:rsidRPr="000E70BB">
                        <w:rPr>
                          <w:rFonts w:ascii="ＭＳ ゴシック" w:eastAsia="ＭＳ ゴシック" w:hAnsi="ＭＳ ゴシック" w:cs="ＭＳ ゴシック" w:hint="eastAsia"/>
                          <w:color w:val="000000" w:themeColor="text1"/>
                          <w:sz w:val="19"/>
                          <w:szCs w:val="19"/>
                          <w:lang w:eastAsia="ja-JP"/>
                        </w:rPr>
                        <w:t>住宅保険は、建物と家財を損害、損失、盗難から保護する保険です。</w:t>
                      </w:r>
                      <w:r w:rsidR="00C13E33" w:rsidRPr="000E70BB">
                        <w:rPr>
                          <w:color w:val="000000" w:themeColor="text1"/>
                          <w:sz w:val="19"/>
                          <w:szCs w:val="19"/>
                          <w:lang w:eastAsia="ja-JP"/>
                        </w:rPr>
                        <w:t>RSA</w:t>
                      </w:r>
                      <w:r w:rsidRPr="000E70BB">
                        <w:rPr>
                          <w:rFonts w:ascii="ＭＳ ゴシック" w:eastAsia="ＭＳ ゴシック" w:hAnsi="ＭＳ ゴシック" w:cs="ＭＳ ゴシック" w:hint="eastAsia"/>
                          <w:color w:val="000000" w:themeColor="text1"/>
                          <w:sz w:val="19"/>
                          <w:szCs w:val="19"/>
                          <w:lang w:eastAsia="ja-JP"/>
                        </w:rPr>
                        <w:t>は分析単位を</w:t>
                      </w:r>
                      <w:r w:rsidRPr="000E70BB">
                        <w:rPr>
                          <w:color w:val="000000" w:themeColor="text1"/>
                          <w:sz w:val="19"/>
                          <w:szCs w:val="19"/>
                          <w:lang w:eastAsia="ja-JP"/>
                        </w:rPr>
                        <w:t>1</w:t>
                      </w:r>
                      <w:r w:rsidRPr="000E70BB">
                        <w:rPr>
                          <w:rFonts w:ascii="ＭＳ ゴシック" w:eastAsia="ＭＳ ゴシック" w:hAnsi="ＭＳ ゴシック" w:cs="ＭＳ ゴシック" w:hint="eastAsia"/>
                          <w:color w:val="000000" w:themeColor="text1"/>
                          <w:sz w:val="19"/>
                          <w:szCs w:val="19"/>
                          <w:lang w:eastAsia="ja-JP"/>
                        </w:rPr>
                        <w:t>年間の保険契約の提供として定義しました。</w:t>
                      </w:r>
                      <w:r w:rsidRPr="000E70BB">
                        <w:rPr>
                          <w:color w:val="000000" w:themeColor="text1"/>
                          <w:sz w:val="19"/>
                          <w:szCs w:val="19"/>
                          <w:lang w:eastAsia="ja-JP"/>
                        </w:rPr>
                        <w:t>RSA</w:t>
                      </w:r>
                      <w:r w:rsidRPr="000E70BB">
                        <w:rPr>
                          <w:rFonts w:ascii="ＭＳ ゴシック" w:eastAsia="ＭＳ ゴシック" w:hAnsi="ＭＳ ゴシック" w:cs="ＭＳ ゴシック" w:hint="eastAsia"/>
                          <w:color w:val="000000" w:themeColor="text1"/>
                          <w:sz w:val="19"/>
                          <w:szCs w:val="19"/>
                          <w:lang w:eastAsia="ja-JP"/>
                        </w:rPr>
                        <w:t>は、保険のようなサービスには一般的なステージが必要であると考え、以下のライフサイクルステージを報告書に採用しました。</w:t>
                      </w:r>
                    </w:p>
                    <w:p w14:paraId="31E620E3" w14:textId="77777777" w:rsidR="000E70BB" w:rsidRPr="000E70BB" w:rsidRDefault="000E70BB">
                      <w:pPr>
                        <w:pStyle w:val="a5"/>
                        <w:numPr>
                          <w:ilvl w:val="0"/>
                          <w:numId w:val="65"/>
                        </w:numPr>
                        <w:spacing w:before="123" w:line="280" w:lineRule="atLeast"/>
                        <w:rPr>
                          <w:color w:val="545456"/>
                          <w:sz w:val="18"/>
                          <w:lang w:eastAsia="ja-JP"/>
                        </w:rPr>
                      </w:pPr>
                      <w:r w:rsidRPr="000E70BB">
                        <w:rPr>
                          <w:rFonts w:ascii="ＭＳ ゴシック" w:eastAsia="ＭＳ ゴシック" w:hAnsi="ＭＳ ゴシック" w:cs="ＭＳ ゴシック" w:hint="eastAsia"/>
                          <w:color w:val="545456"/>
                          <w:sz w:val="18"/>
                          <w:lang w:eastAsia="ja-JP"/>
                        </w:rPr>
                        <w:t>お客様による見積もり依頼</w:t>
                      </w:r>
                    </w:p>
                    <w:p w14:paraId="64887802" w14:textId="77777777" w:rsidR="000E70BB" w:rsidRPr="000E70BB" w:rsidRDefault="000E70BB">
                      <w:pPr>
                        <w:pStyle w:val="a5"/>
                        <w:numPr>
                          <w:ilvl w:val="0"/>
                          <w:numId w:val="65"/>
                        </w:numPr>
                        <w:spacing w:before="123" w:line="280" w:lineRule="atLeast"/>
                        <w:rPr>
                          <w:color w:val="545456"/>
                          <w:sz w:val="18"/>
                          <w:lang w:eastAsia="ja-JP"/>
                        </w:rPr>
                      </w:pPr>
                      <w:r w:rsidRPr="000E70BB">
                        <w:rPr>
                          <w:color w:val="545456"/>
                          <w:sz w:val="18"/>
                          <w:lang w:eastAsia="ja-JP"/>
                        </w:rPr>
                        <w:t>RSA</w:t>
                      </w:r>
                      <w:r w:rsidRPr="000E70BB">
                        <w:rPr>
                          <w:rFonts w:ascii="ＭＳ ゴシック" w:eastAsia="ＭＳ ゴシック" w:hAnsi="ＭＳ ゴシック" w:cs="ＭＳ ゴシック" w:hint="eastAsia"/>
                          <w:color w:val="545456"/>
                          <w:sz w:val="18"/>
                          <w:lang w:eastAsia="ja-JP"/>
                        </w:rPr>
                        <w:t>による見積りの提示</w:t>
                      </w:r>
                    </w:p>
                    <w:p w14:paraId="6270D2DF" w14:textId="77777777" w:rsidR="000E70BB" w:rsidRPr="000E70BB" w:rsidRDefault="000E70BB">
                      <w:pPr>
                        <w:pStyle w:val="a5"/>
                        <w:numPr>
                          <w:ilvl w:val="0"/>
                          <w:numId w:val="65"/>
                        </w:numPr>
                        <w:spacing w:before="123" w:line="280" w:lineRule="atLeast"/>
                        <w:rPr>
                          <w:color w:val="545456"/>
                          <w:sz w:val="18"/>
                          <w:lang w:eastAsia="ja-JP"/>
                        </w:rPr>
                      </w:pPr>
                      <w:r w:rsidRPr="000E70BB">
                        <w:rPr>
                          <w:color w:val="545456"/>
                          <w:sz w:val="18"/>
                          <w:lang w:eastAsia="ja-JP"/>
                        </w:rPr>
                        <w:t>RSA</w:t>
                      </w:r>
                      <w:r w:rsidRPr="000E70BB">
                        <w:rPr>
                          <w:rFonts w:ascii="ＭＳ ゴシック" w:eastAsia="ＭＳ ゴシック" w:hAnsi="ＭＳ ゴシック" w:cs="ＭＳ ゴシック" w:hint="eastAsia"/>
                          <w:color w:val="545456"/>
                          <w:sz w:val="18"/>
                          <w:lang w:eastAsia="ja-JP"/>
                        </w:rPr>
                        <w:t>による保険契約の設定とその後の変更</w:t>
                      </w:r>
                    </w:p>
                    <w:p w14:paraId="1D568F4E" w14:textId="77777777" w:rsidR="000E70BB" w:rsidRPr="000E70BB" w:rsidRDefault="000E70BB">
                      <w:pPr>
                        <w:pStyle w:val="a5"/>
                        <w:numPr>
                          <w:ilvl w:val="0"/>
                          <w:numId w:val="65"/>
                        </w:numPr>
                        <w:spacing w:before="123" w:line="280" w:lineRule="atLeast"/>
                        <w:rPr>
                          <w:color w:val="545456"/>
                          <w:sz w:val="18"/>
                          <w:lang w:eastAsia="ja-JP"/>
                        </w:rPr>
                      </w:pPr>
                      <w:r w:rsidRPr="000E70BB">
                        <w:rPr>
                          <w:color w:val="545456"/>
                          <w:sz w:val="18"/>
                          <w:lang w:eastAsia="ja-JP"/>
                        </w:rPr>
                        <w:t>RSA</w:t>
                      </w:r>
                      <w:r w:rsidRPr="000E70BB">
                        <w:rPr>
                          <w:rFonts w:ascii="ＭＳ ゴシック" w:eastAsia="ＭＳ ゴシック" w:hAnsi="ＭＳ ゴシック" w:cs="ＭＳ ゴシック" w:hint="eastAsia"/>
                          <w:color w:val="545456"/>
                          <w:sz w:val="18"/>
                          <w:lang w:eastAsia="ja-JP"/>
                        </w:rPr>
                        <w:t>が保険期間中に送信する通信</w:t>
                      </w:r>
                    </w:p>
                    <w:p w14:paraId="1CC45218" w14:textId="1F34B48D" w:rsidR="000E70BB" w:rsidRPr="007B2C03" w:rsidRDefault="000E70BB">
                      <w:pPr>
                        <w:pStyle w:val="a5"/>
                        <w:numPr>
                          <w:ilvl w:val="0"/>
                          <w:numId w:val="65"/>
                        </w:numPr>
                        <w:spacing w:before="123" w:line="280" w:lineRule="atLeast"/>
                        <w:rPr>
                          <w:sz w:val="18"/>
                          <w:lang w:eastAsia="ja-JP"/>
                        </w:rPr>
                      </w:pPr>
                      <w:r w:rsidRPr="000E70BB">
                        <w:rPr>
                          <w:color w:val="545456"/>
                          <w:sz w:val="18"/>
                          <w:lang w:eastAsia="ja-JP"/>
                        </w:rPr>
                        <w:t>RSA</w:t>
                      </w:r>
                      <w:r w:rsidRPr="000E70BB">
                        <w:rPr>
                          <w:rFonts w:ascii="ＭＳ ゴシック" w:eastAsia="ＭＳ ゴシック" w:hAnsi="ＭＳ ゴシック" w:cs="ＭＳ ゴシック" w:hint="eastAsia"/>
                          <w:color w:val="545456"/>
                          <w:sz w:val="18"/>
                          <w:lang w:eastAsia="ja-JP"/>
                        </w:rPr>
                        <w:t>が保険期間中に処理するクレーム</w:t>
                      </w:r>
                      <w:r w:rsidRPr="000E70BB">
                        <w:rPr>
                          <w:color w:val="545456"/>
                          <w:sz w:val="18"/>
                          <w:lang w:eastAsia="ja-JP"/>
                        </w:rPr>
                        <w:t>RSA</w:t>
                      </w:r>
                      <w:r w:rsidRPr="000E70BB">
                        <w:rPr>
                          <w:color w:val="545456"/>
                          <w:spacing w:val="2"/>
                          <w:sz w:val="18"/>
                          <w:lang w:eastAsia="ja-JP"/>
                        </w:rPr>
                        <w:t xml:space="preserve"> </w:t>
                      </w:r>
                    </w:p>
                    <w:p w14:paraId="43FF5432" w14:textId="77777777" w:rsidR="007B2C03" w:rsidRPr="000E70BB" w:rsidRDefault="007B2C03" w:rsidP="007B2C03">
                      <w:pPr>
                        <w:pStyle w:val="a5"/>
                        <w:spacing w:before="123" w:line="280" w:lineRule="atLeast"/>
                        <w:ind w:left="420" w:firstLine="0"/>
                        <w:rPr>
                          <w:sz w:val="18"/>
                          <w:lang w:eastAsia="ja-JP"/>
                        </w:rPr>
                      </w:pPr>
                    </w:p>
                    <w:p w14:paraId="34EAE1D3" w14:textId="7EC9A010" w:rsidR="000E70BB" w:rsidRPr="000E70BB" w:rsidRDefault="000E70BB" w:rsidP="000E70BB">
                      <w:pPr>
                        <w:ind w:firstLineChars="100" w:firstLine="190"/>
                        <w:rPr>
                          <w:color w:val="000000" w:themeColor="text1"/>
                          <w:sz w:val="19"/>
                          <w:szCs w:val="19"/>
                          <w:lang w:eastAsia="ja-JP"/>
                        </w:rPr>
                      </w:pPr>
                      <w:r w:rsidRPr="000E70BB">
                        <w:rPr>
                          <w:rFonts w:ascii="ＭＳ ゴシック" w:eastAsia="ＭＳ ゴシック" w:hAnsi="ＭＳ ゴシック" w:cs="ＭＳ ゴシック" w:hint="eastAsia"/>
                          <w:color w:val="000000" w:themeColor="text1"/>
                          <w:sz w:val="19"/>
                          <w:szCs w:val="19"/>
                          <w:lang w:eastAsia="ja-JP"/>
                        </w:rPr>
                        <w:t>この結果をもとに、保険会社のライフサイクルステージごとにプロセスを分類し、その中で</w:t>
                      </w:r>
                      <w:r w:rsidRPr="000E70BB">
                        <w:rPr>
                          <w:color w:val="000000" w:themeColor="text1"/>
                          <w:sz w:val="19"/>
                          <w:szCs w:val="19"/>
                          <w:lang w:eastAsia="ja-JP"/>
                        </w:rPr>
                        <w:t>GHG</w:t>
                      </w:r>
                      <w:r w:rsidRPr="000E70BB">
                        <w:rPr>
                          <w:rFonts w:ascii="ＭＳ ゴシック" w:eastAsia="ＭＳ ゴシック" w:hAnsi="ＭＳ ゴシック" w:cs="ＭＳ ゴシック" w:hint="eastAsia"/>
                          <w:color w:val="000000" w:themeColor="text1"/>
                          <w:sz w:val="19"/>
                          <w:szCs w:val="19"/>
                          <w:lang w:eastAsia="ja-JP"/>
                        </w:rPr>
                        <w:t>排出量の多いプロセスを特定しました。この結果は、サプライヤーとの</w:t>
                      </w:r>
                      <w:r w:rsidRPr="000E70BB">
                        <w:rPr>
                          <w:color w:val="000000" w:themeColor="text1"/>
                          <w:sz w:val="19"/>
                          <w:szCs w:val="19"/>
                          <w:lang w:eastAsia="ja-JP"/>
                        </w:rPr>
                        <w:t>GHG</w:t>
                      </w:r>
                      <w:r w:rsidRPr="000E70BB">
                        <w:rPr>
                          <w:rFonts w:ascii="ＭＳ ゴシック" w:eastAsia="ＭＳ ゴシック" w:hAnsi="ＭＳ ゴシック" w:cs="ＭＳ ゴシック" w:hint="eastAsia"/>
                          <w:color w:val="000000" w:themeColor="text1"/>
                          <w:sz w:val="19"/>
                          <w:szCs w:val="19"/>
                          <w:lang w:eastAsia="ja-JP"/>
                        </w:rPr>
                        <w:t>排出量削減活動の基礎となります。</w:t>
                      </w:r>
                    </w:p>
                  </w:txbxContent>
                </v:textbox>
              </v:rect>
            </w:pict>
          </mc:Fallback>
        </mc:AlternateContent>
      </w:r>
    </w:p>
    <w:p w14:paraId="74AACA3D" w14:textId="405734F8" w:rsidR="0055291C" w:rsidRPr="00BA0839" w:rsidRDefault="007B2C03" w:rsidP="00BA0839">
      <w:pPr>
        <w:pStyle w:val="a3"/>
        <w:spacing w:before="103"/>
        <w:ind w:left="6300" w:right="1209" w:firstLineChars="100" w:firstLine="200"/>
        <w:rPr>
          <w:rFonts w:ascii="ＭＳ ゴシック" w:eastAsia="ＭＳ ゴシック" w:hAnsi="ＭＳ ゴシック"/>
          <w:lang w:eastAsia="ja-JP"/>
        </w:rPr>
      </w:pPr>
      <w:r>
        <w:rPr>
          <w:noProof/>
          <w:sz w:val="20"/>
        </w:rPr>
        <mc:AlternateContent>
          <mc:Choice Requires="wps">
            <w:drawing>
              <wp:anchor distT="0" distB="0" distL="114300" distR="114300" simplePos="0" relativeHeight="251461120" behindDoc="0" locked="0" layoutInCell="1" allowOverlap="1" wp14:anchorId="254F4123" wp14:editId="5F1D3F19">
                <wp:simplePos x="0" y="0"/>
                <wp:positionH relativeFrom="column">
                  <wp:posOffset>1968500</wp:posOffset>
                </wp:positionH>
                <wp:positionV relativeFrom="paragraph">
                  <wp:posOffset>206375</wp:posOffset>
                </wp:positionV>
                <wp:extent cx="1657350" cy="857250"/>
                <wp:effectExtent l="0" t="0" r="0" b="0"/>
                <wp:wrapSquare wrapText="bothSides"/>
                <wp:docPr id="80" name="テキスト ボックス 80"/>
                <wp:cNvGraphicFramePr/>
                <a:graphic xmlns:a="http://schemas.openxmlformats.org/drawingml/2006/main">
                  <a:graphicData uri="http://schemas.microsoft.com/office/word/2010/wordprocessingShape">
                    <wps:wsp>
                      <wps:cNvSpPr txBox="1"/>
                      <wps:spPr>
                        <a:xfrm>
                          <a:off x="0" y="0"/>
                          <a:ext cx="1657350" cy="857250"/>
                        </a:xfrm>
                        <a:prstGeom prst="rect">
                          <a:avLst/>
                        </a:prstGeom>
                        <a:noFill/>
                        <a:ln w="6350">
                          <a:noFill/>
                        </a:ln>
                      </wps:spPr>
                      <wps:txbx>
                        <w:txbxContent>
                          <w:p w14:paraId="31D7FE83" w14:textId="77777777" w:rsidR="00C13E33" w:rsidRDefault="00C13E33">
                            <w:pPr>
                              <w:rPr>
                                <w:rFonts w:ascii="ＭＳ ゴシック" w:eastAsia="ＭＳ ゴシック" w:hAnsi="ＭＳ ゴシック" w:cs="ＭＳ ゴシック"/>
                                <w:color w:val="00ACA1"/>
                                <w:lang w:eastAsia="ja-JP"/>
                              </w:rPr>
                            </w:pPr>
                            <w:r w:rsidRPr="00C13E33">
                              <w:rPr>
                                <w:rFonts w:ascii="ＭＳ ゴシック" w:eastAsia="ＭＳ ゴシック" w:hAnsi="ＭＳ ゴシック" w:cs="ＭＳ ゴシック" w:hint="eastAsia"/>
                                <w:color w:val="00ACA1"/>
                                <w:lang w:eastAsia="ja-JP"/>
                              </w:rPr>
                              <w:t>この結果をもとに、</w:t>
                            </w:r>
                          </w:p>
                          <w:p w14:paraId="5FDBB213" w14:textId="77777777" w:rsidR="00C13E33" w:rsidRDefault="00C13E33">
                            <w:pPr>
                              <w:rPr>
                                <w:rFonts w:ascii="ＭＳ ゴシック" w:eastAsia="ＭＳ ゴシック" w:hAnsi="ＭＳ ゴシック" w:cs="ＭＳ ゴシック"/>
                                <w:color w:val="00ACA1"/>
                                <w:lang w:eastAsia="ja-JP"/>
                              </w:rPr>
                            </w:pPr>
                            <w:r w:rsidRPr="00C13E33">
                              <w:rPr>
                                <w:rFonts w:ascii="ＭＳ ゴシック" w:eastAsia="ＭＳ ゴシック" w:hAnsi="ＭＳ ゴシック" w:cs="ＭＳ ゴシック" w:hint="eastAsia"/>
                                <w:color w:val="00ACA1"/>
                                <w:lang w:eastAsia="ja-JP"/>
                              </w:rPr>
                              <w:t>保険業務の中で重要な</w:t>
                            </w:r>
                            <w:r w:rsidRPr="00C13E33">
                              <w:rPr>
                                <w:color w:val="00ACA1"/>
                                <w:lang w:eastAsia="ja-JP"/>
                              </w:rPr>
                              <w:t>GHG</w:t>
                            </w:r>
                            <w:r w:rsidRPr="00C13E33">
                              <w:rPr>
                                <w:rFonts w:ascii="ＭＳ ゴシック" w:eastAsia="ＭＳ ゴシック" w:hAnsi="ＭＳ ゴシック" w:cs="ＭＳ ゴシック" w:hint="eastAsia"/>
                                <w:color w:val="00ACA1"/>
                                <w:lang w:eastAsia="ja-JP"/>
                              </w:rPr>
                              <w:t>排出が発生する</w:t>
                            </w:r>
                          </w:p>
                          <w:p w14:paraId="69938743" w14:textId="464BAA93" w:rsidR="00C13E33" w:rsidRPr="00C13E33" w:rsidRDefault="00C13E33">
                            <w:pPr>
                              <w:rPr>
                                <w:color w:val="00ACA1"/>
                                <w:lang w:eastAsia="ja-JP"/>
                              </w:rPr>
                            </w:pPr>
                            <w:r w:rsidRPr="00C13E33">
                              <w:rPr>
                                <w:rFonts w:ascii="ＭＳ ゴシック" w:eastAsia="ＭＳ ゴシック" w:hAnsi="ＭＳ ゴシック" w:cs="ＭＳ ゴシック" w:hint="eastAsia"/>
                                <w:color w:val="00ACA1"/>
                                <w:lang w:eastAsia="ja-JP"/>
                              </w:rPr>
                              <w:t>箇所を特定しました。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F4123" id="テキスト ボックス 80" o:spid="_x0000_s1057" type="#_x0000_t202" style="position:absolute;left:0;text-align:left;margin-left:155pt;margin-top:16.25pt;width:130.5pt;height:67.5pt;z-index:2514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" filled="f" stroked="f" strokeweight=".5pt">
                <v:textbox>
                  <w:txbxContent>
                    <w:p w14:paraId="31D7FE83" w14:textId="77777777" w:rsidR="00C13E33" w:rsidRDefault="00C13E33">
                      <w:pPr>
                        <w:rPr>
                          <w:rFonts w:ascii="ＭＳ ゴシック" w:eastAsia="ＭＳ ゴシック" w:hAnsi="ＭＳ ゴシック" w:cs="ＭＳ ゴシック"/>
                          <w:color w:val="00ACA1"/>
                          <w:lang w:eastAsia="ja-JP"/>
                        </w:rPr>
                      </w:pPr>
                      <w:r w:rsidRPr="00C13E33">
                        <w:rPr>
                          <w:rFonts w:ascii="ＭＳ ゴシック" w:eastAsia="ＭＳ ゴシック" w:hAnsi="ＭＳ ゴシック" w:cs="ＭＳ ゴシック" w:hint="eastAsia"/>
                          <w:color w:val="00ACA1"/>
                          <w:lang w:eastAsia="ja-JP"/>
                        </w:rPr>
                        <w:t>この結果をもとに、</w:t>
                      </w:r>
                    </w:p>
                    <w:p w14:paraId="5FDBB213" w14:textId="77777777" w:rsidR="00C13E33" w:rsidRDefault="00C13E33">
                      <w:pPr>
                        <w:rPr>
                          <w:rFonts w:ascii="ＭＳ ゴシック" w:eastAsia="ＭＳ ゴシック" w:hAnsi="ＭＳ ゴシック" w:cs="ＭＳ ゴシック"/>
                          <w:color w:val="00ACA1"/>
                          <w:lang w:eastAsia="ja-JP"/>
                        </w:rPr>
                      </w:pPr>
                      <w:r w:rsidRPr="00C13E33">
                        <w:rPr>
                          <w:rFonts w:ascii="ＭＳ ゴシック" w:eastAsia="ＭＳ ゴシック" w:hAnsi="ＭＳ ゴシック" w:cs="ＭＳ ゴシック" w:hint="eastAsia"/>
                          <w:color w:val="00ACA1"/>
                          <w:lang w:eastAsia="ja-JP"/>
                        </w:rPr>
                        <w:t>保険業務の中で重要な</w:t>
                      </w:r>
                      <w:r w:rsidRPr="00C13E33">
                        <w:rPr>
                          <w:color w:val="00ACA1"/>
                          <w:lang w:eastAsia="ja-JP"/>
                        </w:rPr>
                        <w:t>GHG</w:t>
                      </w:r>
                      <w:r w:rsidRPr="00C13E33">
                        <w:rPr>
                          <w:rFonts w:ascii="ＭＳ ゴシック" w:eastAsia="ＭＳ ゴシック" w:hAnsi="ＭＳ ゴシック" w:cs="ＭＳ ゴシック" w:hint="eastAsia"/>
                          <w:color w:val="00ACA1"/>
                          <w:lang w:eastAsia="ja-JP"/>
                        </w:rPr>
                        <w:t>排出が発生する</w:t>
                      </w:r>
                    </w:p>
                    <w:p w14:paraId="69938743" w14:textId="464BAA93" w:rsidR="00C13E33" w:rsidRPr="00C13E33" w:rsidRDefault="00C13E33">
                      <w:pPr>
                        <w:rPr>
                          <w:color w:val="00ACA1"/>
                          <w:lang w:eastAsia="ja-JP"/>
                        </w:rPr>
                      </w:pPr>
                      <w:r w:rsidRPr="00C13E33">
                        <w:rPr>
                          <w:rFonts w:ascii="ＭＳ ゴシック" w:eastAsia="ＭＳ ゴシック" w:hAnsi="ＭＳ ゴシック" w:cs="ＭＳ ゴシック" w:hint="eastAsia"/>
                          <w:color w:val="00ACA1"/>
                          <w:lang w:eastAsia="ja-JP"/>
                        </w:rPr>
                        <w:t>箇所を特定しました。</w:t>
                      </w:r>
                    </w:p>
                  </w:txbxContent>
                </v:textbox>
                <w10:wrap type="square"/>
              </v:shape>
            </w:pict>
          </mc:Fallback>
        </mc:AlternateContent>
      </w:r>
      <w:r w:rsidR="00000000">
        <w:pict w14:anchorId="4359384F">
          <v:shape id="docshape562" o:spid="_x0000_s3234" type="#_x0000_t202" style="position:absolute;left:0;text-align:left;margin-left:585.65pt;margin-top:-53.15pt;width:17.7pt;height:180.55pt;z-index:251574784;mso-position-horizontal-relative:page;mso-position-vertical-relative:text" filled="f" stroked="f">
            <v:textbox style="layout-flow:vertical;mso-layout-flow-alt:bottom-to-top;mso-next-textbox:#docshape562" inset="0,0,0,0">
              <w:txbxContent>
                <w:p w14:paraId="3A549015" w14:textId="77777777" w:rsidR="0055291C" w:rsidRDefault="00F23C61">
                  <w:pPr>
                    <w:spacing w:before="18"/>
                    <w:ind w:left="20"/>
                    <w:rPr>
                      <w:rFonts w:ascii="Arial"/>
                      <w:b/>
                      <w:i/>
                      <w:sz w:val="28"/>
                    </w:rPr>
                  </w:pPr>
                  <w:r>
                    <w:rPr>
                      <w:rFonts w:ascii="Arial"/>
                      <w:b/>
                      <w:i/>
                      <w:color w:val="F3F4F4"/>
                      <w:spacing w:val="-159"/>
                      <w:w w:val="92"/>
                      <w:sz w:val="28"/>
                    </w:rPr>
                    <w:t>g</w:t>
                  </w:r>
                  <w:r>
                    <w:rPr>
                      <w:rFonts w:ascii="Arial"/>
                      <w:b/>
                      <w:i/>
                      <w:color w:val="F3F4F4"/>
                      <w:w w:val="109"/>
                      <w:sz w:val="28"/>
                    </w:rPr>
                    <w:t>r</w:t>
                  </w:r>
                  <w:r>
                    <w:rPr>
                      <w:rFonts w:ascii="Arial"/>
                      <w:b/>
                      <w:i/>
                      <w:color w:val="F3F4F4"/>
                      <w:sz w:val="28"/>
                    </w:rPr>
                    <w:t xml:space="preserve"> </w:t>
                  </w:r>
                  <w:r>
                    <w:rPr>
                      <w:rFonts w:ascii="Arial"/>
                      <w:b/>
                      <w:i/>
                      <w:color w:val="F3F4F4"/>
                      <w:spacing w:val="6"/>
                      <w:sz w:val="28"/>
                    </w:rPr>
                    <w:t xml:space="preserve"> </w:t>
                  </w:r>
                  <w:proofErr w:type="spellStart"/>
                  <w:r>
                    <w:rPr>
                      <w:rFonts w:ascii="Arial"/>
                      <w:b/>
                      <w:i/>
                      <w:color w:val="F3F4F4"/>
                      <w:spacing w:val="-104"/>
                      <w:w w:val="95"/>
                      <w:sz w:val="28"/>
                    </w:rPr>
                    <w:t>e</w:t>
                  </w:r>
                  <w:r>
                    <w:rPr>
                      <w:rFonts w:ascii="Arial"/>
                      <w:b/>
                      <w:i/>
                      <w:color w:val="F3F4F4"/>
                      <w:w w:val="95"/>
                      <w:sz w:val="28"/>
                    </w:rPr>
                    <w:t>u</w:t>
                  </w:r>
                  <w:proofErr w:type="spellEnd"/>
                  <w:r>
                    <w:rPr>
                      <w:rFonts w:ascii="Arial"/>
                      <w:b/>
                      <w:i/>
                      <w:color w:val="F3F4F4"/>
                      <w:spacing w:val="30"/>
                      <w:sz w:val="28"/>
                    </w:rPr>
                    <w:t xml:space="preserve"> </w:t>
                  </w:r>
                  <w:r>
                    <w:rPr>
                      <w:rFonts w:ascii="Arial"/>
                      <w:b/>
                      <w:i/>
                      <w:color w:val="F3F4F4"/>
                      <w:spacing w:val="-102"/>
                      <w:w w:val="93"/>
                      <w:sz w:val="28"/>
                    </w:rPr>
                    <w:t>q</w:t>
                  </w:r>
                  <w:r>
                    <w:rPr>
                      <w:rFonts w:ascii="Arial"/>
                      <w:b/>
                      <w:i/>
                      <w:color w:val="F3F4F4"/>
                      <w:w w:val="101"/>
                      <w:sz w:val="28"/>
                    </w:rPr>
                    <w:t>i</w:t>
                  </w:r>
                  <w:r>
                    <w:rPr>
                      <w:rFonts w:ascii="Arial"/>
                      <w:b/>
                      <w:i/>
                      <w:color w:val="F3F4F4"/>
                      <w:sz w:val="28"/>
                    </w:rPr>
                    <w:t xml:space="preserve"> </w:t>
                  </w:r>
                  <w:r>
                    <w:rPr>
                      <w:rFonts w:ascii="Arial"/>
                      <w:b/>
                      <w:i/>
                      <w:color w:val="F3F4F4"/>
                      <w:spacing w:val="12"/>
                      <w:sz w:val="28"/>
                    </w:rPr>
                    <w:t xml:space="preserve"> </w:t>
                  </w:r>
                  <w:r>
                    <w:rPr>
                      <w:rFonts w:ascii="Arial"/>
                      <w:b/>
                      <w:i/>
                      <w:color w:val="F3F4F4"/>
                      <w:spacing w:val="-144"/>
                      <w:w w:val="96"/>
                      <w:sz w:val="28"/>
                    </w:rPr>
                    <w:t>d</w:t>
                  </w:r>
                  <w:r>
                    <w:rPr>
                      <w:rFonts w:ascii="Arial"/>
                      <w:b/>
                      <w:i/>
                      <w:color w:val="F3F4F4"/>
                      <w:w w:val="95"/>
                      <w:sz w:val="28"/>
                    </w:rPr>
                    <w:t>u</w:t>
                  </w:r>
                  <w:r>
                    <w:rPr>
                      <w:rFonts w:ascii="Arial"/>
                      <w:b/>
                      <w:i/>
                      <w:color w:val="F3F4F4"/>
                      <w:sz w:val="28"/>
                    </w:rPr>
                    <w:t xml:space="preserve"> </w:t>
                  </w:r>
                  <w:r>
                    <w:rPr>
                      <w:rFonts w:ascii="Arial"/>
                      <w:b/>
                      <w:i/>
                      <w:color w:val="F3F4F4"/>
                      <w:spacing w:val="-7"/>
                      <w:sz w:val="28"/>
                    </w:rPr>
                    <w:t xml:space="preserve"> </w:t>
                  </w:r>
                  <w:r>
                    <w:rPr>
                      <w:rFonts w:ascii="Arial"/>
                      <w:b/>
                      <w:i/>
                      <w:color w:val="F3F4F4"/>
                      <w:spacing w:val="-146"/>
                      <w:w w:val="105"/>
                      <w:sz w:val="28"/>
                    </w:rPr>
                    <w:t>a</w:t>
                  </w:r>
                  <w:r>
                    <w:rPr>
                      <w:rFonts w:ascii="Arial"/>
                      <w:b/>
                      <w:i/>
                      <w:color w:val="F3F4F4"/>
                      <w:w w:val="101"/>
                      <w:sz w:val="28"/>
                    </w:rPr>
                    <w:t>i</w:t>
                  </w:r>
                  <w:r>
                    <w:rPr>
                      <w:rFonts w:ascii="Arial"/>
                      <w:b/>
                      <w:i/>
                      <w:color w:val="F3F4F4"/>
                      <w:sz w:val="28"/>
                    </w:rPr>
                    <w:t xml:space="preserve"> </w:t>
                  </w:r>
                  <w:r>
                    <w:rPr>
                      <w:rFonts w:ascii="Arial"/>
                      <w:b/>
                      <w:i/>
                      <w:color w:val="F3F4F4"/>
                      <w:spacing w:val="12"/>
                      <w:sz w:val="28"/>
                    </w:rPr>
                    <w:t xml:space="preserve"> </w:t>
                  </w:r>
                  <w:proofErr w:type="spellStart"/>
                  <w:r>
                    <w:rPr>
                      <w:rFonts w:ascii="Arial"/>
                      <w:b/>
                      <w:i/>
                      <w:color w:val="F3F4F4"/>
                      <w:spacing w:val="-54"/>
                      <w:w w:val="109"/>
                      <w:sz w:val="28"/>
                    </w:rPr>
                    <w:t>r</w:t>
                  </w:r>
                  <w:r>
                    <w:rPr>
                      <w:rFonts w:ascii="Arial"/>
                      <w:b/>
                      <w:i/>
                      <w:color w:val="F3F4F4"/>
                      <w:w w:val="92"/>
                      <w:sz w:val="28"/>
                    </w:rPr>
                    <w:t>n</w:t>
                  </w:r>
                  <w:proofErr w:type="spellEnd"/>
                  <w:r>
                    <w:rPr>
                      <w:rFonts w:ascii="Arial"/>
                      <w:b/>
                      <w:i/>
                      <w:color w:val="F3F4F4"/>
                      <w:spacing w:val="-21"/>
                      <w:sz w:val="28"/>
                    </w:rPr>
                    <w:t xml:space="preserve"> </w:t>
                  </w:r>
                  <w:proofErr w:type="spellStart"/>
                  <w:r>
                    <w:rPr>
                      <w:rFonts w:ascii="Arial"/>
                      <w:b/>
                      <w:i/>
                      <w:color w:val="F3F4F4"/>
                      <w:spacing w:val="-38"/>
                      <w:w w:val="95"/>
                      <w:sz w:val="28"/>
                    </w:rPr>
                    <w:t>e</w:t>
                  </w:r>
                  <w:r>
                    <w:rPr>
                      <w:rFonts w:ascii="Arial"/>
                      <w:b/>
                      <w:i/>
                      <w:color w:val="F3F4F4"/>
                      <w:w w:val="86"/>
                      <w:sz w:val="28"/>
                    </w:rPr>
                    <w:t>c</w:t>
                  </w:r>
                  <w:proofErr w:type="spellEnd"/>
                  <w:r>
                    <w:rPr>
                      <w:rFonts w:ascii="Arial"/>
                      <w:b/>
                      <w:i/>
                      <w:color w:val="F3F4F4"/>
                      <w:spacing w:val="-7"/>
                      <w:sz w:val="28"/>
                    </w:rPr>
                    <w:t xml:space="preserve"> </w:t>
                  </w:r>
                  <w:r>
                    <w:rPr>
                      <w:rFonts w:ascii="Arial"/>
                      <w:b/>
                      <w:i/>
                      <w:color w:val="F3F4F4"/>
                      <w:spacing w:val="-147"/>
                      <w:w w:val="95"/>
                      <w:sz w:val="28"/>
                    </w:rPr>
                    <w:t>m</w:t>
                  </w:r>
                  <w:r>
                    <w:rPr>
                      <w:rFonts w:ascii="Arial"/>
                      <w:b/>
                      <w:i/>
                      <w:color w:val="F3F4F4"/>
                      <w:w w:val="95"/>
                      <w:sz w:val="28"/>
                    </w:rPr>
                    <w:t>e</w:t>
                  </w:r>
                  <w:r>
                    <w:rPr>
                      <w:rFonts w:ascii="Arial"/>
                      <w:b/>
                      <w:i/>
                      <w:color w:val="F3F4F4"/>
                      <w:sz w:val="28"/>
                    </w:rPr>
                    <w:t xml:space="preserve"> </w:t>
                  </w:r>
                  <w:r>
                    <w:rPr>
                      <w:rFonts w:ascii="Arial"/>
                      <w:b/>
                      <w:i/>
                      <w:color w:val="F3F4F4"/>
                      <w:spacing w:val="10"/>
                      <w:sz w:val="28"/>
                    </w:rPr>
                    <w:t xml:space="preserve"> </w:t>
                  </w:r>
                  <w:r>
                    <w:rPr>
                      <w:rFonts w:ascii="Arial"/>
                      <w:b/>
                      <w:i/>
                      <w:color w:val="F3F4F4"/>
                      <w:w w:val="95"/>
                      <w:sz w:val="28"/>
                    </w:rPr>
                    <w:t>e</w:t>
                  </w:r>
                  <w:r>
                    <w:rPr>
                      <w:rFonts w:ascii="Arial"/>
                      <w:b/>
                      <w:i/>
                      <w:color w:val="F3F4F4"/>
                      <w:sz w:val="28"/>
                    </w:rPr>
                    <w:t xml:space="preserve"> </w:t>
                  </w:r>
                  <w:r>
                    <w:rPr>
                      <w:rFonts w:ascii="Arial"/>
                      <w:b/>
                      <w:i/>
                      <w:color w:val="F3F4F4"/>
                      <w:spacing w:val="12"/>
                      <w:sz w:val="28"/>
                    </w:rPr>
                    <w:t xml:space="preserve"> </w:t>
                  </w:r>
                  <w:r>
                    <w:rPr>
                      <w:rFonts w:ascii="Arial"/>
                      <w:b/>
                      <w:i/>
                      <w:color w:val="F3F4F4"/>
                      <w:w w:val="92"/>
                      <w:sz w:val="28"/>
                    </w:rPr>
                    <w:t>n</w:t>
                  </w:r>
                  <w:r>
                    <w:rPr>
                      <w:rFonts w:ascii="Arial"/>
                      <w:b/>
                      <w:i/>
                      <w:color w:val="F3F4F4"/>
                      <w:sz w:val="28"/>
                    </w:rPr>
                    <w:t xml:space="preserve"> </w:t>
                  </w:r>
                  <w:r>
                    <w:rPr>
                      <w:rFonts w:ascii="Arial"/>
                      <w:b/>
                      <w:i/>
                      <w:color w:val="F3F4F4"/>
                      <w:spacing w:val="12"/>
                      <w:sz w:val="28"/>
                    </w:rPr>
                    <w:t xml:space="preserve"> </w:t>
                  </w:r>
                  <w:r>
                    <w:rPr>
                      <w:rFonts w:ascii="Arial"/>
                      <w:b/>
                      <w:i/>
                      <w:color w:val="F3F4F4"/>
                      <w:w w:val="124"/>
                      <w:sz w:val="28"/>
                    </w:rPr>
                    <w:t>t</w:t>
                  </w:r>
                  <w:r>
                    <w:rPr>
                      <w:rFonts w:ascii="Arial"/>
                      <w:b/>
                      <w:i/>
                      <w:color w:val="F3F4F4"/>
                      <w:sz w:val="28"/>
                    </w:rPr>
                    <w:t xml:space="preserve"> </w:t>
                  </w:r>
                  <w:r>
                    <w:rPr>
                      <w:rFonts w:ascii="Arial"/>
                      <w:b/>
                      <w:i/>
                      <w:color w:val="F3F4F4"/>
                      <w:spacing w:val="12"/>
                      <w:sz w:val="28"/>
                    </w:rPr>
                    <w:t xml:space="preserve"> </w:t>
                  </w:r>
                  <w:r>
                    <w:rPr>
                      <w:rFonts w:ascii="Arial"/>
                      <w:b/>
                      <w:i/>
                      <w:color w:val="F3F4F4"/>
                      <w:w w:val="86"/>
                      <w:sz w:val="28"/>
                    </w:rPr>
                    <w:t>s</w:t>
                  </w:r>
                </w:p>
              </w:txbxContent>
            </v:textbox>
            <w10:wrap anchorx="page"/>
          </v:shape>
        </w:pict>
      </w:r>
      <w:r w:rsidRPr="007B2C03">
        <w:rPr>
          <w:rFonts w:ascii="ＭＳ ゴシック" w:eastAsia="ＭＳ ゴシック" w:hAnsi="ＭＳ ゴシック" w:cs="ＭＳ ゴシック" w:hint="eastAsia"/>
          <w:color w:val="545456"/>
          <w:w w:val="105"/>
          <w:lang w:eastAsia="ja-JP"/>
        </w:rPr>
        <w:t>企業は、排出量報告書にプロセスマップ（工程表）を含めなければなりません。工程表は、製品のライフサイクルに必要なサービス、材料、エネルギーを示しています。特定の詳細が機密であると見なされる場合、企業は報告書用に簡略化したものを作成することができます。報告される工程表は、最低限以</w:t>
      </w:r>
      <w:r w:rsidRPr="00BA0839">
        <w:rPr>
          <w:rFonts w:ascii="ＭＳ ゴシック" w:eastAsia="ＭＳ ゴシック" w:hAnsi="ＭＳ ゴシック" w:cs="ＭＳ ゴシック" w:hint="eastAsia"/>
          <w:color w:val="545456"/>
          <w:w w:val="105"/>
          <w:lang w:eastAsia="ja-JP"/>
        </w:rPr>
        <w:t>下の項目を特定する必要があります。</w:t>
      </w:r>
    </w:p>
    <w:p w14:paraId="62652204" w14:textId="0FA91413" w:rsidR="00BA0839" w:rsidRPr="00BA0839" w:rsidRDefault="00BA0839">
      <w:pPr>
        <w:pStyle w:val="a5"/>
        <w:numPr>
          <w:ilvl w:val="0"/>
          <w:numId w:val="66"/>
        </w:numPr>
        <w:spacing w:before="130"/>
        <w:rPr>
          <w:rFonts w:ascii="ＭＳ ゴシック" w:eastAsia="ＭＳ ゴシック" w:hAnsi="ＭＳ ゴシック"/>
          <w:color w:val="545456"/>
          <w:sz w:val="19"/>
          <w:szCs w:val="19"/>
          <w:lang w:eastAsia="ja-JP"/>
        </w:rPr>
      </w:pPr>
      <w:r w:rsidRPr="00BA0839">
        <w:rPr>
          <w:rFonts w:ascii="ＭＳ ゴシック" w:eastAsia="ＭＳ ゴシック" w:hAnsi="ＭＳ ゴシック" w:cs="ＭＳ ゴシック" w:hint="eastAsia"/>
          <w:color w:val="545456"/>
          <w:sz w:val="19"/>
          <w:szCs w:val="19"/>
          <w:lang w:eastAsia="ja-JP"/>
        </w:rPr>
        <w:t>定義されたライフサイクルのステージ</w:t>
      </w:r>
    </w:p>
    <w:p w14:paraId="5CD6D4DC" w14:textId="77C0D82D" w:rsidR="00BA0839" w:rsidRPr="00BA0839" w:rsidRDefault="00BA0839">
      <w:pPr>
        <w:pStyle w:val="a5"/>
        <w:numPr>
          <w:ilvl w:val="0"/>
          <w:numId w:val="66"/>
        </w:numPr>
        <w:spacing w:before="130"/>
        <w:rPr>
          <w:rFonts w:ascii="ＭＳ ゴシック" w:eastAsia="ＭＳ ゴシック" w:hAnsi="ＭＳ ゴシック"/>
          <w:color w:val="545456"/>
          <w:sz w:val="19"/>
          <w:szCs w:val="19"/>
          <w:lang w:eastAsia="ja-JP"/>
        </w:rPr>
      </w:pPr>
      <w:r w:rsidRPr="00BA0839">
        <w:rPr>
          <w:rFonts w:ascii="ＭＳ ゴシック" w:eastAsia="ＭＳ ゴシック" w:hAnsi="ＭＳ ゴシック" w:cs="ＭＳ ゴシック" w:hint="eastAsia"/>
          <w:color w:val="545456"/>
          <w:sz w:val="19"/>
          <w:szCs w:val="19"/>
          <w:lang w:eastAsia="ja-JP"/>
        </w:rPr>
        <w:t>各ステージにおける一般化された帰属プロセス</w:t>
      </w:r>
    </w:p>
    <w:p w14:paraId="38B0DADB" w14:textId="36A6DED2" w:rsidR="00BA0839" w:rsidRPr="00BA0839" w:rsidRDefault="00BA0839">
      <w:pPr>
        <w:pStyle w:val="a5"/>
        <w:numPr>
          <w:ilvl w:val="0"/>
          <w:numId w:val="66"/>
        </w:numPr>
        <w:spacing w:before="130"/>
        <w:rPr>
          <w:rFonts w:ascii="ＭＳ ゴシック" w:eastAsia="ＭＳ ゴシック" w:hAnsi="ＭＳ ゴシック"/>
          <w:color w:val="545456"/>
          <w:sz w:val="19"/>
          <w:szCs w:val="19"/>
          <w:lang w:eastAsia="ja-JP"/>
        </w:rPr>
      </w:pPr>
      <w:r w:rsidRPr="00BA0839">
        <w:rPr>
          <w:rFonts w:ascii="ＭＳ ゴシック" w:eastAsia="ＭＳ ゴシック" w:hAnsi="ＭＳ ゴシック" w:cs="ＭＳ ゴシック" w:hint="eastAsia"/>
          <w:color w:val="545456"/>
          <w:sz w:val="19"/>
          <w:szCs w:val="19"/>
          <w:lang w:eastAsia="ja-JP"/>
        </w:rPr>
        <w:t>ライフサイクルを通じた調査対象製品の流れ</w:t>
      </w:r>
    </w:p>
    <w:p w14:paraId="0954B502" w14:textId="4D58815A" w:rsidR="00BA0839" w:rsidRPr="00BA0839" w:rsidRDefault="00BA0839">
      <w:pPr>
        <w:pStyle w:val="a5"/>
        <w:numPr>
          <w:ilvl w:val="0"/>
          <w:numId w:val="66"/>
        </w:numPr>
        <w:spacing w:before="130"/>
        <w:rPr>
          <w:lang w:eastAsia="ja-JP"/>
        </w:rPr>
      </w:pPr>
      <w:r w:rsidRPr="00BA0839">
        <w:rPr>
          <w:rFonts w:ascii="ＭＳ ゴシック" w:eastAsia="ＭＳ ゴシック" w:hAnsi="ＭＳ ゴシック" w:cs="ＭＳ ゴシック" w:hint="eastAsia"/>
          <w:color w:val="545456"/>
          <w:sz w:val="19"/>
          <w:szCs w:val="19"/>
          <w:lang w:eastAsia="ja-JP"/>
        </w:rPr>
        <w:t>算定範囲から除外されたすべての帰属プロセス</w:t>
      </w:r>
    </w:p>
    <w:p w14:paraId="73B302BF" w14:textId="344004CC" w:rsidR="0055291C" w:rsidRPr="00BA0839" w:rsidRDefault="00BA0839" w:rsidP="00BA0839">
      <w:pPr>
        <w:spacing w:before="130"/>
        <w:ind w:left="6237" w:rightChars="409" w:right="900"/>
        <w:rPr>
          <w:sz w:val="19"/>
          <w:szCs w:val="19"/>
          <w:lang w:eastAsia="ja-JP"/>
        </w:rPr>
      </w:pPr>
      <w:r w:rsidRPr="00BA0839">
        <w:rPr>
          <w:rFonts w:ascii="ＭＳ ゴシック" w:eastAsia="ＭＳ ゴシック" w:hAnsi="ＭＳ ゴシック" w:cs="ＭＳ ゴシック" w:hint="eastAsia"/>
          <w:color w:val="545456"/>
          <w:sz w:val="19"/>
          <w:szCs w:val="19"/>
          <w:lang w:eastAsia="ja-JP"/>
        </w:rPr>
        <w:t>企業は、社内で使用し保証するための、データ収集の基礎となる詳細な</w:t>
      </w:r>
      <w:r w:rsidR="009268D3">
        <w:rPr>
          <w:rFonts w:ascii="ＭＳ ゴシック" w:eastAsia="ＭＳ ゴシック" w:hAnsi="ＭＳ ゴシック" w:cs="ＭＳ ゴシック" w:hint="eastAsia"/>
          <w:color w:val="545456"/>
          <w:sz w:val="19"/>
          <w:szCs w:val="19"/>
          <w:lang w:eastAsia="ja-JP"/>
        </w:rPr>
        <w:t>工程表</w:t>
      </w:r>
      <w:r w:rsidRPr="00BA0839">
        <w:rPr>
          <w:rFonts w:ascii="ＭＳ ゴシック" w:eastAsia="ＭＳ ゴシック" w:hAnsi="ＭＳ ゴシック" w:cs="ＭＳ ゴシック" w:hint="eastAsia"/>
          <w:color w:val="545456"/>
          <w:sz w:val="19"/>
          <w:szCs w:val="19"/>
          <w:lang w:eastAsia="ja-JP"/>
        </w:rPr>
        <w:t>を作成するべきです。</w:t>
      </w:r>
    </w:p>
    <w:p w14:paraId="357D5F5C" w14:textId="35B56C34" w:rsidR="0055291C" w:rsidRDefault="00BA0839" w:rsidP="00BA0839">
      <w:pPr>
        <w:pStyle w:val="a3"/>
        <w:spacing w:before="141" w:line="312" w:lineRule="auto"/>
        <w:ind w:left="6237" w:rightChars="409" w:right="900"/>
        <w:rPr>
          <w:rFonts w:ascii="ＭＳ ゴシック" w:eastAsia="ＭＳ ゴシック" w:hAnsi="ＭＳ ゴシック" w:cs="ＭＳ ゴシック"/>
          <w:color w:val="545456"/>
          <w:lang w:eastAsia="ja-JP"/>
        </w:rPr>
      </w:pPr>
      <w:r w:rsidRPr="00BA0839">
        <w:rPr>
          <w:rFonts w:ascii="ＭＳ ゴシック" w:eastAsia="ＭＳ ゴシック" w:hAnsi="ＭＳ ゴシック" w:cs="ＭＳ ゴシック" w:hint="eastAsia"/>
          <w:color w:val="545456"/>
          <w:lang w:eastAsia="ja-JP"/>
        </w:rPr>
        <w:t>図</w:t>
      </w:r>
      <w:r w:rsidRPr="00BA0839">
        <w:rPr>
          <w:color w:val="545456"/>
          <w:lang w:eastAsia="ja-JP"/>
        </w:rPr>
        <w:t xml:space="preserve"> 7.2 </w:t>
      </w:r>
      <w:r w:rsidRPr="00BA0839">
        <w:rPr>
          <w:rFonts w:ascii="ＭＳ ゴシック" w:eastAsia="ＭＳ ゴシック" w:hAnsi="ＭＳ ゴシック" w:cs="ＭＳ ゴシック" w:hint="eastAsia"/>
          <w:color w:val="545456"/>
          <w:lang w:eastAsia="ja-JP"/>
        </w:rPr>
        <w:t>に、自動車を例に「ゆりかごから墓場まで」の報告書で報告すべき最小限の</w:t>
      </w:r>
      <w:r w:rsidR="009268D3">
        <w:rPr>
          <w:rFonts w:ascii="ＭＳ ゴシック" w:eastAsia="ＭＳ ゴシック" w:hAnsi="ＭＳ ゴシック" w:cs="ＭＳ ゴシック" w:hint="eastAsia"/>
          <w:color w:val="545456"/>
          <w:lang w:eastAsia="ja-JP"/>
        </w:rPr>
        <w:t>工程表</w:t>
      </w:r>
      <w:r w:rsidRPr="00BA0839">
        <w:rPr>
          <w:rFonts w:ascii="ＭＳ ゴシック" w:eastAsia="ＭＳ ゴシック" w:hAnsi="ＭＳ ゴシック" w:cs="ＭＳ ゴシック" w:hint="eastAsia"/>
          <w:color w:val="545456"/>
          <w:lang w:eastAsia="ja-JP"/>
        </w:rPr>
        <w:t>の例を示します。</w:t>
      </w:r>
    </w:p>
    <w:p w14:paraId="38D60324" w14:textId="20FEFE47" w:rsidR="009268D3" w:rsidRDefault="009268D3" w:rsidP="00BA0839">
      <w:pPr>
        <w:pStyle w:val="a3"/>
        <w:spacing w:before="141" w:line="312" w:lineRule="auto"/>
        <w:ind w:left="6237" w:rightChars="409" w:right="900"/>
        <w:rPr>
          <w:rFonts w:ascii="ＭＳ ゴシック" w:eastAsia="ＭＳ ゴシック" w:hAnsi="ＭＳ ゴシック" w:cs="ＭＳ ゴシック"/>
          <w:color w:val="545456"/>
          <w:lang w:eastAsia="ja-JP"/>
        </w:rPr>
      </w:pPr>
      <w:r w:rsidRPr="00BA0839">
        <w:rPr>
          <w:noProof/>
        </w:rPr>
        <mc:AlternateContent>
          <mc:Choice Requires="wps">
            <w:drawing>
              <wp:anchor distT="0" distB="0" distL="114300" distR="114300" simplePos="0" relativeHeight="251465216" behindDoc="0" locked="0" layoutInCell="1" allowOverlap="1" wp14:anchorId="4CF37803" wp14:editId="4FCACDA4">
                <wp:simplePos x="0" y="0"/>
                <wp:positionH relativeFrom="column">
                  <wp:posOffset>3949700</wp:posOffset>
                </wp:positionH>
                <wp:positionV relativeFrom="paragraph">
                  <wp:posOffset>124460</wp:posOffset>
                </wp:positionV>
                <wp:extent cx="3016250" cy="520700"/>
                <wp:effectExtent l="0" t="0" r="0" b="0"/>
                <wp:wrapNone/>
                <wp:docPr id="82" name="四角形: 角を丸くする 82"/>
                <wp:cNvGraphicFramePr/>
                <a:graphic xmlns:a="http://schemas.openxmlformats.org/drawingml/2006/main">
                  <a:graphicData uri="http://schemas.microsoft.com/office/word/2010/wordprocessingShape">
                    <wps:wsp>
                      <wps:cNvSpPr/>
                      <wps:spPr>
                        <a:xfrm>
                          <a:off x="0" y="0"/>
                          <a:ext cx="3016250" cy="520700"/>
                        </a:xfrm>
                        <a:prstGeom prst="roundRect">
                          <a:avLst/>
                        </a:prstGeom>
                        <a:solidFill>
                          <a:srgbClr val="70029C">
                            <a:alpha val="25098"/>
                          </a:srgbClr>
                        </a:solidFill>
                        <a:ln w="25400" cap="flat" cmpd="sng" algn="ctr">
                          <a:noFill/>
                          <a:prstDash val="solid"/>
                        </a:ln>
                        <a:effectLst/>
                      </wps:spPr>
                      <wps:txbx>
                        <w:txbxContent>
                          <w:p w14:paraId="0C6E4EF9" w14:textId="4D1230DE" w:rsidR="00BA0839" w:rsidRPr="009268D3" w:rsidRDefault="009268D3" w:rsidP="00BA0839">
                            <w:pPr>
                              <w:rPr>
                                <w:rFonts w:asciiTheme="minorEastAsia" w:eastAsiaTheme="minorEastAsia" w:hAnsiTheme="minorEastAsia" w:cstheme="minorBidi"/>
                                <w:b/>
                                <w:bCs/>
                                <w:i/>
                                <w:iCs/>
                                <w:color w:val="000000" w:themeColor="text1"/>
                                <w:sz w:val="19"/>
                                <w:szCs w:val="19"/>
                                <w:lang w:eastAsia="ja-JP"/>
                              </w:rPr>
                            </w:pPr>
                            <w:r w:rsidRPr="009268D3">
                              <w:rPr>
                                <w:rFonts w:ascii="ＭＳ ゴシック" w:eastAsia="ＭＳ ゴシック" w:hAnsi="ＭＳ ゴシック" w:cs="ＭＳ ゴシック" w:hint="eastAsia"/>
                                <w:b/>
                                <w:bCs/>
                                <w:i/>
                                <w:iCs/>
                                <w:color w:val="000000" w:themeColor="text1"/>
                                <w:sz w:val="19"/>
                                <w:szCs w:val="19"/>
                                <w:lang w:eastAsia="ja-JP"/>
                              </w:rPr>
                              <w:t>企業は、算定範囲に含まれる非帰属プロセスを報告しなければならない。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F37803" id="四角形: 角を丸くする 82" o:spid="_x0000_s1058" style="position:absolute;left:0;text-align:left;margin-left:311pt;margin-top:9.8pt;width:237.5pt;height:41pt;z-index:25146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" fillcolor="#70029c" stroked="f" strokeweight="2pt">
                <v:fill opacity="16448f"/>
                <v:textbox>
                  <w:txbxContent>
                    <w:p w14:paraId="0C6E4EF9" w14:textId="4D1230DE" w:rsidR="00BA0839" w:rsidRPr="009268D3" w:rsidRDefault="009268D3" w:rsidP="00BA0839">
                      <w:pPr>
                        <w:rPr>
                          <w:rFonts w:asciiTheme="minorEastAsia" w:eastAsiaTheme="minorEastAsia" w:hAnsiTheme="minorEastAsia" w:cstheme="minorBidi"/>
                          <w:b/>
                          <w:bCs/>
                          <w:i/>
                          <w:iCs/>
                          <w:color w:val="000000" w:themeColor="text1"/>
                          <w:sz w:val="19"/>
                          <w:szCs w:val="19"/>
                          <w:lang w:eastAsia="ja-JP"/>
                        </w:rPr>
                      </w:pPr>
                      <w:r w:rsidRPr="009268D3">
                        <w:rPr>
                          <w:rFonts w:ascii="ＭＳ ゴシック" w:eastAsia="ＭＳ ゴシック" w:hAnsi="ＭＳ ゴシック" w:cs="ＭＳ ゴシック" w:hint="eastAsia"/>
                          <w:b/>
                          <w:bCs/>
                          <w:i/>
                          <w:iCs/>
                          <w:color w:val="000000" w:themeColor="text1"/>
                          <w:sz w:val="19"/>
                          <w:szCs w:val="19"/>
                          <w:lang w:eastAsia="ja-JP"/>
                        </w:rPr>
                        <w:t>企業は、算定範囲に含まれる非帰属プロセスを報告しなければならない。</w:t>
                      </w:r>
                    </w:p>
                  </w:txbxContent>
                </v:textbox>
              </v:roundrect>
            </w:pict>
          </mc:Fallback>
        </mc:AlternateContent>
      </w:r>
    </w:p>
    <w:p w14:paraId="76CB828A" w14:textId="2814E989" w:rsidR="009268D3" w:rsidRDefault="009268D3" w:rsidP="00BA0839">
      <w:pPr>
        <w:pStyle w:val="a3"/>
        <w:spacing w:before="141" w:line="312" w:lineRule="auto"/>
        <w:ind w:left="6237" w:rightChars="409" w:right="900"/>
        <w:rPr>
          <w:lang w:eastAsia="ja-JP"/>
        </w:rPr>
      </w:pPr>
    </w:p>
    <w:p w14:paraId="25C01D92" w14:textId="57705E23" w:rsidR="0055291C" w:rsidRDefault="0055291C">
      <w:pPr>
        <w:pStyle w:val="a3"/>
        <w:spacing w:before="8"/>
        <w:rPr>
          <w:sz w:val="20"/>
          <w:lang w:eastAsia="ja-JP"/>
        </w:rPr>
      </w:pPr>
    </w:p>
    <w:p w14:paraId="563B3903" w14:textId="77777777" w:rsidR="0055291C" w:rsidRDefault="0055291C">
      <w:pPr>
        <w:pStyle w:val="a3"/>
        <w:spacing w:before="1"/>
        <w:rPr>
          <w:sz w:val="7"/>
          <w:lang w:eastAsia="ja-JP"/>
        </w:rPr>
      </w:pPr>
    </w:p>
    <w:p w14:paraId="3907132A" w14:textId="12D7144A" w:rsidR="0055291C" w:rsidRDefault="00000000" w:rsidP="00956DA3">
      <w:pPr>
        <w:pStyle w:val="a3"/>
        <w:spacing w:before="102" w:line="312" w:lineRule="auto"/>
        <w:ind w:left="6300" w:right="1138" w:firstLineChars="100" w:firstLine="190"/>
        <w:rPr>
          <w:lang w:eastAsia="ja-JP"/>
        </w:rPr>
      </w:pPr>
      <w:r>
        <w:pict w14:anchorId="221A84C7">
          <v:group id="docshapegroup566" o:spid="_x0000_s3228" style="position:absolute;left:0;text-align:left;margin-left:56.7pt;margin-top:91.85pt;width:499.2pt;height:251.3pt;z-index:251572736;mso-position-horizontal-relative:page" coordorigin="1134,1837" coordsize="9984,5026">
            <v:shape id="docshape567" o:spid="_x0000_s3230" type="#_x0000_t75" style="position:absolute;left:1133;top:1837;width:9960;height:5026">
              <v:imagedata r:id="rId140" o:title=""/>
            </v:shape>
            <v:shape id="docshape568" o:spid="_x0000_s3229" type="#_x0000_t202" style="position:absolute;left:10817;top:6008;width:300;height:180" filled="f" stroked="f">
              <v:textbox style="mso-next-textbox:#docshape568" inset="0,0,0,0">
                <w:txbxContent>
                  <w:p w14:paraId="23F7D790" w14:textId="77777777" w:rsidR="0055291C" w:rsidRDefault="00F23C61">
                    <w:pPr>
                      <w:spacing w:before="1" w:line="178" w:lineRule="exact"/>
                      <w:rPr>
                        <w:sz w:val="16"/>
                      </w:rPr>
                    </w:pPr>
                    <w:r>
                      <w:rPr>
                        <w:color w:val="FFFFFF"/>
                        <w:w w:val="105"/>
                        <w:sz w:val="16"/>
                      </w:rPr>
                      <w:t>[35]</w:t>
                    </w:r>
                  </w:p>
                </w:txbxContent>
              </v:textbox>
            </v:shape>
            <w10:wrap anchorx="page"/>
          </v:group>
        </w:pict>
      </w:r>
      <w:r w:rsidR="00956DA3" w:rsidRPr="00956DA3">
        <w:rPr>
          <w:rFonts w:ascii="ＭＳ ゴシック" w:eastAsia="ＭＳ ゴシック" w:hAnsi="ＭＳ ゴシック" w:cs="ＭＳ ゴシック" w:hint="eastAsia"/>
          <w:color w:val="545456"/>
          <w:spacing w:val="-1"/>
          <w:lang w:eastAsia="ja-JP"/>
        </w:rPr>
        <w:t>サービス、物質、エネルギーの流れの中には、製品にならない、製品を作らない、あるいは製品を直接運ばないため、ライフサイクルにおいて調査対象製品に直接関わらないものもあります。これらは、非</w:t>
      </w:r>
      <w:r w:rsidR="009863CC">
        <w:rPr>
          <w:rFonts w:ascii="ＭＳ ゴシック" w:eastAsia="ＭＳ ゴシック" w:hAnsi="ＭＳ ゴシック" w:cs="ＭＳ ゴシック" w:hint="eastAsia"/>
          <w:color w:val="545456"/>
          <w:spacing w:val="-1"/>
          <w:lang w:eastAsia="ja-JP"/>
        </w:rPr>
        <w:t>帰属</w:t>
      </w:r>
      <w:r w:rsidR="00956DA3" w:rsidRPr="00956DA3">
        <w:rPr>
          <w:rFonts w:ascii="ＭＳ ゴシック" w:eastAsia="ＭＳ ゴシック" w:hAnsi="ＭＳ ゴシック" w:cs="ＭＳ ゴシック" w:hint="eastAsia"/>
          <w:color w:val="545456"/>
          <w:spacing w:val="-1"/>
          <w:lang w:eastAsia="ja-JP"/>
        </w:rPr>
        <w:t>プロセスとして定義されます。</w:t>
      </w:r>
    </w:p>
    <w:p w14:paraId="5F76FB63" w14:textId="77777777" w:rsidR="0055291C" w:rsidRDefault="0055291C">
      <w:pPr>
        <w:spacing w:line="312" w:lineRule="auto"/>
        <w:rPr>
          <w:lang w:eastAsia="ja-JP"/>
        </w:rPr>
        <w:sectPr w:rsidR="0055291C">
          <w:headerReference w:type="default" r:id="rId141"/>
          <w:footerReference w:type="default" r:id="rId142"/>
          <w:pgSz w:w="12240" w:h="15840"/>
          <w:pgMar w:top="0" w:right="0" w:bottom="0" w:left="0" w:header="0" w:footer="0" w:gutter="0"/>
          <w:cols w:space="720"/>
        </w:sectPr>
      </w:pPr>
    </w:p>
    <w:p w14:paraId="7296E997" w14:textId="5530998F" w:rsidR="0055291C" w:rsidRDefault="0055291C">
      <w:pPr>
        <w:pStyle w:val="a3"/>
        <w:rPr>
          <w:sz w:val="20"/>
          <w:lang w:eastAsia="ja-JP"/>
        </w:rPr>
      </w:pPr>
    </w:p>
    <w:p w14:paraId="228C43E3" w14:textId="77777777" w:rsidR="0055291C" w:rsidRDefault="0055291C">
      <w:pPr>
        <w:pStyle w:val="a3"/>
        <w:rPr>
          <w:sz w:val="20"/>
          <w:lang w:eastAsia="ja-JP"/>
        </w:rPr>
      </w:pPr>
    </w:p>
    <w:p w14:paraId="7A152305" w14:textId="77777777" w:rsidR="0055291C" w:rsidRDefault="0055291C">
      <w:pPr>
        <w:pStyle w:val="a3"/>
        <w:rPr>
          <w:sz w:val="20"/>
          <w:lang w:eastAsia="ja-JP"/>
        </w:rPr>
      </w:pPr>
    </w:p>
    <w:p w14:paraId="17ED6291" w14:textId="772A1BCD" w:rsidR="0055291C" w:rsidRDefault="0055291C">
      <w:pPr>
        <w:pStyle w:val="a3"/>
        <w:rPr>
          <w:sz w:val="20"/>
          <w:lang w:eastAsia="ja-JP"/>
        </w:rPr>
      </w:pPr>
    </w:p>
    <w:p w14:paraId="08EB0FF3" w14:textId="742740EF" w:rsidR="0055291C" w:rsidRDefault="0055291C">
      <w:pPr>
        <w:pStyle w:val="a3"/>
        <w:spacing w:before="7"/>
        <w:rPr>
          <w:sz w:val="21"/>
          <w:lang w:eastAsia="ja-JP"/>
        </w:rPr>
      </w:pPr>
    </w:p>
    <w:p w14:paraId="3CCF8464" w14:textId="4C12EDA3" w:rsidR="0055291C" w:rsidRDefault="009268D3">
      <w:pPr>
        <w:pStyle w:val="6"/>
        <w:spacing w:before="1"/>
        <w:rPr>
          <w:lang w:eastAsia="ja-JP"/>
        </w:rPr>
      </w:pPr>
      <w:r>
        <w:rPr>
          <w:rFonts w:ascii="ＭＳ 明朝" w:eastAsia="ＭＳ 明朝" w:hAnsi="ＭＳ 明朝" w:cs="ＭＳ 明朝" w:hint="eastAsia"/>
          <w:color w:val="00ACA1"/>
          <w:w w:val="95"/>
          <w:lang w:eastAsia="ja-JP"/>
        </w:rPr>
        <w:t>図</w:t>
      </w:r>
      <w:r w:rsidR="00F23C61">
        <w:rPr>
          <w:color w:val="00ACA1"/>
          <w:spacing w:val="8"/>
          <w:w w:val="95"/>
          <w:lang w:eastAsia="ja-JP"/>
        </w:rPr>
        <w:t xml:space="preserve"> </w:t>
      </w:r>
      <w:r w:rsidR="00F23C61">
        <w:rPr>
          <w:color w:val="00ACA1"/>
          <w:w w:val="95"/>
          <w:lang w:eastAsia="ja-JP"/>
        </w:rPr>
        <w:t>[7.2]</w:t>
      </w:r>
      <w:r w:rsidR="00F23C61">
        <w:rPr>
          <w:color w:val="00ACA1"/>
          <w:spacing w:val="8"/>
          <w:w w:val="95"/>
          <w:lang w:eastAsia="ja-JP"/>
        </w:rPr>
        <w:t xml:space="preserve"> </w:t>
      </w:r>
      <w:r w:rsidRPr="009268D3">
        <w:rPr>
          <w:rFonts w:ascii="ＭＳ 明朝" w:eastAsia="ＭＳ 明朝" w:hAnsi="ＭＳ 明朝" w:cs="ＭＳ 明朝" w:hint="eastAsia"/>
          <w:color w:val="545456"/>
          <w:w w:val="95"/>
          <w:lang w:eastAsia="ja-JP"/>
        </w:rPr>
        <w:t>自動車の工程表の例（ゆりかごから墓場までの報告書）</w:t>
      </w:r>
    </w:p>
    <w:p w14:paraId="0016C321" w14:textId="4B90D137" w:rsidR="0055291C" w:rsidRDefault="005C1F37" w:rsidP="00FE6EB0">
      <w:pPr>
        <w:pStyle w:val="a3"/>
        <w:jc w:val="center"/>
        <w:rPr>
          <w:rFonts w:ascii="Arial"/>
          <w:b/>
          <w:lang w:eastAsia="ja-JP"/>
        </w:rPr>
      </w:pPr>
      <w:r>
        <w:rPr>
          <w:noProof/>
          <w:sz w:val="21"/>
        </w:rPr>
        <mc:AlternateContent>
          <mc:Choice Requires="wps">
            <w:drawing>
              <wp:anchor distT="0" distB="0" distL="114300" distR="114300" simplePos="0" relativeHeight="251467264" behindDoc="0" locked="0" layoutInCell="1" allowOverlap="1" wp14:anchorId="1B2823B6" wp14:editId="5A5A52D1">
                <wp:simplePos x="0" y="0"/>
                <wp:positionH relativeFrom="column">
                  <wp:posOffset>2520950</wp:posOffset>
                </wp:positionH>
                <wp:positionV relativeFrom="paragraph">
                  <wp:posOffset>3695065</wp:posOffset>
                </wp:positionV>
                <wp:extent cx="933450" cy="457200"/>
                <wp:effectExtent l="0" t="0" r="0" b="0"/>
                <wp:wrapNone/>
                <wp:docPr id="85" name="テキスト ボックス 85"/>
                <wp:cNvGraphicFramePr/>
                <a:graphic xmlns:a="http://schemas.openxmlformats.org/drawingml/2006/main">
                  <a:graphicData uri="http://schemas.microsoft.com/office/word/2010/wordprocessingShape">
                    <wps:wsp>
                      <wps:cNvSpPr txBox="1"/>
                      <wps:spPr>
                        <a:xfrm>
                          <a:off x="0" y="0"/>
                          <a:ext cx="933450" cy="457200"/>
                        </a:xfrm>
                        <a:prstGeom prst="rect">
                          <a:avLst/>
                        </a:prstGeom>
                        <a:noFill/>
                        <a:ln w="6350">
                          <a:noFill/>
                        </a:ln>
                      </wps:spPr>
                      <wps:txbx>
                        <w:txbxContent>
                          <w:p w14:paraId="7D49573A" w14:textId="07B90875" w:rsidR="005C1F37" w:rsidRPr="00DA2DF1" w:rsidRDefault="005C1F37">
                            <w:pPr>
                              <w:rPr>
                                <w:rFonts w:ascii="ＭＳ ゴシック" w:eastAsia="ＭＳ ゴシック" w:hAnsi="ＭＳ ゴシック" w:cs="ＭＳ ゴシック"/>
                                <w:b/>
                                <w:bCs/>
                                <w:i/>
                                <w:iCs/>
                                <w:color w:val="404040" w:themeColor="text1" w:themeTint="BF"/>
                                <w:sz w:val="15"/>
                                <w:szCs w:val="15"/>
                                <w:lang w:eastAsia="ja-JP"/>
                              </w:rPr>
                            </w:pPr>
                            <w:r w:rsidRPr="00DA2DF1">
                              <w:rPr>
                                <w:rFonts w:ascii="ＭＳ ゴシック" w:eastAsia="ＭＳ ゴシック" w:hAnsi="ＭＳ ゴシック" w:cs="ＭＳ ゴシック" w:hint="eastAsia"/>
                                <w:b/>
                                <w:bCs/>
                                <w:i/>
                                <w:iCs/>
                                <w:color w:val="404040" w:themeColor="text1" w:themeTint="BF"/>
                                <w:sz w:val="15"/>
                                <w:szCs w:val="15"/>
                                <w:lang w:eastAsia="ja-JP"/>
                              </w:rPr>
                              <w:t>エネルギー投入</w:t>
                            </w:r>
                          </w:p>
                          <w:p w14:paraId="608625ED" w14:textId="1569E27F" w:rsidR="005C1F37" w:rsidRPr="00DA2DF1" w:rsidRDefault="005C1F37">
                            <w:pPr>
                              <w:rPr>
                                <w:rFonts w:ascii="ＭＳ ゴシック" w:eastAsia="ＭＳ ゴシック" w:hAnsi="ＭＳ ゴシック" w:cs="ＭＳ ゴシック"/>
                                <w:b/>
                                <w:bCs/>
                                <w:i/>
                                <w:iCs/>
                                <w:color w:val="404040" w:themeColor="text1" w:themeTint="BF"/>
                                <w:sz w:val="13"/>
                                <w:szCs w:val="13"/>
                                <w:lang w:eastAsia="ja-JP"/>
                              </w:rPr>
                            </w:pPr>
                          </w:p>
                          <w:p w14:paraId="1A22DD1C" w14:textId="35BA0AA3" w:rsidR="005C1F37" w:rsidRPr="00DA2DF1" w:rsidRDefault="005C1F37">
                            <w:pPr>
                              <w:rPr>
                                <w:rFonts w:ascii="ＭＳ ゴシック" w:eastAsia="ＭＳ ゴシック" w:hAnsi="ＭＳ ゴシック" w:cs="ＭＳ ゴシック"/>
                                <w:b/>
                                <w:bCs/>
                                <w:i/>
                                <w:iCs/>
                                <w:color w:val="404040" w:themeColor="text1" w:themeTint="BF"/>
                                <w:sz w:val="15"/>
                                <w:szCs w:val="15"/>
                                <w:lang w:eastAsia="ja-JP"/>
                              </w:rPr>
                            </w:pPr>
                            <w:r w:rsidRPr="00DA2DF1">
                              <w:rPr>
                                <w:rFonts w:ascii="ＭＳ ゴシック" w:eastAsia="ＭＳ ゴシック" w:hAnsi="ＭＳ ゴシック" w:cs="ＭＳ ゴシック" w:hint="eastAsia"/>
                                <w:b/>
                                <w:bCs/>
                                <w:i/>
                                <w:iCs/>
                                <w:color w:val="404040" w:themeColor="text1" w:themeTint="BF"/>
                                <w:sz w:val="15"/>
                                <w:szCs w:val="15"/>
                                <w:lang w:eastAsia="ja-JP"/>
                              </w:rPr>
                              <w:t>原料投入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823B6" id="テキスト ボックス 85" o:spid="_x0000_s1059" type="#_x0000_t202" style="position:absolute;left:0;text-align:left;margin-left:198.5pt;margin-top:290.95pt;width:73.5pt;height:36pt;z-index:2514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" filled="f" stroked="f" strokeweight=".5pt">
                <v:textbox>
                  <w:txbxContent>
                    <w:p w14:paraId="7D49573A" w14:textId="07B90875" w:rsidR="005C1F37" w:rsidRPr="00DA2DF1" w:rsidRDefault="005C1F37">
                      <w:pPr>
                        <w:rPr>
                          <w:rFonts w:ascii="ＭＳ ゴシック" w:eastAsia="ＭＳ ゴシック" w:hAnsi="ＭＳ ゴシック" w:cs="ＭＳ ゴシック"/>
                          <w:b/>
                          <w:bCs/>
                          <w:i/>
                          <w:iCs/>
                          <w:color w:val="404040" w:themeColor="text1" w:themeTint="BF"/>
                          <w:sz w:val="15"/>
                          <w:szCs w:val="15"/>
                          <w:lang w:eastAsia="ja-JP"/>
                        </w:rPr>
                      </w:pPr>
                      <w:r w:rsidRPr="00DA2DF1">
                        <w:rPr>
                          <w:rFonts w:ascii="ＭＳ ゴシック" w:eastAsia="ＭＳ ゴシック" w:hAnsi="ＭＳ ゴシック" w:cs="ＭＳ ゴシック" w:hint="eastAsia"/>
                          <w:b/>
                          <w:bCs/>
                          <w:i/>
                          <w:iCs/>
                          <w:color w:val="404040" w:themeColor="text1" w:themeTint="BF"/>
                          <w:sz w:val="15"/>
                          <w:szCs w:val="15"/>
                          <w:lang w:eastAsia="ja-JP"/>
                        </w:rPr>
                        <w:t>エネルギー投入</w:t>
                      </w:r>
                    </w:p>
                    <w:p w14:paraId="608625ED" w14:textId="1569E27F" w:rsidR="005C1F37" w:rsidRPr="00DA2DF1" w:rsidRDefault="005C1F37">
                      <w:pPr>
                        <w:rPr>
                          <w:rFonts w:ascii="ＭＳ ゴシック" w:eastAsia="ＭＳ ゴシック" w:hAnsi="ＭＳ ゴシック" w:cs="ＭＳ ゴシック"/>
                          <w:b/>
                          <w:bCs/>
                          <w:i/>
                          <w:iCs/>
                          <w:color w:val="404040" w:themeColor="text1" w:themeTint="BF"/>
                          <w:sz w:val="13"/>
                          <w:szCs w:val="13"/>
                          <w:lang w:eastAsia="ja-JP"/>
                        </w:rPr>
                      </w:pPr>
                    </w:p>
                    <w:p w14:paraId="1A22DD1C" w14:textId="35BA0AA3" w:rsidR="005C1F37" w:rsidRPr="00DA2DF1" w:rsidRDefault="005C1F37">
                      <w:pPr>
                        <w:rPr>
                          <w:rFonts w:ascii="ＭＳ ゴシック" w:eastAsia="ＭＳ ゴシック" w:hAnsi="ＭＳ ゴシック" w:cs="ＭＳ ゴシック"/>
                          <w:b/>
                          <w:bCs/>
                          <w:i/>
                          <w:iCs/>
                          <w:color w:val="404040" w:themeColor="text1" w:themeTint="BF"/>
                          <w:sz w:val="15"/>
                          <w:szCs w:val="15"/>
                          <w:lang w:eastAsia="ja-JP"/>
                        </w:rPr>
                      </w:pPr>
                      <w:r w:rsidRPr="00DA2DF1">
                        <w:rPr>
                          <w:rFonts w:ascii="ＭＳ ゴシック" w:eastAsia="ＭＳ ゴシック" w:hAnsi="ＭＳ ゴシック" w:cs="ＭＳ ゴシック" w:hint="eastAsia"/>
                          <w:b/>
                          <w:bCs/>
                          <w:i/>
                          <w:iCs/>
                          <w:color w:val="404040" w:themeColor="text1" w:themeTint="BF"/>
                          <w:sz w:val="15"/>
                          <w:szCs w:val="15"/>
                          <w:lang w:eastAsia="ja-JP"/>
                        </w:rPr>
                        <w:t>原料投入</w:t>
                      </w:r>
                    </w:p>
                  </w:txbxContent>
                </v:textbox>
              </v:shape>
            </w:pict>
          </mc:Fallback>
        </mc:AlternateContent>
      </w:r>
      <w:r>
        <w:rPr>
          <w:noProof/>
          <w:sz w:val="21"/>
        </w:rPr>
        <mc:AlternateContent>
          <mc:Choice Requires="wps">
            <w:drawing>
              <wp:anchor distT="0" distB="0" distL="114300" distR="114300" simplePos="0" relativeHeight="251466240" behindDoc="0" locked="0" layoutInCell="1" allowOverlap="1" wp14:anchorId="12486C41" wp14:editId="323FF302">
                <wp:simplePos x="0" y="0"/>
                <wp:positionH relativeFrom="column">
                  <wp:posOffset>4908550</wp:posOffset>
                </wp:positionH>
                <wp:positionV relativeFrom="paragraph">
                  <wp:posOffset>247015</wp:posOffset>
                </wp:positionV>
                <wp:extent cx="527050" cy="254000"/>
                <wp:effectExtent l="0" t="0" r="0" b="0"/>
                <wp:wrapNone/>
                <wp:docPr id="84" name="テキスト ボックス 84"/>
                <wp:cNvGraphicFramePr/>
                <a:graphic xmlns:a="http://schemas.openxmlformats.org/drawingml/2006/main">
                  <a:graphicData uri="http://schemas.microsoft.com/office/word/2010/wordprocessingShape">
                    <wps:wsp>
                      <wps:cNvSpPr txBox="1"/>
                      <wps:spPr>
                        <a:xfrm>
                          <a:off x="0" y="0"/>
                          <a:ext cx="527050" cy="254000"/>
                        </a:xfrm>
                        <a:prstGeom prst="rect">
                          <a:avLst/>
                        </a:prstGeom>
                        <a:noFill/>
                        <a:ln w="6350">
                          <a:noFill/>
                        </a:ln>
                      </wps:spPr>
                      <wps:txbx>
                        <w:txbxContent>
                          <w:p w14:paraId="2D06637F" w14:textId="2D5456ED" w:rsidR="005C1F37" w:rsidRPr="005C1F37" w:rsidRDefault="005C1F37">
                            <w:pPr>
                              <w:rPr>
                                <w:rFonts w:ascii="ＭＳ ゴシック" w:eastAsia="ＭＳ ゴシック" w:hAnsi="ＭＳ ゴシック" w:cs="ＭＳ ゴシック"/>
                                <w:b/>
                                <w:bCs/>
                                <w:i/>
                                <w:iCs/>
                                <w:color w:val="FFFFFF" w:themeColor="background1"/>
                                <w:sz w:val="18"/>
                                <w:szCs w:val="18"/>
                                <w:lang w:eastAsia="ja-JP"/>
                              </w:rPr>
                            </w:pPr>
                            <w:r w:rsidRPr="005C1F37">
                              <w:rPr>
                                <w:rFonts w:ascii="ＭＳ ゴシック" w:eastAsia="ＭＳ ゴシック" w:hAnsi="ＭＳ ゴシック" w:cs="ＭＳ ゴシック" w:hint="eastAsia"/>
                                <w:b/>
                                <w:bCs/>
                                <w:i/>
                                <w:iCs/>
                                <w:color w:val="FFFFFF" w:themeColor="background1"/>
                                <w:sz w:val="18"/>
                                <w:szCs w:val="18"/>
                                <w:lang w:eastAsia="ja-JP"/>
                              </w:rPr>
                              <w:t>使用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86C41" id="テキスト ボックス 84" o:spid="_x0000_s1060" type="#_x0000_t202" style="position:absolute;left:0;text-align:left;margin-left:386.5pt;margin-top:19.45pt;width:41.5pt;height:20pt;z-index:2514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" filled="f" stroked="f" strokeweight=".5pt">
                <v:textbox>
                  <w:txbxContent>
                    <w:p w14:paraId="2D06637F" w14:textId="2D5456ED" w:rsidR="005C1F37" w:rsidRPr="005C1F37" w:rsidRDefault="005C1F37">
                      <w:pPr>
                        <w:rPr>
                          <w:rFonts w:ascii="ＭＳ ゴシック" w:eastAsia="ＭＳ ゴシック" w:hAnsi="ＭＳ ゴシック" w:cs="ＭＳ ゴシック"/>
                          <w:b/>
                          <w:bCs/>
                          <w:i/>
                          <w:iCs/>
                          <w:color w:val="FFFFFF" w:themeColor="background1"/>
                          <w:sz w:val="18"/>
                          <w:szCs w:val="18"/>
                          <w:lang w:eastAsia="ja-JP"/>
                        </w:rPr>
                      </w:pPr>
                      <w:r w:rsidRPr="005C1F37">
                        <w:rPr>
                          <w:rFonts w:ascii="ＭＳ ゴシック" w:eastAsia="ＭＳ ゴシック" w:hAnsi="ＭＳ ゴシック" w:cs="ＭＳ ゴシック" w:hint="eastAsia"/>
                          <w:b/>
                          <w:bCs/>
                          <w:i/>
                          <w:iCs/>
                          <w:color w:val="FFFFFF" w:themeColor="background1"/>
                          <w:sz w:val="18"/>
                          <w:szCs w:val="18"/>
                          <w:lang w:eastAsia="ja-JP"/>
                        </w:rPr>
                        <w:t>使用</w:t>
                      </w:r>
                    </w:p>
                  </w:txbxContent>
                </v:textbox>
              </v:shape>
            </w:pict>
          </mc:Fallback>
        </mc:AlternateContent>
      </w:r>
      <w:r w:rsidR="00000000">
        <w:pict w14:anchorId="6E647BB7">
          <v:group id="docshapegroup574" o:spid="_x0000_s3217" style="position:absolute;left:0;text-align:left;margin-left:56.7pt;margin-top:14.15pt;width:498.45pt;height:30.8pt;z-index:-251515392;mso-wrap-distance-left:0;mso-wrap-distance-right:0;mso-position-horizontal-relative:page;mso-position-vertical-relative:text" coordorigin="1134,243" coordsize="9969,616">
            <v:shape id="docshape575" o:spid="_x0000_s3227" style="position:absolute;left:8619;top:242;width:2483;height:616" coordorigin="8620,243" coordsize="2483,616" o:spt="100" adj="0,,0" path="m10558,243r-1759,l8695,246r-53,18l8623,315r-3,98l8620,688r3,98l8642,837r53,18l8799,858r1753,l10573,858r15,-2l10603,852r24,-9l10642,838r395,-207l11103,571r-8,-53l11059,481r-22,-14l10652,265r-25,-11l10605,247r-18,-3l10568,244r-5,l10558,243xm10585,244r-17,l10587,244r-2,xe" fillcolor="#f47836" stroked="f">
              <v:stroke joinstyle="round"/>
              <v:formulas/>
              <v:path arrowok="t" o:connecttype="segments"/>
            </v:shape>
            <v:shape id="docshape576" o:spid="_x0000_s3226" style="position:absolute;left:6820;top:242;width:2483;height:616" coordorigin="6820,243" coordsize="2483,616" o:spt="100" adj="0,,0" path="m8758,243r-1759,l6896,246r-53,18l6823,315r-3,98l6820,688r3,98l6843,837r53,18l6999,858r1753,l8773,858r15,-2l8804,852r23,-9l8842,838,9237,631r66,-60l9296,518r-37,-37l9237,467,8852,265r-25,-11l8805,247r-18,-3l8768,244r-5,l8758,243xm8785,244r-17,l8787,244r-2,xe" fillcolor="#ed1065" stroked="f">
              <v:stroke joinstyle="round"/>
              <v:formulas/>
              <v:path arrowok="t" o:connecttype="segments"/>
            </v:shape>
            <v:shape id="docshape577" o:spid="_x0000_s3225" style="position:absolute;left:4921;top:242;width:2483;height:616" coordorigin="4922,243" coordsize="2483,616" o:spt="100" adj="0,,0" path="m6859,243r-1759,l4997,246r-53,18l4924,315r-2,98l4922,688r2,98l4944,837r53,18l5100,858r1754,l6875,858r14,-2l6905,852r23,-9l6943,838,7338,631r66,-60l7397,518r-37,-37l7338,467,6954,265r-26,-11l6906,247r-17,-3l6870,244r-6,l6859,243xm6887,244r-17,l6889,244r-2,xe" fillcolor="#4f84c4" stroked="f">
              <v:stroke joinstyle="round"/>
              <v:formulas/>
              <v:path arrowok="t" o:connecttype="segments"/>
            </v:shape>
            <v:shape id="docshape578" o:spid="_x0000_s3224" style="position:absolute;left:3015;top:242;width:2483;height:616" coordorigin="3015,243" coordsize="2483,616" o:spt="100" adj="0,,0" path="m4953,243r-1759,l3091,246r-53,18l3018,315r-3,98l3015,688r3,98l3038,837r53,18l3194,858r1753,l4968,858r15,-2l4999,852r23,-9l5037,838,5432,631r66,-60l5491,518r-37,-37l5432,467,5047,265r-25,-11l5000,247r-18,-3l4963,244r-5,l4953,243xm4980,244r-17,l4982,244r-2,xe" fillcolor="#7f3f98" stroked="f">
              <v:stroke joinstyle="round"/>
              <v:formulas/>
              <v:path arrowok="t" o:connecttype="segments"/>
            </v:shape>
            <v:shape id="docshape579" o:spid="_x0000_s3223" style="position:absolute;left:1133;top:242;width:2483;height:616" coordorigin="1134,243" coordsize="2483,616" o:spt="100" adj="0,,0" path="m3072,243r-1759,l1209,246r-53,18l1137,315r-3,98l1134,688r3,98l1156,837r53,18l1313,858r1753,l3087,858r15,-2l3117,852r24,-9l3156,838,3550,631r67,-60l3609,518r-37,-37l3550,467,3166,265r-25,-11l3119,247r-18,-3l3082,244r-5,l3072,243xm3099,244r-17,l3101,244r-2,xe" fillcolor="#00aca1" stroked="f">
              <v:stroke joinstyle="round"/>
              <v:formulas/>
              <v:path arrowok="t" o:connecttype="segments"/>
            </v:shape>
            <v:shape id="docshape580" o:spid="_x0000_s3222" type="#_x0000_t202" style="position:absolute;left:1351;top:318;width:1675;height:422;v-text-anchor:middle" filled="f" stroked="f">
              <v:textbox style="mso-next-textbox:#docshape580" inset="0,0,0,0">
                <w:txbxContent>
                  <w:p w14:paraId="31EB1DF9" w14:textId="660D4C23" w:rsidR="0055291C" w:rsidRDefault="009268D3" w:rsidP="009268D3">
                    <w:pPr>
                      <w:spacing w:line="254" w:lineRule="auto"/>
                      <w:ind w:left="140" w:right="14" w:hanging="141"/>
                      <w:jc w:val="center"/>
                      <w:rPr>
                        <w:rFonts w:ascii="Arial"/>
                        <w:b/>
                        <w:i/>
                        <w:sz w:val="18"/>
                      </w:rPr>
                    </w:pPr>
                    <w:proofErr w:type="spellStart"/>
                    <w:r w:rsidRPr="009268D3">
                      <w:rPr>
                        <w:rFonts w:ascii="ＭＳ ゴシック" w:eastAsia="ＭＳ ゴシック" w:hAnsi="ＭＳ ゴシック" w:cs="ＭＳ ゴシック" w:hint="eastAsia"/>
                        <w:b/>
                        <w:i/>
                        <w:color w:val="FFFFFF"/>
                        <w:spacing w:val="-3"/>
                        <w:sz w:val="18"/>
                      </w:rPr>
                      <w:t>素材入手と</w:t>
                    </w:r>
                    <w:proofErr w:type="spellEnd"/>
                    <w:r>
                      <w:rPr>
                        <w:rFonts w:ascii="ＭＳ ゴシック" w:eastAsia="ＭＳ ゴシック" w:hAnsi="ＭＳ ゴシック" w:cs="ＭＳ ゴシック" w:hint="eastAsia"/>
                        <w:b/>
                        <w:i/>
                        <w:color w:val="FFFFFF"/>
                        <w:spacing w:val="-3"/>
                        <w:sz w:val="18"/>
                        <w:lang w:eastAsia="ja-JP"/>
                      </w:rPr>
                      <w:t>前処理</w:t>
                    </w:r>
                  </w:p>
                </w:txbxContent>
              </v:textbox>
            </v:shape>
            <v:shape id="docshape581" o:spid="_x0000_s3221" type="#_x0000_t202" style="position:absolute;left:3903;top:458;width:920;height:202" filled="f" stroked="f">
              <v:textbox style="mso-next-textbox:#docshape581" inset="0,0,0,0">
                <w:txbxContent>
                  <w:p w14:paraId="55069982" w14:textId="5CC2FF10" w:rsidR="0055291C" w:rsidRDefault="009268D3" w:rsidP="009268D3">
                    <w:pPr>
                      <w:spacing w:line="202" w:lineRule="exact"/>
                      <w:jc w:val="center"/>
                      <w:rPr>
                        <w:rFonts w:ascii="Arial"/>
                        <w:b/>
                        <w:i/>
                        <w:sz w:val="18"/>
                      </w:rPr>
                    </w:pPr>
                    <w:r>
                      <w:rPr>
                        <w:rFonts w:ascii="ＭＳ ゴシック" w:eastAsia="ＭＳ ゴシック" w:hAnsi="ＭＳ ゴシック" w:cs="ＭＳ ゴシック" w:hint="eastAsia"/>
                        <w:b/>
                        <w:i/>
                        <w:color w:val="FFFFFF"/>
                        <w:w w:val="95"/>
                        <w:sz w:val="18"/>
                        <w:lang w:eastAsia="ja-JP"/>
                      </w:rPr>
                      <w:t>生産</w:t>
                    </w:r>
                  </w:p>
                </w:txbxContent>
              </v:textbox>
            </v:shape>
            <v:shape id="docshape582" o:spid="_x0000_s3220" type="#_x0000_t202" style="position:absolute;left:5808;top:318;width:993;height:422;v-text-anchor:middle" filled="f" stroked="f">
              <v:textbox style="mso-next-textbox:#docshape582" inset="0,0,0,0">
                <w:txbxContent>
                  <w:p w14:paraId="0C164E43" w14:textId="1F970D33" w:rsidR="0055291C" w:rsidRDefault="005C1F37">
                    <w:pPr>
                      <w:spacing w:line="254" w:lineRule="auto"/>
                      <w:ind w:left="68" w:right="8" w:hanging="69"/>
                      <w:rPr>
                        <w:rFonts w:ascii="Arial"/>
                        <w:b/>
                        <w:i/>
                        <w:sz w:val="18"/>
                      </w:rPr>
                    </w:pPr>
                    <w:r>
                      <w:rPr>
                        <w:rFonts w:ascii="ＭＳ ゴシック" w:eastAsia="ＭＳ ゴシック" w:hAnsi="ＭＳ ゴシック" w:cs="ＭＳ ゴシック" w:hint="eastAsia"/>
                        <w:b/>
                        <w:i/>
                        <w:color w:val="FFFFFF"/>
                        <w:spacing w:val="-2"/>
                        <w:sz w:val="18"/>
                        <w:lang w:eastAsia="ja-JP"/>
                      </w:rPr>
                      <w:t>流通・保管</w:t>
                    </w:r>
                  </w:p>
                </w:txbxContent>
              </v:textbox>
            </v:shape>
            <v:shape id="docshape583" o:spid="_x0000_s3219" type="#_x0000_t202" style="position:absolute;left:7988;top:458;width:305;height:202" filled="f" stroked="f">
              <v:textbox style="mso-next-textbox:#docshape583" inset="0,0,0,0">
                <w:txbxContent>
                  <w:p w14:paraId="7BC9713F" w14:textId="5788C6F9" w:rsidR="0055291C" w:rsidRDefault="0055291C">
                    <w:pPr>
                      <w:spacing w:line="202" w:lineRule="exact"/>
                      <w:rPr>
                        <w:rFonts w:ascii="Arial"/>
                        <w:b/>
                        <w:i/>
                        <w:sz w:val="18"/>
                      </w:rPr>
                    </w:pPr>
                  </w:p>
                </w:txbxContent>
              </v:textbox>
            </v:shape>
            <v:shape id="docshape584" o:spid="_x0000_s3218" type="#_x0000_t202" style="position:absolute;left:9671;top:458;width:905;height:202" filled="f" stroked="f">
              <v:textbox style="mso-next-textbox:#docshape584" inset="0,0,0,0">
                <w:txbxContent>
                  <w:p w14:paraId="7F324E7F" w14:textId="056D6641" w:rsidR="0055291C" w:rsidRPr="005C1F37" w:rsidRDefault="005C1F37">
                    <w:pPr>
                      <w:spacing w:line="202" w:lineRule="exact"/>
                      <w:rPr>
                        <w:rFonts w:ascii="ＭＳ ゴシック" w:eastAsia="ＭＳ ゴシック" w:hAnsi="ＭＳ ゴシック" w:cs="ＭＳ ゴシック"/>
                        <w:b/>
                        <w:i/>
                        <w:color w:val="FFFFFF" w:themeColor="background1"/>
                        <w:sz w:val="18"/>
                        <w:lang w:eastAsia="ja-JP"/>
                      </w:rPr>
                    </w:pPr>
                    <w:r w:rsidRPr="005C1F37">
                      <w:rPr>
                        <w:rFonts w:ascii="ＭＳ ゴシック" w:eastAsia="ＭＳ ゴシック" w:hAnsi="ＭＳ ゴシック" w:cs="ＭＳ ゴシック" w:hint="eastAsia"/>
                        <w:b/>
                        <w:i/>
                        <w:color w:val="FFFFFF" w:themeColor="background1"/>
                        <w:sz w:val="18"/>
                        <w:lang w:eastAsia="ja-JP"/>
                      </w:rPr>
                      <w:t>廃棄</w:t>
                    </w:r>
                  </w:p>
                </w:txbxContent>
              </v:textbox>
            </v:shape>
            <w10:wrap type="topAndBottom" anchorx="page"/>
          </v:group>
        </w:pict>
      </w:r>
      <w:r w:rsidR="00000000">
        <w:pict w14:anchorId="1FEB08E1">
          <v:group id="docshapegroup585" o:spid="_x0000_s3181" style="position:absolute;left:0;text-align:left;margin-left:56.7pt;margin-top:51.5pt;width:498.65pt;height:282.2pt;z-index:-251514368;mso-wrap-distance-left:0;mso-wrap-distance-right:0;mso-position-horizontal-relative:page;mso-position-vertical-relative:text" coordorigin="1134,1030" coordsize="9973,5644">
            <v:shape id="docshape586" o:spid="_x0000_s3216" type="#_x0000_t75" style="position:absolute;left:1133;top:1056;width:9973;height:5617">
              <v:imagedata r:id="rId143" o:title=""/>
            </v:shape>
            <v:shape id="docshape587" o:spid="_x0000_s3215" type="#_x0000_t202" style="position:absolute;left:1214;top:1030;width:177;height:337" filled="f" stroked="f">
              <v:textbox style="mso-next-textbox:#docshape587" inset="0,0,0,0">
                <w:txbxContent>
                  <w:p w14:paraId="69FF4CFD" w14:textId="77777777" w:rsidR="0055291C" w:rsidRDefault="00F23C61">
                    <w:pPr>
                      <w:spacing w:line="336" w:lineRule="exact"/>
                      <w:rPr>
                        <w:rFonts w:ascii="Arial"/>
                        <w:b/>
                        <w:i/>
                        <w:sz w:val="30"/>
                      </w:rPr>
                    </w:pPr>
                    <w:r>
                      <w:rPr>
                        <w:rFonts w:ascii="Arial"/>
                        <w:b/>
                        <w:i/>
                        <w:color w:val="FFFFFF"/>
                        <w:w w:val="94"/>
                        <w:sz w:val="30"/>
                      </w:rPr>
                      <w:t>e</w:t>
                    </w:r>
                  </w:p>
                </w:txbxContent>
              </v:textbox>
            </v:shape>
            <v:shape id="docshape588" o:spid="_x0000_s3214" type="#_x0000_t202" style="position:absolute;left:1468;top:1322;width:1221;height:662;v-text-anchor:middle" filled="f" stroked="f">
              <v:textbox style="mso-next-textbox:#docshape588" inset="0,0,0,0">
                <w:txbxContent>
                  <w:p w14:paraId="6CD0EDB8" w14:textId="24DEFF60" w:rsidR="0055291C" w:rsidRDefault="00790DCB">
                    <w:pPr>
                      <w:spacing w:before="20" w:line="203" w:lineRule="exact"/>
                      <w:ind w:right="18"/>
                      <w:jc w:val="center"/>
                      <w:rPr>
                        <w:rFonts w:ascii="Arial"/>
                        <w:b/>
                        <w:i/>
                        <w:sz w:val="18"/>
                      </w:rPr>
                    </w:pPr>
                    <w:r>
                      <w:rPr>
                        <w:rFonts w:ascii="ＭＳ ゴシック" w:eastAsia="ＭＳ ゴシック" w:hAnsi="ＭＳ ゴシック" w:cs="ＭＳ ゴシック" w:hint="eastAsia"/>
                        <w:b/>
                        <w:i/>
                        <w:color w:val="FFFFFF"/>
                        <w:spacing w:val="-3"/>
                        <w:w w:val="95"/>
                        <w:sz w:val="18"/>
                        <w:lang w:eastAsia="ja-JP"/>
                      </w:rPr>
                      <w:t>平鋼の前処理</w:t>
                    </w:r>
                  </w:p>
                </w:txbxContent>
              </v:textbox>
            </v:shape>
            <v:shape id="docshape589" o:spid="_x0000_s3213" type="#_x0000_t202" style="position:absolute;left:2946;top:1515;width:273;height:337" filled="f" stroked="f">
              <v:textbox style="mso-next-textbox:#docshape589" inset="0,0,0,0">
                <w:txbxContent>
                  <w:p w14:paraId="7DAFFBFC" w14:textId="77777777" w:rsidR="0055291C" w:rsidRDefault="00F23C61">
                    <w:pPr>
                      <w:spacing w:line="336" w:lineRule="exact"/>
                      <w:rPr>
                        <w:rFonts w:ascii="Arial"/>
                        <w:b/>
                        <w:i/>
                        <w:sz w:val="30"/>
                      </w:rPr>
                    </w:pPr>
                    <w:r>
                      <w:rPr>
                        <w:rFonts w:ascii="Arial"/>
                        <w:b/>
                        <w:i/>
                        <w:color w:val="FFFFFF"/>
                        <w:w w:val="94"/>
                        <w:sz w:val="30"/>
                      </w:rPr>
                      <w:t>m</w:t>
                    </w:r>
                  </w:p>
                </w:txbxContent>
              </v:textbox>
            </v:shape>
            <v:shape id="docshape590" o:spid="_x0000_s3212" type="#_x0000_t202" style="position:absolute;left:3598;top:1625;width:177;height:337" filled="f" stroked="f">
              <v:textbox style="mso-next-textbox:#docshape590" inset="0,0,0,0">
                <w:txbxContent>
                  <w:p w14:paraId="67D64C99" w14:textId="77777777" w:rsidR="0055291C" w:rsidRDefault="00F23C61">
                    <w:pPr>
                      <w:spacing w:line="336" w:lineRule="exact"/>
                      <w:rPr>
                        <w:rFonts w:ascii="Arial"/>
                        <w:b/>
                        <w:i/>
                        <w:sz w:val="30"/>
                      </w:rPr>
                    </w:pPr>
                    <w:r>
                      <w:rPr>
                        <w:rFonts w:ascii="Arial"/>
                        <w:b/>
                        <w:i/>
                        <w:color w:val="FFFFFF"/>
                        <w:w w:val="94"/>
                        <w:sz w:val="30"/>
                      </w:rPr>
                      <w:t>e</w:t>
                    </w:r>
                  </w:p>
                </w:txbxContent>
              </v:textbox>
            </v:shape>
            <v:shape id="docshape591" o:spid="_x0000_s3211" type="#_x0000_t202" style="position:absolute;left:1214;top:2145;width:177;height:337" filled="f" stroked="f">
              <v:textbox style="mso-next-textbox:#docshape591" inset="0,0,0,0">
                <w:txbxContent>
                  <w:p w14:paraId="3C0069FF" w14:textId="77777777" w:rsidR="0055291C" w:rsidRDefault="00F23C61">
                    <w:pPr>
                      <w:spacing w:line="336" w:lineRule="exact"/>
                      <w:rPr>
                        <w:rFonts w:ascii="Arial"/>
                        <w:b/>
                        <w:i/>
                        <w:sz w:val="30"/>
                      </w:rPr>
                    </w:pPr>
                    <w:r>
                      <w:rPr>
                        <w:rFonts w:ascii="Arial"/>
                        <w:b/>
                        <w:i/>
                        <w:color w:val="FFFFFF"/>
                        <w:w w:val="94"/>
                        <w:sz w:val="30"/>
                      </w:rPr>
                      <w:t>e</w:t>
                    </w:r>
                  </w:p>
                </w:txbxContent>
              </v:textbox>
            </v:shape>
            <v:shape id="docshape592" o:spid="_x0000_s3210" type="#_x0000_t202" style="position:absolute;left:1468;top:2437;width:1221;height:662" filled="f" stroked="f">
              <v:textbox style="mso-next-textbox:#docshape592" inset="0,0,0,0">
                <w:txbxContent>
                  <w:p w14:paraId="510BC4B1" w14:textId="68E81AB1" w:rsidR="0055291C" w:rsidRPr="00790DCB" w:rsidRDefault="00790DCB">
                    <w:pPr>
                      <w:spacing w:line="266" w:lineRule="auto"/>
                      <w:ind w:left="172" w:right="8" w:hanging="173"/>
                      <w:rPr>
                        <w:rFonts w:ascii="Arial"/>
                        <w:b/>
                        <w:i/>
                        <w:color w:val="FFFFFF" w:themeColor="background1"/>
                        <w:sz w:val="18"/>
                        <w:lang w:eastAsia="ja-JP"/>
                      </w:rPr>
                    </w:pPr>
                    <w:r w:rsidRPr="00790DCB">
                      <w:rPr>
                        <w:rFonts w:ascii="ＭＳ ゴシック" w:eastAsia="ＭＳ ゴシック" w:hAnsi="ＭＳ ゴシック" w:cs="ＭＳ ゴシック" w:hint="eastAsia"/>
                        <w:b/>
                        <w:i/>
                        <w:color w:val="FFFFFF" w:themeColor="background1"/>
                        <w:sz w:val="18"/>
                        <w:lang w:eastAsia="ja-JP"/>
                      </w:rPr>
                      <w:t>プラスチッ</w:t>
                    </w:r>
                    <w:r>
                      <w:rPr>
                        <w:rFonts w:ascii="ＭＳ ゴシック" w:eastAsia="ＭＳ ゴシック" w:hAnsi="ＭＳ ゴシック" w:cs="ＭＳ ゴシック" w:hint="eastAsia"/>
                        <w:b/>
                        <w:i/>
                        <w:color w:val="FFFFFF" w:themeColor="background1"/>
                        <w:sz w:val="18"/>
                        <w:lang w:eastAsia="ja-JP"/>
                      </w:rPr>
                      <w:t>ク</w:t>
                    </w:r>
                    <w:r w:rsidRPr="00790DCB">
                      <w:rPr>
                        <w:rFonts w:ascii="ＭＳ ゴシック" w:eastAsia="ＭＳ ゴシック" w:hAnsi="ＭＳ ゴシック" w:cs="ＭＳ ゴシック" w:hint="eastAsia"/>
                        <w:b/>
                        <w:i/>
                        <w:color w:val="FFFFFF" w:themeColor="background1"/>
                        <w:sz w:val="18"/>
                        <w:lang w:eastAsia="ja-JP"/>
                      </w:rPr>
                      <w:t>の前処理</w:t>
                    </w:r>
                  </w:p>
                </w:txbxContent>
              </v:textbox>
            </v:shape>
            <v:shape id="docshape593" o:spid="_x0000_s3209" type="#_x0000_t202" style="position:absolute;left:2946;top:2411;width:273;height:337" filled="f" stroked="f">
              <v:textbox style="mso-next-textbox:#docshape593" inset="0,0,0,0">
                <w:txbxContent>
                  <w:p w14:paraId="5ED5F7A5" w14:textId="77777777" w:rsidR="0055291C" w:rsidRDefault="00F23C61">
                    <w:pPr>
                      <w:spacing w:line="336" w:lineRule="exact"/>
                      <w:rPr>
                        <w:rFonts w:ascii="Arial"/>
                        <w:b/>
                        <w:i/>
                        <w:sz w:val="30"/>
                      </w:rPr>
                    </w:pPr>
                    <w:r>
                      <w:rPr>
                        <w:rFonts w:ascii="Arial"/>
                        <w:b/>
                        <w:i/>
                        <w:color w:val="FFFFFF"/>
                        <w:w w:val="94"/>
                        <w:sz w:val="30"/>
                      </w:rPr>
                      <w:t>m</w:t>
                    </w:r>
                  </w:p>
                </w:txbxContent>
              </v:textbox>
            </v:shape>
            <v:shape id="docshape594" o:spid="_x0000_s3208" type="#_x0000_t202" style="position:absolute;left:3739;top:1969;width:1241;height:642;v-text-anchor:middle" filled="f" stroked="f">
              <v:textbox style="mso-next-textbox:#docshape594" inset="0,0,0,0">
                <w:txbxContent>
                  <w:p w14:paraId="1C90ECF2" w14:textId="23954698" w:rsidR="0055291C" w:rsidRDefault="00D920D8">
                    <w:pPr>
                      <w:spacing w:line="203" w:lineRule="exact"/>
                      <w:ind w:right="18"/>
                      <w:jc w:val="center"/>
                      <w:rPr>
                        <w:rFonts w:ascii="Arial"/>
                        <w:b/>
                        <w:i/>
                        <w:sz w:val="18"/>
                      </w:rPr>
                    </w:pPr>
                    <w:r>
                      <w:rPr>
                        <w:rFonts w:ascii="ＭＳ ゴシック" w:eastAsia="ＭＳ ゴシック" w:hAnsi="ＭＳ ゴシック" w:cs="ＭＳ ゴシック" w:hint="eastAsia"/>
                        <w:b/>
                        <w:i/>
                        <w:color w:val="FFFFFF"/>
                        <w:w w:val="105"/>
                        <w:sz w:val="18"/>
                        <w:lang w:eastAsia="ja-JP"/>
                      </w:rPr>
                      <w:t>部品製造</w:t>
                    </w:r>
                  </w:p>
                </w:txbxContent>
              </v:textbox>
            </v:shape>
            <v:shape id="docshape595" o:spid="_x0000_s3207" type="#_x0000_t202" style="position:absolute;left:5565;top:2122;width:177;height:337" filled="f" stroked="f">
              <v:textbox style="mso-next-textbox:#docshape595" inset="0,0,0,0">
                <w:txbxContent>
                  <w:p w14:paraId="44E1C378" w14:textId="5B9463AD" w:rsidR="0055291C" w:rsidRDefault="00F23C61">
                    <w:pPr>
                      <w:spacing w:line="336" w:lineRule="exact"/>
                      <w:rPr>
                        <w:rFonts w:ascii="Arial"/>
                        <w:b/>
                        <w:i/>
                        <w:sz w:val="30"/>
                      </w:rPr>
                    </w:pPr>
                    <w:proofErr w:type="spellStart"/>
                    <w:r>
                      <w:rPr>
                        <w:rFonts w:ascii="Arial"/>
                        <w:b/>
                        <w:i/>
                        <w:color w:val="FFFFFF"/>
                        <w:w w:val="94"/>
                        <w:sz w:val="30"/>
                      </w:rPr>
                      <w:t>e</w:t>
                    </w:r>
                    <w:r w:rsidR="00D920D8">
                      <w:rPr>
                        <w:rFonts w:ascii="Arial"/>
                        <w:b/>
                        <w:i/>
                        <w:color w:val="FFFFFF"/>
                        <w:w w:val="94"/>
                        <w:sz w:val="30"/>
                      </w:rPr>
                      <w:t>e</w:t>
                    </w:r>
                    <w:proofErr w:type="spellEnd"/>
                  </w:p>
                </w:txbxContent>
              </v:textbox>
            </v:shape>
            <v:shape id="docshape596" o:spid="_x0000_s3206" type="#_x0000_t202" style="position:absolute;left:6184;top:2517;width:463;height:422;v-text-anchor:top" filled="f" stroked="f">
              <v:textbox style="mso-next-textbox:#docshape596" inset="0,0,0,0">
                <w:txbxContent>
                  <w:p w14:paraId="6BC4D6CE" w14:textId="75A9AF92" w:rsidR="008346CF" w:rsidRDefault="00D920D8">
                    <w:r>
                      <w:rPr>
                        <w:rFonts w:ascii="ＭＳ ゴシック" w:eastAsia="ＭＳ ゴシック" w:hAnsi="ＭＳ ゴシック" w:cs="ＭＳ ゴシック" w:hint="eastAsia"/>
                        <w:b/>
                        <w:i/>
                        <w:color w:val="FFFFFF"/>
                        <w:w w:val="105"/>
                        <w:sz w:val="18"/>
                        <w:lang w:eastAsia="ja-JP"/>
                      </w:rPr>
                      <w:t>販売</w:t>
                    </w:r>
                  </w:p>
                </w:txbxContent>
              </v:textbox>
            </v:shape>
            <v:shape id="docshape597" o:spid="_x0000_s3205" type="#_x0000_t202" style="position:absolute;left:7472;top:2735;width:177;height:337" filled="f" stroked="f">
              <v:textbox style="mso-next-textbox:#docshape597" inset="0,0,0,0">
                <w:txbxContent>
                  <w:p w14:paraId="5C8ACA9C" w14:textId="77777777" w:rsidR="0055291C" w:rsidRDefault="00D920D8">
                    <w:pPr>
                      <w:spacing w:line="336" w:lineRule="exact"/>
                      <w:rPr>
                        <w:rFonts w:ascii="Arial"/>
                        <w:b/>
                        <w:i/>
                        <w:sz w:val="30"/>
                      </w:rPr>
                    </w:pPr>
                    <w:r>
                      <w:rPr>
                        <w:rFonts w:ascii="Arial"/>
                        <w:b/>
                        <w:i/>
                        <w:color w:val="FFFFFF"/>
                        <w:w w:val="94"/>
                        <w:sz w:val="30"/>
                      </w:rPr>
                      <w:t>e</w:t>
                    </w:r>
                  </w:p>
                  <w:p w14:paraId="538BA0C8" w14:textId="77777777" w:rsidR="008346CF" w:rsidRDefault="00D920D8">
                    <w:r>
                      <w:rPr>
                        <w:rFonts w:ascii="ＭＳ ゴシック" w:eastAsia="ＭＳ ゴシック" w:hAnsi="ＭＳ ゴシック" w:cs="ＭＳ ゴシック" w:hint="eastAsia"/>
                        <w:b/>
                        <w:i/>
                        <w:color w:val="FFFFFF"/>
                        <w:w w:val="105"/>
                        <w:sz w:val="18"/>
                        <w:lang w:eastAsia="ja-JP"/>
                      </w:rPr>
                      <w:t>販売</w:t>
                    </w:r>
                  </w:p>
                </w:txbxContent>
              </v:textbox>
            </v:shape>
            <v:shape id="docshape598" o:spid="_x0000_s3204" type="#_x0000_t202" style="position:absolute;left:1214;top:3129;width:7274;height:505" filled="f" stroked="f">
              <v:textbox style="mso-next-textbox:#docshape598" inset="0,0,0,0">
                <w:txbxContent>
                  <w:p w14:paraId="466AB910" w14:textId="0D750689" w:rsidR="0055291C" w:rsidRPr="00D920D8" w:rsidRDefault="00D920D8">
                    <w:pPr>
                      <w:spacing w:line="186" w:lineRule="exact"/>
                      <w:ind w:right="27"/>
                      <w:jc w:val="right"/>
                      <w:rPr>
                        <w:rFonts w:ascii="Arial" w:eastAsiaTheme="minorEastAsia"/>
                        <w:b/>
                        <w:i/>
                        <w:color w:val="FFFFFF" w:themeColor="background1"/>
                        <w:sz w:val="18"/>
                        <w:lang w:eastAsia="ja-JP"/>
                      </w:rPr>
                    </w:pPr>
                    <w:r w:rsidRPr="00D920D8">
                      <w:rPr>
                        <w:rFonts w:ascii="Arial" w:eastAsiaTheme="minorEastAsia" w:hint="eastAsia"/>
                        <w:b/>
                        <w:i/>
                        <w:color w:val="FFFFFF" w:themeColor="background1"/>
                        <w:sz w:val="18"/>
                        <w:lang w:eastAsia="ja-JP"/>
                      </w:rPr>
                      <w:t>使用</w:t>
                    </w:r>
                  </w:p>
                  <w:p w14:paraId="074A830B" w14:textId="5A79042B" w:rsidR="0055291C" w:rsidRDefault="00F23C61" w:rsidP="00D920D8">
                    <w:pPr>
                      <w:tabs>
                        <w:tab w:val="left" w:pos="6971"/>
                      </w:tabs>
                      <w:spacing w:line="318" w:lineRule="exact"/>
                      <w:rPr>
                        <w:rFonts w:ascii="Arial"/>
                        <w:b/>
                        <w:i/>
                        <w:sz w:val="18"/>
                      </w:rPr>
                    </w:pPr>
                    <w:r>
                      <w:rPr>
                        <w:rFonts w:ascii="Arial"/>
                        <w:b/>
                        <w:i/>
                        <w:color w:val="FFFFFF"/>
                        <w:position w:val="-5"/>
                        <w:sz w:val="30"/>
                      </w:rPr>
                      <w:t>e</w:t>
                    </w:r>
                  </w:p>
                </w:txbxContent>
              </v:textbox>
            </v:shape>
            <v:shape id="docshape599" o:spid="_x0000_s3203" type="#_x0000_t202" style="position:absolute;left:9495;top:3283;width:177;height:337" filled="f" stroked="f">
              <v:textbox style="mso-next-textbox:#docshape599" inset="0,0,0,0">
                <w:txbxContent>
                  <w:p w14:paraId="07D1DA02" w14:textId="77777777" w:rsidR="0055291C" w:rsidRDefault="00F23C61">
                    <w:pPr>
                      <w:spacing w:line="336" w:lineRule="exact"/>
                      <w:rPr>
                        <w:rFonts w:ascii="Arial"/>
                        <w:b/>
                        <w:i/>
                        <w:sz w:val="30"/>
                      </w:rPr>
                    </w:pPr>
                    <w:r>
                      <w:rPr>
                        <w:rFonts w:ascii="Arial"/>
                        <w:b/>
                        <w:i/>
                        <w:color w:val="FFFFFF"/>
                        <w:w w:val="94"/>
                        <w:sz w:val="30"/>
                      </w:rPr>
                      <w:t>e</w:t>
                    </w:r>
                  </w:p>
                </w:txbxContent>
              </v:textbox>
            </v:shape>
            <v:shape id="docshape600" o:spid="_x0000_s3202" type="#_x0000_t202" style="position:absolute;left:1468;top:3589;width:1221;height:642;v-text-anchor:middle" filled="f" stroked="f">
              <v:textbox style="mso-next-textbox:#docshape600" inset="0,0,0,0">
                <w:txbxContent>
                  <w:p w14:paraId="120E42E3" w14:textId="3EE406DC" w:rsidR="00790DCB" w:rsidRDefault="00790DCB" w:rsidP="00790DCB">
                    <w:pPr>
                      <w:spacing w:line="254" w:lineRule="auto"/>
                      <w:ind w:right="18"/>
                      <w:jc w:val="center"/>
                      <w:rPr>
                        <w:rFonts w:ascii="Arial"/>
                        <w:b/>
                        <w:i/>
                        <w:sz w:val="18"/>
                      </w:rPr>
                    </w:pPr>
                    <w:r>
                      <w:rPr>
                        <w:rFonts w:ascii="ＭＳ ゴシック" w:eastAsia="ＭＳ ゴシック" w:hAnsi="ＭＳ ゴシック" w:cs="ＭＳ ゴシック" w:hint="eastAsia"/>
                        <w:b/>
                        <w:i/>
                        <w:color w:val="FFFFFF"/>
                        <w:spacing w:val="-3"/>
                        <w:w w:val="95"/>
                        <w:sz w:val="18"/>
                        <w:lang w:eastAsia="ja-JP"/>
                      </w:rPr>
                      <w:t>塗装の下準備</w:t>
                    </w:r>
                  </w:p>
                  <w:p w14:paraId="4828C5A6" w14:textId="2B54E4F3" w:rsidR="0055291C" w:rsidRDefault="0055291C">
                    <w:pPr>
                      <w:spacing w:line="203" w:lineRule="exact"/>
                      <w:ind w:right="18"/>
                      <w:jc w:val="center"/>
                      <w:rPr>
                        <w:rFonts w:ascii="Arial"/>
                        <w:b/>
                        <w:i/>
                        <w:sz w:val="18"/>
                      </w:rPr>
                    </w:pPr>
                  </w:p>
                </w:txbxContent>
              </v:textbox>
            </v:shape>
            <v:shape id="docshape601" o:spid="_x0000_s3201" type="#_x0000_t202" style="position:absolute;left:2946;top:3777;width:273;height:337" filled="f" stroked="f">
              <v:textbox style="mso-next-textbox:#docshape601" inset="0,0,0,0">
                <w:txbxContent>
                  <w:p w14:paraId="4B4CF957" w14:textId="77777777" w:rsidR="0055291C" w:rsidRDefault="00F23C61">
                    <w:pPr>
                      <w:spacing w:line="336" w:lineRule="exact"/>
                      <w:rPr>
                        <w:rFonts w:ascii="Arial"/>
                        <w:b/>
                        <w:i/>
                        <w:sz w:val="30"/>
                      </w:rPr>
                    </w:pPr>
                    <w:r>
                      <w:rPr>
                        <w:rFonts w:ascii="Arial"/>
                        <w:b/>
                        <w:i/>
                        <w:color w:val="FFFFFF"/>
                        <w:w w:val="94"/>
                        <w:sz w:val="30"/>
                      </w:rPr>
                      <w:t>m</w:t>
                    </w:r>
                  </w:p>
                </w:txbxContent>
              </v:textbox>
            </v:shape>
            <v:shape id="docshape602" o:spid="_x0000_s3200" type="#_x0000_t202" style="position:absolute;left:3509;top:3786;width:177;height:337" filled="f" stroked="f">
              <v:textbox style="mso-next-textbox:#docshape602" inset="0,0,0,0">
                <w:txbxContent>
                  <w:p w14:paraId="0702CD80" w14:textId="77777777" w:rsidR="0055291C" w:rsidRDefault="00F23C61">
                    <w:pPr>
                      <w:spacing w:line="336" w:lineRule="exact"/>
                      <w:rPr>
                        <w:rFonts w:ascii="Arial"/>
                        <w:b/>
                        <w:i/>
                        <w:sz w:val="30"/>
                      </w:rPr>
                    </w:pPr>
                    <w:r>
                      <w:rPr>
                        <w:rFonts w:ascii="Arial"/>
                        <w:b/>
                        <w:i/>
                        <w:color w:val="FFFFFF"/>
                        <w:w w:val="94"/>
                        <w:sz w:val="30"/>
                      </w:rPr>
                      <w:t>e</w:t>
                    </w:r>
                  </w:p>
                </w:txbxContent>
              </v:textbox>
            </v:shape>
            <v:shape id="docshape603" o:spid="_x0000_s3199" type="#_x0000_t202" style="position:absolute;left:5565;top:3801;width:177;height:337" filled="f" stroked="f">
              <v:textbox style="mso-next-textbox:#docshape603" inset="0,0,0,0">
                <w:txbxContent>
                  <w:p w14:paraId="38E6A167" w14:textId="77777777" w:rsidR="0055291C" w:rsidRDefault="00F23C61">
                    <w:pPr>
                      <w:spacing w:line="336" w:lineRule="exact"/>
                      <w:rPr>
                        <w:rFonts w:ascii="Arial"/>
                        <w:b/>
                        <w:i/>
                        <w:sz w:val="30"/>
                      </w:rPr>
                    </w:pPr>
                    <w:r>
                      <w:rPr>
                        <w:rFonts w:ascii="Arial"/>
                        <w:b/>
                        <w:i/>
                        <w:color w:val="FFFFFF"/>
                        <w:w w:val="94"/>
                        <w:sz w:val="30"/>
                      </w:rPr>
                      <w:t>e</w:t>
                    </w:r>
                  </w:p>
                </w:txbxContent>
              </v:textbox>
            </v:shape>
            <v:shape id="docshape604" o:spid="_x0000_s3198" type="#_x0000_t202" style="position:absolute;left:9864;top:3669;width:992;height:422;v-text-anchor:middle" filled="f" stroked="f">
              <v:textbox style="mso-next-textbox:#docshape604" inset="0,0,0,0">
                <w:txbxContent>
                  <w:p w14:paraId="38FF19D2" w14:textId="43C22A28" w:rsidR="0055291C" w:rsidRDefault="00DA2DF1">
                    <w:pPr>
                      <w:spacing w:line="254" w:lineRule="auto"/>
                      <w:ind w:right="12" w:firstLine="355"/>
                      <w:rPr>
                        <w:rFonts w:ascii="Arial"/>
                        <w:b/>
                        <w:i/>
                        <w:sz w:val="18"/>
                      </w:rPr>
                    </w:pPr>
                    <w:r>
                      <w:rPr>
                        <w:rFonts w:ascii="ＭＳ ゴシック" w:eastAsia="ＭＳ ゴシック" w:hAnsi="ＭＳ ゴシック" w:cs="ＭＳ ゴシック" w:hint="eastAsia"/>
                        <w:b/>
                        <w:i/>
                        <w:color w:val="FFFFFF"/>
                        <w:sz w:val="18"/>
                        <w:lang w:eastAsia="ja-JP"/>
                      </w:rPr>
                      <w:t>解体</w:t>
                    </w:r>
                  </w:p>
                </w:txbxContent>
              </v:textbox>
            </v:shape>
            <v:shape id="docshape605" o:spid="_x0000_s3197" type="#_x0000_t202" style="position:absolute;left:1214;top:4450;width:177;height:337" filled="f" stroked="f">
              <v:textbox style="mso-next-textbox:#docshape605" inset="0,0,0,0">
                <w:txbxContent>
                  <w:p w14:paraId="4A14914D" w14:textId="77777777" w:rsidR="0055291C" w:rsidRDefault="00F23C61">
                    <w:pPr>
                      <w:spacing w:line="336" w:lineRule="exact"/>
                      <w:rPr>
                        <w:rFonts w:ascii="Arial"/>
                        <w:b/>
                        <w:i/>
                        <w:sz w:val="30"/>
                      </w:rPr>
                    </w:pPr>
                    <w:r>
                      <w:rPr>
                        <w:rFonts w:ascii="Arial"/>
                        <w:b/>
                        <w:i/>
                        <w:color w:val="FFFFFF"/>
                        <w:w w:val="94"/>
                        <w:sz w:val="30"/>
                      </w:rPr>
                      <w:t>e</w:t>
                    </w:r>
                  </w:p>
                </w:txbxContent>
              </v:textbox>
            </v:shape>
            <v:shape id="docshape606" o:spid="_x0000_s3196" type="#_x0000_t202" style="position:absolute;left:3965;top:4209;width:789;height:422;v-text-anchor:middle" filled="f" stroked="f">
              <v:textbox style="mso-next-textbox:#docshape606" inset="0,0,0,0">
                <w:txbxContent>
                  <w:p w14:paraId="1C56D16F" w14:textId="1DBFCC24" w:rsidR="0055291C" w:rsidRPr="00D920D8" w:rsidRDefault="00D920D8" w:rsidP="00D920D8">
                    <w:pPr>
                      <w:spacing w:line="254" w:lineRule="auto"/>
                      <w:ind w:right="5"/>
                      <w:rPr>
                        <w:rFonts w:ascii="ＭＳ ゴシック" w:eastAsia="ＭＳ ゴシック" w:hAnsi="ＭＳ ゴシック" w:cs="ＭＳ ゴシック"/>
                        <w:b/>
                        <w:i/>
                        <w:color w:val="FFFFFF"/>
                        <w:sz w:val="18"/>
                        <w:lang w:eastAsia="ja-JP"/>
                      </w:rPr>
                    </w:pPr>
                    <w:r>
                      <w:rPr>
                        <w:rFonts w:ascii="ＭＳ ゴシック" w:eastAsia="ＭＳ ゴシック" w:hAnsi="ＭＳ ゴシック" w:cs="ＭＳ ゴシック" w:hint="eastAsia"/>
                        <w:b/>
                        <w:i/>
                        <w:color w:val="FFFFFF"/>
                        <w:sz w:val="18"/>
                        <w:lang w:eastAsia="ja-JP"/>
                      </w:rPr>
                      <w:t>組み立て</w:t>
                    </w:r>
                  </w:p>
                </w:txbxContent>
              </v:textbox>
            </v:shape>
            <v:shape id="docshape607" o:spid="_x0000_s3195" type="#_x0000_t202" style="position:absolute;left:6028;top:4209;width:774;height:422;v-text-anchor:middle" filled="f" stroked="f">
              <v:textbox style="mso-next-textbox:#docshape607" inset="0,0,0,0">
                <w:txbxContent>
                  <w:p w14:paraId="164A6B43" w14:textId="5B89C31D" w:rsidR="0055291C" w:rsidRDefault="00D920D8">
                    <w:pPr>
                      <w:spacing w:line="254" w:lineRule="auto"/>
                      <w:ind w:right="1" w:firstLine="246"/>
                      <w:rPr>
                        <w:rFonts w:ascii="Arial"/>
                        <w:b/>
                        <w:i/>
                        <w:sz w:val="18"/>
                      </w:rPr>
                    </w:pPr>
                    <w:r>
                      <w:rPr>
                        <w:rFonts w:ascii="ＭＳ ゴシック" w:eastAsia="ＭＳ ゴシック" w:hAnsi="ＭＳ ゴシック" w:cs="ＭＳ ゴシック" w:hint="eastAsia"/>
                        <w:b/>
                        <w:i/>
                        <w:color w:val="FFFFFF"/>
                        <w:sz w:val="18"/>
                        <w:lang w:eastAsia="ja-JP"/>
                      </w:rPr>
                      <w:t>輸送</w:t>
                    </w:r>
                  </w:p>
                </w:txbxContent>
              </v:textbox>
            </v:shape>
            <v:shape id="docshape608" o:spid="_x0000_s3194" type="#_x0000_t202" style="position:absolute;left:9495;top:4436;width:177;height:337" filled="f" stroked="f">
              <v:textbox style="mso-next-textbox:#docshape608" inset="0,0,0,0">
                <w:txbxContent>
                  <w:p w14:paraId="18517674" w14:textId="77777777" w:rsidR="0055291C" w:rsidRDefault="00F23C61">
                    <w:pPr>
                      <w:spacing w:line="336" w:lineRule="exact"/>
                      <w:rPr>
                        <w:rFonts w:ascii="Arial"/>
                        <w:b/>
                        <w:i/>
                        <w:sz w:val="30"/>
                      </w:rPr>
                    </w:pPr>
                    <w:r>
                      <w:rPr>
                        <w:rFonts w:ascii="Arial"/>
                        <w:b/>
                        <w:i/>
                        <w:color w:val="FFFFFF"/>
                        <w:w w:val="94"/>
                        <w:sz w:val="30"/>
                      </w:rPr>
                      <w:t>e</w:t>
                    </w:r>
                  </w:p>
                </w:txbxContent>
              </v:textbox>
            </v:shape>
            <v:shape id="docshape609" o:spid="_x0000_s3193" type="#_x0000_t202" style="position:absolute;left:1468;top:4742;width:1221;height:642;v-text-anchor:middle" filled="f" stroked="f">
              <v:textbox style="mso-next-textbox:#docshape609" inset="0,0,0,0">
                <w:txbxContent>
                  <w:p w14:paraId="4310D5C5" w14:textId="4D58B79E" w:rsidR="0055291C" w:rsidRDefault="00790DCB">
                    <w:pPr>
                      <w:spacing w:line="203" w:lineRule="exact"/>
                      <w:ind w:right="18"/>
                      <w:jc w:val="center"/>
                      <w:rPr>
                        <w:rFonts w:ascii="Arial"/>
                        <w:b/>
                        <w:i/>
                        <w:sz w:val="18"/>
                      </w:rPr>
                    </w:pPr>
                    <w:r>
                      <w:rPr>
                        <w:rFonts w:ascii="ＭＳ ゴシック" w:eastAsia="ＭＳ ゴシック" w:hAnsi="ＭＳ ゴシック" w:cs="ＭＳ ゴシック" w:hint="eastAsia"/>
                        <w:b/>
                        <w:i/>
                        <w:color w:val="FFFFFF"/>
                        <w:spacing w:val="-3"/>
                        <w:w w:val="95"/>
                        <w:sz w:val="18"/>
                        <w:lang w:eastAsia="ja-JP"/>
                      </w:rPr>
                      <w:t>潤滑油の前処理</w:t>
                    </w:r>
                  </w:p>
                </w:txbxContent>
              </v:textbox>
            </v:shape>
            <v:shape id="docshape610" o:spid="_x0000_s3192" type="#_x0000_t202" style="position:absolute;left:2946;top:4675;width:273;height:337" filled="f" stroked="f">
              <v:textbox style="mso-next-textbox:#docshape610" inset="0,0,0,0">
                <w:txbxContent>
                  <w:p w14:paraId="44AE6078" w14:textId="77777777" w:rsidR="0055291C" w:rsidRDefault="00F23C61">
                    <w:pPr>
                      <w:spacing w:line="336" w:lineRule="exact"/>
                      <w:rPr>
                        <w:rFonts w:ascii="Arial"/>
                        <w:b/>
                        <w:i/>
                        <w:sz w:val="30"/>
                      </w:rPr>
                    </w:pPr>
                    <w:r>
                      <w:rPr>
                        <w:rFonts w:ascii="Arial"/>
                        <w:b/>
                        <w:i/>
                        <w:color w:val="FFFFFF"/>
                        <w:w w:val="94"/>
                        <w:sz w:val="30"/>
                      </w:rPr>
                      <w:t>m</w:t>
                    </w:r>
                  </w:p>
                </w:txbxContent>
              </v:textbox>
            </v:shape>
            <v:shape id="docshape611" o:spid="_x0000_s3191" type="#_x0000_t202" style="position:absolute;left:9946;top:4922;width:829;height:202;v-text-anchor:middle" filled="f" stroked="f">
              <v:textbox style="mso-next-textbox:#docshape611" inset="0,0,0,0">
                <w:txbxContent>
                  <w:p w14:paraId="53CC2894" w14:textId="7BD5E6A4" w:rsidR="0055291C" w:rsidRPr="00DA2DF1" w:rsidRDefault="00DA2DF1" w:rsidP="00FE6EB0">
                    <w:pPr>
                      <w:spacing w:line="202" w:lineRule="exact"/>
                      <w:jc w:val="center"/>
                      <w:rPr>
                        <w:rFonts w:ascii="ＭＳ ゴシック" w:eastAsia="ＭＳ ゴシック" w:hAnsi="ＭＳ ゴシック" w:cs="ＭＳ ゴシック"/>
                        <w:b/>
                        <w:i/>
                        <w:sz w:val="18"/>
                        <w:lang w:eastAsia="ja-JP"/>
                      </w:rPr>
                    </w:pPr>
                    <w:r>
                      <w:rPr>
                        <w:rFonts w:ascii="ＭＳ ゴシック" w:eastAsia="ＭＳ ゴシック" w:hAnsi="ＭＳ ゴシック" w:cs="ＭＳ ゴシック" w:hint="eastAsia"/>
                        <w:b/>
                        <w:i/>
                        <w:color w:val="FFFFFF"/>
                        <w:spacing w:val="-1"/>
                        <w:w w:val="95"/>
                        <w:sz w:val="18"/>
                        <w:lang w:eastAsia="ja-JP"/>
                      </w:rPr>
                      <w:t>分解</w:t>
                    </w:r>
                  </w:p>
                </w:txbxContent>
              </v:textbox>
            </v:shape>
            <v:shape id="docshape612" o:spid="_x0000_s3190" type="#_x0000_t202" style="position:absolute;left:1214;top:5637;width:177;height:337" filled="f" stroked="f">
              <v:textbox style="mso-next-textbox:#docshape612" inset="0,0,0,0">
                <w:txbxContent>
                  <w:p w14:paraId="0AA351FB" w14:textId="77777777" w:rsidR="0055291C" w:rsidRDefault="00F23C61">
                    <w:pPr>
                      <w:spacing w:line="336" w:lineRule="exact"/>
                      <w:rPr>
                        <w:rFonts w:ascii="Arial"/>
                        <w:b/>
                        <w:i/>
                        <w:sz w:val="30"/>
                      </w:rPr>
                    </w:pPr>
                    <w:r>
                      <w:rPr>
                        <w:rFonts w:ascii="Arial"/>
                        <w:b/>
                        <w:i/>
                        <w:color w:val="FFFFFF"/>
                        <w:w w:val="94"/>
                        <w:sz w:val="30"/>
                      </w:rPr>
                      <w:t>e</w:t>
                    </w:r>
                  </w:p>
                </w:txbxContent>
              </v:textbox>
            </v:shape>
            <v:shape id="docshape613" o:spid="_x0000_s3189" type="#_x0000_t202" style="position:absolute;left:2946;top:5538;width:273;height:337" filled="f" stroked="f">
              <v:textbox style="mso-next-textbox:#docshape613" inset="0,0,0,0">
                <w:txbxContent>
                  <w:p w14:paraId="4E102831" w14:textId="77777777" w:rsidR="0055291C" w:rsidRDefault="00F23C61">
                    <w:pPr>
                      <w:spacing w:line="336" w:lineRule="exact"/>
                      <w:rPr>
                        <w:rFonts w:ascii="Arial"/>
                        <w:b/>
                        <w:i/>
                        <w:sz w:val="30"/>
                      </w:rPr>
                    </w:pPr>
                    <w:r>
                      <w:rPr>
                        <w:rFonts w:ascii="Arial"/>
                        <w:b/>
                        <w:i/>
                        <w:color w:val="FFFFFF"/>
                        <w:w w:val="94"/>
                        <w:sz w:val="30"/>
                      </w:rPr>
                      <w:t>m</w:t>
                    </w:r>
                  </w:p>
                </w:txbxContent>
              </v:textbox>
            </v:shape>
            <v:shape id="docshape614" o:spid="_x0000_s3188" type="#_x0000_t202" style="position:absolute;left:1468;top:5929;width:1221;height:642;v-text-anchor:middle" filled="f" stroked="f">
              <v:textbox style="mso-next-textbox:#docshape614" inset="0,0,0,0">
                <w:txbxContent>
                  <w:p w14:paraId="1FFFF6B3" w14:textId="77777777" w:rsidR="00D920D8" w:rsidRDefault="00D920D8">
                    <w:pPr>
                      <w:spacing w:line="254" w:lineRule="auto"/>
                      <w:ind w:right="18"/>
                      <w:jc w:val="center"/>
                      <w:rPr>
                        <w:rFonts w:ascii="ＭＳ ゴシック" w:eastAsia="ＭＳ ゴシック" w:hAnsi="ＭＳ ゴシック" w:cs="ＭＳ ゴシック"/>
                        <w:b/>
                        <w:i/>
                        <w:color w:val="FFFFFF"/>
                        <w:spacing w:val="-3"/>
                        <w:w w:val="95"/>
                        <w:sz w:val="18"/>
                        <w:lang w:eastAsia="ja-JP"/>
                      </w:rPr>
                    </w:pPr>
                    <w:r>
                      <w:rPr>
                        <w:rFonts w:ascii="ＭＳ ゴシック" w:eastAsia="ＭＳ ゴシック" w:hAnsi="ＭＳ ゴシック" w:cs="ＭＳ ゴシック" w:hint="eastAsia"/>
                        <w:b/>
                        <w:i/>
                        <w:color w:val="FFFFFF"/>
                        <w:spacing w:val="-3"/>
                        <w:w w:val="95"/>
                        <w:sz w:val="18"/>
                        <w:lang w:eastAsia="ja-JP"/>
                      </w:rPr>
                      <w:t>独自商品の</w:t>
                    </w:r>
                  </w:p>
                  <w:p w14:paraId="7F2CAEF0" w14:textId="07E2B9D6" w:rsidR="0055291C" w:rsidRDefault="00D920D8">
                    <w:pPr>
                      <w:spacing w:line="254" w:lineRule="auto"/>
                      <w:ind w:right="18"/>
                      <w:jc w:val="center"/>
                      <w:rPr>
                        <w:rFonts w:ascii="Arial"/>
                        <w:b/>
                        <w:i/>
                        <w:sz w:val="18"/>
                      </w:rPr>
                    </w:pPr>
                    <w:r>
                      <w:rPr>
                        <w:rFonts w:ascii="ＭＳ ゴシック" w:eastAsia="ＭＳ ゴシック" w:hAnsi="ＭＳ ゴシック" w:cs="ＭＳ ゴシック" w:hint="eastAsia"/>
                        <w:b/>
                        <w:i/>
                        <w:color w:val="FFFFFF"/>
                        <w:spacing w:val="-3"/>
                        <w:w w:val="95"/>
                        <w:sz w:val="18"/>
                        <w:lang w:eastAsia="ja-JP"/>
                      </w:rPr>
                      <w:t>下準備</w:t>
                    </w:r>
                  </w:p>
                </w:txbxContent>
              </v:textbox>
            </v:shape>
            <v:shape id="docshape615" o:spid="_x0000_s3187" type="#_x0000_t202" style="position:absolute;left:3857;top:5838;width:165;height:560" filled="f" stroked="f">
              <v:textbox style="mso-next-textbox:#docshape615" inset="0,0,0,0">
                <w:txbxContent>
                  <w:p w14:paraId="6A1CDB6F" w14:textId="77777777" w:rsidR="0055291C" w:rsidRDefault="00F23C61">
                    <w:pPr>
                      <w:spacing w:before="2"/>
                      <w:ind w:left="22"/>
                      <w:rPr>
                        <w:rFonts w:ascii="Arial"/>
                        <w:b/>
                        <w:i/>
                        <w:sz w:val="21"/>
                      </w:rPr>
                    </w:pPr>
                    <w:r>
                      <w:rPr>
                        <w:rFonts w:ascii="Arial"/>
                        <w:b/>
                        <w:i/>
                        <w:color w:val="FFFFFF"/>
                        <w:w w:val="95"/>
                        <w:sz w:val="21"/>
                      </w:rPr>
                      <w:t>e</w:t>
                    </w:r>
                  </w:p>
                  <w:p w14:paraId="701B1E7E" w14:textId="77777777" w:rsidR="0055291C" w:rsidRDefault="00F23C61">
                    <w:pPr>
                      <w:spacing w:before="124" w:line="192" w:lineRule="exact"/>
                      <w:rPr>
                        <w:rFonts w:ascii="Arial"/>
                        <w:b/>
                        <w:i/>
                        <w:sz w:val="17"/>
                      </w:rPr>
                    </w:pPr>
                    <w:r>
                      <w:rPr>
                        <w:rFonts w:ascii="Arial"/>
                        <w:b/>
                        <w:i/>
                        <w:color w:val="FFFFFF"/>
                        <w:w w:val="95"/>
                        <w:sz w:val="17"/>
                      </w:rPr>
                      <w:t>m</w:t>
                    </w:r>
                  </w:p>
                </w:txbxContent>
              </v:textbox>
            </v:shape>
            <v:shape id="docshape616" o:spid="_x0000_s3186" type="#_x0000_t202" style="position:absolute;left:4178;top:5915;width:791;height:144" filled="f" stroked="f">
              <v:textbox style="mso-next-textbox:#docshape616" inset="0,0,0,0">
                <w:txbxContent>
                  <w:p w14:paraId="1B9B0AA5" w14:textId="5B476918" w:rsidR="0055291C" w:rsidRDefault="0055291C">
                    <w:pPr>
                      <w:spacing w:line="144" w:lineRule="exact"/>
                      <w:rPr>
                        <w:rFonts w:ascii="Arial"/>
                        <w:b/>
                        <w:i/>
                        <w:sz w:val="13"/>
                      </w:rPr>
                    </w:pPr>
                  </w:p>
                </w:txbxContent>
              </v:textbox>
            </v:shape>
            <v:shape id="docshape617" o:spid="_x0000_s3185" type="#_x0000_t202" style="position:absolute;left:9495;top:5623;width:177;height:337" filled="f" stroked="f">
              <v:textbox style="mso-next-textbox:#docshape617" inset="0,0,0,0">
                <w:txbxContent>
                  <w:p w14:paraId="203F5F31" w14:textId="77777777" w:rsidR="0055291C" w:rsidRDefault="00F23C61">
                    <w:pPr>
                      <w:spacing w:line="336" w:lineRule="exact"/>
                      <w:rPr>
                        <w:rFonts w:ascii="Arial"/>
                        <w:b/>
                        <w:i/>
                        <w:sz w:val="30"/>
                      </w:rPr>
                    </w:pPr>
                    <w:r>
                      <w:rPr>
                        <w:rFonts w:ascii="Arial"/>
                        <w:b/>
                        <w:i/>
                        <w:color w:val="FFFFFF"/>
                        <w:w w:val="94"/>
                        <w:sz w:val="30"/>
                      </w:rPr>
                      <w:t>e</w:t>
                    </w:r>
                  </w:p>
                </w:txbxContent>
              </v:textbox>
            </v:shape>
            <v:shape id="docshape618" o:spid="_x0000_s3184" type="#_x0000_t202" style="position:absolute;left:4180;top:6246;width:889;height:144" filled="f" stroked="f">
              <v:textbox style="mso-next-textbox:#docshape618" inset="0,0,0,0">
                <w:txbxContent>
                  <w:p w14:paraId="6744E732" w14:textId="0F213348" w:rsidR="0055291C" w:rsidRDefault="0055291C">
                    <w:pPr>
                      <w:spacing w:line="144" w:lineRule="exact"/>
                      <w:rPr>
                        <w:rFonts w:ascii="Arial"/>
                        <w:b/>
                        <w:i/>
                        <w:sz w:val="13"/>
                      </w:rPr>
                    </w:pPr>
                  </w:p>
                </w:txbxContent>
              </v:textbox>
            </v:shape>
            <v:shape id="docshape619" o:spid="_x0000_s3183" type="#_x0000_t202" style="position:absolute;left:5741;top:5909;width:1290;height:496" filled="f" stroked="f">
              <v:textbox style="mso-next-textbox:#docshape619" inset="0,0,0,0">
                <w:txbxContent>
                  <w:p w14:paraId="45B1D1AE" w14:textId="19AE2D1E" w:rsidR="0055291C" w:rsidRPr="00DA2DF1" w:rsidRDefault="00790DCB">
                    <w:pPr>
                      <w:spacing w:before="14" w:line="206" w:lineRule="auto"/>
                      <w:ind w:right="13"/>
                      <w:rPr>
                        <w:rFonts w:ascii="ＭＳ ゴシック" w:eastAsia="ＭＳ ゴシック" w:hAnsi="ＭＳ ゴシック" w:cs="ＭＳ ゴシック"/>
                        <w:b/>
                        <w:i/>
                        <w:color w:val="545456"/>
                        <w:spacing w:val="-1"/>
                        <w:w w:val="95"/>
                        <w:sz w:val="17"/>
                        <w:szCs w:val="17"/>
                        <w:lang w:eastAsia="ja-JP"/>
                      </w:rPr>
                    </w:pPr>
                    <w:r w:rsidRPr="00DA2DF1">
                      <w:rPr>
                        <w:rFonts w:ascii="ＭＳ ゴシック" w:eastAsia="ＭＳ ゴシック" w:hAnsi="ＭＳ ゴシック" w:cs="ＭＳ ゴシック" w:hint="eastAsia"/>
                        <w:b/>
                        <w:i/>
                        <w:color w:val="545456"/>
                        <w:spacing w:val="-1"/>
                        <w:w w:val="95"/>
                        <w:sz w:val="17"/>
                        <w:szCs w:val="17"/>
                        <w:lang w:eastAsia="ja-JP"/>
                      </w:rPr>
                      <w:t>物質の</w:t>
                    </w:r>
                    <w:r w:rsidR="00DA2DF1" w:rsidRPr="00DA2DF1">
                      <w:rPr>
                        <w:rFonts w:ascii="ＭＳ ゴシック" w:eastAsia="ＭＳ ゴシック" w:hAnsi="ＭＳ ゴシック" w:cs="ＭＳ ゴシック" w:hint="eastAsia"/>
                        <w:b/>
                        <w:i/>
                        <w:color w:val="545456"/>
                        <w:spacing w:val="-1"/>
                        <w:w w:val="95"/>
                        <w:sz w:val="17"/>
                        <w:szCs w:val="17"/>
                        <w:lang w:eastAsia="ja-JP"/>
                      </w:rPr>
                      <w:t>移動</w:t>
                    </w:r>
                  </w:p>
                  <w:p w14:paraId="4A058F1F" w14:textId="77777777" w:rsidR="00DA2DF1" w:rsidRPr="00DA2DF1" w:rsidRDefault="00DA2DF1">
                    <w:pPr>
                      <w:spacing w:before="14" w:line="206" w:lineRule="auto"/>
                      <w:ind w:right="13"/>
                      <w:rPr>
                        <w:rFonts w:ascii="Arial"/>
                        <w:b/>
                        <w:i/>
                        <w:sz w:val="5"/>
                        <w:szCs w:val="16"/>
                        <w:lang w:eastAsia="ja-JP"/>
                      </w:rPr>
                    </w:pPr>
                  </w:p>
                  <w:p w14:paraId="51C5CAD7" w14:textId="55F143D9" w:rsidR="0055291C" w:rsidRPr="00DA2DF1" w:rsidRDefault="00790DCB" w:rsidP="00790DCB">
                    <w:pPr>
                      <w:spacing w:before="78" w:line="146" w:lineRule="exact"/>
                      <w:ind w:left="4"/>
                      <w:rPr>
                        <w:rFonts w:ascii="Arial"/>
                        <w:b/>
                        <w:i/>
                        <w:sz w:val="16"/>
                        <w:szCs w:val="16"/>
                        <w:lang w:eastAsia="ja-JP"/>
                      </w:rPr>
                    </w:pPr>
                    <w:r w:rsidRPr="00DA2DF1">
                      <w:rPr>
                        <w:rFonts w:ascii="ＭＳ ゴシック" w:eastAsia="ＭＳ ゴシック" w:hAnsi="ＭＳ ゴシック" w:cs="ＭＳ ゴシック" w:hint="eastAsia"/>
                        <w:b/>
                        <w:i/>
                        <w:color w:val="545456"/>
                        <w:w w:val="90"/>
                        <w:sz w:val="16"/>
                        <w:szCs w:val="16"/>
                        <w:lang w:eastAsia="ja-JP"/>
                      </w:rPr>
                      <w:t>帰属プロセス</w:t>
                    </w:r>
                  </w:p>
                </w:txbxContent>
              </v:textbox>
            </v:shape>
            <v:shape id="docshape620" o:spid="_x0000_s3182" type="#_x0000_t202" style="position:absolute;left:9964;top:6109;width:794;height:202" filled="f" stroked="f">
              <v:textbox style="mso-next-textbox:#docshape620" inset="0,0,0,0">
                <w:txbxContent>
                  <w:p w14:paraId="1B056247" w14:textId="2F4963D7" w:rsidR="0055291C" w:rsidRDefault="00DA2DF1" w:rsidP="00FE6EB0">
                    <w:pPr>
                      <w:spacing w:line="202" w:lineRule="exact"/>
                      <w:jc w:val="center"/>
                      <w:rPr>
                        <w:rFonts w:ascii="Arial"/>
                        <w:b/>
                        <w:i/>
                        <w:sz w:val="18"/>
                      </w:rPr>
                    </w:pPr>
                    <w:r>
                      <w:rPr>
                        <w:rFonts w:ascii="ＭＳ ゴシック" w:eastAsia="ＭＳ ゴシック" w:hAnsi="ＭＳ ゴシック" w:cs="ＭＳ ゴシック" w:hint="eastAsia"/>
                        <w:b/>
                        <w:i/>
                        <w:color w:val="FFFFFF"/>
                        <w:spacing w:val="-2"/>
                        <w:sz w:val="18"/>
                        <w:lang w:eastAsia="ja-JP"/>
                      </w:rPr>
                      <w:t xml:space="preserve">廃棄 </w:t>
                    </w:r>
                    <w:r w:rsidR="00F23C61">
                      <w:rPr>
                        <w:rFonts w:ascii="Arial"/>
                        <w:b/>
                        <w:i/>
                        <w:color w:val="FFFFFF"/>
                        <w:spacing w:val="-2"/>
                        <w:sz w:val="18"/>
                      </w:rPr>
                      <w:t>*</w:t>
                    </w:r>
                  </w:p>
                </w:txbxContent>
              </v:textbox>
            </v:shape>
            <w10:wrap type="topAndBottom" anchorx="page"/>
          </v:group>
        </w:pict>
      </w:r>
    </w:p>
    <w:p w14:paraId="04487174" w14:textId="73108E3B" w:rsidR="0055291C" w:rsidRDefault="0055291C">
      <w:pPr>
        <w:pStyle w:val="a3"/>
        <w:spacing w:before="10"/>
        <w:rPr>
          <w:rFonts w:ascii="Arial"/>
          <w:b/>
          <w:sz w:val="12"/>
          <w:lang w:eastAsia="ja-JP"/>
        </w:rPr>
      </w:pPr>
    </w:p>
    <w:p w14:paraId="6A3525EA" w14:textId="6280744C" w:rsidR="0055291C" w:rsidRDefault="00F23C61">
      <w:pPr>
        <w:spacing w:before="148"/>
        <w:ind w:left="6187"/>
        <w:rPr>
          <w:rFonts w:ascii="Arial"/>
          <w:b/>
          <w:i/>
          <w:sz w:val="18"/>
          <w:lang w:eastAsia="ja-JP"/>
        </w:rPr>
      </w:pPr>
      <w:r>
        <w:rPr>
          <w:rFonts w:ascii="Arial"/>
          <w:b/>
          <w:i/>
          <w:color w:val="545456"/>
          <w:w w:val="90"/>
          <w:sz w:val="18"/>
          <w:lang w:eastAsia="ja-JP"/>
        </w:rPr>
        <w:t>*</w:t>
      </w:r>
      <w:r>
        <w:rPr>
          <w:rFonts w:ascii="Arial"/>
          <w:b/>
          <w:i/>
          <w:color w:val="545456"/>
          <w:spacing w:val="4"/>
          <w:w w:val="90"/>
          <w:sz w:val="18"/>
          <w:lang w:eastAsia="ja-JP"/>
        </w:rPr>
        <w:t xml:space="preserve"> </w:t>
      </w:r>
      <w:r w:rsidR="00DA2DF1" w:rsidRPr="00DA2DF1">
        <w:rPr>
          <w:rFonts w:ascii="ＭＳ ゴシック" w:eastAsia="ＭＳ ゴシック" w:hAnsi="ＭＳ ゴシック" w:cs="ＭＳ ゴシック" w:hint="eastAsia"/>
          <w:b/>
          <w:i/>
          <w:color w:val="545456"/>
          <w:w w:val="90"/>
          <w:sz w:val="18"/>
          <w:lang w:eastAsia="ja-JP"/>
        </w:rPr>
        <w:t>この例では、部品のリサイクルは含まれていません。</w:t>
      </w:r>
    </w:p>
    <w:p w14:paraId="13FC610A" w14:textId="4AF6DE75" w:rsidR="0055291C" w:rsidRDefault="0055291C">
      <w:pPr>
        <w:pStyle w:val="a3"/>
        <w:rPr>
          <w:rFonts w:ascii="Arial"/>
          <w:b/>
          <w:i/>
          <w:sz w:val="20"/>
          <w:lang w:eastAsia="ja-JP"/>
        </w:rPr>
      </w:pPr>
    </w:p>
    <w:p w14:paraId="54237487" w14:textId="1304494F" w:rsidR="0055291C" w:rsidRDefault="0055291C">
      <w:pPr>
        <w:pStyle w:val="a3"/>
        <w:spacing w:before="9"/>
        <w:rPr>
          <w:rFonts w:ascii="Arial"/>
          <w:b/>
          <w:i/>
          <w:sz w:val="22"/>
          <w:lang w:eastAsia="ja-JP"/>
        </w:rPr>
      </w:pPr>
    </w:p>
    <w:p w14:paraId="6F3A4C36" w14:textId="77777777" w:rsidR="0055291C" w:rsidRDefault="0055291C">
      <w:pPr>
        <w:rPr>
          <w:rFonts w:ascii="Arial"/>
          <w:lang w:eastAsia="ja-JP"/>
        </w:rPr>
        <w:sectPr w:rsidR="0055291C">
          <w:headerReference w:type="even" r:id="rId144"/>
          <w:footerReference w:type="even" r:id="rId145"/>
          <w:footerReference w:type="default" r:id="rId146"/>
          <w:pgSz w:w="12240" w:h="15840"/>
          <w:pgMar w:top="620" w:right="0" w:bottom="1040" w:left="0" w:header="0" w:footer="859" w:gutter="0"/>
          <w:pgNumType w:start="36"/>
          <w:cols w:space="720"/>
        </w:sectPr>
      </w:pPr>
    </w:p>
    <w:p w14:paraId="2A8AA669" w14:textId="47CBC0D6" w:rsidR="0055291C" w:rsidRDefault="00956DA3" w:rsidP="004E504C">
      <w:pPr>
        <w:pStyle w:val="a3"/>
        <w:spacing w:before="102" w:line="312" w:lineRule="auto"/>
        <w:ind w:left="1104" w:right="80"/>
        <w:rPr>
          <w:lang w:eastAsia="ja-JP"/>
        </w:rPr>
      </w:pPr>
      <w:r w:rsidRPr="00956DA3">
        <w:rPr>
          <w:rFonts w:ascii="ＭＳ ゴシック" w:eastAsia="ＭＳ ゴシック" w:hAnsi="ＭＳ ゴシック" w:cs="ＭＳ ゴシック" w:hint="eastAsia"/>
          <w:color w:val="545456"/>
          <w:spacing w:val="-2"/>
          <w:lang w:eastAsia="ja-JP"/>
        </w:rPr>
        <w:t>例として、サービス、物質、エネルギーの流れが挙げられます。</w:t>
      </w:r>
    </w:p>
    <w:p w14:paraId="0B7FD02E" w14:textId="43F2A3F4" w:rsidR="00956DA3" w:rsidRPr="00956DA3" w:rsidRDefault="00956DA3">
      <w:pPr>
        <w:pStyle w:val="a3"/>
        <w:numPr>
          <w:ilvl w:val="0"/>
          <w:numId w:val="67"/>
        </w:numPr>
        <w:spacing w:before="10"/>
        <w:ind w:left="993" w:firstLine="283"/>
        <w:rPr>
          <w:color w:val="545456"/>
          <w:spacing w:val="-1"/>
          <w:szCs w:val="22"/>
          <w:lang w:eastAsia="ja-JP"/>
        </w:rPr>
      </w:pPr>
      <w:r w:rsidRPr="00956DA3">
        <w:rPr>
          <w:rFonts w:ascii="ＭＳ ゴシック" w:eastAsia="ＭＳ ゴシック" w:hAnsi="ＭＳ ゴシック" w:cs="ＭＳ ゴシック" w:hint="eastAsia"/>
          <w:color w:val="545456"/>
          <w:spacing w:val="-1"/>
          <w:szCs w:val="22"/>
          <w:lang w:eastAsia="ja-JP"/>
        </w:rPr>
        <w:t>資本財（例：機械、トラック、インフラなど）</w:t>
      </w:r>
    </w:p>
    <w:p w14:paraId="41623992" w14:textId="1E694E40" w:rsidR="00956DA3" w:rsidRPr="00956DA3" w:rsidRDefault="00956DA3">
      <w:pPr>
        <w:pStyle w:val="a3"/>
        <w:numPr>
          <w:ilvl w:val="0"/>
          <w:numId w:val="67"/>
        </w:numPr>
        <w:spacing w:before="10"/>
        <w:ind w:left="993" w:firstLine="283"/>
        <w:rPr>
          <w:color w:val="545456"/>
          <w:spacing w:val="-1"/>
          <w:szCs w:val="22"/>
          <w:lang w:eastAsia="ja-JP"/>
        </w:rPr>
      </w:pPr>
      <w:r w:rsidRPr="00956DA3">
        <w:rPr>
          <w:rFonts w:ascii="ＭＳ ゴシック" w:eastAsia="ＭＳ ゴシック" w:hAnsi="ＭＳ ゴシック" w:cs="ＭＳ ゴシック" w:hint="eastAsia"/>
          <w:color w:val="545456"/>
          <w:spacing w:val="-1"/>
          <w:szCs w:val="22"/>
          <w:lang w:eastAsia="ja-JP"/>
        </w:rPr>
        <w:t>間接業務（例：施設の照明、空調など）</w:t>
      </w:r>
    </w:p>
    <w:p w14:paraId="70476D1A" w14:textId="3C2AC6E7" w:rsidR="00956DA3" w:rsidRPr="00956DA3" w:rsidRDefault="00956DA3">
      <w:pPr>
        <w:pStyle w:val="a3"/>
        <w:numPr>
          <w:ilvl w:val="1"/>
          <w:numId w:val="67"/>
        </w:numPr>
        <w:spacing w:before="10"/>
        <w:ind w:left="1418" w:hanging="142"/>
        <w:rPr>
          <w:color w:val="545456"/>
          <w:spacing w:val="-1"/>
          <w:szCs w:val="22"/>
          <w:lang w:eastAsia="ja-JP"/>
        </w:rPr>
      </w:pPr>
      <w:r w:rsidRPr="00956DA3">
        <w:rPr>
          <w:rFonts w:ascii="ＭＳ ゴシック" w:eastAsia="ＭＳ ゴシック" w:hAnsi="ＭＳ ゴシック" w:cs="ＭＳ ゴシック" w:hint="eastAsia"/>
          <w:color w:val="545456"/>
          <w:spacing w:val="-1"/>
          <w:szCs w:val="22"/>
          <w:lang w:eastAsia="ja-JP"/>
        </w:rPr>
        <w:t>企業活動およびサービス（例：研究開発、管理部門、企業の販売およびマーケティングなど）</w:t>
      </w:r>
    </w:p>
    <w:p w14:paraId="7F318131" w14:textId="2BB9ADEA" w:rsidR="00956DA3" w:rsidRPr="00956DA3" w:rsidRDefault="00956DA3">
      <w:pPr>
        <w:pStyle w:val="a3"/>
        <w:numPr>
          <w:ilvl w:val="0"/>
          <w:numId w:val="67"/>
        </w:numPr>
        <w:spacing w:before="10"/>
        <w:ind w:left="993" w:firstLine="283"/>
        <w:rPr>
          <w:color w:val="545456"/>
          <w:spacing w:val="-1"/>
          <w:szCs w:val="22"/>
          <w:lang w:eastAsia="ja-JP"/>
        </w:rPr>
      </w:pPr>
      <w:r w:rsidRPr="00956DA3">
        <w:rPr>
          <w:rFonts w:ascii="ＭＳ ゴシック" w:eastAsia="ＭＳ ゴシック" w:hAnsi="ＭＳ ゴシック" w:cs="ＭＳ ゴシック" w:hint="eastAsia"/>
          <w:color w:val="545456"/>
          <w:spacing w:val="-1"/>
          <w:szCs w:val="22"/>
          <w:lang w:eastAsia="ja-JP"/>
        </w:rPr>
        <w:t>製品ユーザーから小売店への輸送</w:t>
      </w:r>
    </w:p>
    <w:p w14:paraId="3A10DC1B" w14:textId="08EE34D7" w:rsidR="0055291C" w:rsidRPr="00956DA3" w:rsidRDefault="00EF5433">
      <w:pPr>
        <w:pStyle w:val="a3"/>
        <w:numPr>
          <w:ilvl w:val="0"/>
          <w:numId w:val="67"/>
        </w:numPr>
        <w:spacing w:before="10"/>
        <w:ind w:left="993" w:firstLine="283"/>
        <w:rPr>
          <w:sz w:val="17"/>
          <w:lang w:eastAsia="ja-JP"/>
        </w:rPr>
      </w:pPr>
      <w:r w:rsidRPr="00BA0839">
        <w:rPr>
          <w:noProof/>
        </w:rPr>
        <mc:AlternateContent>
          <mc:Choice Requires="wps">
            <w:drawing>
              <wp:anchor distT="0" distB="0" distL="114300" distR="114300" simplePos="0" relativeHeight="251469312" behindDoc="0" locked="0" layoutInCell="1" allowOverlap="1" wp14:anchorId="428FF1AF" wp14:editId="55B5F5C1">
                <wp:simplePos x="0" y="0"/>
                <wp:positionH relativeFrom="column">
                  <wp:posOffset>3968750</wp:posOffset>
                </wp:positionH>
                <wp:positionV relativeFrom="paragraph">
                  <wp:posOffset>177165</wp:posOffset>
                </wp:positionV>
                <wp:extent cx="3162300" cy="1549400"/>
                <wp:effectExtent l="0" t="0" r="0" b="0"/>
                <wp:wrapNone/>
                <wp:docPr id="9" name="四角形: 角を丸くする 9"/>
                <wp:cNvGraphicFramePr/>
                <a:graphic xmlns:a="http://schemas.openxmlformats.org/drawingml/2006/main">
                  <a:graphicData uri="http://schemas.microsoft.com/office/word/2010/wordprocessingShape">
                    <wps:wsp>
                      <wps:cNvSpPr/>
                      <wps:spPr>
                        <a:xfrm>
                          <a:off x="0" y="0"/>
                          <a:ext cx="3162300" cy="1549400"/>
                        </a:xfrm>
                        <a:prstGeom prst="roundRect">
                          <a:avLst/>
                        </a:prstGeom>
                        <a:solidFill>
                          <a:srgbClr val="70029C">
                            <a:alpha val="25098"/>
                          </a:srgbClr>
                        </a:solidFill>
                        <a:ln w="25400" cap="flat" cmpd="sng" algn="ctr">
                          <a:noFill/>
                          <a:prstDash val="solid"/>
                        </a:ln>
                        <a:effectLst/>
                      </wps:spPr>
                      <wps:txbx>
                        <w:txbxContent>
                          <w:p w14:paraId="0939B6E4" w14:textId="77777777" w:rsidR="00EF5433" w:rsidRPr="00EF5433" w:rsidRDefault="00EF5433" w:rsidP="00EF5433">
                            <w:pPr>
                              <w:spacing w:before="129" w:line="278" w:lineRule="auto"/>
                              <w:ind w:right="25"/>
                              <w:rPr>
                                <w:rFonts w:ascii="ＭＳ ゴシック" w:eastAsia="ＭＳ ゴシック" w:hAnsi="ＭＳ ゴシック" w:cs="ＭＳ ゴシック"/>
                                <w:b/>
                                <w:bCs/>
                                <w:i/>
                                <w:iCs/>
                                <w:color w:val="000000" w:themeColor="text1"/>
                                <w:sz w:val="21"/>
                                <w:lang w:eastAsia="ja-JP"/>
                              </w:rPr>
                            </w:pPr>
                            <w:r w:rsidRPr="00EF5433">
                              <w:rPr>
                                <w:rFonts w:ascii="ＭＳ ゴシック" w:eastAsia="ＭＳ ゴシック" w:hAnsi="ＭＳ ゴシック" w:cs="ＭＳ ゴシック" w:hint="eastAsia"/>
                                <w:b/>
                                <w:bCs/>
                                <w:i/>
                                <w:iCs/>
                                <w:color w:val="000000" w:themeColor="text1"/>
                                <w:sz w:val="19"/>
                                <w:szCs w:val="19"/>
                                <w:lang w:eastAsia="ja-JP"/>
                              </w:rPr>
                              <w:t>生産から出荷までの部分的なライフサイクルの算出のための算定範囲には、製品の使用過程および使用後の過程が含まれてはならない</w:t>
                            </w:r>
                            <w:r w:rsidRPr="00EF5433">
                              <w:rPr>
                                <w:rFonts w:ascii="ＭＳ ゴシック" w:eastAsia="ＭＳ ゴシック" w:hAnsi="ＭＳ ゴシック" w:cs="ＭＳ ゴシック" w:hint="eastAsia"/>
                                <w:b/>
                                <w:bCs/>
                                <w:i/>
                                <w:iCs/>
                                <w:color w:val="000000" w:themeColor="text1"/>
                                <w:sz w:val="21"/>
                                <w:lang w:eastAsia="ja-JP"/>
                              </w:rPr>
                              <w:t>。</w:t>
                            </w:r>
                          </w:p>
                          <w:p w14:paraId="0629FD6F" w14:textId="080F415D" w:rsidR="00EF5433" w:rsidRPr="00EF5433" w:rsidRDefault="00EF5433" w:rsidP="00EF5433">
                            <w:pPr>
                              <w:spacing w:before="129" w:line="278" w:lineRule="auto"/>
                              <w:ind w:right="25"/>
                              <w:rPr>
                                <w:rFonts w:ascii="Arial"/>
                                <w:b/>
                                <w:bCs/>
                                <w:i/>
                                <w:iCs/>
                                <w:color w:val="000000" w:themeColor="text1"/>
                                <w:sz w:val="21"/>
                                <w:lang w:eastAsia="ja-JP"/>
                              </w:rPr>
                            </w:pPr>
                            <w:r w:rsidRPr="00EF5433">
                              <w:rPr>
                                <w:rFonts w:ascii="ＭＳ ゴシック" w:eastAsia="ＭＳ ゴシック" w:hAnsi="ＭＳ ゴシック" w:cs="ＭＳ ゴシック" w:hint="eastAsia"/>
                                <w:b/>
                                <w:bCs/>
                                <w:i/>
                                <w:iCs/>
                                <w:color w:val="000000" w:themeColor="text1"/>
                                <w:sz w:val="19"/>
                                <w:szCs w:val="19"/>
                                <w:lang w:eastAsia="ja-JP"/>
                              </w:rPr>
                              <w:t>企業は、生産から出荷までの算定範囲を定義する場合、排出量報告書内において開示し、その理由を説明しなければならない</w:t>
                            </w:r>
                            <w:r>
                              <w:rPr>
                                <w:rFonts w:ascii="ＭＳ ゴシック" w:eastAsia="ＭＳ ゴシック" w:hAnsi="ＭＳ ゴシック" w:cs="ＭＳ ゴシック" w:hint="eastAsia"/>
                                <w:b/>
                                <w:bCs/>
                                <w:i/>
                                <w:iCs/>
                                <w:color w:val="000000" w:themeColor="text1"/>
                                <w:sz w:val="19"/>
                                <w:szCs w:val="19"/>
                                <w:lang w:eastAsia="ja-JP"/>
                              </w:rPr>
                              <w:t>。</w:t>
                            </w:r>
                          </w:p>
                          <w:p w14:paraId="4623A7F2" w14:textId="77777777" w:rsidR="00EF5433" w:rsidRPr="00EF5433" w:rsidRDefault="00EF5433" w:rsidP="00EF5433">
                            <w:pPr>
                              <w:ind w:right="25"/>
                              <w:rPr>
                                <w:rFonts w:asciiTheme="minorEastAsia" w:eastAsiaTheme="minorEastAsia" w:hAnsiTheme="minorEastAsia" w:cstheme="minorBidi"/>
                                <w:b/>
                                <w:bCs/>
                                <w:i/>
                                <w:iCs/>
                                <w:color w:val="000000" w:themeColor="text1"/>
                                <w:sz w:val="19"/>
                                <w:szCs w:val="19"/>
                                <w:lang w:eastAsia="ja-JP"/>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8FF1AF" id="四角形: 角を丸くする 9" o:spid="_x0000_s1061" style="position:absolute;left:0;text-align:left;margin-left:312.5pt;margin-top:13.95pt;width:249pt;height:122pt;z-index:2514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" fillcolor="#70029c" stroked="f" strokeweight="2pt">
                <v:fill opacity="16448f"/>
                <v:textbox>
                  <w:txbxContent>
                    <w:p w14:paraId="0939B6E4" w14:textId="77777777" w:rsidR="00EF5433" w:rsidRPr="00EF5433" w:rsidRDefault="00EF5433" w:rsidP="00EF5433">
                      <w:pPr>
                        <w:spacing w:before="129" w:line="278" w:lineRule="auto"/>
                        <w:ind w:right="25"/>
                        <w:rPr>
                          <w:rFonts w:ascii="ＭＳ ゴシック" w:eastAsia="ＭＳ ゴシック" w:hAnsi="ＭＳ ゴシック" w:cs="ＭＳ ゴシック"/>
                          <w:b/>
                          <w:bCs/>
                          <w:i/>
                          <w:iCs/>
                          <w:color w:val="000000" w:themeColor="text1"/>
                          <w:sz w:val="21"/>
                          <w:lang w:eastAsia="ja-JP"/>
                        </w:rPr>
                      </w:pPr>
                      <w:r w:rsidRPr="00EF5433">
                        <w:rPr>
                          <w:rFonts w:ascii="ＭＳ ゴシック" w:eastAsia="ＭＳ ゴシック" w:hAnsi="ＭＳ ゴシック" w:cs="ＭＳ ゴシック" w:hint="eastAsia"/>
                          <w:b/>
                          <w:bCs/>
                          <w:i/>
                          <w:iCs/>
                          <w:color w:val="000000" w:themeColor="text1"/>
                          <w:sz w:val="19"/>
                          <w:szCs w:val="19"/>
                          <w:lang w:eastAsia="ja-JP"/>
                        </w:rPr>
                        <w:t>生産から出荷までの部分的なライフサイクルの算出のための算定範囲には、製品の使用過程および使用後の過程が含まれてはならない</w:t>
                      </w:r>
                      <w:r w:rsidRPr="00EF5433">
                        <w:rPr>
                          <w:rFonts w:ascii="ＭＳ ゴシック" w:eastAsia="ＭＳ ゴシック" w:hAnsi="ＭＳ ゴシック" w:cs="ＭＳ ゴシック" w:hint="eastAsia"/>
                          <w:b/>
                          <w:bCs/>
                          <w:i/>
                          <w:iCs/>
                          <w:color w:val="000000" w:themeColor="text1"/>
                          <w:sz w:val="21"/>
                          <w:lang w:eastAsia="ja-JP"/>
                        </w:rPr>
                        <w:t>。</w:t>
                      </w:r>
                    </w:p>
                    <w:p w14:paraId="0629FD6F" w14:textId="080F415D" w:rsidR="00EF5433" w:rsidRPr="00EF5433" w:rsidRDefault="00EF5433" w:rsidP="00EF5433">
                      <w:pPr>
                        <w:spacing w:before="129" w:line="278" w:lineRule="auto"/>
                        <w:ind w:right="25"/>
                        <w:rPr>
                          <w:rFonts w:ascii="Arial"/>
                          <w:b/>
                          <w:bCs/>
                          <w:i/>
                          <w:iCs/>
                          <w:color w:val="000000" w:themeColor="text1"/>
                          <w:sz w:val="21"/>
                          <w:lang w:eastAsia="ja-JP"/>
                        </w:rPr>
                      </w:pPr>
                      <w:r w:rsidRPr="00EF5433">
                        <w:rPr>
                          <w:rFonts w:ascii="ＭＳ ゴシック" w:eastAsia="ＭＳ ゴシック" w:hAnsi="ＭＳ ゴシック" w:cs="ＭＳ ゴシック" w:hint="eastAsia"/>
                          <w:b/>
                          <w:bCs/>
                          <w:i/>
                          <w:iCs/>
                          <w:color w:val="000000" w:themeColor="text1"/>
                          <w:sz w:val="19"/>
                          <w:szCs w:val="19"/>
                          <w:lang w:eastAsia="ja-JP"/>
                        </w:rPr>
                        <w:t>企業は、生産から出荷までの算定範囲を定義する場合、排出量報告書内において開示し、その理由を説明しなければならない</w:t>
                      </w:r>
                      <w:r>
                        <w:rPr>
                          <w:rFonts w:ascii="ＭＳ ゴシック" w:eastAsia="ＭＳ ゴシック" w:hAnsi="ＭＳ ゴシック" w:cs="ＭＳ ゴシック" w:hint="eastAsia"/>
                          <w:b/>
                          <w:bCs/>
                          <w:i/>
                          <w:iCs/>
                          <w:color w:val="000000" w:themeColor="text1"/>
                          <w:sz w:val="19"/>
                          <w:szCs w:val="19"/>
                          <w:lang w:eastAsia="ja-JP"/>
                        </w:rPr>
                        <w:t>。</w:t>
                      </w:r>
                    </w:p>
                    <w:p w14:paraId="4623A7F2" w14:textId="77777777" w:rsidR="00EF5433" w:rsidRPr="00EF5433" w:rsidRDefault="00EF5433" w:rsidP="00EF5433">
                      <w:pPr>
                        <w:ind w:right="25"/>
                        <w:rPr>
                          <w:rFonts w:asciiTheme="minorEastAsia" w:eastAsiaTheme="minorEastAsia" w:hAnsiTheme="minorEastAsia" w:cstheme="minorBidi"/>
                          <w:b/>
                          <w:bCs/>
                          <w:i/>
                          <w:iCs/>
                          <w:color w:val="000000" w:themeColor="text1"/>
                          <w:sz w:val="19"/>
                          <w:szCs w:val="19"/>
                          <w:lang w:eastAsia="ja-JP"/>
                        </w:rPr>
                      </w:pPr>
                    </w:p>
                  </w:txbxContent>
                </v:textbox>
              </v:roundrect>
            </w:pict>
          </mc:Fallback>
        </mc:AlternateContent>
      </w:r>
      <w:r w:rsidR="00956DA3" w:rsidRPr="00956DA3">
        <w:rPr>
          <w:rFonts w:ascii="ＭＳ ゴシック" w:eastAsia="ＭＳ ゴシック" w:hAnsi="ＭＳ ゴシック" w:cs="ＭＳ ゴシック" w:hint="eastAsia"/>
          <w:color w:val="545456"/>
          <w:spacing w:val="-1"/>
          <w:szCs w:val="22"/>
          <w:lang w:eastAsia="ja-JP"/>
        </w:rPr>
        <w:t>従業員の職場への移動</w:t>
      </w:r>
    </w:p>
    <w:p w14:paraId="7476712C" w14:textId="5384DC65" w:rsidR="00956DA3" w:rsidRDefault="00956DA3" w:rsidP="00956DA3">
      <w:pPr>
        <w:pStyle w:val="a3"/>
        <w:spacing w:before="10"/>
        <w:ind w:left="1276"/>
        <w:rPr>
          <w:sz w:val="17"/>
          <w:lang w:eastAsia="ja-JP"/>
        </w:rPr>
      </w:pPr>
    </w:p>
    <w:p w14:paraId="65B91B7B" w14:textId="3C0C6EF4" w:rsidR="00EF5433" w:rsidRPr="00EF5433" w:rsidRDefault="00EF5433" w:rsidP="00EF5433">
      <w:pPr>
        <w:spacing w:before="3" w:after="25"/>
        <w:ind w:leftChars="515" w:left="1133" w:firstLineChars="100" w:firstLine="220"/>
        <w:rPr>
          <w:sz w:val="10"/>
          <w:lang w:eastAsia="ja-JP"/>
        </w:rPr>
      </w:pPr>
      <w:r w:rsidRPr="00BA0839">
        <w:rPr>
          <w:noProof/>
        </w:rPr>
        <mc:AlternateContent>
          <mc:Choice Requires="wps">
            <w:drawing>
              <wp:anchor distT="0" distB="0" distL="114300" distR="114300" simplePos="0" relativeHeight="251468288" behindDoc="0" locked="0" layoutInCell="1" allowOverlap="1" wp14:anchorId="48E41BB5" wp14:editId="5627F384">
                <wp:simplePos x="0" y="0"/>
                <wp:positionH relativeFrom="column">
                  <wp:posOffset>654050</wp:posOffset>
                </wp:positionH>
                <wp:positionV relativeFrom="paragraph">
                  <wp:posOffset>793750</wp:posOffset>
                </wp:positionV>
                <wp:extent cx="3162300" cy="609600"/>
                <wp:effectExtent l="0" t="0" r="0" b="0"/>
                <wp:wrapNone/>
                <wp:docPr id="7" name="四角形: 角を丸くする 7"/>
                <wp:cNvGraphicFramePr/>
                <a:graphic xmlns:a="http://schemas.openxmlformats.org/drawingml/2006/main">
                  <a:graphicData uri="http://schemas.microsoft.com/office/word/2010/wordprocessingShape">
                    <wps:wsp>
                      <wps:cNvSpPr/>
                      <wps:spPr>
                        <a:xfrm>
                          <a:off x="0" y="0"/>
                          <a:ext cx="3162300" cy="609600"/>
                        </a:xfrm>
                        <a:prstGeom prst="roundRect">
                          <a:avLst/>
                        </a:prstGeom>
                        <a:solidFill>
                          <a:srgbClr val="70029C">
                            <a:alpha val="25098"/>
                          </a:srgbClr>
                        </a:solidFill>
                        <a:ln w="25400" cap="flat" cmpd="sng" algn="ctr">
                          <a:noFill/>
                          <a:prstDash val="solid"/>
                        </a:ln>
                        <a:effectLst/>
                      </wps:spPr>
                      <wps:txbx>
                        <w:txbxContent>
                          <w:p w14:paraId="3BA3D511" w14:textId="77777777" w:rsidR="00EF5433" w:rsidRPr="00EF5433" w:rsidRDefault="00EF5433" w:rsidP="00EF5433">
                            <w:pPr>
                              <w:spacing w:before="79" w:line="278" w:lineRule="auto"/>
                              <w:ind w:right="4"/>
                              <w:rPr>
                                <w:rFonts w:ascii="Arial"/>
                                <w:b/>
                                <w:bCs/>
                                <w:i/>
                                <w:iCs/>
                                <w:color w:val="000000" w:themeColor="text1"/>
                                <w:sz w:val="21"/>
                                <w:lang w:eastAsia="ja-JP"/>
                              </w:rPr>
                            </w:pPr>
                            <w:r w:rsidRPr="00EF5433">
                              <w:rPr>
                                <w:rFonts w:ascii="ＭＳ ゴシック" w:eastAsia="ＭＳ ゴシック" w:hAnsi="ＭＳ ゴシック" w:cs="ＭＳ ゴシック" w:hint="eastAsia"/>
                                <w:b/>
                                <w:bCs/>
                                <w:i/>
                                <w:iCs/>
                                <w:color w:val="000000" w:themeColor="text1"/>
                                <w:sz w:val="19"/>
                                <w:szCs w:val="19"/>
                                <w:lang w:eastAsia="ja-JP"/>
                              </w:rPr>
                              <w:t>最終製品の算定範囲には、ゆりかごから墓場まで、ライフサイクル全体を含まなくてはならない。</w:t>
                            </w:r>
                          </w:p>
                          <w:p w14:paraId="3912EF32" w14:textId="2EBD9FAF" w:rsidR="00EF5433" w:rsidRPr="00EF5433" w:rsidRDefault="00EF5433" w:rsidP="00EF5433">
                            <w:pPr>
                              <w:ind w:right="4"/>
                              <w:rPr>
                                <w:rFonts w:asciiTheme="minorEastAsia" w:eastAsiaTheme="minorEastAsia" w:hAnsiTheme="minorEastAsia" w:cstheme="minorBidi"/>
                                <w:b/>
                                <w:bCs/>
                                <w:i/>
                                <w:iCs/>
                                <w:color w:val="000000" w:themeColor="text1"/>
                                <w:sz w:val="19"/>
                                <w:szCs w:val="19"/>
                                <w:lang w:eastAsia="ja-JP"/>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E41BB5" id="四角形: 角を丸くする 7" o:spid="_x0000_s1062" style="position:absolute;left:0;text-align:left;margin-left:51.5pt;margin-top:62.5pt;width:249pt;height:48pt;z-index:2514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" fillcolor="#70029c" stroked="f" strokeweight="2pt">
                <v:fill opacity="16448f"/>
                <v:textbox>
                  <w:txbxContent>
                    <w:p w14:paraId="3BA3D511" w14:textId="77777777" w:rsidR="00EF5433" w:rsidRPr="00EF5433" w:rsidRDefault="00EF5433" w:rsidP="00EF5433">
                      <w:pPr>
                        <w:spacing w:before="79" w:line="278" w:lineRule="auto"/>
                        <w:ind w:right="4"/>
                        <w:rPr>
                          <w:rFonts w:ascii="Arial"/>
                          <w:b/>
                          <w:bCs/>
                          <w:i/>
                          <w:iCs/>
                          <w:color w:val="000000" w:themeColor="text1"/>
                          <w:sz w:val="21"/>
                          <w:lang w:eastAsia="ja-JP"/>
                        </w:rPr>
                      </w:pPr>
                      <w:r w:rsidRPr="00EF5433">
                        <w:rPr>
                          <w:rFonts w:ascii="ＭＳ ゴシック" w:eastAsia="ＭＳ ゴシック" w:hAnsi="ＭＳ ゴシック" w:cs="ＭＳ ゴシック" w:hint="eastAsia"/>
                          <w:b/>
                          <w:bCs/>
                          <w:i/>
                          <w:iCs/>
                          <w:color w:val="000000" w:themeColor="text1"/>
                          <w:sz w:val="19"/>
                          <w:szCs w:val="19"/>
                          <w:lang w:eastAsia="ja-JP"/>
                        </w:rPr>
                        <w:t>最終製品の算定範囲には、ゆりかごから墓場まで、ライフサイクル全体を含まなくてはならない。</w:t>
                      </w:r>
                    </w:p>
                    <w:p w14:paraId="3912EF32" w14:textId="2EBD9FAF" w:rsidR="00EF5433" w:rsidRPr="00EF5433" w:rsidRDefault="00EF5433" w:rsidP="00EF5433">
                      <w:pPr>
                        <w:ind w:right="4"/>
                        <w:rPr>
                          <w:rFonts w:asciiTheme="minorEastAsia" w:eastAsiaTheme="minorEastAsia" w:hAnsiTheme="minorEastAsia" w:cstheme="minorBidi"/>
                          <w:b/>
                          <w:bCs/>
                          <w:i/>
                          <w:iCs/>
                          <w:color w:val="000000" w:themeColor="text1"/>
                          <w:sz w:val="19"/>
                          <w:szCs w:val="19"/>
                          <w:lang w:eastAsia="ja-JP"/>
                        </w:rPr>
                      </w:pPr>
                    </w:p>
                  </w:txbxContent>
                </v:textbox>
              </v:roundrect>
            </w:pict>
          </mc:Fallback>
        </mc:AlternateContent>
      </w:r>
      <w:r w:rsidR="004E504C" w:rsidRPr="004E504C">
        <w:rPr>
          <w:rFonts w:ascii="ＭＳ ゴシック" w:eastAsia="ＭＳ ゴシック" w:hAnsi="ＭＳ ゴシック" w:cs="ＭＳ ゴシック" w:hint="eastAsia"/>
          <w:color w:val="545456"/>
          <w:sz w:val="19"/>
          <w:szCs w:val="19"/>
          <w:lang w:eastAsia="ja-JP"/>
        </w:rPr>
        <w:t>企業は、非</w:t>
      </w:r>
      <w:r w:rsidR="009863CC">
        <w:rPr>
          <w:rFonts w:ascii="ＭＳ ゴシック" w:eastAsia="ＭＳ ゴシック" w:hAnsi="ＭＳ ゴシック" w:cs="ＭＳ ゴシック" w:hint="eastAsia"/>
          <w:color w:val="545456"/>
          <w:sz w:val="19"/>
          <w:szCs w:val="19"/>
          <w:lang w:eastAsia="ja-JP"/>
        </w:rPr>
        <w:t>帰属</w:t>
      </w:r>
      <w:r w:rsidR="004E504C" w:rsidRPr="004E504C">
        <w:rPr>
          <w:rFonts w:ascii="ＭＳ ゴシック" w:eastAsia="ＭＳ ゴシック" w:hAnsi="ＭＳ ゴシック" w:cs="ＭＳ ゴシック" w:hint="eastAsia"/>
          <w:color w:val="545456"/>
          <w:sz w:val="19"/>
          <w:szCs w:val="19"/>
          <w:lang w:eastAsia="ja-JP"/>
        </w:rPr>
        <w:t>プロセスを含めることは要求されていません。ただし、非</w:t>
      </w:r>
      <w:r w:rsidR="009863CC">
        <w:rPr>
          <w:rFonts w:ascii="ＭＳ ゴシック" w:eastAsia="ＭＳ ゴシック" w:hAnsi="ＭＳ ゴシック" w:cs="ＭＳ ゴシック" w:hint="eastAsia"/>
          <w:color w:val="545456"/>
          <w:sz w:val="19"/>
          <w:szCs w:val="19"/>
          <w:lang w:eastAsia="ja-JP"/>
        </w:rPr>
        <w:t>帰属プロセス</w:t>
      </w:r>
      <w:r w:rsidR="004E504C" w:rsidRPr="004E504C">
        <w:rPr>
          <w:rFonts w:ascii="ＭＳ ゴシック" w:eastAsia="ＭＳ ゴシック" w:hAnsi="ＭＳ ゴシック" w:cs="ＭＳ ゴシック" w:hint="eastAsia"/>
          <w:color w:val="545456"/>
          <w:sz w:val="19"/>
          <w:szCs w:val="19"/>
          <w:lang w:eastAsia="ja-JP"/>
        </w:rPr>
        <w:t>を境界内に含める場合は、報告書で開示しなければなりません。</w:t>
      </w:r>
      <w:r w:rsidR="00F23C61">
        <w:rPr>
          <w:lang w:eastAsia="ja-JP"/>
        </w:rPr>
        <w:br w:type="column"/>
      </w:r>
    </w:p>
    <w:p w14:paraId="0AB9AAEA" w14:textId="479586A0" w:rsidR="0055291C" w:rsidRDefault="000A59A5">
      <w:pPr>
        <w:pStyle w:val="a3"/>
        <w:spacing w:before="1" w:line="312" w:lineRule="auto"/>
        <w:ind w:left="315" w:right="1143"/>
        <w:rPr>
          <w:lang w:eastAsia="ja-JP"/>
        </w:rPr>
      </w:pPr>
      <w:r w:rsidRPr="000A59A5">
        <w:rPr>
          <w:rFonts w:ascii="ＭＳ ゴシック" w:eastAsia="ＭＳ ゴシック" w:hAnsi="ＭＳ ゴシック" w:cs="ＭＳ ゴシック" w:hint="eastAsia"/>
          <w:color w:val="545456"/>
          <w:lang w:eastAsia="ja-JP"/>
        </w:rPr>
        <w:t>最終製品の</w:t>
      </w:r>
      <w:r w:rsidRPr="000A59A5">
        <w:rPr>
          <w:color w:val="545456"/>
          <w:lang w:eastAsia="ja-JP"/>
        </w:rPr>
        <w:t>GHG</w:t>
      </w:r>
      <w:r w:rsidRPr="000A59A5">
        <w:rPr>
          <w:rFonts w:ascii="ＭＳ ゴシック" w:eastAsia="ＭＳ ゴシック" w:hAnsi="ＭＳ ゴシック" w:cs="ＭＳ ゴシック" w:hint="eastAsia"/>
          <w:color w:val="545456"/>
          <w:lang w:eastAsia="ja-JP"/>
        </w:rPr>
        <w:t>算出境界には、材料の入手から使用終了までの「ゆりかごから墓場まで」の排出と削減を含めなければなりません。</w:t>
      </w:r>
    </w:p>
    <w:p w14:paraId="0FDE90D4" w14:textId="5E12049D" w:rsidR="0055291C" w:rsidRDefault="000A59A5">
      <w:pPr>
        <w:pStyle w:val="a3"/>
        <w:spacing w:before="141" w:line="312" w:lineRule="auto"/>
        <w:ind w:left="315" w:right="1288"/>
        <w:rPr>
          <w:lang w:eastAsia="ja-JP"/>
        </w:rPr>
      </w:pPr>
      <w:r w:rsidRPr="000A59A5">
        <w:rPr>
          <w:rFonts w:ascii="ＭＳ ゴシック" w:eastAsia="ＭＳ ゴシック" w:hAnsi="ＭＳ ゴシック" w:cs="ＭＳ ゴシック" w:hint="eastAsia"/>
          <w:color w:val="545456"/>
          <w:w w:val="105"/>
          <w:lang w:eastAsia="ja-JP"/>
        </w:rPr>
        <w:t>中間製品については、対応する最終製品の機能がわかっている場合、企業はゆりかごから墓場までの報告書を完成させるべきです。</w:t>
      </w:r>
    </w:p>
    <w:p w14:paraId="6866C2DF"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892" w:space="40"/>
            <w:col w:w="6308"/>
          </w:cols>
        </w:sectPr>
      </w:pPr>
    </w:p>
    <w:p w14:paraId="494EC525" w14:textId="77777777" w:rsidR="0055291C" w:rsidRDefault="0055291C">
      <w:pPr>
        <w:pStyle w:val="a3"/>
        <w:rPr>
          <w:sz w:val="20"/>
          <w:lang w:eastAsia="ja-JP"/>
        </w:rPr>
      </w:pPr>
    </w:p>
    <w:p w14:paraId="6DEDF800" w14:textId="77777777" w:rsidR="0055291C" w:rsidRDefault="0055291C">
      <w:pPr>
        <w:pStyle w:val="a3"/>
        <w:rPr>
          <w:sz w:val="20"/>
          <w:lang w:eastAsia="ja-JP"/>
        </w:rPr>
      </w:pPr>
    </w:p>
    <w:p w14:paraId="5D5016DA" w14:textId="77777777" w:rsidR="0055291C" w:rsidRDefault="0055291C">
      <w:pPr>
        <w:pStyle w:val="a3"/>
        <w:rPr>
          <w:sz w:val="20"/>
          <w:lang w:eastAsia="ja-JP"/>
        </w:rPr>
      </w:pPr>
    </w:p>
    <w:p w14:paraId="648996F7" w14:textId="77777777" w:rsidR="0055291C" w:rsidRDefault="0055291C">
      <w:pPr>
        <w:pStyle w:val="a3"/>
        <w:spacing w:before="4"/>
        <w:rPr>
          <w:sz w:val="24"/>
          <w:lang w:eastAsia="ja-JP"/>
        </w:rPr>
      </w:pPr>
    </w:p>
    <w:p w14:paraId="0D715F8B" w14:textId="77777777" w:rsidR="0055291C" w:rsidRDefault="00000000">
      <w:pPr>
        <w:spacing w:before="1"/>
        <w:ind w:right="1121"/>
        <w:jc w:val="right"/>
        <w:rPr>
          <w:rFonts w:ascii="Arial"/>
          <w:i/>
          <w:sz w:val="19"/>
        </w:rPr>
      </w:pPr>
      <w:r>
        <w:pict w14:anchorId="7D162806">
          <v:shape id="docshape627" o:spid="_x0000_s3174" style="position:absolute;left:0;text-align:left;margin-left:580.75pt;margin-top:-47.75pt;width:31.3pt;height:285.85pt;z-index:251575808;mso-position-horizontal-relative:page" coordorigin="11615,-955" coordsize="626,5717" path="m12240,-955r-625,l11615,4535r3,131l11643,4733r67,25l11842,4761r398,l12240,-955xe" fillcolor="#7f3f98" stroked="f">
            <v:path arrowok="t"/>
            <w10:wrap anchorx="page"/>
          </v:shape>
        </w:pict>
      </w:r>
      <w:r w:rsidR="00F23C61">
        <w:rPr>
          <w:rFonts w:ascii="Arial"/>
          <w:b/>
          <w:i/>
          <w:color w:val="7F3F98"/>
          <w:sz w:val="19"/>
        </w:rPr>
        <w:t>CHAPTER</w:t>
      </w:r>
      <w:r w:rsidR="00F23C61">
        <w:rPr>
          <w:rFonts w:ascii="Arial"/>
          <w:b/>
          <w:i/>
          <w:color w:val="7F3F98"/>
          <w:spacing w:val="9"/>
          <w:sz w:val="19"/>
        </w:rPr>
        <w:t xml:space="preserve"> </w:t>
      </w:r>
      <w:r w:rsidR="00F23C61">
        <w:rPr>
          <w:rFonts w:ascii="Arial"/>
          <w:b/>
          <w:i/>
          <w:color w:val="7F3F98"/>
          <w:sz w:val="19"/>
        </w:rPr>
        <w:t>07</w:t>
      </w:r>
      <w:r w:rsidR="00F23C61">
        <w:rPr>
          <w:rFonts w:ascii="Arial"/>
          <w:b/>
          <w:i/>
          <w:color w:val="7F3F98"/>
          <w:spacing w:val="10"/>
          <w:sz w:val="19"/>
        </w:rPr>
        <w:t xml:space="preserve"> </w:t>
      </w:r>
      <w:r w:rsidR="00F23C61">
        <w:rPr>
          <w:rFonts w:ascii="Arial"/>
          <w:i/>
          <w:color w:val="545456"/>
          <w:sz w:val="19"/>
        </w:rPr>
        <w:t>Boundary</w:t>
      </w:r>
      <w:r w:rsidR="00F23C61">
        <w:rPr>
          <w:rFonts w:ascii="Arial"/>
          <w:i/>
          <w:color w:val="545456"/>
          <w:spacing w:val="7"/>
          <w:sz w:val="19"/>
        </w:rPr>
        <w:t xml:space="preserve"> </w:t>
      </w:r>
      <w:r w:rsidR="00F23C61">
        <w:rPr>
          <w:rFonts w:ascii="Arial"/>
          <w:i/>
          <w:color w:val="545456"/>
          <w:sz w:val="19"/>
        </w:rPr>
        <w:t>Setting</w:t>
      </w:r>
    </w:p>
    <w:p w14:paraId="516B1ADB" w14:textId="77777777" w:rsidR="0055291C" w:rsidRDefault="0055291C">
      <w:pPr>
        <w:pStyle w:val="a3"/>
        <w:rPr>
          <w:rFonts w:ascii="Arial"/>
          <w:i/>
          <w:sz w:val="20"/>
        </w:rPr>
      </w:pPr>
    </w:p>
    <w:p w14:paraId="14F228B7" w14:textId="77777777" w:rsidR="0055291C" w:rsidRDefault="0055291C">
      <w:pPr>
        <w:pStyle w:val="a3"/>
        <w:spacing w:before="5"/>
        <w:rPr>
          <w:rFonts w:ascii="Arial"/>
          <w:i/>
          <w:sz w:val="25"/>
        </w:rPr>
      </w:pPr>
    </w:p>
    <w:p w14:paraId="2910B033" w14:textId="77777777" w:rsidR="0055291C" w:rsidRDefault="0055291C">
      <w:pPr>
        <w:rPr>
          <w:rFonts w:ascii="Arial"/>
          <w:sz w:val="25"/>
        </w:rPr>
        <w:sectPr w:rsidR="0055291C">
          <w:headerReference w:type="default" r:id="rId147"/>
          <w:pgSz w:w="12240" w:h="15840"/>
          <w:pgMar w:top="0" w:right="0" w:bottom="1040" w:left="0" w:header="0" w:footer="859" w:gutter="0"/>
          <w:cols w:space="720"/>
        </w:sectPr>
      </w:pPr>
    </w:p>
    <w:p w14:paraId="5AF4CD35" w14:textId="33F3BC2A" w:rsidR="0055291C" w:rsidRDefault="006B1E59" w:rsidP="002E209B">
      <w:pPr>
        <w:pStyle w:val="a3"/>
        <w:spacing w:before="1" w:line="312" w:lineRule="auto"/>
        <w:ind w:left="851" w:right="5"/>
        <w:rPr>
          <w:lang w:eastAsia="ja-JP"/>
        </w:rPr>
      </w:pPr>
      <w:r w:rsidRPr="006B1E59">
        <w:rPr>
          <w:rFonts w:ascii="ＭＳ ゴシック" w:eastAsia="ＭＳ ゴシック" w:hAnsi="ＭＳ ゴシック" w:cs="ＭＳ ゴシック" w:hint="eastAsia"/>
          <w:color w:val="545456"/>
          <w:lang w:eastAsia="ja-JP"/>
        </w:rPr>
        <w:t>中間製品がインプットとなる最終製品の機能が不明な場合は、生産から出荷までの境界を定義します。生産から出荷までとは、ライフサイクルの部分的な排出であり、原材料の入手から中間製品が報告企業の門を出るまで（通常、生産直後）のすべての排出と除去を含むいっぽう、</w:t>
      </w:r>
      <w:r w:rsidRPr="006B1E59">
        <w:rPr>
          <w:color w:val="545456"/>
          <w:lang w:eastAsia="ja-JP"/>
        </w:rPr>
        <w:t xml:space="preserve"> </w:t>
      </w:r>
      <w:r w:rsidRPr="006B1E59">
        <w:rPr>
          <w:rFonts w:ascii="ＭＳ ゴシック" w:eastAsia="ＭＳ ゴシック" w:hAnsi="ＭＳ ゴシック" w:cs="ＭＳ ゴシック" w:hint="eastAsia"/>
          <w:color w:val="545456"/>
          <w:lang w:eastAsia="ja-JP"/>
        </w:rPr>
        <w:t>最終製品の使用と廃棄は除きます。生産から出荷までの境界線が定義されている場合、企業は報告書でこれを開示しなければなりません。</w:t>
      </w:r>
    </w:p>
    <w:p w14:paraId="7C7161B0" w14:textId="288673CC" w:rsidR="0055291C" w:rsidRDefault="002E209B">
      <w:pPr>
        <w:pStyle w:val="a3"/>
        <w:spacing w:before="4"/>
        <w:rPr>
          <w:sz w:val="20"/>
          <w:lang w:eastAsia="ja-JP"/>
        </w:rPr>
      </w:pPr>
      <w:r w:rsidRPr="00BA0839">
        <w:rPr>
          <w:noProof/>
        </w:rPr>
        <mc:AlternateContent>
          <mc:Choice Requires="wps">
            <w:drawing>
              <wp:anchor distT="0" distB="0" distL="114300" distR="114300" simplePos="0" relativeHeight="251470336" behindDoc="0" locked="0" layoutInCell="1" allowOverlap="1" wp14:anchorId="08F6D765" wp14:editId="40A1CF0B">
                <wp:simplePos x="0" y="0"/>
                <wp:positionH relativeFrom="column">
                  <wp:posOffset>539750</wp:posOffset>
                </wp:positionH>
                <wp:positionV relativeFrom="paragraph">
                  <wp:posOffset>62230</wp:posOffset>
                </wp:positionV>
                <wp:extent cx="3003550" cy="628650"/>
                <wp:effectExtent l="0" t="0" r="6350" b="0"/>
                <wp:wrapSquare wrapText="bothSides"/>
                <wp:docPr id="86" name="四角形: 角を丸くする 86"/>
                <wp:cNvGraphicFramePr/>
                <a:graphic xmlns:a="http://schemas.openxmlformats.org/drawingml/2006/main">
                  <a:graphicData uri="http://schemas.microsoft.com/office/word/2010/wordprocessingShape">
                    <wps:wsp>
                      <wps:cNvSpPr/>
                      <wps:spPr>
                        <a:xfrm>
                          <a:off x="0" y="0"/>
                          <a:ext cx="3003550" cy="628650"/>
                        </a:xfrm>
                        <a:prstGeom prst="roundRect">
                          <a:avLst/>
                        </a:prstGeom>
                        <a:solidFill>
                          <a:srgbClr val="70029C">
                            <a:alpha val="25098"/>
                          </a:srgbClr>
                        </a:solidFill>
                        <a:ln w="25400" cap="flat" cmpd="sng" algn="ctr">
                          <a:noFill/>
                          <a:prstDash val="solid"/>
                        </a:ln>
                        <a:effectLst/>
                      </wps:spPr>
                      <wps:txbx>
                        <w:txbxContent>
                          <w:p w14:paraId="6CA06A59" w14:textId="1C96A9E8" w:rsidR="006B1E59" w:rsidRPr="006B1E59" w:rsidRDefault="006B1E59" w:rsidP="006B1E59">
                            <w:pPr>
                              <w:spacing w:before="147" w:line="278" w:lineRule="auto"/>
                              <w:ind w:leftChars="64" w:left="141" w:right="179"/>
                              <w:rPr>
                                <w:rFonts w:ascii="Arial"/>
                                <w:b/>
                                <w:bCs/>
                                <w:i/>
                                <w:iCs/>
                                <w:color w:val="000000" w:themeColor="text1"/>
                                <w:sz w:val="21"/>
                                <w:lang w:eastAsia="ja-JP"/>
                              </w:rPr>
                            </w:pPr>
                            <w:r w:rsidRPr="006B1E59">
                              <w:rPr>
                                <w:rFonts w:ascii="ＭＳ ゴシック" w:eastAsia="ＭＳ ゴシック" w:hAnsi="ＭＳ ゴシック" w:cs="ＭＳ ゴシック" w:hint="eastAsia"/>
                                <w:b/>
                                <w:bCs/>
                                <w:i/>
                                <w:iCs/>
                                <w:color w:val="000000" w:themeColor="text1"/>
                                <w:sz w:val="19"/>
                                <w:szCs w:val="19"/>
                                <w:lang w:eastAsia="ja-JP"/>
                              </w:rPr>
                              <w:t>企業は、排出量算出の期間を報告しなければならない</w:t>
                            </w:r>
                            <w:r>
                              <w:rPr>
                                <w:rFonts w:ascii="ＭＳ ゴシック" w:eastAsia="ＭＳ ゴシック" w:hAnsi="ＭＳ ゴシック" w:cs="ＭＳ ゴシック" w:hint="eastAsia"/>
                                <w:b/>
                                <w:bCs/>
                                <w:i/>
                                <w:iCs/>
                                <w:color w:val="000000" w:themeColor="text1"/>
                                <w:sz w:val="19"/>
                                <w:szCs w:val="19"/>
                                <w:lang w:eastAsia="ja-JP"/>
                              </w:rPr>
                              <w:t>。</w:t>
                            </w:r>
                          </w:p>
                          <w:p w14:paraId="1BA394ED" w14:textId="77777777" w:rsidR="006B1E59" w:rsidRPr="006B1E59" w:rsidRDefault="006B1E59" w:rsidP="006B1E59">
                            <w:pPr>
                              <w:ind w:leftChars="64" w:left="141" w:right="179"/>
                              <w:rPr>
                                <w:rFonts w:asciiTheme="minorEastAsia" w:eastAsiaTheme="minorEastAsia" w:hAnsiTheme="minorEastAsia" w:cstheme="minorBidi"/>
                                <w:b/>
                                <w:bCs/>
                                <w:i/>
                                <w:iCs/>
                                <w:color w:val="000000" w:themeColor="text1"/>
                                <w:sz w:val="19"/>
                                <w:szCs w:val="19"/>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F6D765" id="四角形: 角を丸くする 86" o:spid="_x0000_s1063" style="position:absolute;margin-left:42.5pt;margin-top:4.9pt;width:236.5pt;height:49.5pt;z-index:2514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" fillcolor="#70029c" stroked="f" strokeweight="2pt">
                <v:fill opacity="16448f"/>
                <v:textbox>
                  <w:txbxContent>
                    <w:p w14:paraId="6CA06A59" w14:textId="1C96A9E8" w:rsidR="006B1E59" w:rsidRPr="006B1E59" w:rsidRDefault="006B1E59" w:rsidP="006B1E59">
                      <w:pPr>
                        <w:spacing w:before="147" w:line="278" w:lineRule="auto"/>
                        <w:ind w:leftChars="64" w:left="141" w:right="179"/>
                        <w:rPr>
                          <w:rFonts w:ascii="Arial"/>
                          <w:b/>
                          <w:bCs/>
                          <w:i/>
                          <w:iCs/>
                          <w:color w:val="000000" w:themeColor="text1"/>
                          <w:sz w:val="21"/>
                          <w:lang w:eastAsia="ja-JP"/>
                        </w:rPr>
                      </w:pPr>
                      <w:r w:rsidRPr="006B1E59">
                        <w:rPr>
                          <w:rFonts w:ascii="ＭＳ ゴシック" w:eastAsia="ＭＳ ゴシック" w:hAnsi="ＭＳ ゴシック" w:cs="ＭＳ ゴシック" w:hint="eastAsia"/>
                          <w:b/>
                          <w:bCs/>
                          <w:i/>
                          <w:iCs/>
                          <w:color w:val="000000" w:themeColor="text1"/>
                          <w:sz w:val="19"/>
                          <w:szCs w:val="19"/>
                          <w:lang w:eastAsia="ja-JP"/>
                        </w:rPr>
                        <w:t>企業は、排出量算出の期間を報告しなければならない</w:t>
                      </w:r>
                      <w:r>
                        <w:rPr>
                          <w:rFonts w:ascii="ＭＳ ゴシック" w:eastAsia="ＭＳ ゴシック" w:hAnsi="ＭＳ ゴシック" w:cs="ＭＳ ゴシック" w:hint="eastAsia"/>
                          <w:b/>
                          <w:bCs/>
                          <w:i/>
                          <w:iCs/>
                          <w:color w:val="000000" w:themeColor="text1"/>
                          <w:sz w:val="19"/>
                          <w:szCs w:val="19"/>
                          <w:lang w:eastAsia="ja-JP"/>
                        </w:rPr>
                        <w:t>。</w:t>
                      </w:r>
                    </w:p>
                    <w:p w14:paraId="1BA394ED" w14:textId="77777777" w:rsidR="006B1E59" w:rsidRPr="006B1E59" w:rsidRDefault="006B1E59" w:rsidP="006B1E59">
                      <w:pPr>
                        <w:ind w:leftChars="64" w:left="141" w:right="179"/>
                        <w:rPr>
                          <w:rFonts w:asciiTheme="minorEastAsia" w:eastAsiaTheme="minorEastAsia" w:hAnsiTheme="minorEastAsia" w:cstheme="minorBidi"/>
                          <w:b/>
                          <w:bCs/>
                          <w:i/>
                          <w:iCs/>
                          <w:color w:val="000000" w:themeColor="text1"/>
                          <w:sz w:val="19"/>
                          <w:szCs w:val="19"/>
                          <w:lang w:eastAsia="ja-JP"/>
                        </w:rPr>
                      </w:pPr>
                    </w:p>
                  </w:txbxContent>
                </v:textbox>
                <w10:wrap type="square"/>
              </v:roundrect>
            </w:pict>
          </mc:Fallback>
        </mc:AlternateContent>
      </w:r>
    </w:p>
    <w:p w14:paraId="24BD99B2" w14:textId="66549A57" w:rsidR="0055291C" w:rsidRDefault="0055291C">
      <w:pPr>
        <w:pStyle w:val="a3"/>
        <w:spacing w:before="2"/>
        <w:rPr>
          <w:sz w:val="18"/>
          <w:lang w:eastAsia="ja-JP"/>
        </w:rPr>
      </w:pPr>
    </w:p>
    <w:p w14:paraId="06B1C152" w14:textId="77777777" w:rsidR="002E209B" w:rsidRDefault="00845A2A" w:rsidP="002E209B">
      <w:pPr>
        <w:pStyle w:val="a3"/>
        <w:spacing w:line="312" w:lineRule="auto"/>
        <w:ind w:left="851" w:right="229"/>
        <w:rPr>
          <w:rFonts w:ascii="ＭＳ ゴシック" w:eastAsia="ＭＳ ゴシック" w:hAnsi="ＭＳ ゴシック" w:cs="ＭＳ ゴシック"/>
          <w:color w:val="545456"/>
          <w:lang w:eastAsia="ja-JP"/>
        </w:rPr>
      </w:pPr>
      <w:r>
        <w:rPr>
          <w:rFonts w:ascii="ＭＳ ゴシック" w:eastAsia="ＭＳ ゴシック" w:hAnsi="ＭＳ ゴシック" w:cs="ＭＳ ゴシック" w:hint="eastAsia"/>
          <w:color w:val="545456"/>
          <w:lang w:eastAsia="ja-JP"/>
        </w:rPr>
        <w:t xml:space="preserve">　</w:t>
      </w:r>
    </w:p>
    <w:p w14:paraId="26840055" w14:textId="77777777" w:rsidR="002E209B" w:rsidRDefault="002E209B" w:rsidP="002E209B">
      <w:pPr>
        <w:pStyle w:val="a3"/>
        <w:spacing w:line="312" w:lineRule="auto"/>
        <w:ind w:left="851" w:right="229"/>
        <w:rPr>
          <w:rFonts w:ascii="ＭＳ ゴシック" w:eastAsia="ＭＳ ゴシック" w:hAnsi="ＭＳ ゴシック" w:cs="ＭＳ ゴシック"/>
          <w:color w:val="545456"/>
          <w:lang w:eastAsia="ja-JP"/>
        </w:rPr>
      </w:pPr>
    </w:p>
    <w:p w14:paraId="6D904E3A" w14:textId="77777777" w:rsidR="002E209B" w:rsidRDefault="002E209B" w:rsidP="002E209B">
      <w:pPr>
        <w:pStyle w:val="a3"/>
        <w:spacing w:line="312" w:lineRule="auto"/>
        <w:ind w:left="851" w:right="229"/>
        <w:rPr>
          <w:rFonts w:ascii="ＭＳ ゴシック" w:eastAsia="ＭＳ ゴシック" w:hAnsi="ＭＳ ゴシック" w:cs="ＭＳ ゴシック"/>
          <w:color w:val="545456"/>
          <w:lang w:eastAsia="ja-JP"/>
        </w:rPr>
      </w:pPr>
    </w:p>
    <w:p w14:paraId="4CF05B0A" w14:textId="310D7D65" w:rsidR="0055291C" w:rsidRPr="00845A2A" w:rsidRDefault="00845A2A" w:rsidP="002E209B">
      <w:pPr>
        <w:pStyle w:val="a3"/>
        <w:spacing w:line="312" w:lineRule="auto"/>
        <w:ind w:left="851" w:right="229" w:firstLineChars="100" w:firstLine="196"/>
        <w:rPr>
          <w:color w:val="545456"/>
          <w:spacing w:val="6"/>
          <w:lang w:eastAsia="ja-JP"/>
        </w:rPr>
      </w:pPr>
      <w:r w:rsidRPr="00845A2A">
        <w:rPr>
          <w:rFonts w:ascii="ＭＳ ゴシック" w:eastAsia="ＭＳ ゴシック" w:hAnsi="ＭＳ ゴシック" w:cs="ＭＳ ゴシック" w:hint="eastAsia"/>
          <w:color w:val="545456"/>
          <w:spacing w:val="6"/>
          <w:lang w:eastAsia="ja-JP"/>
        </w:rPr>
        <w:t>報告書の期間とは、材料が自然から採取されてから、耐用年数終了時に自然に戻されるか（例：焼却）、調査対象製品のライフサイクルから外れる（例：リサイクル）までの、調査対象製品がそのライフサイクルを完了するまでにかかる時間のことを指します。腐りやすい食品や燃料のような非耐久財は、通常</w:t>
      </w:r>
      <w:r w:rsidRPr="00845A2A">
        <w:rPr>
          <w:color w:val="545456"/>
          <w:spacing w:val="6"/>
          <w:lang w:eastAsia="ja-JP"/>
        </w:rPr>
        <w:t>1</w:t>
      </w:r>
      <w:r w:rsidRPr="00845A2A">
        <w:rPr>
          <w:rFonts w:ascii="ＭＳ ゴシック" w:eastAsia="ＭＳ ゴシック" w:hAnsi="ＭＳ ゴシック" w:cs="ＭＳ ゴシック" w:hint="eastAsia"/>
          <w:color w:val="545456"/>
          <w:spacing w:val="6"/>
          <w:lang w:eastAsia="ja-JP"/>
        </w:rPr>
        <w:t>年以下の期間を設定します。コンピュータ、自動車、冷蔵庫などの耐久消費財は、通常</w:t>
      </w:r>
      <w:r w:rsidRPr="00845A2A">
        <w:rPr>
          <w:color w:val="545456"/>
          <w:spacing w:val="6"/>
          <w:lang w:eastAsia="ja-JP"/>
        </w:rPr>
        <w:t>3</w:t>
      </w:r>
      <w:r w:rsidRPr="00845A2A">
        <w:rPr>
          <w:rFonts w:ascii="ＭＳ ゴシック" w:eastAsia="ＭＳ ゴシック" w:hAnsi="ＭＳ ゴシック" w:cs="ＭＳ ゴシック" w:hint="eastAsia"/>
          <w:color w:val="545456"/>
          <w:spacing w:val="6"/>
          <w:lang w:eastAsia="ja-JP"/>
        </w:rPr>
        <w:t>年以上の期間を設定します。</w:t>
      </w:r>
    </w:p>
    <w:p w14:paraId="3BE16DDE" w14:textId="37E0726B" w:rsidR="0055291C" w:rsidRDefault="00845A2A" w:rsidP="002E209B">
      <w:pPr>
        <w:pStyle w:val="a3"/>
        <w:spacing w:before="141" w:line="312" w:lineRule="auto"/>
        <w:ind w:left="851" w:right="134" w:firstLineChars="100" w:firstLine="190"/>
        <w:rPr>
          <w:lang w:eastAsia="ja-JP"/>
        </w:rPr>
      </w:pPr>
      <w:r w:rsidRPr="00845A2A">
        <w:rPr>
          <w:rFonts w:ascii="ＭＳ ゴシック" w:eastAsia="ＭＳ ゴシック" w:hAnsi="ＭＳ ゴシック" w:cs="ＭＳ ゴシック" w:hint="eastAsia"/>
          <w:color w:val="545456"/>
          <w:lang w:eastAsia="ja-JP"/>
        </w:rPr>
        <w:t>企業は、全ての報告書の期間を報告しなくてはなりません。その期間は、可能な限り科学的な証拠に基づくべきであり、セクターガイダンスや製品規則がある場合には、この情報源となることがあります。既知の科学、セクターガイダンス、または製品規則が存在しない場合、企業は使用終了段階を含む最低</w:t>
      </w:r>
      <w:r w:rsidRPr="00845A2A">
        <w:rPr>
          <w:color w:val="545456"/>
          <w:lang w:eastAsia="ja-JP"/>
        </w:rPr>
        <w:t>100</w:t>
      </w:r>
      <w:r w:rsidRPr="00845A2A">
        <w:rPr>
          <w:rFonts w:ascii="ＭＳ ゴシック" w:eastAsia="ＭＳ ゴシック" w:hAnsi="ＭＳ ゴシック" w:cs="ＭＳ ゴシック" w:hint="eastAsia"/>
          <w:color w:val="545456"/>
          <w:lang w:eastAsia="ja-JP"/>
        </w:rPr>
        <w:t>年の期間を想定すべきで</w:t>
      </w:r>
      <w:r>
        <w:rPr>
          <w:rFonts w:ascii="ＭＳ ゴシック" w:eastAsia="ＭＳ ゴシック" w:hAnsi="ＭＳ ゴシック" w:cs="ＭＳ ゴシック" w:hint="eastAsia"/>
          <w:color w:val="545456"/>
          <w:lang w:eastAsia="ja-JP"/>
        </w:rPr>
        <w:t>す</w:t>
      </w:r>
      <w:r w:rsidRPr="00845A2A">
        <w:rPr>
          <w:rFonts w:ascii="ＭＳ ゴシック" w:eastAsia="ＭＳ ゴシック" w:hAnsi="ＭＳ ゴシック" w:cs="ＭＳ ゴシック" w:hint="eastAsia"/>
          <w:color w:val="545456"/>
          <w:lang w:eastAsia="ja-JP"/>
        </w:rPr>
        <w:t>（すなわち、使用段階が</w:t>
      </w:r>
      <w:r w:rsidRPr="00845A2A">
        <w:rPr>
          <w:color w:val="545456"/>
          <w:lang w:eastAsia="ja-JP"/>
        </w:rPr>
        <w:t>100</w:t>
      </w:r>
      <w:r w:rsidRPr="00845A2A">
        <w:rPr>
          <w:rFonts w:ascii="ＭＳ ゴシック" w:eastAsia="ＭＳ ゴシック" w:hAnsi="ＭＳ ゴシック" w:cs="ＭＳ ゴシック" w:hint="eastAsia"/>
          <w:color w:val="545456"/>
          <w:lang w:eastAsia="ja-JP"/>
        </w:rPr>
        <w:t>年以上あれば、期間は使用終了段階を除外することはでき</w:t>
      </w:r>
      <w:r>
        <w:rPr>
          <w:rFonts w:ascii="ＭＳ ゴシック" w:eastAsia="ＭＳ ゴシック" w:hAnsi="ＭＳ ゴシック" w:cs="ＭＳ ゴシック" w:hint="eastAsia"/>
          <w:color w:val="545456"/>
          <w:lang w:eastAsia="ja-JP"/>
        </w:rPr>
        <w:t>ません</w:t>
      </w:r>
      <w:r w:rsidRPr="00845A2A">
        <w:rPr>
          <w:rFonts w:ascii="ＭＳ ゴシック" w:eastAsia="ＭＳ ゴシック" w:hAnsi="ＭＳ ゴシック" w:cs="ＭＳ ゴシック" w:hint="eastAsia"/>
          <w:color w:val="545456"/>
          <w:lang w:eastAsia="ja-JP"/>
        </w:rPr>
        <w:t>）。</w:t>
      </w:r>
    </w:p>
    <w:p w14:paraId="5240B251" w14:textId="389236D5" w:rsidR="0055291C" w:rsidRDefault="002E209B">
      <w:pPr>
        <w:pStyle w:val="a3"/>
        <w:spacing w:before="9"/>
        <w:rPr>
          <w:sz w:val="24"/>
          <w:lang w:eastAsia="ja-JP"/>
        </w:rPr>
      </w:pPr>
      <w:r w:rsidRPr="00BA0839">
        <w:rPr>
          <w:noProof/>
        </w:rPr>
        <mc:AlternateContent>
          <mc:Choice Requires="wps">
            <w:drawing>
              <wp:anchor distT="0" distB="0" distL="114300" distR="114300" simplePos="0" relativeHeight="251471360" behindDoc="0" locked="0" layoutInCell="1" allowOverlap="1" wp14:anchorId="72891DA7" wp14:editId="1A90C259">
                <wp:simplePos x="0" y="0"/>
                <wp:positionH relativeFrom="column">
                  <wp:posOffset>571500</wp:posOffset>
                </wp:positionH>
                <wp:positionV relativeFrom="paragraph">
                  <wp:posOffset>161925</wp:posOffset>
                </wp:positionV>
                <wp:extent cx="3168650" cy="768350"/>
                <wp:effectExtent l="0" t="0" r="0" b="0"/>
                <wp:wrapSquare wrapText="bothSides"/>
                <wp:docPr id="87" name="四角形: 角を丸くする 87"/>
                <wp:cNvGraphicFramePr/>
                <a:graphic xmlns:a="http://schemas.openxmlformats.org/drawingml/2006/main">
                  <a:graphicData uri="http://schemas.microsoft.com/office/word/2010/wordprocessingShape">
                    <wps:wsp>
                      <wps:cNvSpPr/>
                      <wps:spPr>
                        <a:xfrm>
                          <a:off x="0" y="0"/>
                          <a:ext cx="3168650" cy="768350"/>
                        </a:xfrm>
                        <a:prstGeom prst="roundRect">
                          <a:avLst/>
                        </a:prstGeom>
                        <a:solidFill>
                          <a:srgbClr val="70029C">
                            <a:alpha val="25098"/>
                          </a:srgbClr>
                        </a:solidFill>
                        <a:ln w="25400" cap="flat" cmpd="sng" algn="ctr">
                          <a:noFill/>
                          <a:prstDash val="solid"/>
                        </a:ln>
                        <a:effectLst/>
                      </wps:spPr>
                      <wps:txbx>
                        <w:txbxContent>
                          <w:p w14:paraId="427FEE11" w14:textId="77777777" w:rsidR="00845A2A" w:rsidRPr="00845A2A" w:rsidRDefault="00845A2A" w:rsidP="00845A2A">
                            <w:pPr>
                              <w:spacing w:before="98" w:line="278" w:lineRule="auto"/>
                              <w:ind w:right="57"/>
                              <w:rPr>
                                <w:rFonts w:ascii="Arial"/>
                                <w:b/>
                                <w:bCs/>
                                <w:i/>
                                <w:iCs/>
                                <w:color w:val="000000" w:themeColor="text1"/>
                                <w:sz w:val="21"/>
                                <w:lang w:eastAsia="ja-JP"/>
                              </w:rPr>
                            </w:pPr>
                            <w:r w:rsidRPr="00845A2A">
                              <w:rPr>
                                <w:rFonts w:ascii="ＭＳ ゴシック" w:eastAsia="ＭＳ ゴシック" w:hAnsi="ＭＳ ゴシック" w:cs="ＭＳ ゴシック" w:hint="eastAsia"/>
                                <w:b/>
                                <w:bCs/>
                                <w:i/>
                                <w:iCs/>
                                <w:color w:val="000000" w:themeColor="text1"/>
                                <w:sz w:val="19"/>
                                <w:szCs w:val="19"/>
                                <w:lang w:eastAsia="ja-JP"/>
                              </w:rPr>
                              <w:t>企業は、土地利用変化による影響を算出した場合、算出するために使用した方法を報告しなければならない。</w:t>
                            </w:r>
                          </w:p>
                          <w:p w14:paraId="7FCCA83A" w14:textId="77777777" w:rsidR="00845A2A" w:rsidRPr="00845A2A" w:rsidRDefault="00845A2A" w:rsidP="00845A2A">
                            <w:pPr>
                              <w:ind w:leftChars="64" w:left="141" w:right="57"/>
                              <w:rPr>
                                <w:rFonts w:asciiTheme="minorEastAsia" w:eastAsiaTheme="minorEastAsia" w:hAnsiTheme="minorEastAsia" w:cstheme="minorBidi"/>
                                <w:b/>
                                <w:bCs/>
                                <w:i/>
                                <w:iCs/>
                                <w:color w:val="000000" w:themeColor="text1"/>
                                <w:sz w:val="19"/>
                                <w:szCs w:val="19"/>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891DA7" id="四角形: 角を丸くする 87" o:spid="_x0000_s1064" style="position:absolute;margin-left:45pt;margin-top:12.75pt;width:249.5pt;height:60.5pt;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" fillcolor="#70029c" stroked="f" strokeweight="2pt">
                <v:fill opacity="16448f"/>
                <v:textbox>
                  <w:txbxContent>
                    <w:p w14:paraId="427FEE11" w14:textId="77777777" w:rsidR="00845A2A" w:rsidRPr="00845A2A" w:rsidRDefault="00845A2A" w:rsidP="00845A2A">
                      <w:pPr>
                        <w:spacing w:before="98" w:line="278" w:lineRule="auto"/>
                        <w:ind w:right="57"/>
                        <w:rPr>
                          <w:rFonts w:ascii="Arial"/>
                          <w:b/>
                          <w:bCs/>
                          <w:i/>
                          <w:iCs/>
                          <w:color w:val="000000" w:themeColor="text1"/>
                          <w:sz w:val="21"/>
                          <w:lang w:eastAsia="ja-JP"/>
                        </w:rPr>
                      </w:pPr>
                      <w:r w:rsidRPr="00845A2A">
                        <w:rPr>
                          <w:rFonts w:ascii="ＭＳ ゴシック" w:eastAsia="ＭＳ ゴシック" w:hAnsi="ＭＳ ゴシック" w:cs="ＭＳ ゴシック" w:hint="eastAsia"/>
                          <w:b/>
                          <w:bCs/>
                          <w:i/>
                          <w:iCs/>
                          <w:color w:val="000000" w:themeColor="text1"/>
                          <w:sz w:val="19"/>
                          <w:szCs w:val="19"/>
                          <w:lang w:eastAsia="ja-JP"/>
                        </w:rPr>
                        <w:t>企業は、土地利用変化による影響を算出した場合、算出するために使用した方法を報告しなければならない。</w:t>
                      </w:r>
                    </w:p>
                    <w:p w14:paraId="7FCCA83A" w14:textId="77777777" w:rsidR="00845A2A" w:rsidRPr="00845A2A" w:rsidRDefault="00845A2A" w:rsidP="00845A2A">
                      <w:pPr>
                        <w:ind w:leftChars="64" w:left="141" w:right="57"/>
                        <w:rPr>
                          <w:rFonts w:asciiTheme="minorEastAsia" w:eastAsiaTheme="minorEastAsia" w:hAnsiTheme="minorEastAsia" w:cstheme="minorBidi"/>
                          <w:b/>
                          <w:bCs/>
                          <w:i/>
                          <w:iCs/>
                          <w:color w:val="000000" w:themeColor="text1"/>
                          <w:sz w:val="19"/>
                          <w:szCs w:val="19"/>
                          <w:lang w:eastAsia="ja-JP"/>
                        </w:rPr>
                      </w:pPr>
                    </w:p>
                  </w:txbxContent>
                </v:textbox>
                <w10:wrap type="square"/>
              </v:roundrect>
            </w:pict>
          </mc:Fallback>
        </mc:AlternateContent>
      </w:r>
    </w:p>
    <w:p w14:paraId="1705B102" w14:textId="01287CF5" w:rsidR="0055291C" w:rsidRDefault="0055291C">
      <w:pPr>
        <w:pStyle w:val="a3"/>
        <w:spacing w:before="10"/>
        <w:rPr>
          <w:sz w:val="18"/>
          <w:lang w:eastAsia="ja-JP"/>
        </w:rPr>
      </w:pPr>
    </w:p>
    <w:p w14:paraId="10FB6FBF" w14:textId="77777777" w:rsidR="002A2C2B" w:rsidRDefault="00F23C61" w:rsidP="002A2C2B">
      <w:pPr>
        <w:pStyle w:val="a3"/>
        <w:spacing w:line="312" w:lineRule="auto"/>
        <w:ind w:left="851" w:right="266" w:firstLineChars="74" w:firstLine="141"/>
        <w:rPr>
          <w:color w:val="545456"/>
          <w:spacing w:val="-9"/>
          <w:lang w:eastAsia="ja-JP"/>
        </w:rPr>
      </w:pPr>
      <w:r>
        <w:rPr>
          <w:color w:val="545456"/>
          <w:lang w:eastAsia="ja-JP"/>
        </w:rPr>
        <w:t>For</w:t>
      </w:r>
    </w:p>
    <w:p w14:paraId="62F35E5E" w14:textId="77777777" w:rsidR="002A2C2B" w:rsidRDefault="002A2C2B" w:rsidP="002A2C2B">
      <w:pPr>
        <w:pStyle w:val="a3"/>
        <w:spacing w:line="312" w:lineRule="auto"/>
        <w:ind w:left="851" w:right="266" w:firstLineChars="74" w:firstLine="134"/>
        <w:rPr>
          <w:rFonts w:eastAsiaTheme="minorEastAsia"/>
          <w:color w:val="545456"/>
          <w:spacing w:val="-9"/>
          <w:lang w:eastAsia="ja-JP"/>
        </w:rPr>
      </w:pPr>
    </w:p>
    <w:p w14:paraId="77C464F8" w14:textId="44627681" w:rsidR="002A2C2B" w:rsidRDefault="002A2C2B" w:rsidP="002A2C2B">
      <w:pPr>
        <w:pStyle w:val="a3"/>
        <w:spacing w:line="312" w:lineRule="auto"/>
        <w:ind w:left="851" w:right="266" w:firstLineChars="74" w:firstLine="141"/>
        <w:rPr>
          <w:rFonts w:ascii="ＭＳ ゴシック" w:eastAsia="ＭＳ ゴシック" w:hAnsi="ＭＳ ゴシック" w:cs="ＭＳ ゴシック"/>
          <w:color w:val="545456"/>
          <w:lang w:eastAsia="ja-JP"/>
        </w:rPr>
      </w:pPr>
      <w:r w:rsidRPr="002A2C2B">
        <w:rPr>
          <w:rFonts w:ascii="ＭＳ ゴシック" w:eastAsia="ＭＳ ゴシック" w:hAnsi="ＭＳ ゴシック" w:cs="ＭＳ ゴシック" w:hint="eastAsia"/>
          <w:color w:val="545456"/>
          <w:lang w:eastAsia="ja-JP"/>
        </w:rPr>
        <w:t>ライフサイクルに生物由来材料が含まれる調査対象製品については、土地利用は報告書の</w:t>
      </w:r>
      <w:r w:rsidRPr="002A2C2B">
        <w:rPr>
          <w:color w:val="545456"/>
          <w:lang w:eastAsia="ja-JP"/>
        </w:rPr>
        <w:t>2</w:t>
      </w:r>
      <w:r w:rsidRPr="002A2C2B">
        <w:rPr>
          <w:rFonts w:ascii="ＭＳ ゴシック" w:eastAsia="ＭＳ ゴシック" w:hAnsi="ＭＳ ゴシック" w:cs="ＭＳ ゴシック" w:hint="eastAsia"/>
          <w:color w:val="545456"/>
          <w:lang w:eastAsia="ja-JP"/>
        </w:rPr>
        <w:t>つの側面に反映されます。</w:t>
      </w:r>
      <w:r w:rsidRPr="002A2C2B">
        <w:rPr>
          <w:color w:val="545456"/>
          <w:lang w:eastAsia="ja-JP"/>
        </w:rPr>
        <w:t>1</w:t>
      </w:r>
      <w:r w:rsidRPr="002A2C2B">
        <w:rPr>
          <w:rFonts w:ascii="ＭＳ ゴシック" w:eastAsia="ＭＳ ゴシック" w:hAnsi="ＭＳ ゴシック" w:cs="ＭＳ ゴシック" w:hint="eastAsia"/>
          <w:color w:val="545456"/>
          <w:lang w:eastAsia="ja-JP"/>
        </w:rPr>
        <w:t>つは、生育、施肥、栽培、収穫など、農業や林業に関連するプロセスからの排出と除去です。例えば、米の栽培は</w:t>
      </w:r>
      <w:r w:rsidRPr="002A2C2B">
        <w:rPr>
          <w:color w:val="545456"/>
          <w:lang w:eastAsia="ja-JP"/>
        </w:rPr>
        <w:t>CH</w:t>
      </w:r>
      <w:r w:rsidRPr="002A2C2B">
        <w:rPr>
          <w:color w:val="545456"/>
          <w:vertAlign w:val="subscript"/>
          <w:lang w:eastAsia="ja-JP"/>
        </w:rPr>
        <w:t>4</w:t>
      </w:r>
      <w:r w:rsidRPr="002A2C2B">
        <w:rPr>
          <w:rFonts w:ascii="ＭＳ ゴシック" w:eastAsia="ＭＳ ゴシック" w:hAnsi="ＭＳ ゴシック" w:cs="ＭＳ ゴシック" w:hint="eastAsia"/>
          <w:color w:val="545456"/>
          <w:lang w:eastAsia="ja-JP"/>
        </w:rPr>
        <w:t>の排出を生み、これは米製品の排出量に材料取得の影響として含まれることになります。</w:t>
      </w:r>
    </w:p>
    <w:p w14:paraId="49CCCB63" w14:textId="106908CF" w:rsidR="002A2C2B" w:rsidRDefault="002A2C2B" w:rsidP="002A2C2B">
      <w:pPr>
        <w:pStyle w:val="a3"/>
        <w:tabs>
          <w:tab w:val="left" w:pos="993"/>
        </w:tabs>
        <w:spacing w:line="312" w:lineRule="auto"/>
        <w:ind w:left="851" w:right="266"/>
        <w:rPr>
          <w:rFonts w:eastAsiaTheme="minorEastAsia"/>
          <w:lang w:eastAsia="ja-JP"/>
        </w:rPr>
      </w:pPr>
    </w:p>
    <w:p w14:paraId="2883ADCA" w14:textId="77777777" w:rsidR="002A2C2B" w:rsidRPr="002A2C2B" w:rsidRDefault="002A2C2B" w:rsidP="002A2C2B">
      <w:pPr>
        <w:pStyle w:val="a3"/>
        <w:tabs>
          <w:tab w:val="left" w:pos="993"/>
        </w:tabs>
        <w:spacing w:line="312" w:lineRule="auto"/>
        <w:ind w:left="851" w:right="266"/>
        <w:rPr>
          <w:rFonts w:eastAsiaTheme="minorEastAsia"/>
          <w:lang w:eastAsia="ja-JP"/>
        </w:rPr>
      </w:pPr>
    </w:p>
    <w:p w14:paraId="6DC35A49" w14:textId="30D0CDE6" w:rsidR="0055291C" w:rsidRDefault="00000000">
      <w:pPr>
        <w:pStyle w:val="a3"/>
        <w:spacing w:before="142" w:line="312" w:lineRule="auto"/>
        <w:ind w:left="242" w:right="1433"/>
        <w:rPr>
          <w:lang w:eastAsia="ja-JP"/>
        </w:rPr>
      </w:pPr>
      <w:r>
        <w:pict w14:anchorId="3D7B8207">
          <v:shape id="docshape634" o:spid="_x0000_s3167" type="#_x0000_t202" style="position:absolute;left:0;text-align:left;margin-left:585.65pt;margin-top:-86.2pt;width:17.7pt;height:180.55pt;z-index:251576832;mso-position-horizontal-relative:page" filled="f" stroked="f">
            <v:textbox style="layout-flow:vertical;mso-layout-flow-alt:bottom-to-top;mso-next-textbox:#docshape634" inset="0,0,0,0">
              <w:txbxContent>
                <w:p w14:paraId="11F2CE8D" w14:textId="77777777" w:rsidR="0055291C" w:rsidRDefault="00F23C61">
                  <w:pPr>
                    <w:spacing w:before="18"/>
                    <w:ind w:left="20"/>
                    <w:rPr>
                      <w:rFonts w:ascii="Arial"/>
                      <w:b/>
                      <w:i/>
                      <w:sz w:val="28"/>
                    </w:rPr>
                  </w:pPr>
                  <w:r>
                    <w:rPr>
                      <w:rFonts w:ascii="Arial"/>
                      <w:b/>
                      <w:i/>
                      <w:color w:val="F3F4F4"/>
                      <w:sz w:val="28"/>
                    </w:rPr>
                    <w:t>r</w:t>
                  </w:r>
                  <w:r>
                    <w:rPr>
                      <w:rFonts w:ascii="Arial"/>
                      <w:b/>
                      <w:i/>
                      <w:color w:val="F3F4F4"/>
                      <w:spacing w:val="79"/>
                      <w:sz w:val="28"/>
                    </w:rPr>
                    <w:t xml:space="preserve"> </w:t>
                  </w:r>
                  <w:r>
                    <w:rPr>
                      <w:rFonts w:ascii="Arial"/>
                      <w:b/>
                      <w:i/>
                      <w:color w:val="F3F4F4"/>
                      <w:sz w:val="28"/>
                    </w:rPr>
                    <w:t>e</w:t>
                  </w:r>
                  <w:r>
                    <w:rPr>
                      <w:rFonts w:ascii="Arial"/>
                      <w:b/>
                      <w:i/>
                      <w:color w:val="F3F4F4"/>
                      <w:spacing w:val="86"/>
                      <w:sz w:val="28"/>
                    </w:rPr>
                    <w:t xml:space="preserve"> </w:t>
                  </w:r>
                  <w:r>
                    <w:rPr>
                      <w:rFonts w:ascii="Arial"/>
                      <w:b/>
                      <w:i/>
                      <w:color w:val="F3F4F4"/>
                      <w:sz w:val="28"/>
                    </w:rPr>
                    <w:t>q</w:t>
                  </w:r>
                  <w:r>
                    <w:rPr>
                      <w:rFonts w:ascii="Arial"/>
                      <w:b/>
                      <w:i/>
                      <w:color w:val="F3F4F4"/>
                      <w:spacing w:val="86"/>
                      <w:sz w:val="28"/>
                    </w:rPr>
                    <w:t xml:space="preserve"> </w:t>
                  </w:r>
                  <w:r>
                    <w:rPr>
                      <w:rFonts w:ascii="Arial"/>
                      <w:b/>
                      <w:i/>
                      <w:color w:val="F3F4F4"/>
                      <w:sz w:val="28"/>
                    </w:rPr>
                    <w:t>u</w:t>
                  </w:r>
                  <w:r>
                    <w:rPr>
                      <w:rFonts w:ascii="Arial"/>
                      <w:b/>
                      <w:i/>
                      <w:color w:val="F3F4F4"/>
                      <w:spacing w:val="86"/>
                      <w:sz w:val="28"/>
                    </w:rPr>
                    <w:t xml:space="preserve"> </w:t>
                  </w:r>
                  <w:proofErr w:type="spellStart"/>
                  <w:r>
                    <w:rPr>
                      <w:rFonts w:ascii="Arial"/>
                      <w:b/>
                      <w:i/>
                      <w:color w:val="F3F4F4"/>
                      <w:sz w:val="28"/>
                    </w:rPr>
                    <w:t>i</w:t>
                  </w:r>
                  <w:proofErr w:type="spellEnd"/>
                  <w:r>
                    <w:rPr>
                      <w:rFonts w:ascii="Arial"/>
                      <w:b/>
                      <w:i/>
                      <w:color w:val="F3F4F4"/>
                      <w:spacing w:val="85"/>
                      <w:sz w:val="28"/>
                    </w:rPr>
                    <w:t xml:space="preserve"> </w:t>
                  </w:r>
                  <w:r>
                    <w:rPr>
                      <w:rFonts w:ascii="Arial"/>
                      <w:b/>
                      <w:i/>
                      <w:color w:val="F3F4F4"/>
                      <w:sz w:val="28"/>
                    </w:rPr>
                    <w:t>r</w:t>
                  </w:r>
                  <w:r>
                    <w:rPr>
                      <w:rFonts w:ascii="Arial"/>
                      <w:b/>
                      <w:i/>
                      <w:color w:val="F3F4F4"/>
                      <w:spacing w:val="80"/>
                      <w:sz w:val="28"/>
                    </w:rPr>
                    <w:t xml:space="preserve"> </w:t>
                  </w:r>
                  <w:r>
                    <w:rPr>
                      <w:rFonts w:ascii="Arial"/>
                      <w:b/>
                      <w:i/>
                      <w:color w:val="F3F4F4"/>
                      <w:sz w:val="28"/>
                    </w:rPr>
                    <w:t>e</w:t>
                  </w:r>
                  <w:r>
                    <w:rPr>
                      <w:rFonts w:ascii="Arial"/>
                      <w:b/>
                      <w:i/>
                      <w:color w:val="F3F4F4"/>
                      <w:spacing w:val="86"/>
                      <w:sz w:val="28"/>
                    </w:rPr>
                    <w:t xml:space="preserve"> </w:t>
                  </w:r>
                  <w:r>
                    <w:rPr>
                      <w:rFonts w:ascii="Arial"/>
                      <w:b/>
                      <w:i/>
                      <w:color w:val="F3F4F4"/>
                      <w:sz w:val="28"/>
                    </w:rPr>
                    <w:t>m</w:t>
                  </w:r>
                  <w:r>
                    <w:rPr>
                      <w:rFonts w:ascii="Arial"/>
                      <w:b/>
                      <w:i/>
                      <w:color w:val="F3F4F4"/>
                      <w:spacing w:val="86"/>
                      <w:sz w:val="28"/>
                    </w:rPr>
                    <w:t xml:space="preserve"> </w:t>
                  </w:r>
                  <w:r>
                    <w:rPr>
                      <w:rFonts w:ascii="Arial"/>
                      <w:b/>
                      <w:i/>
                      <w:color w:val="F3F4F4"/>
                      <w:sz w:val="28"/>
                    </w:rPr>
                    <w:t>e</w:t>
                  </w:r>
                  <w:r>
                    <w:rPr>
                      <w:rFonts w:ascii="Arial"/>
                      <w:b/>
                      <w:i/>
                      <w:color w:val="F3F4F4"/>
                      <w:spacing w:val="85"/>
                      <w:sz w:val="28"/>
                    </w:rPr>
                    <w:t xml:space="preserve"> </w:t>
                  </w:r>
                  <w:r>
                    <w:rPr>
                      <w:rFonts w:ascii="Arial"/>
                      <w:b/>
                      <w:i/>
                      <w:color w:val="F3F4F4"/>
                      <w:sz w:val="28"/>
                    </w:rPr>
                    <w:t>n</w:t>
                  </w:r>
                  <w:r>
                    <w:rPr>
                      <w:rFonts w:ascii="Arial"/>
                      <w:b/>
                      <w:i/>
                      <w:color w:val="F3F4F4"/>
                      <w:spacing w:val="86"/>
                      <w:sz w:val="28"/>
                    </w:rPr>
                    <w:t xml:space="preserve"> </w:t>
                  </w:r>
                  <w:r>
                    <w:rPr>
                      <w:rFonts w:ascii="Arial"/>
                      <w:b/>
                      <w:i/>
                      <w:color w:val="F3F4F4"/>
                      <w:w w:val="105"/>
                      <w:sz w:val="28"/>
                    </w:rPr>
                    <w:t xml:space="preserve">t  </w:t>
                  </w:r>
                  <w:r>
                    <w:rPr>
                      <w:rFonts w:ascii="Arial"/>
                      <w:b/>
                      <w:i/>
                      <w:color w:val="F3F4F4"/>
                      <w:sz w:val="28"/>
                    </w:rPr>
                    <w:t>s</w:t>
                  </w:r>
                </w:p>
              </w:txbxContent>
            </v:textbox>
            <w10:wrap anchorx="page"/>
          </v:shape>
        </w:pict>
      </w:r>
      <w:r w:rsidR="00CB12B9" w:rsidRPr="00CB12B9">
        <w:rPr>
          <w:rFonts w:ascii="ＭＳ ゴシック" w:eastAsia="ＭＳ ゴシック" w:hAnsi="ＭＳ ゴシック" w:cs="ＭＳ ゴシック" w:hint="eastAsia"/>
          <w:color w:val="545456"/>
          <w:lang w:eastAsia="ja-JP"/>
        </w:rPr>
        <w:t>土地利用の第二の寄与側面は、土地利用変化です。土地利用変化の影響は、以下のような調査対象製品の材料入手や前処理段階から生じる可能性があります。</w:t>
      </w:r>
    </w:p>
    <w:p w14:paraId="481C6918" w14:textId="4C711771" w:rsidR="00CB12B9" w:rsidRPr="00CB12B9" w:rsidRDefault="00CB12B9">
      <w:pPr>
        <w:pStyle w:val="a3"/>
        <w:numPr>
          <w:ilvl w:val="0"/>
          <w:numId w:val="68"/>
        </w:numPr>
        <w:spacing w:before="35"/>
        <w:ind w:left="709" w:rightChars="624" w:right="1373" w:hanging="425"/>
        <w:rPr>
          <w:color w:val="545456"/>
          <w:w w:val="95"/>
          <w:szCs w:val="22"/>
          <w:lang w:eastAsia="ja-JP"/>
        </w:rPr>
      </w:pPr>
      <w:r w:rsidRPr="00CB12B9">
        <w:rPr>
          <w:rFonts w:ascii="ＭＳ ゴシック" w:eastAsia="ＭＳ ゴシック" w:hAnsi="ＭＳ ゴシック" w:cs="ＭＳ ゴシック" w:hint="eastAsia"/>
          <w:color w:val="545456"/>
          <w:w w:val="95"/>
          <w:szCs w:val="22"/>
          <w:lang w:eastAsia="ja-JP"/>
        </w:rPr>
        <w:t>土地利用区分内あるいは区分間の土地利用転換の結果生じる、炭素蓄積量の変化による生物起源の</w:t>
      </w:r>
      <w:r w:rsidRPr="00CB12B9">
        <w:rPr>
          <w:color w:val="545456"/>
          <w:w w:val="95"/>
          <w:szCs w:val="22"/>
          <w:lang w:eastAsia="ja-JP"/>
        </w:rPr>
        <w:t>CO</w:t>
      </w:r>
      <w:r w:rsidRPr="009A0E4A">
        <w:rPr>
          <w:color w:val="545456"/>
          <w:w w:val="95"/>
          <w:szCs w:val="22"/>
          <w:vertAlign w:val="subscript"/>
          <w:lang w:eastAsia="ja-JP"/>
        </w:rPr>
        <w:t>2</w:t>
      </w:r>
      <w:r w:rsidRPr="00CB12B9">
        <w:rPr>
          <w:rFonts w:ascii="ＭＳ ゴシック" w:eastAsia="ＭＳ ゴシック" w:hAnsi="ＭＳ ゴシック" w:cs="ＭＳ ゴシック" w:hint="eastAsia"/>
          <w:color w:val="545456"/>
          <w:w w:val="95"/>
          <w:szCs w:val="22"/>
          <w:lang w:eastAsia="ja-JP"/>
        </w:rPr>
        <w:t>排出</w:t>
      </w:r>
    </w:p>
    <w:p w14:paraId="1A2811EA" w14:textId="755A0949" w:rsidR="0055291C" w:rsidRPr="00CB12B9" w:rsidRDefault="00CB12B9">
      <w:pPr>
        <w:pStyle w:val="a3"/>
        <w:numPr>
          <w:ilvl w:val="0"/>
          <w:numId w:val="68"/>
        </w:numPr>
        <w:spacing w:before="35"/>
        <w:ind w:left="709" w:rightChars="624" w:right="1373" w:hanging="425"/>
        <w:rPr>
          <w:color w:val="545456"/>
          <w:w w:val="95"/>
          <w:szCs w:val="22"/>
          <w:lang w:eastAsia="ja-JP"/>
        </w:rPr>
      </w:pPr>
      <w:r w:rsidRPr="00CB12B9">
        <w:rPr>
          <w:rFonts w:ascii="ＭＳ ゴシック" w:eastAsia="ＭＳ ゴシック" w:hAnsi="ＭＳ ゴシック" w:cs="ＭＳ ゴシック" w:hint="eastAsia"/>
          <w:color w:val="545456"/>
          <w:w w:val="95"/>
          <w:szCs w:val="22"/>
          <w:lang w:eastAsia="ja-JP"/>
        </w:rPr>
        <w:t>バイオマス燃焼や石灰化など、転換された土地の整備に起因する生物起源及び非生物起源の</w:t>
      </w:r>
      <w:r w:rsidRPr="00CB12B9">
        <w:rPr>
          <w:color w:val="545456"/>
          <w:w w:val="95"/>
          <w:szCs w:val="22"/>
          <w:lang w:eastAsia="ja-JP"/>
        </w:rPr>
        <w:t>CO</w:t>
      </w:r>
      <w:r w:rsidRPr="009A0E4A">
        <w:rPr>
          <w:color w:val="545456"/>
          <w:w w:val="95"/>
          <w:szCs w:val="22"/>
          <w:vertAlign w:val="subscript"/>
          <w:lang w:eastAsia="ja-JP"/>
        </w:rPr>
        <w:t>2</w:t>
      </w:r>
      <w:r w:rsidRPr="00CB12B9">
        <w:rPr>
          <w:rFonts w:ascii="ＭＳ ゴシック" w:eastAsia="ＭＳ ゴシック" w:hAnsi="ＭＳ ゴシック" w:cs="ＭＳ ゴシック" w:hint="eastAsia"/>
          <w:color w:val="545456"/>
          <w:w w:val="95"/>
          <w:szCs w:val="22"/>
          <w:lang w:eastAsia="ja-JP"/>
        </w:rPr>
        <w:t>、</w:t>
      </w:r>
      <w:r w:rsidRPr="00CB12B9">
        <w:rPr>
          <w:color w:val="545456"/>
          <w:w w:val="95"/>
          <w:szCs w:val="22"/>
          <w:lang w:eastAsia="ja-JP"/>
        </w:rPr>
        <w:t>N</w:t>
      </w:r>
      <w:r w:rsidRPr="009A0E4A">
        <w:rPr>
          <w:color w:val="545456"/>
          <w:w w:val="95"/>
          <w:szCs w:val="22"/>
          <w:vertAlign w:val="subscript"/>
          <w:lang w:eastAsia="ja-JP"/>
        </w:rPr>
        <w:t>2</w:t>
      </w:r>
      <w:r w:rsidRPr="00CB12B9">
        <w:rPr>
          <w:color w:val="545456"/>
          <w:w w:val="95"/>
          <w:szCs w:val="22"/>
          <w:lang w:eastAsia="ja-JP"/>
        </w:rPr>
        <w:t>O</w:t>
      </w:r>
      <w:r w:rsidRPr="00CB12B9">
        <w:rPr>
          <w:rFonts w:ascii="ＭＳ ゴシック" w:eastAsia="ＭＳ ゴシック" w:hAnsi="ＭＳ ゴシック" w:cs="ＭＳ ゴシック" w:hint="eastAsia"/>
          <w:color w:val="545456"/>
          <w:w w:val="95"/>
          <w:szCs w:val="22"/>
          <w:lang w:eastAsia="ja-JP"/>
        </w:rPr>
        <w:t>及び</w:t>
      </w:r>
      <w:r w:rsidRPr="00CB12B9">
        <w:rPr>
          <w:color w:val="545456"/>
          <w:w w:val="95"/>
          <w:szCs w:val="22"/>
          <w:lang w:eastAsia="ja-JP"/>
        </w:rPr>
        <w:t>CH</w:t>
      </w:r>
      <w:r w:rsidRPr="009A0E4A">
        <w:rPr>
          <w:color w:val="545456"/>
          <w:w w:val="95"/>
          <w:szCs w:val="22"/>
          <w:vertAlign w:val="subscript"/>
          <w:lang w:eastAsia="ja-JP"/>
        </w:rPr>
        <w:t>4</w:t>
      </w:r>
      <w:r w:rsidRPr="00CB12B9">
        <w:rPr>
          <w:rFonts w:ascii="ＭＳ ゴシック" w:eastAsia="ＭＳ ゴシック" w:hAnsi="ＭＳ ゴシック" w:cs="ＭＳ ゴシック" w:hint="eastAsia"/>
          <w:color w:val="545456"/>
          <w:w w:val="95"/>
          <w:szCs w:val="22"/>
          <w:lang w:eastAsia="ja-JP"/>
        </w:rPr>
        <w:t>の排出</w:t>
      </w:r>
      <w:r w:rsidR="007C49B2" w:rsidRPr="007C49B2">
        <w:rPr>
          <w:rFonts w:ascii="ＭＳ ゴシック" w:eastAsia="ＭＳ ゴシック" w:hAnsi="ＭＳ ゴシック" w:cs="ＭＳ ゴシック" w:hint="eastAsia"/>
          <w:vertAlign w:val="superscript"/>
          <w:lang w:eastAsia="ja-JP"/>
        </w:rPr>
        <w:t>１</w:t>
      </w:r>
    </w:p>
    <w:p w14:paraId="0E43FBC1" w14:textId="77777777" w:rsidR="0055291C" w:rsidRDefault="0055291C">
      <w:pPr>
        <w:pStyle w:val="a3"/>
        <w:spacing w:before="1"/>
        <w:rPr>
          <w:sz w:val="18"/>
          <w:lang w:eastAsia="ja-JP"/>
        </w:rPr>
      </w:pPr>
    </w:p>
    <w:p w14:paraId="4F34BECD" w14:textId="10D2A299" w:rsidR="0055291C" w:rsidRDefault="00CE2BA7" w:rsidP="00CE2BA7">
      <w:pPr>
        <w:pStyle w:val="a3"/>
        <w:spacing w:before="1" w:line="312" w:lineRule="auto"/>
        <w:ind w:left="242" w:right="1306" w:firstLineChars="100" w:firstLine="190"/>
        <w:rPr>
          <w:lang w:eastAsia="ja-JP"/>
        </w:rPr>
      </w:pPr>
      <w:r w:rsidRPr="00CE2BA7">
        <w:rPr>
          <w:rFonts w:ascii="ＭＳ ゴシック" w:eastAsia="ＭＳ ゴシック" w:hAnsi="ＭＳ ゴシック" w:cs="ＭＳ ゴシック" w:hint="eastAsia"/>
          <w:color w:val="545456"/>
          <w:lang w:eastAsia="ja-JP"/>
        </w:rPr>
        <w:t>土地利用変化による影響が調査対象製品に起因する場合を判断するためのガイダンスは、付録</w:t>
      </w:r>
      <w:r w:rsidRPr="00CE2BA7">
        <w:rPr>
          <w:color w:val="545456"/>
          <w:lang w:eastAsia="ja-JP"/>
        </w:rPr>
        <w:t>B</w:t>
      </w:r>
      <w:r w:rsidRPr="00CE2BA7">
        <w:rPr>
          <w:rFonts w:ascii="ＭＳ ゴシック" w:eastAsia="ＭＳ ゴシック" w:hAnsi="ＭＳ ゴシック" w:cs="ＭＳ ゴシック" w:hint="eastAsia"/>
          <w:color w:val="545456"/>
          <w:lang w:eastAsia="ja-JP"/>
        </w:rPr>
        <w:t>に記載されています。付録には、</w:t>
      </w:r>
      <w:r w:rsidRPr="00CE2BA7">
        <w:rPr>
          <w:color w:val="545456"/>
          <w:lang w:eastAsia="ja-JP"/>
        </w:rPr>
        <w:t>2</w:t>
      </w:r>
      <w:r w:rsidRPr="00CE2BA7">
        <w:rPr>
          <w:rFonts w:ascii="ＭＳ ゴシック" w:eastAsia="ＭＳ ゴシック" w:hAnsi="ＭＳ ゴシック" w:cs="ＭＳ ゴシック" w:hint="eastAsia"/>
          <w:color w:val="545456"/>
          <w:lang w:eastAsia="ja-JP"/>
        </w:rPr>
        <w:t>つの状況における土地利用変化影響の計算方法も含まれています。それは、製品または製品構成要素の由来となる特定の土地が分かっている場合と分かっていない場合です。土地利用変化による影響が帰属する場合、企業はこれを境界線に含め、排出量報告書において計算方法を開示しなければなりません。</w:t>
      </w:r>
    </w:p>
    <w:p w14:paraId="549B62FC" w14:textId="44727C07" w:rsidR="0055291C" w:rsidRDefault="00660FF7">
      <w:pPr>
        <w:pStyle w:val="a3"/>
        <w:spacing w:before="2" w:line="312" w:lineRule="auto"/>
        <w:ind w:left="242" w:right="1139"/>
        <w:rPr>
          <w:lang w:eastAsia="ja-JP"/>
        </w:rPr>
      </w:pPr>
      <w:r w:rsidRPr="00660FF7">
        <w:rPr>
          <w:rFonts w:ascii="ＭＳ ゴシック" w:eastAsia="ＭＳ ゴシック" w:hAnsi="ＭＳ ゴシック" w:cs="ＭＳ ゴシック" w:hint="eastAsia"/>
          <w:color w:val="545456"/>
          <w:w w:val="95"/>
          <w:lang w:eastAsia="ja-JP"/>
        </w:rPr>
        <w:t>間接的土地利用変化</w:t>
      </w:r>
      <w:r>
        <w:fldChar w:fldCharType="begin"/>
      </w:r>
      <w:r>
        <w:rPr>
          <w:lang w:eastAsia="ja-JP"/>
        </w:rPr>
        <w:instrText xml:space="preserve"> HYPERLINK \l "_Endnotes_3" </w:instrText>
      </w:r>
      <w:r>
        <w:fldChar w:fldCharType="separate"/>
      </w:r>
      <w:r w:rsidR="007C49B2">
        <w:rPr>
          <w:rStyle w:val="ac"/>
          <w:rFonts w:asciiTheme="minorEastAsia" w:eastAsiaTheme="minorEastAsia" w:hAnsiTheme="minorEastAsia" w:hint="eastAsia"/>
          <w:w w:val="95"/>
          <w:vertAlign w:val="superscript"/>
          <w:lang w:eastAsia="ja-JP"/>
        </w:rPr>
        <w:t>２</w:t>
      </w:r>
      <w:r>
        <w:rPr>
          <w:rStyle w:val="ac"/>
          <w:rFonts w:asciiTheme="minorEastAsia" w:eastAsiaTheme="minorEastAsia" w:hAnsiTheme="minorEastAsia"/>
          <w:w w:val="95"/>
          <w:vertAlign w:val="superscript"/>
          <w:lang w:eastAsia="ja-JP"/>
        </w:rPr>
        <w:fldChar w:fldCharType="end"/>
      </w:r>
      <w:r w:rsidRPr="00660FF7">
        <w:rPr>
          <w:rFonts w:ascii="ＭＳ ゴシック" w:eastAsia="ＭＳ ゴシック" w:hAnsi="ＭＳ ゴシック" w:cs="ＭＳ ゴシック" w:hint="eastAsia"/>
          <w:color w:val="545456"/>
          <w:w w:val="95"/>
          <w:lang w:eastAsia="ja-JP"/>
        </w:rPr>
        <w:t>とは、特定の土地利用に対する需要（例えば、米国におけるバイオエネルギー原料としての作物需要の増加）が、他の土地における炭素蓄積量の変化（例えば、ブラジルにおける農地需要の増加による森林破壊）を誘発する場合に生じる土地利用変化と定義されています。この変位は、市場要因の結果であり、結果分析法と一致するデータを用いて計算されます。したがって、間接的な土地利用変化を含めることは、本基準では求められていません。</w:t>
      </w:r>
      <w:r w:rsidRPr="00660FF7">
        <w:rPr>
          <w:color w:val="545456"/>
          <w:w w:val="95"/>
          <w:lang w:eastAsia="ja-JP"/>
        </w:rPr>
        <w:t>(</w:t>
      </w:r>
      <w:r w:rsidRPr="00660FF7">
        <w:rPr>
          <w:rFonts w:ascii="ＭＳ ゴシック" w:eastAsia="ＭＳ ゴシック" w:hAnsi="ＭＳ ゴシック" w:cs="ＭＳ ゴシック" w:hint="eastAsia"/>
          <w:color w:val="545456"/>
          <w:w w:val="95"/>
          <w:lang w:eastAsia="ja-JP"/>
        </w:rPr>
        <w:t>ライフサイクル</w:t>
      </w:r>
      <w:r w:rsidRPr="00660FF7">
        <w:rPr>
          <w:color w:val="545456"/>
          <w:w w:val="95"/>
          <w:lang w:eastAsia="ja-JP"/>
        </w:rPr>
        <w:t>GHG</w:t>
      </w:r>
      <w:r w:rsidRPr="00660FF7">
        <w:rPr>
          <w:rFonts w:ascii="ＭＳ ゴシック" w:eastAsia="ＭＳ ゴシック" w:hAnsi="ＭＳ ゴシック" w:cs="ＭＳ ゴシック" w:hint="eastAsia"/>
          <w:color w:val="545456"/>
          <w:w w:val="95"/>
          <w:lang w:eastAsia="ja-JP"/>
        </w:rPr>
        <w:t>算出における結果分析法と帰属分析法に関する詳細については、第</w:t>
      </w:r>
      <w:r w:rsidRPr="00660FF7">
        <w:rPr>
          <w:color w:val="545456"/>
          <w:w w:val="95"/>
          <w:lang w:eastAsia="ja-JP"/>
        </w:rPr>
        <w:t>5</w:t>
      </w:r>
      <w:r w:rsidRPr="00660FF7">
        <w:rPr>
          <w:rFonts w:ascii="ＭＳ ゴシック" w:eastAsia="ＭＳ ゴシック" w:hAnsi="ＭＳ ゴシック" w:cs="ＭＳ ゴシック" w:hint="eastAsia"/>
          <w:color w:val="545456"/>
          <w:w w:val="95"/>
          <w:lang w:eastAsia="ja-JP"/>
        </w:rPr>
        <w:t>章を参照</w:t>
      </w:r>
      <w:r w:rsidRPr="00660FF7">
        <w:rPr>
          <w:color w:val="545456"/>
          <w:w w:val="95"/>
          <w:lang w:eastAsia="ja-JP"/>
        </w:rPr>
        <w:t>)</w:t>
      </w:r>
      <w:r w:rsidRPr="00660FF7">
        <w:rPr>
          <w:rFonts w:ascii="ＭＳ ゴシック" w:eastAsia="ＭＳ ゴシック" w:hAnsi="ＭＳ ゴシック" w:cs="ＭＳ ゴシック" w:hint="eastAsia"/>
          <w:color w:val="545456"/>
          <w:w w:val="95"/>
          <w:lang w:eastAsia="ja-JP"/>
        </w:rPr>
        <w:t>。しかし、間接的な土地利用の影響を計算することができ、それが特定の製品にとって重要であると判断される場合、その影響の大きさは算出結果とは別に報告すべきです。</w:t>
      </w:r>
    </w:p>
    <w:p w14:paraId="68313283"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6006" w:space="40"/>
            <w:col w:w="6194"/>
          </w:cols>
        </w:sectPr>
      </w:pPr>
    </w:p>
    <w:p w14:paraId="426BCB0B" w14:textId="77777777" w:rsidR="0055291C" w:rsidRDefault="0055291C">
      <w:pPr>
        <w:pStyle w:val="a3"/>
        <w:rPr>
          <w:sz w:val="20"/>
          <w:lang w:eastAsia="ja-JP"/>
        </w:rPr>
      </w:pPr>
    </w:p>
    <w:p w14:paraId="3C593DB6" w14:textId="77777777" w:rsidR="0055291C" w:rsidRDefault="0055291C">
      <w:pPr>
        <w:pStyle w:val="a3"/>
        <w:rPr>
          <w:sz w:val="20"/>
          <w:lang w:eastAsia="ja-JP"/>
        </w:rPr>
      </w:pPr>
    </w:p>
    <w:p w14:paraId="46A14B5B" w14:textId="77777777" w:rsidR="0055291C" w:rsidRDefault="0055291C">
      <w:pPr>
        <w:pStyle w:val="a3"/>
        <w:rPr>
          <w:sz w:val="20"/>
          <w:lang w:eastAsia="ja-JP"/>
        </w:rPr>
      </w:pPr>
    </w:p>
    <w:p w14:paraId="34D4AC8A" w14:textId="77777777" w:rsidR="0055291C" w:rsidRDefault="0055291C">
      <w:pPr>
        <w:pStyle w:val="a3"/>
        <w:spacing w:before="7"/>
        <w:rPr>
          <w:sz w:val="29"/>
          <w:lang w:eastAsia="ja-JP"/>
        </w:rPr>
      </w:pPr>
    </w:p>
    <w:p w14:paraId="5DEBF2BD" w14:textId="77777777" w:rsidR="0055291C" w:rsidRDefault="0055291C">
      <w:pPr>
        <w:rPr>
          <w:sz w:val="29"/>
          <w:lang w:eastAsia="ja-JP"/>
        </w:rPr>
        <w:sectPr w:rsidR="0055291C">
          <w:headerReference w:type="even" r:id="rId148"/>
          <w:footerReference w:type="even" r:id="rId149"/>
          <w:footerReference w:type="default" r:id="rId150"/>
          <w:pgSz w:w="12240" w:h="15840"/>
          <w:pgMar w:top="620" w:right="0" w:bottom="1040" w:left="0" w:header="0" w:footer="859" w:gutter="0"/>
          <w:pgNumType w:start="38"/>
          <w:cols w:space="720"/>
        </w:sectPr>
      </w:pPr>
    </w:p>
    <w:p w14:paraId="3FCC16E0" w14:textId="218A11C9" w:rsidR="0055291C" w:rsidRPr="00660FF7" w:rsidRDefault="00660FF7">
      <w:pPr>
        <w:pStyle w:val="3"/>
        <w:numPr>
          <w:ilvl w:val="1"/>
          <w:numId w:val="52"/>
        </w:numPr>
        <w:tabs>
          <w:tab w:val="left" w:pos="1853"/>
          <w:tab w:val="left" w:pos="1854"/>
        </w:tabs>
        <w:ind w:hanging="721"/>
        <w:rPr>
          <w:color w:val="00ACA1"/>
        </w:rPr>
      </w:pPr>
      <w:r w:rsidRPr="00660FF7">
        <w:rPr>
          <w:rFonts w:ascii="ＭＳ 明朝" w:eastAsia="ＭＳ 明朝" w:hAnsi="ＭＳ 明朝" w:cs="ＭＳ 明朝" w:hint="eastAsia"/>
          <w:color w:val="00ACA1"/>
          <w:lang w:eastAsia="ja-JP"/>
        </w:rPr>
        <w:t>ガイダンス</w:t>
      </w:r>
    </w:p>
    <w:p w14:paraId="5AF71052" w14:textId="295E8143" w:rsidR="00660FF7" w:rsidRPr="00660FF7" w:rsidRDefault="00660FF7" w:rsidP="00660FF7">
      <w:pPr>
        <w:pStyle w:val="3"/>
        <w:ind w:left="1133"/>
        <w:rPr>
          <w:color w:val="00ACA1"/>
          <w:lang w:eastAsia="ja-JP"/>
        </w:rPr>
      </w:pPr>
      <w:r w:rsidRPr="00660FF7">
        <w:rPr>
          <w:color w:val="00ACA1"/>
          <w:lang w:eastAsia="ja-JP"/>
        </w:rPr>
        <w:t>7</w:t>
      </w:r>
      <w:r w:rsidRPr="00660FF7">
        <w:rPr>
          <w:rFonts w:hint="eastAsia"/>
          <w:color w:val="00ACA1"/>
          <w:lang w:eastAsia="ja-JP"/>
        </w:rPr>
        <w:t>.2.1</w:t>
      </w:r>
      <w:r>
        <w:rPr>
          <w:rFonts w:ascii="ＭＳ 明朝" w:eastAsia="ＭＳ 明朝" w:hAnsi="ＭＳ 明朝" w:cs="ＭＳ 明朝" w:hint="eastAsia"/>
          <w:color w:val="00ACA1"/>
          <w:lang w:eastAsia="ja-JP"/>
        </w:rPr>
        <w:t xml:space="preserve">　</w:t>
      </w:r>
      <w:r w:rsidRPr="00660FF7">
        <w:rPr>
          <w:rFonts w:ascii="ＭＳ 明朝" w:eastAsia="ＭＳ 明朝" w:hAnsi="ＭＳ 明朝" w:cs="ＭＳ 明朝" w:hint="eastAsia"/>
          <w:color w:val="00ACA1"/>
          <w:lang w:eastAsia="ja-JP"/>
        </w:rPr>
        <w:t>ライフサイクルステージの定義と帰属プロセスの特定</w:t>
      </w:r>
    </w:p>
    <w:p w14:paraId="0A8EC8D5" w14:textId="1D155E0B" w:rsidR="0055291C" w:rsidRDefault="00660FF7" w:rsidP="00660FF7">
      <w:pPr>
        <w:pStyle w:val="a3"/>
        <w:spacing w:before="12" w:line="312" w:lineRule="auto"/>
        <w:ind w:left="1133" w:right="-5" w:firstLineChars="100" w:firstLine="190"/>
        <w:rPr>
          <w:lang w:eastAsia="ja-JP"/>
        </w:rPr>
      </w:pPr>
      <w:r w:rsidRPr="00660FF7">
        <w:rPr>
          <w:rFonts w:ascii="ＭＳ ゴシック" w:eastAsia="ＭＳ ゴシック" w:hAnsi="ＭＳ ゴシック" w:cs="ＭＳ ゴシック" w:hint="eastAsia"/>
          <w:color w:val="545456"/>
          <w:lang w:eastAsia="ja-JP"/>
        </w:rPr>
        <w:t>企業の視点は、ライフサイクルステージの境界線と定義に影響を与えます。以下のガイダンスは、企業が生産または販売する最終製品の排出量を算出するという観点から、ライフサイクルステージの境界、説明、帰属プロセスの例を示しています。</w:t>
      </w:r>
    </w:p>
    <w:p w14:paraId="22BB3D1E" w14:textId="77777777" w:rsidR="0055291C" w:rsidRDefault="0055291C">
      <w:pPr>
        <w:pStyle w:val="a3"/>
        <w:spacing w:before="9"/>
        <w:rPr>
          <w:sz w:val="23"/>
          <w:lang w:eastAsia="ja-JP"/>
        </w:rPr>
      </w:pPr>
    </w:p>
    <w:p w14:paraId="0424620C" w14:textId="08DA5D8D" w:rsidR="0055291C" w:rsidRDefault="00F23C61">
      <w:pPr>
        <w:pStyle w:val="6"/>
        <w:spacing w:before="1" w:line="292" w:lineRule="auto"/>
        <w:ind w:left="2035" w:right="724" w:hanging="866"/>
        <w:rPr>
          <w:lang w:eastAsia="ja-JP"/>
        </w:rPr>
      </w:pPr>
      <w:r>
        <w:rPr>
          <w:color w:val="00ACA1"/>
          <w:spacing w:val="-1"/>
          <w:lang w:eastAsia="ja-JP"/>
        </w:rPr>
        <w:t>Box</w:t>
      </w:r>
      <w:r>
        <w:rPr>
          <w:color w:val="00ACA1"/>
          <w:spacing w:val="-13"/>
          <w:lang w:eastAsia="ja-JP"/>
        </w:rPr>
        <w:t xml:space="preserve"> </w:t>
      </w:r>
      <w:r>
        <w:rPr>
          <w:color w:val="00ACA1"/>
          <w:spacing w:val="-1"/>
          <w:lang w:eastAsia="ja-JP"/>
        </w:rPr>
        <w:t>[7.1]</w:t>
      </w:r>
      <w:r>
        <w:rPr>
          <w:color w:val="00ACA1"/>
          <w:spacing w:val="-13"/>
          <w:lang w:eastAsia="ja-JP"/>
        </w:rPr>
        <w:t xml:space="preserve"> </w:t>
      </w:r>
      <w:r w:rsidR="00074563" w:rsidRPr="00074563">
        <w:rPr>
          <w:rFonts w:ascii="ＭＳ 明朝" w:eastAsia="ＭＳ 明朝" w:hAnsi="ＭＳ 明朝" w:cs="ＭＳ 明朝" w:hint="eastAsia"/>
          <w:color w:val="545456"/>
          <w:spacing w:val="-1"/>
          <w:lang w:eastAsia="ja-JP"/>
        </w:rPr>
        <w:t>製品</w:t>
      </w:r>
      <w:r w:rsidR="00074563" w:rsidRPr="00074563">
        <w:rPr>
          <w:color w:val="545456"/>
          <w:spacing w:val="-1"/>
          <w:lang w:eastAsia="ja-JP"/>
        </w:rPr>
        <w:t>GHG</w:t>
      </w:r>
      <w:r w:rsidR="00364979">
        <w:rPr>
          <w:rFonts w:ascii="ＭＳ 明朝" w:eastAsia="ＭＳ 明朝" w:hAnsi="ＭＳ 明朝" w:cs="ＭＳ 明朝" w:hint="eastAsia"/>
          <w:color w:val="545456"/>
          <w:spacing w:val="-1"/>
          <w:lang w:eastAsia="ja-JP"/>
        </w:rPr>
        <w:t>算出</w:t>
      </w:r>
      <w:r w:rsidR="00074563" w:rsidRPr="00074563">
        <w:rPr>
          <w:rFonts w:ascii="ＭＳ 明朝" w:eastAsia="ＭＳ 明朝" w:hAnsi="ＭＳ 明朝" w:cs="ＭＳ 明朝" w:hint="eastAsia"/>
          <w:color w:val="545456"/>
          <w:spacing w:val="-1"/>
          <w:lang w:eastAsia="ja-JP"/>
        </w:rPr>
        <w:t>における視点の役割</w:t>
      </w:r>
    </w:p>
    <w:p w14:paraId="02D2180A" w14:textId="1C75AD24" w:rsidR="0055291C" w:rsidRDefault="00000000">
      <w:pPr>
        <w:rPr>
          <w:rFonts w:ascii="Arial"/>
          <w:b/>
          <w:sz w:val="20"/>
          <w:lang w:eastAsia="ja-JP"/>
        </w:rPr>
      </w:pPr>
      <w:r>
        <w:pict w14:anchorId="463817B1">
          <v:group id="docshapegroup640" o:spid="_x0000_s3164" style="position:absolute;margin-left:57.85pt;margin-top:15.4pt;width:241.1pt;height:307.3pt;z-index:251577856;mso-position-horizontal-relative:page" coordorigin="1157,974" coordsize="4822,6577">
            <v:shape id="docshape641" o:spid="_x0000_s3166" style="position:absolute;left:1156;top:974;width:4822;height:6577" coordorigin="1157,974" coordsize="4822,6577" path="m5751,974r-4368,l1252,978r-67,25l1160,1070r-3,131l1157,7324r3,131l1185,7523r67,25l1383,7551r4368,l5883,7548r67,-25l5975,7455r3,-131l5978,1201r-3,-131l5950,1003r-67,-25l5751,974xe" fillcolor="#e4f3f1" stroked="f">
              <v:path arrowok="t"/>
            </v:shape>
            <v:shape id="docshape642" o:spid="_x0000_s3165" type="#_x0000_t202" style="position:absolute;left:1156;top:974;width:4822;height:6577" filled="f" stroked="f">
              <v:textbox style="mso-next-textbox:#docshape642" inset="0,0,0,0">
                <w:txbxContent>
                  <w:p w14:paraId="5C46DE8A" w14:textId="77777777" w:rsidR="0057352C" w:rsidRDefault="0057352C" w:rsidP="0057352C">
                    <w:pPr>
                      <w:spacing w:before="10" w:line="328" w:lineRule="auto"/>
                      <w:ind w:left="226" w:right="267" w:firstLineChars="100" w:firstLine="180"/>
                      <w:rPr>
                        <w:rFonts w:ascii="ＭＳ ゴシック" w:eastAsia="ＭＳ ゴシック" w:hAnsi="ＭＳ ゴシック" w:cs="ＭＳ ゴシック"/>
                        <w:color w:val="545456"/>
                        <w:sz w:val="18"/>
                        <w:lang w:eastAsia="ja-JP"/>
                      </w:rPr>
                    </w:pPr>
                  </w:p>
                  <w:p w14:paraId="738A7BF5" w14:textId="36AB14B9" w:rsidR="00081190" w:rsidRPr="00081190" w:rsidRDefault="0057352C" w:rsidP="0057352C">
                    <w:pPr>
                      <w:spacing w:before="10" w:line="328" w:lineRule="auto"/>
                      <w:ind w:left="226" w:right="267" w:firstLineChars="100" w:firstLine="180"/>
                      <w:rPr>
                        <w:color w:val="545456"/>
                        <w:sz w:val="18"/>
                        <w:lang w:eastAsia="ja-JP"/>
                      </w:rPr>
                    </w:pPr>
                    <w:r>
                      <w:rPr>
                        <w:rFonts w:ascii="ＭＳ ゴシック" w:eastAsia="ＭＳ ゴシック" w:hAnsi="ＭＳ ゴシック" w:cs="ＭＳ ゴシック" w:hint="eastAsia"/>
                        <w:color w:val="545456"/>
                        <w:sz w:val="18"/>
                        <w:lang w:eastAsia="ja-JP"/>
                      </w:rPr>
                      <w:t>製品の生産、流通、使用、廃棄には、原料供給者、製造者、流通業者、小売業者、消費者など、複数の主体が席</w:t>
                    </w:r>
                    <w:r w:rsidR="00081190" w:rsidRPr="00081190">
                      <w:rPr>
                        <w:rFonts w:ascii="ＭＳ ゴシック" w:eastAsia="ＭＳ ゴシック" w:hAnsi="ＭＳ ゴシック" w:cs="ＭＳ ゴシック" w:hint="eastAsia"/>
                        <w:color w:val="545456"/>
                        <w:sz w:val="18"/>
                        <w:lang w:eastAsia="ja-JP"/>
                      </w:rPr>
                      <w:t>わっています。それぞれの主体は、製品のライフサイクルに沿って異なる視点を持っています。</w:t>
                    </w:r>
                  </w:p>
                  <w:p w14:paraId="0E548AA0" w14:textId="0955D966" w:rsidR="00081190" w:rsidRPr="00081190" w:rsidRDefault="00081190" w:rsidP="00081190">
                    <w:pPr>
                      <w:spacing w:before="10" w:line="328" w:lineRule="auto"/>
                      <w:ind w:left="226" w:right="267"/>
                      <w:rPr>
                        <w:rFonts w:eastAsiaTheme="minorEastAsia"/>
                        <w:color w:val="545456"/>
                        <w:sz w:val="18"/>
                        <w:lang w:eastAsia="ja-JP"/>
                      </w:rPr>
                    </w:pPr>
                    <w:r w:rsidRPr="00081190">
                      <w:rPr>
                        <w:rFonts w:ascii="ＭＳ ゴシック" w:eastAsia="ＭＳ ゴシック" w:hAnsi="ＭＳ ゴシック" w:cs="ＭＳ ゴシック" w:hint="eastAsia"/>
                        <w:color w:val="545456"/>
                        <w:sz w:val="18"/>
                        <w:lang w:eastAsia="ja-JP"/>
                      </w:rPr>
                      <w:t>ライフサイクルにおける各主体の位置づけにより、製品のライフサイクルにおける排出量の一部は、その事業者の関与の前に発生し、残りはその事業者の関与の後に発生します。図</w:t>
                    </w:r>
                    <w:r w:rsidRPr="00081190">
                      <w:rPr>
                        <w:color w:val="545456"/>
                        <w:sz w:val="18"/>
                        <w:lang w:eastAsia="ja-JP"/>
                      </w:rPr>
                      <w:t>7.3</w:t>
                    </w:r>
                    <w:r w:rsidRPr="00081190">
                      <w:rPr>
                        <w:rFonts w:ascii="ＭＳ ゴシック" w:eastAsia="ＭＳ ゴシック" w:hAnsi="ＭＳ ゴシック" w:cs="ＭＳ ゴシック" w:hint="eastAsia"/>
                        <w:color w:val="545456"/>
                        <w:sz w:val="18"/>
                        <w:lang w:eastAsia="ja-JP"/>
                      </w:rPr>
                      <w:t>は、ウィジェットという最終製品を販売する会社の例です。この例では、すべての原材料の入手と原材料の加工は、同社が製品のライフサイクルに関与する前に行われています。図</w:t>
                    </w:r>
                    <w:r w:rsidRPr="00081190">
                      <w:rPr>
                        <w:color w:val="545456"/>
                        <w:sz w:val="18"/>
                        <w:lang w:eastAsia="ja-JP"/>
                      </w:rPr>
                      <w:t xml:space="preserve"> 7.4 </w:t>
                    </w:r>
                    <w:r w:rsidRPr="00081190">
                      <w:rPr>
                        <w:rFonts w:ascii="ＭＳ ゴシック" w:eastAsia="ＭＳ ゴシック" w:hAnsi="ＭＳ ゴシック" w:cs="ＭＳ ゴシック" w:hint="eastAsia"/>
                        <w:color w:val="545456"/>
                        <w:sz w:val="18"/>
                        <w:lang w:eastAsia="ja-JP"/>
                      </w:rPr>
                      <w:t>は、ウィジェットの生産に使用される中間製品を生産する企業の例です。この例では、ウィジェットの生産は、企業が製品のライフサイクルに関与するよりも後に行われます。調査対象製品のライフサイクルにおける企業の視点を理解することは、ライフサイクルステージの定義、データ収集の要件、及び供給者の関与の機会に影響を及ぼすため、とても重要です。</w:t>
                    </w:r>
                  </w:p>
                  <w:p w14:paraId="1E0ECFE0" w14:textId="3D81C372" w:rsidR="0055291C" w:rsidRDefault="0055291C" w:rsidP="00081190">
                    <w:pPr>
                      <w:spacing w:before="10" w:line="328" w:lineRule="auto"/>
                      <w:ind w:left="226" w:right="267"/>
                      <w:rPr>
                        <w:sz w:val="18"/>
                        <w:lang w:eastAsia="ja-JP"/>
                      </w:rPr>
                    </w:pPr>
                  </w:p>
                </w:txbxContent>
              </v:textbox>
            </v:shape>
            <w10:wrap anchorx="page"/>
          </v:group>
        </w:pict>
      </w:r>
      <w:r w:rsidR="00F23C61">
        <w:rPr>
          <w:lang w:eastAsia="ja-JP"/>
        </w:rPr>
        <w:br w:type="column"/>
      </w:r>
    </w:p>
    <w:p w14:paraId="50F0FB84" w14:textId="77777777" w:rsidR="0055291C" w:rsidRDefault="0055291C">
      <w:pPr>
        <w:pStyle w:val="a3"/>
        <w:spacing w:before="10"/>
        <w:rPr>
          <w:rFonts w:ascii="Arial"/>
          <w:b/>
          <w:sz w:val="17"/>
          <w:lang w:eastAsia="ja-JP"/>
        </w:rPr>
      </w:pPr>
    </w:p>
    <w:p w14:paraId="47EDE686" w14:textId="529EB2FB" w:rsidR="0055291C" w:rsidRDefault="00081190">
      <w:pPr>
        <w:ind w:left="311"/>
        <w:rPr>
          <w:rFonts w:ascii="Arial"/>
          <w:b/>
          <w:i/>
          <w:sz w:val="18"/>
          <w:lang w:eastAsia="ja-JP"/>
        </w:rPr>
      </w:pPr>
      <w:r w:rsidRPr="00081190">
        <w:rPr>
          <w:rFonts w:ascii="ＭＳ ゴシック" w:eastAsia="ＭＳ ゴシック" w:hAnsi="ＭＳ ゴシック" w:cs="ＭＳ ゴシック" w:hint="eastAsia"/>
          <w:b/>
          <w:i/>
          <w:color w:val="7F3F98"/>
          <w:sz w:val="18"/>
          <w:lang w:eastAsia="ja-JP"/>
        </w:rPr>
        <w:t>素材の入手と前処理</w:t>
      </w:r>
    </w:p>
    <w:p w14:paraId="1F25BECE" w14:textId="18160629" w:rsidR="0055291C" w:rsidRPr="004A4816" w:rsidRDefault="006210D4" w:rsidP="004A4816">
      <w:pPr>
        <w:pStyle w:val="a3"/>
        <w:spacing w:before="4" w:line="312" w:lineRule="auto"/>
        <w:ind w:left="311" w:right="1171" w:firstLineChars="100" w:firstLine="190"/>
        <w:rPr>
          <w:rFonts w:eastAsiaTheme="minorEastAsia"/>
          <w:lang w:eastAsia="ja-JP"/>
        </w:rPr>
      </w:pPr>
      <w:r w:rsidRPr="006210D4">
        <w:rPr>
          <w:rFonts w:ascii="ＭＳ ゴシック" w:eastAsia="ＭＳ ゴシック" w:hAnsi="ＭＳ ゴシック" w:cs="ＭＳ ゴシック" w:hint="eastAsia"/>
          <w:color w:val="545456"/>
          <w:lang w:eastAsia="ja-JP"/>
        </w:rPr>
        <w:t>材料入手と前処理段階は、自然から資源が採取された時点で始まり、製品の構成部品が調査対象製品の生産施設の門を出た時点で終了します。このステージで発生する可能性のある他のプロセスには、リサイクル材料の入手、中間材料投入物への材料の加工（前処理）、材料投入物の生産施設への輸送が含まれています。輸送は、石炭採掘施設内でのトラックによる石炭の輸送や、精製所から前処理施設までの石油化学製品の輸送など、ステージ内のプロセスや施設間でも発生する可能性があります。帰属工程の例としては、以下のようなものが考えられます。</w:t>
      </w:r>
    </w:p>
    <w:p w14:paraId="061598B1" w14:textId="4988871B" w:rsidR="0055291C" w:rsidRDefault="00F23C61">
      <w:pPr>
        <w:pStyle w:val="6"/>
        <w:spacing w:before="0"/>
        <w:ind w:left="363"/>
        <w:rPr>
          <w:lang w:eastAsia="ja-JP"/>
        </w:rPr>
      </w:pPr>
      <w:r>
        <w:rPr>
          <w:color w:val="00ACA1"/>
          <w:w w:val="95"/>
          <w:lang w:eastAsia="ja-JP"/>
        </w:rPr>
        <w:t>Box</w:t>
      </w:r>
      <w:r>
        <w:rPr>
          <w:color w:val="00ACA1"/>
          <w:spacing w:val="-2"/>
          <w:w w:val="95"/>
          <w:lang w:eastAsia="ja-JP"/>
        </w:rPr>
        <w:t xml:space="preserve"> </w:t>
      </w:r>
      <w:r>
        <w:rPr>
          <w:color w:val="00ACA1"/>
          <w:w w:val="95"/>
          <w:lang w:eastAsia="ja-JP"/>
        </w:rPr>
        <w:t>[7.2]</w:t>
      </w:r>
      <w:r>
        <w:rPr>
          <w:color w:val="00ACA1"/>
          <w:spacing w:val="-2"/>
          <w:w w:val="95"/>
          <w:lang w:eastAsia="ja-JP"/>
        </w:rPr>
        <w:t xml:space="preserve"> </w:t>
      </w:r>
      <w:r>
        <w:rPr>
          <w:color w:val="545456"/>
          <w:w w:val="95"/>
          <w:lang w:eastAsia="ja-JP"/>
        </w:rPr>
        <w:t>GHG</w:t>
      </w:r>
      <w:r>
        <w:rPr>
          <w:color w:val="545456"/>
          <w:spacing w:val="-2"/>
          <w:w w:val="95"/>
          <w:lang w:eastAsia="ja-JP"/>
        </w:rPr>
        <w:t xml:space="preserve"> </w:t>
      </w:r>
      <w:r w:rsidR="006210D4">
        <w:rPr>
          <w:rFonts w:ascii="ＭＳ 明朝" w:eastAsia="ＭＳ 明朝" w:hAnsi="ＭＳ 明朝" w:cs="ＭＳ 明朝" w:hint="eastAsia"/>
          <w:color w:val="545456"/>
          <w:w w:val="95"/>
          <w:lang w:eastAsia="ja-JP"/>
        </w:rPr>
        <w:t>除去</w:t>
      </w:r>
    </w:p>
    <w:p w14:paraId="058F6617" w14:textId="77777777" w:rsidR="0055291C" w:rsidRDefault="0055291C">
      <w:pPr>
        <w:rPr>
          <w:lang w:eastAsia="ja-JP"/>
        </w:rPr>
        <w:sectPr w:rsidR="0055291C">
          <w:type w:val="continuous"/>
          <w:pgSz w:w="12240" w:h="15840"/>
          <w:pgMar w:top="740" w:right="0" w:bottom="280" w:left="0" w:header="0" w:footer="859" w:gutter="0"/>
          <w:cols w:num="2" w:space="720" w:equalWidth="0">
            <w:col w:w="5911" w:space="40"/>
            <w:col w:w="6289"/>
          </w:cols>
        </w:sectPr>
      </w:pPr>
    </w:p>
    <w:p w14:paraId="694C4523" w14:textId="77777777" w:rsidR="0055291C" w:rsidRDefault="0055291C">
      <w:pPr>
        <w:pStyle w:val="a3"/>
        <w:spacing w:before="3"/>
        <w:rPr>
          <w:rFonts w:ascii="Arial"/>
          <w:b/>
          <w:sz w:val="21"/>
          <w:lang w:eastAsia="ja-JP"/>
        </w:rPr>
      </w:pPr>
    </w:p>
    <w:p w14:paraId="1B620CDC" w14:textId="205C7FC7" w:rsidR="0055291C" w:rsidRPr="004A4816" w:rsidRDefault="00000000" w:rsidP="004A4816">
      <w:pPr>
        <w:pStyle w:val="a3"/>
        <w:ind w:left="6300"/>
        <w:rPr>
          <w:rFonts w:ascii="Arial"/>
          <w:sz w:val="20"/>
        </w:rPr>
      </w:pPr>
      <w:r>
        <w:rPr>
          <w:rFonts w:ascii="Arial"/>
          <w:sz w:val="20"/>
        </w:rPr>
      </w:r>
      <w:r>
        <w:rPr>
          <w:rFonts w:ascii="Arial"/>
          <w:sz w:val="20"/>
        </w:rPr>
        <w:pict w14:anchorId="03045882">
          <v:group id="docshapegroup643" o:spid="_x0000_s3161" style="width:257.75pt;height:254.85pt;mso-position-horizontal-relative:char;mso-position-vertical-relative:line" coordsize="4822,5097">
            <v:shape id="docshape644" o:spid="_x0000_s3163" style="position:absolute;width:4822;height:5097" coordsize="4822,5097" path="m4595,l227,,96,4,28,28,4,96,,227,,4870r4,131l28,5068r68,25l227,5097r4368,l4726,5093r67,-25l4818,5001r4,-131l4822,227,4818,96,4793,28,4726,4,4595,xe" fillcolor="#e4f3f1" stroked="f">
              <v:path arrowok="t"/>
            </v:shape>
            <v:shape id="docshape645" o:spid="_x0000_s3162" type="#_x0000_t202" style="position:absolute;width:4822;height:5097" filled="f" stroked="f">
              <v:textbox style="mso-next-textbox:#docshape645" inset="0,0,0,0">
                <w:txbxContent>
                  <w:p w14:paraId="56E5E58F" w14:textId="77777777" w:rsidR="0055291C" w:rsidRDefault="0055291C">
                    <w:pPr>
                      <w:spacing w:before="5"/>
                      <w:rPr>
                        <w:rFonts w:ascii="Arial"/>
                        <w:b/>
                        <w:sz w:val="21"/>
                      </w:rPr>
                    </w:pPr>
                  </w:p>
                  <w:p w14:paraId="4CA48081" w14:textId="25D42C1A" w:rsidR="0055291C" w:rsidRDefault="006210D4" w:rsidP="0057352C">
                    <w:pPr>
                      <w:spacing w:line="328" w:lineRule="auto"/>
                      <w:ind w:left="226" w:right="260" w:firstLineChars="100" w:firstLine="180"/>
                      <w:rPr>
                        <w:sz w:val="18"/>
                        <w:lang w:eastAsia="ja-JP"/>
                      </w:rPr>
                    </w:pPr>
                    <w:r w:rsidRPr="006210D4">
                      <w:rPr>
                        <w:rFonts w:ascii="ＭＳ ゴシック" w:eastAsia="ＭＳ ゴシック" w:hAnsi="ＭＳ ゴシック" w:cs="ＭＳ ゴシック" w:hint="eastAsia"/>
                        <w:color w:val="545456"/>
                        <w:sz w:val="18"/>
                        <w:lang w:eastAsia="ja-JP"/>
                      </w:rPr>
                      <w:t>バウンダリー設定時に、インベントリ作成プロセスの後半で除去データを確実に収集するために、大気中からの温室効果ガスの除去が発生する可能性のあるプロセスを文書化することが重要です。</w:t>
                    </w:r>
                  </w:p>
                  <w:p w14:paraId="2DF3AC6F" w14:textId="1ACED7DE" w:rsidR="0055291C" w:rsidRDefault="00571758" w:rsidP="0057352C">
                    <w:pPr>
                      <w:spacing w:before="2" w:line="328" w:lineRule="auto"/>
                      <w:ind w:left="226" w:right="309" w:firstLineChars="100" w:firstLine="180"/>
                      <w:jc w:val="both"/>
                      <w:rPr>
                        <w:sz w:val="18"/>
                        <w:lang w:eastAsia="ja-JP"/>
                      </w:rPr>
                    </w:pPr>
                    <w:r w:rsidRPr="00571758">
                      <w:rPr>
                        <w:rFonts w:ascii="ＭＳ ゴシック" w:eastAsia="ＭＳ ゴシック" w:hAnsi="ＭＳ ゴシック" w:cs="ＭＳ ゴシック" w:hint="eastAsia"/>
                        <w:color w:val="545456"/>
                        <w:sz w:val="18"/>
                        <w:lang w:eastAsia="ja-JP"/>
                      </w:rPr>
                      <w:t>生物起源の材料について計算された除去量は、その材料に含まれる、または埋め込まれた炭素の量のみを反映する必要があります。例えば、ある製品が</w:t>
                    </w:r>
                    <w:r w:rsidRPr="00571758">
                      <w:rPr>
                        <w:color w:val="545456"/>
                        <w:sz w:val="18"/>
                        <w:lang w:eastAsia="ja-JP"/>
                      </w:rPr>
                      <w:t>50</w:t>
                    </w:r>
                    <w:r w:rsidRPr="00571758">
                      <w:rPr>
                        <w:rFonts w:ascii="ＭＳ ゴシック" w:eastAsia="ＭＳ ゴシック" w:hAnsi="ＭＳ ゴシック" w:cs="ＭＳ ゴシック" w:hint="eastAsia"/>
                        <w:color w:val="545456"/>
                        <w:sz w:val="18"/>
                        <w:lang w:eastAsia="ja-JP"/>
                      </w:rPr>
                      <w:t>トンの木材を必要とし、その</w:t>
                    </w:r>
                    <w:r w:rsidRPr="00571758">
                      <w:rPr>
                        <w:color w:val="545456"/>
                        <w:sz w:val="18"/>
                        <w:lang w:eastAsia="ja-JP"/>
                      </w:rPr>
                      <w:t>50</w:t>
                    </w:r>
                    <w:r w:rsidRPr="00571758">
                      <w:rPr>
                        <w:rFonts w:ascii="ＭＳ ゴシック" w:eastAsia="ＭＳ ゴシック" w:hAnsi="ＭＳ ゴシック" w:cs="ＭＳ ゴシック" w:hint="eastAsia"/>
                        <w:color w:val="545456"/>
                        <w:sz w:val="18"/>
                        <w:lang w:eastAsia="ja-JP"/>
                      </w:rPr>
                      <w:t>％が炭素である場合、</w:t>
                    </w:r>
                    <w:r w:rsidRPr="00571758">
                      <w:rPr>
                        <w:color w:val="545456"/>
                        <w:sz w:val="18"/>
                        <w:lang w:eastAsia="ja-JP"/>
                      </w:rPr>
                      <w:t>25</w:t>
                    </w:r>
                    <w:r w:rsidRPr="00571758">
                      <w:rPr>
                        <w:rFonts w:ascii="ＭＳ ゴシック" w:eastAsia="ＭＳ ゴシック" w:hAnsi="ＭＳ ゴシック" w:cs="ＭＳ ゴシック" w:hint="eastAsia"/>
                        <w:color w:val="545456"/>
                        <w:sz w:val="18"/>
                        <w:lang w:eastAsia="ja-JP"/>
                      </w:rPr>
                      <w:t>トンの炭素除去を仮定します。炭素を</w:t>
                    </w:r>
                    <w:r w:rsidRPr="00571758">
                      <w:rPr>
                        <w:color w:val="545456"/>
                        <w:sz w:val="18"/>
                        <w:lang w:eastAsia="ja-JP"/>
                      </w:rPr>
                      <w:t>CO2</w:t>
                    </w:r>
                    <w:r w:rsidRPr="00571758">
                      <w:rPr>
                        <w:rFonts w:ascii="ＭＳ ゴシック" w:eastAsia="ＭＳ ゴシック" w:hAnsi="ＭＳ ゴシック" w:cs="ＭＳ ゴシック" w:hint="eastAsia"/>
                        <w:color w:val="545456"/>
                        <w:sz w:val="18"/>
                        <w:lang w:eastAsia="ja-JP"/>
                      </w:rPr>
                      <w:t>に変換するには、炭素のトン数に、</w:t>
                    </w:r>
                    <w:r w:rsidRPr="00571758">
                      <w:rPr>
                        <w:color w:val="545456"/>
                        <w:sz w:val="18"/>
                        <w:lang w:eastAsia="ja-JP"/>
                      </w:rPr>
                      <w:t>CO2</w:t>
                    </w:r>
                    <w:r w:rsidRPr="00571758">
                      <w:rPr>
                        <w:rFonts w:ascii="ＭＳ ゴシック" w:eastAsia="ＭＳ ゴシック" w:hAnsi="ＭＳ ゴシック" w:cs="ＭＳ ゴシック" w:hint="eastAsia"/>
                        <w:color w:val="545456"/>
                        <w:sz w:val="18"/>
                        <w:lang w:eastAsia="ja-JP"/>
                      </w:rPr>
                      <w:t>の分子量（</w:t>
                    </w:r>
                    <w:r w:rsidRPr="00571758">
                      <w:rPr>
                        <w:color w:val="545456"/>
                        <w:sz w:val="18"/>
                        <w:lang w:eastAsia="ja-JP"/>
                      </w:rPr>
                      <w:t>44</w:t>
                    </w:r>
                    <w:r w:rsidRPr="00571758">
                      <w:rPr>
                        <w:rFonts w:ascii="ＭＳ ゴシック" w:eastAsia="ＭＳ ゴシック" w:hAnsi="ＭＳ ゴシック" w:cs="ＭＳ ゴシック" w:hint="eastAsia"/>
                        <w:color w:val="545456"/>
                        <w:sz w:val="18"/>
                        <w:lang w:eastAsia="ja-JP"/>
                      </w:rPr>
                      <w:t>）と炭素の分子量（</w:t>
                    </w:r>
                    <w:r w:rsidRPr="00571758">
                      <w:rPr>
                        <w:color w:val="545456"/>
                        <w:sz w:val="18"/>
                        <w:lang w:eastAsia="ja-JP"/>
                      </w:rPr>
                      <w:t>12</w:t>
                    </w:r>
                    <w:r w:rsidRPr="00571758">
                      <w:rPr>
                        <w:rFonts w:ascii="ＭＳ ゴシック" w:eastAsia="ＭＳ ゴシック" w:hAnsi="ＭＳ ゴシック" w:cs="ＭＳ ゴシック" w:hint="eastAsia"/>
                        <w:color w:val="545456"/>
                        <w:sz w:val="18"/>
                        <w:lang w:eastAsia="ja-JP"/>
                      </w:rPr>
                      <w:t>）の比（訳者注：</w:t>
                    </w:r>
                    <w:r w:rsidRPr="00571758">
                      <w:rPr>
                        <w:color w:val="545456"/>
                        <w:sz w:val="18"/>
                        <w:lang w:eastAsia="ja-JP"/>
                      </w:rPr>
                      <w:t>44/12=11/3</w:t>
                    </w:r>
                    <w:r w:rsidRPr="00571758">
                      <w:rPr>
                        <w:rFonts w:ascii="ＭＳ ゴシック" w:eastAsia="ＭＳ ゴシック" w:hAnsi="ＭＳ ゴシック" w:cs="ＭＳ ゴシック" w:hint="eastAsia"/>
                        <w:color w:val="545456"/>
                        <w:sz w:val="18"/>
                        <w:lang w:eastAsia="ja-JP"/>
                      </w:rPr>
                      <w:t>）を掛け合わせます。生物起源物質の使用に伴う土地利用変化やその他のストック変化による除去および排出は、土地利用変化による影響として計上し、付録</w:t>
                    </w:r>
                    <w:r w:rsidRPr="00571758">
                      <w:rPr>
                        <w:color w:val="545456"/>
                        <w:sz w:val="18"/>
                        <w:lang w:eastAsia="ja-JP"/>
                      </w:rPr>
                      <w:t>B</w:t>
                    </w:r>
                    <w:r w:rsidRPr="00571758">
                      <w:rPr>
                        <w:rFonts w:ascii="ＭＳ ゴシック" w:eastAsia="ＭＳ ゴシック" w:hAnsi="ＭＳ ゴシック" w:cs="ＭＳ ゴシック" w:hint="eastAsia"/>
                        <w:color w:val="545456"/>
                        <w:sz w:val="18"/>
                        <w:lang w:eastAsia="ja-JP"/>
                      </w:rPr>
                      <w:t>に定義します</w:t>
                    </w:r>
                    <w:r w:rsidR="0057352C">
                      <w:rPr>
                        <w:rFonts w:ascii="ＭＳ ゴシック" w:eastAsia="ＭＳ ゴシック" w:hAnsi="ＭＳ ゴシック" w:cs="ＭＳ ゴシック" w:hint="eastAsia"/>
                        <w:color w:val="545456"/>
                        <w:sz w:val="18"/>
                        <w:lang w:eastAsia="ja-JP"/>
                      </w:rPr>
                      <w:t>。</w:t>
                    </w:r>
                  </w:p>
                </w:txbxContent>
              </v:textbox>
            </v:shape>
            <w10:anchorlock/>
          </v:group>
        </w:pict>
      </w:r>
    </w:p>
    <w:p w14:paraId="1B94059A" w14:textId="77777777" w:rsidR="0055291C" w:rsidRDefault="0055291C">
      <w:pPr>
        <w:pStyle w:val="a3"/>
        <w:spacing w:before="1"/>
        <w:rPr>
          <w:rFonts w:ascii="Arial"/>
          <w:b/>
          <w:sz w:val="20"/>
        </w:rPr>
      </w:pPr>
    </w:p>
    <w:p w14:paraId="18A7A8D5" w14:textId="30D844AE" w:rsidR="0055291C" w:rsidRDefault="00E12E02">
      <w:pPr>
        <w:spacing w:before="99"/>
        <w:ind w:left="1162"/>
        <w:rPr>
          <w:rFonts w:ascii="Arial"/>
          <w:b/>
          <w:sz w:val="20"/>
          <w:lang w:eastAsia="ja-JP"/>
        </w:rPr>
      </w:pPr>
      <w:r>
        <w:rPr>
          <w:rFonts w:ascii="ＭＳ ゴシック" w:eastAsia="ＭＳ ゴシック" w:hAnsi="ＭＳ ゴシック" w:cs="ＭＳ ゴシック" w:hint="eastAsia"/>
          <w:b/>
          <w:color w:val="00ACA1"/>
          <w:w w:val="95"/>
          <w:sz w:val="20"/>
          <w:lang w:eastAsia="ja-JP"/>
        </w:rPr>
        <w:t>図</w:t>
      </w:r>
      <w:r w:rsidR="00F23C61">
        <w:rPr>
          <w:rFonts w:ascii="Arial"/>
          <w:b/>
          <w:color w:val="00ACA1"/>
          <w:spacing w:val="7"/>
          <w:w w:val="95"/>
          <w:sz w:val="20"/>
          <w:lang w:eastAsia="ja-JP"/>
        </w:rPr>
        <w:t xml:space="preserve"> </w:t>
      </w:r>
      <w:r w:rsidR="00F23C61">
        <w:rPr>
          <w:rFonts w:ascii="Arial"/>
          <w:b/>
          <w:color w:val="00ACA1"/>
          <w:w w:val="95"/>
          <w:sz w:val="20"/>
          <w:lang w:eastAsia="ja-JP"/>
        </w:rPr>
        <w:t>[7.3]</w:t>
      </w:r>
      <w:r w:rsidR="00F23C61">
        <w:rPr>
          <w:rFonts w:ascii="Arial"/>
          <w:b/>
          <w:color w:val="00ACA1"/>
          <w:spacing w:val="7"/>
          <w:w w:val="95"/>
          <w:sz w:val="20"/>
          <w:lang w:eastAsia="ja-JP"/>
        </w:rPr>
        <w:t xml:space="preserve"> </w:t>
      </w:r>
      <w:r w:rsidR="0057352C" w:rsidRPr="0057352C">
        <w:rPr>
          <w:rFonts w:ascii="ＭＳ ゴシック" w:eastAsia="ＭＳ ゴシック" w:hAnsi="ＭＳ ゴシック" w:cs="ＭＳ ゴシック" w:hint="eastAsia"/>
          <w:b/>
          <w:color w:val="545456"/>
          <w:w w:val="95"/>
          <w:sz w:val="20"/>
          <w:lang w:eastAsia="ja-JP"/>
        </w:rPr>
        <w:t>最終製品を生産する企業の視点</w:t>
      </w:r>
    </w:p>
    <w:p w14:paraId="7304BC95" w14:textId="77777777" w:rsidR="0055291C" w:rsidRDefault="00000000">
      <w:pPr>
        <w:pStyle w:val="a3"/>
        <w:spacing w:before="5"/>
        <w:rPr>
          <w:rFonts w:ascii="Arial"/>
          <w:b/>
          <w:sz w:val="29"/>
          <w:lang w:eastAsia="ja-JP"/>
        </w:rPr>
      </w:pPr>
      <w:r>
        <w:pict w14:anchorId="58C41611">
          <v:group id="docshapegroup646" o:spid="_x0000_s3158" style="position:absolute;margin-left:56.7pt;margin-top:23.65pt;width:55pt;height:54.6pt;z-index:-251513344;mso-wrap-distance-left:0;mso-wrap-distance-right:0;mso-position-horizontal-relative:page" coordorigin="1134,473" coordsize="1100,1092">
            <v:shape id="docshape647" o:spid="_x0000_s3160" style="position:absolute;left:1133;top:473;width:1100;height:1092" coordorigin="1134,473" coordsize="1100,1092" path="m2064,473r-760,l1206,476r-51,18l1137,545r-3,98l1134,1394r3,99l1155,1543r51,19l1304,1564r760,l2162,1562r50,-19l2231,1493r3,-99l2234,643r-3,-98l2212,494r-50,-18l2064,473xe" fillcolor="#00aca1" stroked="f">
              <v:path arrowok="t"/>
            </v:shape>
            <v:shape id="docshape648" o:spid="_x0000_s3159" type="#_x0000_t202" style="position:absolute;left:1133;top:473;width:1100;height:1092" filled="f" stroked="f">
              <v:textbox style="mso-next-textbox:#docshape648" inset="0,0,0,0">
                <w:txbxContent>
                  <w:p w14:paraId="1EC50B61" w14:textId="77777777" w:rsidR="0055291C" w:rsidRPr="00332A59" w:rsidRDefault="0055291C">
                    <w:pPr>
                      <w:rPr>
                        <w:rFonts w:ascii="Arial"/>
                        <w:b/>
                        <w:sz w:val="28"/>
                        <w:szCs w:val="36"/>
                      </w:rPr>
                    </w:pPr>
                  </w:p>
                  <w:p w14:paraId="085243F6" w14:textId="36572830" w:rsidR="0055291C" w:rsidRPr="00332A59" w:rsidRDefault="0057352C">
                    <w:pPr>
                      <w:spacing w:before="121" w:line="254" w:lineRule="auto"/>
                      <w:ind w:left="116" w:right="118" w:firstLine="72"/>
                      <w:rPr>
                        <w:rFonts w:ascii="Arial"/>
                        <w:b/>
                        <w:i/>
                        <w:color w:val="FFFFFF" w:themeColor="background1"/>
                        <w:sz w:val="18"/>
                      </w:rPr>
                    </w:pPr>
                    <w:r w:rsidRPr="00332A59">
                      <w:rPr>
                        <w:rFonts w:ascii="ＭＳ ゴシック" w:eastAsia="ＭＳ ゴシック" w:hAnsi="ＭＳ ゴシック" w:cs="ＭＳ ゴシック" w:hint="eastAsia"/>
                        <w:b/>
                        <w:i/>
                        <w:color w:val="FFFFFF" w:themeColor="background1"/>
                        <w:sz w:val="18"/>
                        <w:lang w:eastAsia="ja-JP"/>
                      </w:rPr>
                      <w:t>材料購入</w:t>
                    </w:r>
                  </w:p>
                </w:txbxContent>
              </v:textbox>
            </v:shape>
            <w10:wrap type="topAndBottom" anchorx="page"/>
          </v:group>
        </w:pict>
      </w:r>
      <w:r>
        <w:pict w14:anchorId="758F75C6">
          <v:shape id="docshape649" o:spid="_x0000_s3157" style="position:absolute;margin-left:117.15pt;margin-top:44.15pt;width:21.6pt;height:15.05pt;z-index:-251512320;mso-wrap-distance-left:0;mso-wrap-distance-right:0;mso-position-horizontal-relative:page" coordorigin="2343,883" coordsize="432,301" path="m2574,883r-15,2l2548,897r-4,20l2545,962r-191,1l2343,974r,119l2354,1104r14,1l2545,1104r,46l2549,1170r11,12l2575,1184r20,-8l2754,1071r15,-15l2774,1038r-5,-17l2754,1005,2593,892r-19,-9xe" fillcolor="#85878a" stroked="f">
            <v:path arrowok="t"/>
            <w10:wrap type="topAndBottom" anchorx="page"/>
          </v:shape>
        </w:pict>
      </w:r>
      <w:r>
        <w:pict w14:anchorId="1BA6177B">
          <v:group id="docshapegroup650" o:spid="_x0000_s3154" style="position:absolute;margin-left:2in;margin-top:23.65pt;width:55pt;height:54.6pt;z-index:-251511296;mso-wrap-distance-left:0;mso-wrap-distance-right:0;mso-position-horizontal-relative:page" coordorigin="2880,473" coordsize="1100,1092">
            <v:shape id="docshape651" o:spid="_x0000_s3156" style="position:absolute;left:2880;top:473;width:1100;height:1092" coordorigin="2880,473" coordsize="1100,1092" path="m3810,473r-760,l2952,476r-51,18l2883,545r-3,98l2880,1394r3,99l2901,1543r51,19l3050,1564r760,l3908,1562r51,-19l3977,1493r3,-99l3980,643r-3,-98l3959,494r-51,-18l3810,473xe" fillcolor="#00aca1" stroked="f">
              <v:path arrowok="t"/>
            </v:shape>
            <v:shape id="docshape652" o:spid="_x0000_s3155" type="#_x0000_t202" style="position:absolute;left:2880;top:473;width:1100;height:1092" filled="f" stroked="f">
              <v:textbox style="mso-next-textbox:#docshape652" inset="0,0,0,0">
                <w:txbxContent>
                  <w:p w14:paraId="17460A88" w14:textId="77777777" w:rsidR="0055291C" w:rsidRPr="00332A59" w:rsidRDefault="0055291C">
                    <w:pPr>
                      <w:rPr>
                        <w:rFonts w:ascii="Arial"/>
                        <w:b/>
                        <w:sz w:val="28"/>
                        <w:szCs w:val="36"/>
                      </w:rPr>
                    </w:pPr>
                  </w:p>
                  <w:p w14:paraId="750ED47A" w14:textId="0B178618" w:rsidR="0055291C" w:rsidRPr="0057352C" w:rsidRDefault="0057352C">
                    <w:pPr>
                      <w:spacing w:before="121" w:line="254" w:lineRule="auto"/>
                      <w:ind w:left="104" w:right="111" w:firstLine="84"/>
                      <w:rPr>
                        <w:rFonts w:ascii="Arial"/>
                        <w:b/>
                        <w:i/>
                        <w:color w:val="FFFFFF" w:themeColor="background1"/>
                        <w:sz w:val="18"/>
                      </w:rPr>
                    </w:pPr>
                    <w:r w:rsidRPr="0057352C">
                      <w:rPr>
                        <w:rFonts w:ascii="ＭＳ ゴシック" w:eastAsia="ＭＳ ゴシック" w:hAnsi="ＭＳ ゴシック" w:cs="ＭＳ ゴシック" w:hint="eastAsia"/>
                        <w:b/>
                        <w:i/>
                        <w:color w:val="FFFFFF" w:themeColor="background1"/>
                        <w:sz w:val="18"/>
                        <w:lang w:eastAsia="ja-JP"/>
                      </w:rPr>
                      <w:t>材料加工</w:t>
                    </w:r>
                  </w:p>
                </w:txbxContent>
              </v:textbox>
            </v:shape>
            <w10:wrap type="topAndBottom" anchorx="page"/>
          </v:group>
        </w:pict>
      </w:r>
      <w:r>
        <w:pict w14:anchorId="4DDF888C">
          <v:group id="docshapegroup653" o:spid="_x0000_s3150" style="position:absolute;margin-left:204.3pt;margin-top:18.1pt;width:90.15pt;height:67.15pt;z-index:-251510272;mso-wrap-distance-left:0;mso-wrap-distance-right:0;mso-position-horizontal-relative:page" coordorigin="4086,362" coordsize="1803,1343">
            <v:shape id="docshape654" o:spid="_x0000_s3153" style="position:absolute;left:4085;top:883;width:432;height:301" coordorigin="4086,883" coordsize="432,301" path="m4317,883r-16,2l4291,897r-4,20l4288,962r-191,1l4086,974r,119l4097,1104r14,1l4288,1104r,46l4292,1170r11,12l4318,1184r19,-8l4496,1071r16,-15l4517,1038r-5,-17l4497,1005,4336,892r-19,-9xe" fillcolor="#85878a" stroked="f">
              <v:path arrowok="t"/>
            </v:shape>
            <v:shape id="docshape655" o:spid="_x0000_s3152" style="position:absolute;left:4546;top:362;width:1342;height:1343" coordorigin="4547,362" coordsize="1342,1343" path="m5179,362r-56,57l5053,382r-45,66l4932,425r-31,74l4822,491r-16,77l4727,575r-2,80l4649,677r14,78l4592,791r28,74l4557,914r42,68l4547,1041r54,59l4561,1168r63,48l4598,1290r72,35l4658,1403r77,20l4738,1503r79,5l4836,1585r78,-10l4947,1648r76,-25l5068,1688r70,-38l5195,1705r61,-51l5322,1697r51,-61l5446,1665r38,-69l5562,1611r23,-76l5665,1536r9,-79l5752,1442r-6,-79l5820,1334r-21,-77l5866,1215r-35,-72l5888,1089r-48,-63l5887,961r-59,-53l5861,836r-68,-41l5812,718r-74,-27l5742,611r-78,-12l5653,520r-80,2l5548,447r-78,18l5431,396r-73,31l5306,367r-65,45l5179,362xe" fillcolor="#7f3f98" stroked="f">
              <v:path arrowok="t"/>
            </v:shape>
            <v:shape id="docshape656" o:spid="_x0000_s3151" type="#_x0000_t202" style="position:absolute;left:4085;top:362;width:1803;height:1343" filled="f" stroked="f">
              <v:textbox style="mso-next-textbox:#docshape656" inset="0,0,0,0">
                <w:txbxContent>
                  <w:p w14:paraId="1EAA6135" w14:textId="77777777" w:rsidR="0055291C" w:rsidRDefault="0055291C">
                    <w:pPr>
                      <w:spacing w:before="9"/>
                      <w:rPr>
                        <w:rFonts w:ascii="Arial"/>
                        <w:b/>
                        <w:sz w:val="30"/>
                      </w:rPr>
                    </w:pPr>
                  </w:p>
                  <w:p w14:paraId="309672F2" w14:textId="0A8500B7" w:rsidR="0057352C" w:rsidRDefault="0057352C" w:rsidP="0057352C">
                    <w:pPr>
                      <w:spacing w:line="225" w:lineRule="auto"/>
                      <w:ind w:leftChars="100" w:left="220" w:right="88" w:firstLineChars="200" w:firstLine="482"/>
                      <w:rPr>
                        <w:rFonts w:ascii="Arial"/>
                        <w:b/>
                        <w:i/>
                        <w:color w:val="FFFFFF"/>
                        <w:spacing w:val="1"/>
                        <w:sz w:val="24"/>
                      </w:rPr>
                    </w:pPr>
                    <w:r>
                      <w:rPr>
                        <w:rFonts w:ascii="Arial"/>
                        <w:b/>
                        <w:i/>
                        <w:color w:val="FFFFFF"/>
                        <w:sz w:val="24"/>
                      </w:rPr>
                      <w:t>W</w:t>
                    </w:r>
                    <w:r w:rsidR="00F23C61">
                      <w:rPr>
                        <w:rFonts w:ascii="Arial"/>
                        <w:b/>
                        <w:i/>
                        <w:color w:val="FFFFFF"/>
                        <w:sz w:val="24"/>
                      </w:rPr>
                      <w:t>idget</w:t>
                    </w:r>
                  </w:p>
                  <w:p w14:paraId="095FFDFB" w14:textId="47234EE5" w:rsidR="0055291C" w:rsidRDefault="0057352C" w:rsidP="0057352C">
                    <w:pPr>
                      <w:spacing w:line="225" w:lineRule="auto"/>
                      <w:ind w:leftChars="100" w:left="220" w:right="88" w:firstLineChars="300" w:firstLine="665"/>
                      <w:rPr>
                        <w:rFonts w:ascii="Arial"/>
                        <w:b/>
                        <w:i/>
                        <w:sz w:val="24"/>
                      </w:rPr>
                    </w:pPr>
                    <w:r>
                      <w:rPr>
                        <w:rFonts w:ascii="ＭＳ ゴシック" w:eastAsia="ＭＳ ゴシック" w:hAnsi="ＭＳ ゴシック" w:cs="ＭＳ ゴシック" w:hint="eastAsia"/>
                        <w:b/>
                        <w:i/>
                        <w:color w:val="FFFFFF"/>
                        <w:spacing w:val="-6"/>
                        <w:w w:val="95"/>
                        <w:sz w:val="24"/>
                        <w:lang w:eastAsia="ja-JP"/>
                      </w:rPr>
                      <w:t>生産</w:t>
                    </w:r>
                  </w:p>
                </w:txbxContent>
              </v:textbox>
            </v:shape>
            <w10:wrap type="topAndBottom" anchorx="page"/>
          </v:group>
        </w:pict>
      </w:r>
      <w:r>
        <w:pict w14:anchorId="13864BE9">
          <v:shape id="docshape657" o:spid="_x0000_s3149" style="position:absolute;margin-left:298.45pt;margin-top:44.15pt;width:21.6pt;height:15.05pt;z-index:-251509248;mso-wrap-distance-left:0;mso-wrap-distance-right:0;mso-position-horizontal-relative:page" coordorigin="5969,883" coordsize="432,301" path="m6200,883r-15,2l6174,897r-3,20l6171,962r-191,1l5969,974r,119l5980,1104r14,1l6171,1104r,46l6175,1170r11,12l6202,1184r19,-8l6380,1071r15,-15l6400,1038r-5,-17l6380,1005,6219,892r-19,-9xe" fillcolor="#85878a" stroked="f">
            <v:path arrowok="t"/>
            <w10:wrap type="topAndBottom" anchorx="page"/>
          </v:shape>
        </w:pict>
      </w:r>
      <w:r>
        <w:pict w14:anchorId="221AF673">
          <v:group id="docshapegroup658" o:spid="_x0000_s3146" style="position:absolute;margin-left:324pt;margin-top:23.65pt;width:55pt;height:54.6pt;z-index:-251508224;mso-wrap-distance-left:0;mso-wrap-distance-right:0;mso-position-horizontal-relative:page" coordorigin="6480,473" coordsize="1100,1092">
            <v:shape id="docshape659" o:spid="_x0000_s3148" style="position:absolute;left:6480;top:473;width:1100;height:1092" coordorigin="6480,473" coordsize="1100,1092" path="m7410,473r-760,l6552,476r-51,18l6483,545r-3,98l6480,1394r3,99l6501,1543r51,19l6650,1564r760,l7508,1562r51,-19l7577,1493r3,-99l7580,643r-3,-98l7559,494r-51,-18l7410,473xe" fillcolor="#4f84c4" stroked="f">
              <v:path arrowok="t"/>
            </v:shape>
            <v:shape id="docshape660" o:spid="_x0000_s3147" type="#_x0000_t202" style="position:absolute;left:6480;top:473;width:1100;height:1092" filled="f" stroked="f">
              <v:textbox style="mso-next-textbox:#docshape660" inset="0,0,0,0">
                <w:txbxContent>
                  <w:p w14:paraId="72FAC87A" w14:textId="77777777" w:rsidR="0055291C" w:rsidRDefault="0055291C">
                    <w:pPr>
                      <w:rPr>
                        <w:rFonts w:ascii="Arial"/>
                        <w:b/>
                        <w:sz w:val="20"/>
                      </w:rPr>
                    </w:pPr>
                  </w:p>
                  <w:p w14:paraId="19E9D8B3" w14:textId="530DA5BB" w:rsidR="0055291C" w:rsidRDefault="00F23C61" w:rsidP="00E12E02">
                    <w:pPr>
                      <w:spacing w:before="121" w:line="254" w:lineRule="auto"/>
                      <w:ind w:left="58" w:right="68" w:firstLine="198"/>
                      <w:rPr>
                        <w:rFonts w:ascii="Arial"/>
                        <w:b/>
                        <w:i/>
                        <w:color w:val="FFFFFF"/>
                        <w:spacing w:val="1"/>
                        <w:sz w:val="18"/>
                      </w:rPr>
                    </w:pPr>
                    <w:r>
                      <w:rPr>
                        <w:rFonts w:ascii="Arial"/>
                        <w:b/>
                        <w:i/>
                        <w:color w:val="FFFFFF"/>
                        <w:sz w:val="18"/>
                      </w:rPr>
                      <w:t>widget</w:t>
                    </w:r>
                  </w:p>
                  <w:p w14:paraId="7C6F1B43" w14:textId="57122BA8" w:rsidR="00E12E02" w:rsidRDefault="00E12E02" w:rsidP="00E12E02">
                    <w:pPr>
                      <w:spacing w:before="121" w:line="254" w:lineRule="auto"/>
                      <w:ind w:left="58" w:right="68" w:firstLine="198"/>
                      <w:rPr>
                        <w:rFonts w:ascii="Arial"/>
                        <w:b/>
                        <w:i/>
                        <w:sz w:val="18"/>
                      </w:rPr>
                    </w:pPr>
                    <w:r>
                      <w:rPr>
                        <w:rFonts w:ascii="ＭＳ ゴシック" w:eastAsia="ＭＳ ゴシック" w:hAnsi="ＭＳ ゴシック" w:cs="ＭＳ ゴシック" w:hint="eastAsia"/>
                        <w:b/>
                        <w:i/>
                        <w:color w:val="FFFFFF"/>
                        <w:spacing w:val="1"/>
                        <w:sz w:val="18"/>
                        <w:lang w:eastAsia="ja-JP"/>
                      </w:rPr>
                      <w:t>輸送</w:t>
                    </w:r>
                  </w:p>
                </w:txbxContent>
              </v:textbox>
            </v:shape>
            <w10:wrap type="topAndBottom" anchorx="page"/>
          </v:group>
        </w:pict>
      </w:r>
      <w:r>
        <w:pict w14:anchorId="7F6D5438">
          <v:shape id="docshape661" o:spid="_x0000_s3145" style="position:absolute;margin-left:385.65pt;margin-top:44.15pt;width:21.6pt;height:15.05pt;z-index:-251507200;mso-wrap-distance-left:0;mso-wrap-distance-right:0;mso-position-horizontal-relative:page" coordorigin="7713,883" coordsize="432,301" path="m7944,883r-15,2l7919,897r-4,20l7915,962r-191,1l7713,974r,119l7724,1104r14,1l7916,1104r,46l7920,1170r10,12l7946,1184r19,-8l8124,1071r15,-15l8145,1038r-5,-17l8125,1005,7963,892r-19,-9xe" fillcolor="#85878a" stroked="f">
            <v:path arrowok="t"/>
            <w10:wrap type="topAndBottom" anchorx="page"/>
          </v:shape>
        </w:pict>
      </w:r>
      <w:r>
        <w:pict w14:anchorId="2044DC43">
          <v:group id="docshapegroup662" o:spid="_x0000_s3142" style="position:absolute;margin-left:413pt;margin-top:23.65pt;width:55pt;height:54.6pt;z-index:-251506176;mso-wrap-distance-left:0;mso-wrap-distance-right:0;mso-position-horizontal-relative:page" coordorigin="8260,473" coordsize="1100,1092">
            <v:shape id="docshape663" o:spid="_x0000_s3144" style="position:absolute;left:8260;top:473;width:1100;height:1092" coordorigin="8260,473" coordsize="1100,1092" path="m9190,473r-760,l8332,476r-51,18l8263,545r-3,98l8260,1394r3,99l8281,1543r51,19l8430,1564r760,l9288,1562r51,-19l9357,1493r3,-99l9360,643r-3,-98l9339,494r-51,-18l9190,473xe" fillcolor="#ed1065" stroked="f">
              <v:path arrowok="t"/>
            </v:shape>
            <v:shape id="docshape664" o:spid="_x0000_s3143" type="#_x0000_t202" style="position:absolute;left:8260;top:473;width:1100;height:1092" filled="f" stroked="f">
              <v:textbox style="mso-next-textbox:#docshape664" inset="0,0,0,0">
                <w:txbxContent>
                  <w:p w14:paraId="7B9AAAB9" w14:textId="77777777" w:rsidR="0055291C" w:rsidRDefault="0055291C">
                    <w:pPr>
                      <w:rPr>
                        <w:rFonts w:ascii="Arial"/>
                        <w:b/>
                        <w:sz w:val="20"/>
                      </w:rPr>
                    </w:pPr>
                  </w:p>
                  <w:p w14:paraId="2F446235" w14:textId="20074C7A" w:rsidR="00E12E02" w:rsidRDefault="00F23C61" w:rsidP="00E12E02">
                    <w:pPr>
                      <w:spacing w:before="121" w:line="254" w:lineRule="auto"/>
                      <w:ind w:left="398" w:right="261" w:hanging="143"/>
                      <w:jc w:val="center"/>
                      <w:rPr>
                        <w:rFonts w:ascii="Arial"/>
                        <w:b/>
                        <w:i/>
                        <w:color w:val="FFFFFF"/>
                        <w:spacing w:val="-47"/>
                        <w:sz w:val="18"/>
                      </w:rPr>
                    </w:pPr>
                    <w:r>
                      <w:rPr>
                        <w:rFonts w:ascii="Arial"/>
                        <w:b/>
                        <w:i/>
                        <w:color w:val="FFFFFF"/>
                        <w:spacing w:val="-1"/>
                        <w:sz w:val="18"/>
                      </w:rPr>
                      <w:t>widget</w:t>
                    </w:r>
                  </w:p>
                  <w:p w14:paraId="779467A0" w14:textId="011C21AC" w:rsidR="0055291C" w:rsidRDefault="00E12E02" w:rsidP="00E12E02">
                    <w:pPr>
                      <w:spacing w:before="121" w:line="254" w:lineRule="auto"/>
                      <w:ind w:left="398" w:right="261" w:hanging="143"/>
                      <w:jc w:val="center"/>
                      <w:rPr>
                        <w:rFonts w:ascii="Arial"/>
                        <w:b/>
                        <w:i/>
                        <w:sz w:val="18"/>
                      </w:rPr>
                    </w:pPr>
                    <w:r>
                      <w:rPr>
                        <w:rFonts w:ascii="ＭＳ ゴシック" w:eastAsia="ＭＳ ゴシック" w:hAnsi="ＭＳ ゴシック" w:cs="ＭＳ ゴシック" w:hint="eastAsia"/>
                        <w:b/>
                        <w:i/>
                        <w:color w:val="FFFFFF"/>
                        <w:sz w:val="18"/>
                        <w:lang w:eastAsia="ja-JP"/>
                      </w:rPr>
                      <w:t>使用</w:t>
                    </w:r>
                  </w:p>
                </w:txbxContent>
              </v:textbox>
            </v:shape>
            <w10:wrap type="topAndBottom" anchorx="page"/>
          </v:group>
        </w:pict>
      </w:r>
      <w:r>
        <w:pict w14:anchorId="0CC2A9D2">
          <v:shape id="docshape665" o:spid="_x0000_s3141" style="position:absolute;margin-left:473.5pt;margin-top:44.15pt;width:21.6pt;height:15.05pt;z-index:-251505152;mso-wrap-distance-left:0;mso-wrap-distance-right:0;mso-position-horizontal-relative:page" coordorigin="9470,883" coordsize="432,301" path="m9701,883r-15,2l9676,897r-4,20l9672,962r-191,1l9470,974r,119l9481,1104r14,1l9673,1104r,46l9677,1170r10,12l9703,1184r19,-8l9881,1071r15,-15l9902,1038r-5,-17l9882,1005,9720,892r-19,-9xe" fillcolor="#85878a" stroked="f">
            <v:path arrowok="t"/>
            <w10:wrap type="topAndBottom" anchorx="page"/>
          </v:shape>
        </w:pict>
      </w:r>
      <w:r>
        <w:pict w14:anchorId="22F9889A">
          <v:group id="docshapegroup666" o:spid="_x0000_s3138" style="position:absolute;margin-left:500.3pt;margin-top:23.65pt;width:55pt;height:54.6pt;z-index:-251504128;mso-wrap-distance-left:0;mso-wrap-distance-right:0;mso-position-horizontal-relative:page" coordorigin="10006,473" coordsize="1100,1092">
            <v:shape id="docshape667" o:spid="_x0000_s3140" style="position:absolute;left:10006;top:473;width:1100;height:1092" coordorigin="10006,473" coordsize="1100,1092" path="m10936,473r-760,l10078,476r-50,18l10009,545r-3,98l10006,1394r3,99l10028,1543r50,19l10176,1564r760,l11034,1562r51,-19l11103,1493r3,-99l11106,643r-3,-98l11085,494r-51,-18l10936,473xe" fillcolor="#f47836" stroked="f">
              <v:path arrowok="t"/>
            </v:shape>
            <v:shape id="docshape668" o:spid="_x0000_s3139" type="#_x0000_t202" style="position:absolute;left:10006;top:473;width:1100;height:1092" filled="f" stroked="f">
              <v:textbox style="mso-next-textbox:#docshape668" inset="0,0,0,0">
                <w:txbxContent>
                  <w:p w14:paraId="4042A420" w14:textId="77777777" w:rsidR="0055291C" w:rsidRDefault="0055291C">
                    <w:pPr>
                      <w:rPr>
                        <w:rFonts w:ascii="Arial"/>
                        <w:b/>
                        <w:sz w:val="20"/>
                      </w:rPr>
                    </w:pPr>
                  </w:p>
                  <w:p w14:paraId="3BC309D0" w14:textId="445C326D" w:rsidR="00E12E02" w:rsidRDefault="00E12E02" w:rsidP="00E12E02">
                    <w:pPr>
                      <w:spacing w:before="121" w:line="254" w:lineRule="auto"/>
                      <w:ind w:left="361" w:right="199" w:hangingChars="200" w:hanging="361"/>
                      <w:jc w:val="center"/>
                      <w:rPr>
                        <w:rFonts w:ascii="ＭＳ ゴシック" w:eastAsia="ＭＳ ゴシック" w:hAnsi="ＭＳ ゴシック" w:cs="ＭＳ ゴシック"/>
                        <w:b/>
                        <w:i/>
                        <w:color w:val="FFFFFF"/>
                        <w:spacing w:val="1"/>
                        <w:sz w:val="18"/>
                        <w:lang w:eastAsia="ja-JP"/>
                      </w:rPr>
                    </w:pPr>
                    <w:r>
                      <w:rPr>
                        <w:rFonts w:ascii="Arial"/>
                        <w:b/>
                        <w:i/>
                        <w:color w:val="FFFFFF"/>
                        <w:sz w:val="18"/>
                      </w:rPr>
                      <w:t>W</w:t>
                    </w:r>
                    <w:r w:rsidR="00F23C61">
                      <w:rPr>
                        <w:rFonts w:ascii="Arial"/>
                        <w:b/>
                        <w:i/>
                        <w:color w:val="FFFFFF"/>
                        <w:sz w:val="18"/>
                      </w:rPr>
                      <w:t>idget</w:t>
                    </w:r>
                  </w:p>
                  <w:p w14:paraId="579F40E1" w14:textId="6D7850DC" w:rsidR="0055291C" w:rsidRDefault="00E12E02" w:rsidP="00E12E02">
                    <w:pPr>
                      <w:spacing w:before="121" w:line="254" w:lineRule="auto"/>
                      <w:ind w:left="363" w:right="199" w:hangingChars="200" w:hanging="363"/>
                      <w:jc w:val="center"/>
                      <w:rPr>
                        <w:rFonts w:ascii="Arial"/>
                        <w:b/>
                        <w:i/>
                        <w:sz w:val="18"/>
                      </w:rPr>
                    </w:pPr>
                    <w:r>
                      <w:rPr>
                        <w:rFonts w:ascii="ＭＳ ゴシック" w:eastAsia="ＭＳ ゴシック" w:hAnsi="ＭＳ ゴシック" w:cs="ＭＳ ゴシック" w:hint="eastAsia"/>
                        <w:b/>
                        <w:i/>
                        <w:color w:val="FFFFFF"/>
                        <w:spacing w:val="1"/>
                        <w:sz w:val="18"/>
                        <w:lang w:eastAsia="ja-JP"/>
                      </w:rPr>
                      <w:t>廃棄</w:t>
                    </w:r>
                  </w:p>
                </w:txbxContent>
              </v:textbox>
            </v:shape>
            <w10:wrap type="topAndBottom" anchorx="page"/>
          </v:group>
        </w:pict>
      </w:r>
    </w:p>
    <w:p w14:paraId="17C38BBB" w14:textId="77777777" w:rsidR="0055291C" w:rsidRDefault="0055291C">
      <w:pPr>
        <w:rPr>
          <w:rFonts w:ascii="Arial"/>
          <w:sz w:val="29"/>
          <w:lang w:eastAsia="ja-JP"/>
        </w:rPr>
        <w:sectPr w:rsidR="0055291C">
          <w:type w:val="continuous"/>
          <w:pgSz w:w="12240" w:h="15840"/>
          <w:pgMar w:top="740" w:right="0" w:bottom="280" w:left="0" w:header="0" w:footer="859" w:gutter="0"/>
          <w:cols w:space="720"/>
        </w:sectPr>
      </w:pPr>
    </w:p>
    <w:p w14:paraId="43D4321E" w14:textId="07B52472" w:rsidR="0055291C" w:rsidRDefault="0055291C">
      <w:pPr>
        <w:pStyle w:val="a3"/>
        <w:rPr>
          <w:rFonts w:ascii="Arial"/>
          <w:b/>
          <w:sz w:val="20"/>
          <w:lang w:eastAsia="ja-JP"/>
        </w:rPr>
      </w:pPr>
    </w:p>
    <w:p w14:paraId="3E9370AE" w14:textId="77777777" w:rsidR="0055291C" w:rsidRDefault="0055291C">
      <w:pPr>
        <w:pStyle w:val="a3"/>
        <w:rPr>
          <w:rFonts w:ascii="Arial"/>
          <w:b/>
          <w:sz w:val="20"/>
          <w:lang w:eastAsia="ja-JP"/>
        </w:rPr>
      </w:pPr>
    </w:p>
    <w:p w14:paraId="39569D80" w14:textId="77777777" w:rsidR="0055291C" w:rsidRDefault="0055291C">
      <w:pPr>
        <w:pStyle w:val="a3"/>
        <w:rPr>
          <w:rFonts w:ascii="Arial"/>
          <w:b/>
          <w:sz w:val="20"/>
          <w:lang w:eastAsia="ja-JP"/>
        </w:rPr>
      </w:pPr>
    </w:p>
    <w:p w14:paraId="4AE50C9E" w14:textId="77777777" w:rsidR="0055291C" w:rsidRDefault="0055291C">
      <w:pPr>
        <w:pStyle w:val="a3"/>
        <w:spacing w:before="1"/>
        <w:rPr>
          <w:rFonts w:ascii="Arial"/>
          <w:b/>
          <w:sz w:val="23"/>
          <w:lang w:eastAsia="ja-JP"/>
        </w:rPr>
      </w:pPr>
    </w:p>
    <w:p w14:paraId="5021F06D" w14:textId="56CCBE80" w:rsidR="0055291C" w:rsidRDefault="00000000">
      <w:pPr>
        <w:ind w:right="1121"/>
        <w:jc w:val="right"/>
        <w:rPr>
          <w:rFonts w:ascii="Arial"/>
          <w:i/>
          <w:sz w:val="19"/>
          <w:lang w:eastAsia="ja-JP"/>
        </w:rPr>
      </w:pPr>
      <w:r>
        <w:pict w14:anchorId="59FA2EF8">
          <v:shape id="docshape669" o:spid="_x0000_s3137" style="position:absolute;left:0;text-align:left;margin-left:580.75pt;margin-top:-47.8pt;width:31.3pt;height:285.85pt;z-index:251578880;mso-position-horizontal-relative:page" coordorigin="11615,-956" coordsize="626,5717" path="m12240,-956r-625,l11615,4534r3,131l11643,4732r67,25l11842,4760r398,l12240,-956xe" fillcolor="#00aca1" stroked="f">
            <v:path arrowok="t"/>
            <w10:wrap anchorx="page"/>
          </v:shape>
        </w:pict>
      </w:r>
      <w:r w:rsidR="00F23C61">
        <w:rPr>
          <w:noProof/>
        </w:rPr>
        <w:drawing>
          <wp:anchor distT="0" distB="0" distL="0" distR="0" simplePos="0" relativeHeight="251464192" behindDoc="0" locked="0" layoutInCell="1" allowOverlap="1" wp14:anchorId="6DE8D4AE" wp14:editId="797D1CE7">
            <wp:simplePos x="0" y="0"/>
            <wp:positionH relativeFrom="page">
              <wp:posOffset>731697</wp:posOffset>
            </wp:positionH>
            <wp:positionV relativeFrom="paragraph">
              <wp:posOffset>-606832</wp:posOffset>
            </wp:positionV>
            <wp:extent cx="3040202" cy="4229100"/>
            <wp:effectExtent l="0" t="0" r="0" b="0"/>
            <wp:wrapNone/>
            <wp:docPr id="15"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69.png"/>
                    <pic:cNvPicPr/>
                  </pic:nvPicPr>
                  <pic:blipFill>
                    <a:blip r:embed="rId151" cstate="print"/>
                    <a:stretch>
                      <a:fillRect/>
                    </a:stretch>
                  </pic:blipFill>
                  <pic:spPr>
                    <a:xfrm>
                      <a:off x="0" y="0"/>
                      <a:ext cx="3040202" cy="4229100"/>
                    </a:xfrm>
                    <a:prstGeom prst="rect">
                      <a:avLst/>
                    </a:prstGeom>
                  </pic:spPr>
                </pic:pic>
              </a:graphicData>
            </a:graphic>
          </wp:anchor>
        </w:drawing>
      </w:r>
      <w:r w:rsidR="00F23C61">
        <w:rPr>
          <w:rFonts w:ascii="Arial"/>
          <w:b/>
          <w:i/>
          <w:color w:val="7F3F98"/>
          <w:sz w:val="19"/>
          <w:lang w:eastAsia="ja-JP"/>
        </w:rPr>
        <w:t>CHAPTER</w:t>
      </w:r>
      <w:r w:rsidR="00F23C61">
        <w:rPr>
          <w:rFonts w:ascii="Arial"/>
          <w:b/>
          <w:i/>
          <w:color w:val="7F3F98"/>
          <w:spacing w:val="9"/>
          <w:sz w:val="19"/>
          <w:lang w:eastAsia="ja-JP"/>
        </w:rPr>
        <w:t xml:space="preserve"> </w:t>
      </w:r>
      <w:r w:rsidR="00F23C61">
        <w:rPr>
          <w:rFonts w:ascii="Arial"/>
          <w:b/>
          <w:i/>
          <w:color w:val="7F3F98"/>
          <w:sz w:val="19"/>
          <w:lang w:eastAsia="ja-JP"/>
        </w:rPr>
        <w:t>07</w:t>
      </w:r>
      <w:r w:rsidR="00F23C61">
        <w:rPr>
          <w:rFonts w:ascii="Arial"/>
          <w:b/>
          <w:i/>
          <w:color w:val="7F3F98"/>
          <w:spacing w:val="10"/>
          <w:sz w:val="19"/>
          <w:lang w:eastAsia="ja-JP"/>
        </w:rPr>
        <w:t xml:space="preserve"> </w:t>
      </w:r>
      <w:r w:rsidR="00F23C61">
        <w:rPr>
          <w:rFonts w:ascii="Arial"/>
          <w:i/>
          <w:color w:val="545456"/>
          <w:sz w:val="19"/>
          <w:lang w:eastAsia="ja-JP"/>
        </w:rPr>
        <w:t>Boundary</w:t>
      </w:r>
      <w:r w:rsidR="00F23C61">
        <w:rPr>
          <w:rFonts w:ascii="Arial"/>
          <w:i/>
          <w:color w:val="545456"/>
          <w:spacing w:val="7"/>
          <w:sz w:val="19"/>
          <w:lang w:eastAsia="ja-JP"/>
        </w:rPr>
        <w:t xml:space="preserve"> </w:t>
      </w:r>
      <w:r w:rsidR="00F23C61">
        <w:rPr>
          <w:rFonts w:ascii="Arial"/>
          <w:i/>
          <w:color w:val="545456"/>
          <w:sz w:val="19"/>
          <w:lang w:eastAsia="ja-JP"/>
        </w:rPr>
        <w:t>Setting</w:t>
      </w:r>
    </w:p>
    <w:p w14:paraId="41115612" w14:textId="423A9CAF" w:rsidR="0055291C" w:rsidRDefault="0055291C">
      <w:pPr>
        <w:pStyle w:val="a3"/>
        <w:rPr>
          <w:rFonts w:ascii="Arial"/>
          <w:i/>
          <w:sz w:val="20"/>
          <w:lang w:eastAsia="ja-JP"/>
        </w:rPr>
      </w:pPr>
    </w:p>
    <w:p w14:paraId="511FCD86" w14:textId="23ECE52C" w:rsidR="0055291C" w:rsidRDefault="0055291C">
      <w:pPr>
        <w:pStyle w:val="a3"/>
        <w:spacing w:before="5"/>
        <w:rPr>
          <w:rFonts w:ascii="Arial"/>
          <w:i/>
          <w:sz w:val="25"/>
          <w:lang w:eastAsia="ja-JP"/>
        </w:rPr>
      </w:pPr>
    </w:p>
    <w:p w14:paraId="4C1C777A" w14:textId="15DC55D3" w:rsidR="0055291C" w:rsidRDefault="00000000">
      <w:pPr>
        <w:pStyle w:val="a3"/>
        <w:spacing w:before="102" w:line="312" w:lineRule="auto"/>
        <w:ind w:left="6288" w:right="1288"/>
        <w:rPr>
          <w:lang w:eastAsia="ja-JP"/>
        </w:rPr>
      </w:pPr>
      <w:r>
        <w:pict w14:anchorId="1F56A792">
          <v:shape id="docshape670" o:spid="_x0000_s3136" type="#_x0000_t202" style="position:absolute;left:0;text-align:left;margin-left:585.65pt;margin-top:50.25pt;width:17.7pt;height:119.1pt;z-index:251579904;mso-position-horizontal-relative:page" filled="f" stroked="f">
            <v:textbox style="layout-flow:vertical;mso-layout-flow-alt:bottom-to-top;mso-next-textbox:#docshape670" inset="0,0,0,0">
              <w:txbxContent>
                <w:p w14:paraId="0749797D"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v:shape>
        </w:pict>
      </w:r>
      <w:r w:rsidR="00D00AFE" w:rsidRPr="00C91F0C">
        <w:rPr>
          <w:rFonts w:ascii="ＭＳ ゴシック" w:eastAsia="ＭＳ ゴシック" w:hAnsi="ＭＳ ゴシック" w:cs="ＭＳ ゴシック" w:hint="eastAsia"/>
          <w:color w:val="545456"/>
          <w:lang w:eastAsia="ja-JP"/>
        </w:rPr>
        <w:t>生産ゲートは比喩的な用語であり、製品が完成品として生産段階を終了するまでに、多くの工程とそれに対応する中間設備を通過する可能性があ</w:t>
      </w:r>
      <w:r w:rsidR="00D00AFE">
        <w:rPr>
          <w:rFonts w:ascii="ＭＳ ゴシック" w:eastAsia="ＭＳ ゴシック" w:hAnsi="ＭＳ ゴシック" w:cs="ＭＳ ゴシック" w:hint="eastAsia"/>
          <w:color w:val="545456"/>
          <w:lang w:eastAsia="ja-JP"/>
        </w:rPr>
        <w:t>りま</w:t>
      </w:r>
      <w:r w:rsidR="00D00AFE" w:rsidRPr="00C91F0C">
        <w:rPr>
          <w:rFonts w:ascii="ＭＳ ゴシック" w:eastAsia="ＭＳ ゴシック" w:hAnsi="ＭＳ ゴシック" w:cs="ＭＳ ゴシック" w:hint="eastAsia"/>
          <w:color w:val="545456"/>
          <w:lang w:eastAsia="ja-JP"/>
        </w:rPr>
        <w:t>す。副産物や生産中に発生する廃棄物の処理に関連する工程も、この段階に含まれることがあ</w:t>
      </w:r>
      <w:r w:rsidR="00D00AFE">
        <w:rPr>
          <w:rFonts w:ascii="ＭＳ ゴシック" w:eastAsia="ＭＳ ゴシック" w:hAnsi="ＭＳ ゴシック" w:cs="ＭＳ ゴシック" w:hint="eastAsia"/>
          <w:color w:val="545456"/>
          <w:lang w:eastAsia="ja-JP"/>
        </w:rPr>
        <w:t>ります</w:t>
      </w:r>
      <w:r w:rsidR="00D00AFE" w:rsidRPr="00C91F0C">
        <w:rPr>
          <w:rFonts w:ascii="ＭＳ ゴシック" w:eastAsia="ＭＳ ゴシック" w:hAnsi="ＭＳ ゴシック" w:cs="ＭＳ ゴシック" w:hint="eastAsia"/>
          <w:color w:val="545456"/>
          <w:lang w:eastAsia="ja-JP"/>
        </w:rPr>
        <w:t>。帰属工程の例としては、以下のようなものがあります。</w:t>
      </w:r>
    </w:p>
    <w:p w14:paraId="42F941EE" w14:textId="77777777" w:rsidR="00D00AFE" w:rsidRPr="00D00AFE" w:rsidRDefault="00D00AFE">
      <w:pPr>
        <w:pStyle w:val="a5"/>
        <w:numPr>
          <w:ilvl w:val="0"/>
          <w:numId w:val="50"/>
        </w:numPr>
        <w:tabs>
          <w:tab w:val="left" w:pos="6549"/>
        </w:tabs>
        <w:spacing w:before="50"/>
        <w:rPr>
          <w:color w:val="545456"/>
          <w:w w:val="95"/>
          <w:sz w:val="19"/>
          <w:lang w:eastAsia="ja-JP"/>
        </w:rPr>
      </w:pPr>
      <w:r w:rsidRPr="00D00AFE">
        <w:rPr>
          <w:rFonts w:ascii="ＭＳ ゴシック" w:eastAsia="ＭＳ ゴシック" w:hAnsi="ＭＳ ゴシック" w:cs="ＭＳ ゴシック" w:hint="eastAsia"/>
          <w:color w:val="545456"/>
          <w:w w:val="95"/>
          <w:sz w:val="19"/>
          <w:lang w:eastAsia="ja-JP"/>
        </w:rPr>
        <w:t>物理的または化学的処理</w:t>
      </w:r>
    </w:p>
    <w:p w14:paraId="6F63281E" w14:textId="77777777" w:rsidR="00D00AFE" w:rsidRPr="00D00AFE" w:rsidRDefault="00D00AFE">
      <w:pPr>
        <w:pStyle w:val="a5"/>
        <w:numPr>
          <w:ilvl w:val="0"/>
          <w:numId w:val="50"/>
        </w:numPr>
        <w:tabs>
          <w:tab w:val="left" w:pos="6549"/>
        </w:tabs>
        <w:spacing w:before="50"/>
        <w:rPr>
          <w:color w:val="545456"/>
          <w:w w:val="95"/>
          <w:sz w:val="19"/>
        </w:rPr>
      </w:pPr>
      <w:proofErr w:type="spellStart"/>
      <w:r w:rsidRPr="00D00AFE">
        <w:rPr>
          <w:rFonts w:ascii="ＭＳ ゴシック" w:eastAsia="ＭＳ ゴシック" w:hAnsi="ＭＳ ゴシック" w:cs="ＭＳ ゴシック" w:hint="eastAsia"/>
          <w:color w:val="545456"/>
          <w:w w:val="95"/>
          <w:sz w:val="19"/>
        </w:rPr>
        <w:t>加工</w:t>
      </w:r>
      <w:proofErr w:type="spellEnd"/>
    </w:p>
    <w:p w14:paraId="4A06ECE0" w14:textId="77777777" w:rsidR="00D00AFE" w:rsidRPr="00D00AFE" w:rsidRDefault="00D00AFE">
      <w:pPr>
        <w:pStyle w:val="a5"/>
        <w:numPr>
          <w:ilvl w:val="0"/>
          <w:numId w:val="50"/>
        </w:numPr>
        <w:tabs>
          <w:tab w:val="left" w:pos="6549"/>
        </w:tabs>
        <w:spacing w:before="50"/>
        <w:rPr>
          <w:color w:val="545456"/>
          <w:w w:val="95"/>
          <w:sz w:val="19"/>
          <w:lang w:eastAsia="ja-JP"/>
        </w:rPr>
      </w:pPr>
      <w:r w:rsidRPr="00D00AFE">
        <w:rPr>
          <w:rFonts w:ascii="ＭＳ ゴシック" w:eastAsia="ＭＳ ゴシック" w:hAnsi="ＭＳ ゴシック" w:cs="ＭＳ ゴシック" w:hint="eastAsia"/>
          <w:color w:val="545456"/>
          <w:w w:val="95"/>
          <w:sz w:val="19"/>
          <w:lang w:eastAsia="ja-JP"/>
        </w:rPr>
        <w:t>製造工程間の半製品輸送</w:t>
      </w:r>
    </w:p>
    <w:p w14:paraId="06BA2F76" w14:textId="77777777" w:rsidR="00D00AFE" w:rsidRPr="00D00AFE" w:rsidRDefault="00D00AFE">
      <w:pPr>
        <w:pStyle w:val="a5"/>
        <w:numPr>
          <w:ilvl w:val="0"/>
          <w:numId w:val="50"/>
        </w:numPr>
        <w:tabs>
          <w:tab w:val="left" w:pos="6549"/>
        </w:tabs>
        <w:spacing w:before="50"/>
        <w:rPr>
          <w:color w:val="545456"/>
          <w:w w:val="95"/>
          <w:sz w:val="19"/>
        </w:rPr>
      </w:pPr>
      <w:proofErr w:type="spellStart"/>
      <w:r w:rsidRPr="00D00AFE">
        <w:rPr>
          <w:rFonts w:ascii="ＭＳ ゴシック" w:eastAsia="ＭＳ ゴシック" w:hAnsi="ＭＳ ゴシック" w:cs="ＭＳ ゴシック" w:hint="eastAsia"/>
          <w:color w:val="545456"/>
          <w:w w:val="95"/>
          <w:sz w:val="19"/>
        </w:rPr>
        <w:t>材料部品の組み立て</w:t>
      </w:r>
      <w:proofErr w:type="spellEnd"/>
    </w:p>
    <w:p w14:paraId="2FBB6C6E" w14:textId="77777777" w:rsidR="00D00AFE" w:rsidRPr="00D00AFE" w:rsidRDefault="00D00AFE">
      <w:pPr>
        <w:pStyle w:val="a5"/>
        <w:numPr>
          <w:ilvl w:val="0"/>
          <w:numId w:val="50"/>
        </w:numPr>
        <w:tabs>
          <w:tab w:val="left" w:pos="6549"/>
        </w:tabs>
        <w:spacing w:before="50"/>
        <w:rPr>
          <w:color w:val="545456"/>
          <w:w w:val="95"/>
          <w:sz w:val="19"/>
          <w:lang w:eastAsia="ja-JP"/>
        </w:rPr>
      </w:pPr>
      <w:r w:rsidRPr="00D00AFE">
        <w:rPr>
          <w:rFonts w:ascii="ＭＳ ゴシック" w:eastAsia="ＭＳ ゴシック" w:hAnsi="ＭＳ ゴシック" w:cs="ＭＳ ゴシック" w:hint="eastAsia"/>
          <w:color w:val="545456"/>
          <w:w w:val="95"/>
          <w:sz w:val="19"/>
          <w:lang w:eastAsia="ja-JP"/>
        </w:rPr>
        <w:t>包装などの流通のための準備</w:t>
      </w:r>
    </w:p>
    <w:p w14:paraId="61AAB589" w14:textId="12B990DB" w:rsidR="0055291C" w:rsidRPr="009065F5" w:rsidRDefault="00D00AFE">
      <w:pPr>
        <w:pStyle w:val="a5"/>
        <w:numPr>
          <w:ilvl w:val="0"/>
          <w:numId w:val="50"/>
        </w:numPr>
        <w:tabs>
          <w:tab w:val="left" w:pos="6549"/>
        </w:tabs>
        <w:spacing w:before="50"/>
        <w:rPr>
          <w:sz w:val="19"/>
          <w:lang w:eastAsia="ja-JP"/>
        </w:rPr>
      </w:pPr>
      <w:r w:rsidRPr="00D00AFE">
        <w:rPr>
          <w:rFonts w:ascii="ＭＳ ゴシック" w:eastAsia="ＭＳ ゴシック" w:hAnsi="ＭＳ ゴシック" w:cs="ＭＳ ゴシック" w:hint="eastAsia"/>
          <w:color w:val="545456"/>
          <w:w w:val="95"/>
          <w:sz w:val="19"/>
          <w:lang w:eastAsia="ja-JP"/>
        </w:rPr>
        <w:t>生産工程で発生した廃棄物の処理</w:t>
      </w:r>
    </w:p>
    <w:p w14:paraId="73F6DAA7" w14:textId="77777777" w:rsidR="009065F5" w:rsidRDefault="009065F5" w:rsidP="009065F5">
      <w:pPr>
        <w:pStyle w:val="a5"/>
        <w:tabs>
          <w:tab w:val="left" w:pos="6549"/>
        </w:tabs>
        <w:spacing w:before="50"/>
        <w:ind w:left="6548" w:firstLine="0"/>
        <w:rPr>
          <w:sz w:val="19"/>
          <w:lang w:eastAsia="ja-JP"/>
        </w:rPr>
      </w:pPr>
    </w:p>
    <w:p w14:paraId="6D0345AC" w14:textId="77777777" w:rsidR="0055291C" w:rsidRDefault="0055291C">
      <w:pPr>
        <w:pStyle w:val="a3"/>
        <w:spacing w:before="8"/>
        <w:rPr>
          <w:sz w:val="9"/>
          <w:lang w:eastAsia="ja-JP"/>
        </w:rPr>
      </w:pPr>
    </w:p>
    <w:p w14:paraId="3194CFD2" w14:textId="77777777" w:rsidR="0055291C" w:rsidRDefault="0055291C">
      <w:pPr>
        <w:rPr>
          <w:sz w:val="9"/>
          <w:lang w:eastAsia="ja-JP"/>
        </w:rPr>
        <w:sectPr w:rsidR="0055291C">
          <w:headerReference w:type="default" r:id="rId152"/>
          <w:pgSz w:w="12240" w:h="15840"/>
          <w:pgMar w:top="0" w:right="0" w:bottom="1040" w:left="0" w:header="0" w:footer="859" w:gutter="0"/>
          <w:cols w:space="720"/>
        </w:sectPr>
      </w:pPr>
    </w:p>
    <w:p w14:paraId="34F57A57" w14:textId="77777777" w:rsidR="0055291C" w:rsidRDefault="0055291C">
      <w:pPr>
        <w:pStyle w:val="a3"/>
        <w:rPr>
          <w:sz w:val="22"/>
          <w:lang w:eastAsia="ja-JP"/>
        </w:rPr>
      </w:pPr>
    </w:p>
    <w:p w14:paraId="48632748" w14:textId="77777777" w:rsidR="0055291C" w:rsidRDefault="0055291C">
      <w:pPr>
        <w:pStyle w:val="a3"/>
        <w:rPr>
          <w:sz w:val="22"/>
          <w:lang w:eastAsia="ja-JP"/>
        </w:rPr>
      </w:pPr>
    </w:p>
    <w:p w14:paraId="1EE6E088" w14:textId="77777777" w:rsidR="0055291C" w:rsidRDefault="0055291C">
      <w:pPr>
        <w:pStyle w:val="a3"/>
        <w:spacing w:before="10"/>
        <w:rPr>
          <w:sz w:val="24"/>
          <w:lang w:eastAsia="ja-JP"/>
        </w:rPr>
      </w:pPr>
    </w:p>
    <w:p w14:paraId="38F77E4B" w14:textId="5B9D7E7F" w:rsidR="002360E5" w:rsidRPr="002360E5" w:rsidRDefault="002360E5">
      <w:pPr>
        <w:pStyle w:val="a5"/>
        <w:numPr>
          <w:ilvl w:val="1"/>
          <w:numId w:val="57"/>
        </w:numPr>
        <w:tabs>
          <w:tab w:val="left" w:pos="1394"/>
        </w:tabs>
        <w:spacing w:before="50" w:line="276" w:lineRule="auto"/>
        <w:rPr>
          <w:color w:val="545456"/>
          <w:sz w:val="19"/>
          <w:lang w:eastAsia="ja-JP"/>
        </w:rPr>
      </w:pPr>
      <w:r w:rsidRPr="002360E5">
        <w:rPr>
          <w:rFonts w:ascii="ＭＳ ゴシック" w:eastAsia="ＭＳ ゴシック" w:hAnsi="ＭＳ ゴシック" w:cs="ＭＳ ゴシック" w:hint="eastAsia"/>
          <w:color w:val="545456"/>
          <w:sz w:val="19"/>
          <w:lang w:eastAsia="ja-JP"/>
        </w:rPr>
        <w:t>材料または化石燃料の採掘と抽出</w:t>
      </w:r>
    </w:p>
    <w:p w14:paraId="09B4C2DD" w14:textId="67A455F2" w:rsidR="002360E5" w:rsidRPr="002360E5" w:rsidRDefault="002360E5">
      <w:pPr>
        <w:pStyle w:val="a5"/>
        <w:numPr>
          <w:ilvl w:val="1"/>
          <w:numId w:val="57"/>
        </w:numPr>
        <w:tabs>
          <w:tab w:val="left" w:pos="1394"/>
        </w:tabs>
        <w:spacing w:before="50" w:line="276" w:lineRule="auto"/>
        <w:rPr>
          <w:color w:val="545456"/>
          <w:sz w:val="19"/>
          <w:lang w:eastAsia="ja-JP"/>
        </w:rPr>
      </w:pPr>
      <w:r w:rsidRPr="002360E5">
        <w:rPr>
          <w:rFonts w:ascii="ＭＳ ゴシック" w:eastAsia="ＭＳ ゴシック" w:hAnsi="ＭＳ ゴシック" w:cs="ＭＳ ゴシック" w:hint="eastAsia"/>
          <w:color w:val="545456"/>
          <w:sz w:val="19"/>
          <w:lang w:eastAsia="ja-JP"/>
        </w:rPr>
        <w:t>生物起源物質の光合成（大気中の</w:t>
      </w:r>
      <w:r w:rsidRPr="002360E5">
        <w:rPr>
          <w:color w:val="545456"/>
          <w:sz w:val="19"/>
          <w:lang w:eastAsia="ja-JP"/>
        </w:rPr>
        <w:t>CO2</w:t>
      </w:r>
      <w:r w:rsidRPr="002360E5">
        <w:rPr>
          <w:rFonts w:ascii="ＭＳ ゴシック" w:eastAsia="ＭＳ ゴシック" w:hAnsi="ＭＳ ゴシック" w:cs="ＭＳ ゴシック" w:hint="eastAsia"/>
          <w:color w:val="545456"/>
          <w:sz w:val="19"/>
          <w:lang w:eastAsia="ja-JP"/>
        </w:rPr>
        <w:t>除去など）</w:t>
      </w:r>
    </w:p>
    <w:p w14:paraId="76A453ED" w14:textId="6A01DFA1" w:rsidR="002360E5" w:rsidRPr="002360E5" w:rsidRDefault="002360E5">
      <w:pPr>
        <w:pStyle w:val="a5"/>
        <w:numPr>
          <w:ilvl w:val="1"/>
          <w:numId w:val="57"/>
        </w:numPr>
        <w:tabs>
          <w:tab w:val="left" w:pos="1394"/>
        </w:tabs>
        <w:spacing w:before="50" w:line="276" w:lineRule="auto"/>
        <w:rPr>
          <w:color w:val="545456"/>
          <w:sz w:val="19"/>
          <w:lang w:eastAsia="ja-JP"/>
        </w:rPr>
      </w:pPr>
      <w:r w:rsidRPr="002360E5">
        <w:rPr>
          <w:rFonts w:ascii="ＭＳ ゴシック" w:eastAsia="ＭＳ ゴシック" w:hAnsi="ＭＳ ゴシック" w:cs="ＭＳ ゴシック" w:hint="eastAsia"/>
          <w:color w:val="545456"/>
          <w:sz w:val="19"/>
          <w:lang w:eastAsia="ja-JP"/>
        </w:rPr>
        <w:t>樹木または作物の栽培および収穫</w:t>
      </w:r>
    </w:p>
    <w:p w14:paraId="19349B6B" w14:textId="74EA183A" w:rsidR="002360E5" w:rsidRPr="002360E5" w:rsidRDefault="002360E5">
      <w:pPr>
        <w:pStyle w:val="a5"/>
        <w:numPr>
          <w:ilvl w:val="1"/>
          <w:numId w:val="57"/>
        </w:numPr>
        <w:tabs>
          <w:tab w:val="left" w:pos="1394"/>
        </w:tabs>
        <w:spacing w:before="50" w:line="276" w:lineRule="auto"/>
        <w:rPr>
          <w:color w:val="545456"/>
          <w:sz w:val="19"/>
        </w:rPr>
      </w:pPr>
      <w:proofErr w:type="spellStart"/>
      <w:r w:rsidRPr="002360E5">
        <w:rPr>
          <w:rFonts w:ascii="ＭＳ ゴシック" w:eastAsia="ＭＳ ゴシック" w:hAnsi="ＭＳ ゴシック" w:cs="ＭＳ ゴシック" w:hint="eastAsia"/>
          <w:color w:val="545456"/>
          <w:sz w:val="19"/>
        </w:rPr>
        <w:t>肥料の散布</w:t>
      </w:r>
      <w:proofErr w:type="spellEnd"/>
    </w:p>
    <w:p w14:paraId="123B1624" w14:textId="2D7C4587" w:rsidR="002360E5" w:rsidRPr="002360E5" w:rsidRDefault="002360E5">
      <w:pPr>
        <w:pStyle w:val="a5"/>
        <w:numPr>
          <w:ilvl w:val="1"/>
          <w:numId w:val="57"/>
        </w:numPr>
        <w:tabs>
          <w:tab w:val="left" w:pos="1394"/>
        </w:tabs>
        <w:spacing w:before="50" w:line="276" w:lineRule="auto"/>
        <w:rPr>
          <w:color w:val="545456"/>
          <w:sz w:val="19"/>
          <w:lang w:eastAsia="ja-JP"/>
        </w:rPr>
      </w:pPr>
      <w:r w:rsidRPr="002360E5">
        <w:rPr>
          <w:rFonts w:ascii="ＭＳ ゴシック" w:eastAsia="ＭＳ ゴシック" w:hAnsi="ＭＳ ゴシック" w:cs="ＭＳ ゴシック" w:hint="eastAsia"/>
          <w:color w:val="545456"/>
          <w:sz w:val="19"/>
          <w:lang w:eastAsia="ja-JP"/>
        </w:rPr>
        <w:t>調査対象製品への材料投入の前処理、例えば</w:t>
      </w:r>
    </w:p>
    <w:p w14:paraId="7FCD1461" w14:textId="4B89707F" w:rsidR="002360E5" w:rsidRPr="002360E5" w:rsidRDefault="002360E5">
      <w:pPr>
        <w:pStyle w:val="a5"/>
        <w:numPr>
          <w:ilvl w:val="2"/>
          <w:numId w:val="57"/>
        </w:numPr>
        <w:tabs>
          <w:tab w:val="left" w:pos="1394"/>
        </w:tabs>
        <w:spacing w:before="50" w:line="276" w:lineRule="auto"/>
        <w:rPr>
          <w:color w:val="545456"/>
          <w:sz w:val="19"/>
        </w:rPr>
      </w:pPr>
      <w:proofErr w:type="spellStart"/>
      <w:r w:rsidRPr="002360E5">
        <w:rPr>
          <w:rFonts w:ascii="ＭＳ ゴシック" w:eastAsia="ＭＳ ゴシック" w:hAnsi="ＭＳ ゴシック" w:cs="ＭＳ ゴシック" w:hint="eastAsia"/>
          <w:color w:val="545456"/>
          <w:sz w:val="19"/>
        </w:rPr>
        <w:t>木材のチップ化</w:t>
      </w:r>
      <w:proofErr w:type="spellEnd"/>
    </w:p>
    <w:p w14:paraId="7993BB01" w14:textId="62E1F600" w:rsidR="002360E5" w:rsidRPr="002360E5" w:rsidRDefault="002360E5">
      <w:pPr>
        <w:pStyle w:val="a5"/>
        <w:numPr>
          <w:ilvl w:val="2"/>
          <w:numId w:val="57"/>
        </w:numPr>
        <w:tabs>
          <w:tab w:val="left" w:pos="1394"/>
        </w:tabs>
        <w:spacing w:before="50" w:line="276" w:lineRule="auto"/>
        <w:rPr>
          <w:color w:val="545456"/>
          <w:sz w:val="19"/>
          <w:lang w:eastAsia="ja-JP"/>
        </w:rPr>
      </w:pPr>
      <w:r w:rsidRPr="002360E5">
        <w:rPr>
          <w:rFonts w:ascii="ＭＳ ゴシック" w:eastAsia="ＭＳ ゴシック" w:hAnsi="ＭＳ ゴシック" w:cs="ＭＳ ゴシック" w:hint="eastAsia"/>
          <w:color w:val="545456"/>
          <w:sz w:val="19"/>
          <w:lang w:eastAsia="ja-JP"/>
        </w:rPr>
        <w:t>金属をインゴットに成形</w:t>
      </w:r>
    </w:p>
    <w:p w14:paraId="337A199D" w14:textId="40BD6EA0" w:rsidR="002360E5" w:rsidRPr="002360E5" w:rsidRDefault="002360E5">
      <w:pPr>
        <w:pStyle w:val="a5"/>
        <w:numPr>
          <w:ilvl w:val="2"/>
          <w:numId w:val="57"/>
        </w:numPr>
        <w:tabs>
          <w:tab w:val="left" w:pos="1394"/>
        </w:tabs>
        <w:spacing w:before="50" w:line="276" w:lineRule="auto"/>
        <w:rPr>
          <w:color w:val="545456"/>
          <w:sz w:val="19"/>
        </w:rPr>
      </w:pPr>
      <w:proofErr w:type="spellStart"/>
      <w:r w:rsidRPr="002360E5">
        <w:rPr>
          <w:rFonts w:ascii="ＭＳ ゴシック" w:eastAsia="ＭＳ ゴシック" w:hAnsi="ＭＳ ゴシック" w:cs="ＭＳ ゴシック" w:hint="eastAsia"/>
          <w:color w:val="545456"/>
          <w:sz w:val="19"/>
        </w:rPr>
        <w:t>石炭の洗浄</w:t>
      </w:r>
      <w:proofErr w:type="spellEnd"/>
    </w:p>
    <w:p w14:paraId="11A7BEB1" w14:textId="302C1686" w:rsidR="002360E5" w:rsidRPr="002360E5" w:rsidRDefault="002360E5">
      <w:pPr>
        <w:pStyle w:val="a5"/>
        <w:numPr>
          <w:ilvl w:val="2"/>
          <w:numId w:val="57"/>
        </w:numPr>
        <w:tabs>
          <w:tab w:val="left" w:pos="1394"/>
        </w:tabs>
        <w:spacing w:before="50" w:line="276" w:lineRule="auto"/>
        <w:rPr>
          <w:color w:val="545456"/>
          <w:sz w:val="19"/>
        </w:rPr>
      </w:pPr>
      <w:proofErr w:type="spellStart"/>
      <w:r w:rsidRPr="002360E5">
        <w:rPr>
          <w:rFonts w:ascii="ＭＳ ゴシック" w:eastAsia="ＭＳ ゴシック" w:hAnsi="ＭＳ ゴシック" w:cs="ＭＳ ゴシック" w:hint="eastAsia"/>
          <w:color w:val="545456"/>
          <w:sz w:val="19"/>
        </w:rPr>
        <w:t>リサイクル材料の変換</w:t>
      </w:r>
      <w:proofErr w:type="spellEnd"/>
    </w:p>
    <w:p w14:paraId="6B4B4445" w14:textId="20ED8B82" w:rsidR="002360E5" w:rsidRPr="002360E5" w:rsidRDefault="002360E5">
      <w:pPr>
        <w:pStyle w:val="a5"/>
        <w:numPr>
          <w:ilvl w:val="1"/>
          <w:numId w:val="57"/>
        </w:numPr>
        <w:tabs>
          <w:tab w:val="left" w:pos="1394"/>
        </w:tabs>
        <w:spacing w:before="50" w:line="276" w:lineRule="auto"/>
        <w:rPr>
          <w:color w:val="545456"/>
          <w:sz w:val="19"/>
          <w:lang w:eastAsia="ja-JP"/>
        </w:rPr>
      </w:pPr>
      <w:r w:rsidRPr="002360E5">
        <w:rPr>
          <w:rFonts w:ascii="ＭＳ ゴシック" w:eastAsia="ＭＳ ゴシック" w:hAnsi="ＭＳ ゴシック" w:cs="ＭＳ ゴシック" w:hint="eastAsia"/>
          <w:color w:val="545456"/>
          <w:sz w:val="19"/>
          <w:lang w:eastAsia="ja-JP"/>
        </w:rPr>
        <w:t>中間材料投入の前処理</w:t>
      </w:r>
    </w:p>
    <w:p w14:paraId="1BB12FDB" w14:textId="6B948075" w:rsidR="0055291C" w:rsidRPr="009065F5" w:rsidRDefault="002360E5">
      <w:pPr>
        <w:pStyle w:val="a5"/>
        <w:numPr>
          <w:ilvl w:val="1"/>
          <w:numId w:val="57"/>
        </w:numPr>
        <w:tabs>
          <w:tab w:val="left" w:pos="1394"/>
        </w:tabs>
        <w:spacing w:before="50" w:line="276" w:lineRule="auto"/>
        <w:rPr>
          <w:sz w:val="19"/>
          <w:lang w:eastAsia="ja-JP"/>
        </w:rPr>
      </w:pPr>
      <w:r w:rsidRPr="002360E5">
        <w:rPr>
          <w:rFonts w:ascii="ＭＳ ゴシック" w:eastAsia="ＭＳ ゴシック" w:hAnsi="ＭＳ ゴシック" w:cs="ＭＳ ゴシック" w:hint="eastAsia"/>
          <w:color w:val="545456"/>
          <w:sz w:val="19"/>
          <w:lang w:eastAsia="ja-JP"/>
        </w:rPr>
        <w:t>生産設備への輸送、抽出・前処理設備内の輸送</w:t>
      </w:r>
    </w:p>
    <w:p w14:paraId="3B10E8A3" w14:textId="77777777" w:rsidR="009065F5" w:rsidRDefault="009065F5" w:rsidP="009065F5">
      <w:pPr>
        <w:pStyle w:val="a5"/>
        <w:tabs>
          <w:tab w:val="left" w:pos="1394"/>
        </w:tabs>
        <w:spacing w:before="50" w:line="304" w:lineRule="auto"/>
        <w:ind w:left="1394" w:firstLine="0"/>
        <w:rPr>
          <w:sz w:val="19"/>
          <w:lang w:eastAsia="ja-JP"/>
        </w:rPr>
      </w:pPr>
    </w:p>
    <w:p w14:paraId="7785B805" w14:textId="6FA3611C" w:rsidR="0055291C" w:rsidRDefault="00C91F0C">
      <w:pPr>
        <w:spacing w:before="153"/>
        <w:ind w:left="1133"/>
        <w:rPr>
          <w:rFonts w:ascii="Arial"/>
          <w:b/>
          <w:i/>
          <w:sz w:val="18"/>
          <w:lang w:eastAsia="ja-JP"/>
        </w:rPr>
      </w:pPr>
      <w:r>
        <w:rPr>
          <w:rFonts w:ascii="ＭＳ ゴシック" w:eastAsia="ＭＳ ゴシック" w:hAnsi="ＭＳ ゴシック" w:cs="ＭＳ ゴシック" w:hint="eastAsia"/>
          <w:b/>
          <w:i/>
          <w:color w:val="7F3F98"/>
          <w:sz w:val="18"/>
          <w:lang w:eastAsia="ja-JP"/>
        </w:rPr>
        <w:t>生産</w:t>
      </w:r>
    </w:p>
    <w:p w14:paraId="5FF19DB6" w14:textId="5E14DFB7" w:rsidR="0055291C" w:rsidRDefault="00C91F0C">
      <w:pPr>
        <w:pStyle w:val="a3"/>
        <w:spacing w:before="67" w:line="312" w:lineRule="auto"/>
        <w:ind w:left="1133" w:right="121"/>
        <w:rPr>
          <w:lang w:eastAsia="ja-JP"/>
        </w:rPr>
      </w:pPr>
      <w:r w:rsidRPr="00C91F0C">
        <w:rPr>
          <w:rFonts w:ascii="ＭＳ ゴシック" w:eastAsia="ＭＳ ゴシック" w:hAnsi="ＭＳ ゴシック" w:cs="ＭＳ ゴシック" w:hint="eastAsia"/>
          <w:color w:val="545456"/>
          <w:lang w:eastAsia="ja-JP"/>
        </w:rPr>
        <w:t>生産段階は、製品の構成部品が調査対象製品の生産拠点に入るときに始まり、完成した調査対象製品が生産ゲートから出るときに終わります。生産拠点と</w:t>
      </w:r>
    </w:p>
    <w:p w14:paraId="533C3FBC" w14:textId="38611A53" w:rsidR="0055291C" w:rsidRDefault="00F23C61">
      <w:pPr>
        <w:spacing w:before="99"/>
        <w:ind w:left="582"/>
        <w:rPr>
          <w:rFonts w:ascii="Arial"/>
          <w:b/>
          <w:i/>
          <w:sz w:val="18"/>
          <w:lang w:eastAsia="ja-JP"/>
        </w:rPr>
      </w:pPr>
      <w:r>
        <w:rPr>
          <w:lang w:eastAsia="ja-JP"/>
        </w:rPr>
        <w:br w:type="column"/>
      </w:r>
      <w:r w:rsidR="00D00AFE" w:rsidRPr="00D00AFE">
        <w:rPr>
          <w:rFonts w:ascii="ＭＳ ゴシック" w:eastAsia="ＭＳ ゴシック" w:hAnsi="ＭＳ ゴシック" w:cs="ＭＳ ゴシック" w:hint="eastAsia"/>
          <w:b/>
          <w:i/>
          <w:color w:val="7F3F98"/>
          <w:sz w:val="18"/>
          <w:lang w:eastAsia="ja-JP"/>
        </w:rPr>
        <w:t>製品の流通・保管</w:t>
      </w:r>
    </w:p>
    <w:p w14:paraId="4965E95C" w14:textId="2A60595A" w:rsidR="0055291C" w:rsidRDefault="00D00AFE">
      <w:pPr>
        <w:pStyle w:val="a3"/>
        <w:spacing w:before="67" w:line="312" w:lineRule="auto"/>
        <w:ind w:left="582" w:right="1241"/>
        <w:rPr>
          <w:lang w:eastAsia="ja-JP"/>
        </w:rPr>
      </w:pPr>
      <w:r w:rsidRPr="00D00AFE">
        <w:rPr>
          <w:rFonts w:ascii="ＭＳ ゴシック" w:eastAsia="ＭＳ ゴシック" w:hAnsi="ＭＳ ゴシック" w:cs="ＭＳ ゴシック" w:hint="eastAsia"/>
          <w:color w:val="545456"/>
          <w:lang w:eastAsia="ja-JP"/>
        </w:rPr>
        <w:t>製品の流通と保管の段階は、研究された完成品が生産施設の門を出たときに始まり、消費者がその製品を手にしたときに終わります。物流センターと小売店での保管のように、</w:t>
      </w:r>
      <w:r w:rsidRPr="00D00AFE">
        <w:rPr>
          <w:color w:val="545456"/>
          <w:lang w:eastAsia="ja-JP"/>
        </w:rPr>
        <w:t>1</w:t>
      </w:r>
      <w:r w:rsidRPr="00D00AFE">
        <w:rPr>
          <w:rFonts w:ascii="ＭＳ ゴシック" w:eastAsia="ＭＳ ゴシック" w:hAnsi="ＭＳ ゴシック" w:cs="ＭＳ ゴシック" w:hint="eastAsia"/>
          <w:color w:val="545456"/>
          <w:lang w:eastAsia="ja-JP"/>
        </w:rPr>
        <w:t>つの製品に対して複数の流通と保管の場所が発生することがあります。帰属プロセスの例としては、以下のようなものがあります。</w:t>
      </w:r>
    </w:p>
    <w:p w14:paraId="4A9A8D76" w14:textId="108D6483" w:rsidR="00332A59" w:rsidRPr="00332A59" w:rsidRDefault="00332A59">
      <w:pPr>
        <w:pStyle w:val="a5"/>
        <w:numPr>
          <w:ilvl w:val="0"/>
          <w:numId w:val="49"/>
        </w:numPr>
        <w:tabs>
          <w:tab w:val="left" w:pos="843"/>
        </w:tabs>
        <w:spacing w:before="50"/>
        <w:rPr>
          <w:color w:val="545456"/>
          <w:sz w:val="19"/>
          <w:lang w:eastAsia="ja-JP"/>
        </w:rPr>
      </w:pPr>
      <w:r w:rsidRPr="00332A59">
        <w:rPr>
          <w:rFonts w:ascii="ＭＳ ゴシック" w:eastAsia="ＭＳ ゴシック" w:hAnsi="ＭＳ ゴシック" w:cs="ＭＳ ゴシック" w:hint="eastAsia"/>
          <w:color w:val="545456"/>
          <w:sz w:val="19"/>
          <w:lang w:eastAsia="ja-JP"/>
        </w:rPr>
        <w:t>配送センターまたは小売店の、以下のような業務</w:t>
      </w:r>
    </w:p>
    <w:p w14:paraId="2631B5DF" w14:textId="440C84EC" w:rsidR="00332A59" w:rsidRPr="00332A59" w:rsidRDefault="00332A59">
      <w:pPr>
        <w:pStyle w:val="a5"/>
        <w:numPr>
          <w:ilvl w:val="1"/>
          <w:numId w:val="49"/>
        </w:numPr>
        <w:tabs>
          <w:tab w:val="left" w:pos="843"/>
        </w:tabs>
        <w:spacing w:before="50"/>
        <w:rPr>
          <w:color w:val="545456"/>
          <w:sz w:val="19"/>
        </w:rPr>
      </w:pPr>
      <w:proofErr w:type="spellStart"/>
      <w:r w:rsidRPr="00332A59">
        <w:rPr>
          <w:rFonts w:ascii="ＭＳ ゴシック" w:eastAsia="ＭＳ ゴシック" w:hAnsi="ＭＳ ゴシック" w:cs="ＭＳ ゴシック" w:hint="eastAsia"/>
          <w:color w:val="545456"/>
          <w:sz w:val="19"/>
        </w:rPr>
        <w:t>受付</w:t>
      </w:r>
      <w:proofErr w:type="spellEnd"/>
    </w:p>
    <w:p w14:paraId="5C1AE2DC" w14:textId="49078FDF" w:rsidR="00332A59" w:rsidRPr="00332A59" w:rsidRDefault="00332A59">
      <w:pPr>
        <w:pStyle w:val="a5"/>
        <w:numPr>
          <w:ilvl w:val="1"/>
          <w:numId w:val="49"/>
        </w:numPr>
        <w:tabs>
          <w:tab w:val="left" w:pos="843"/>
        </w:tabs>
        <w:spacing w:before="50"/>
        <w:rPr>
          <w:color w:val="545456"/>
          <w:sz w:val="19"/>
        </w:rPr>
      </w:pPr>
      <w:proofErr w:type="spellStart"/>
      <w:r w:rsidRPr="00332A59">
        <w:rPr>
          <w:rFonts w:ascii="ＭＳ ゴシック" w:eastAsia="ＭＳ ゴシック" w:hAnsi="ＭＳ ゴシック" w:cs="ＭＳ ゴシック" w:hint="eastAsia"/>
          <w:color w:val="545456"/>
          <w:sz w:val="19"/>
        </w:rPr>
        <w:t>片付け</w:t>
      </w:r>
      <w:proofErr w:type="spellEnd"/>
    </w:p>
    <w:p w14:paraId="0E7DEA44" w14:textId="742C4829" w:rsidR="00332A59" w:rsidRPr="00332A59" w:rsidRDefault="00332A59">
      <w:pPr>
        <w:pStyle w:val="a5"/>
        <w:numPr>
          <w:ilvl w:val="1"/>
          <w:numId w:val="49"/>
        </w:numPr>
        <w:tabs>
          <w:tab w:val="left" w:pos="843"/>
        </w:tabs>
        <w:spacing w:before="50"/>
        <w:rPr>
          <w:color w:val="545456"/>
          <w:sz w:val="19"/>
        </w:rPr>
      </w:pPr>
      <w:proofErr w:type="spellStart"/>
      <w:r w:rsidRPr="00332A59">
        <w:rPr>
          <w:rFonts w:ascii="ＭＳ ゴシック" w:eastAsia="ＭＳ ゴシック" w:hAnsi="ＭＳ ゴシック" w:cs="ＭＳ ゴシック" w:hint="eastAsia"/>
          <w:color w:val="545456"/>
          <w:sz w:val="19"/>
        </w:rPr>
        <w:t>暖房・冷蔵</w:t>
      </w:r>
      <w:proofErr w:type="spellEnd"/>
    </w:p>
    <w:p w14:paraId="0F90EC1A" w14:textId="65B22962" w:rsidR="00332A59" w:rsidRPr="00332A59" w:rsidRDefault="00332A59">
      <w:pPr>
        <w:pStyle w:val="a5"/>
        <w:numPr>
          <w:ilvl w:val="0"/>
          <w:numId w:val="49"/>
        </w:numPr>
        <w:tabs>
          <w:tab w:val="left" w:pos="843"/>
        </w:tabs>
        <w:spacing w:before="50"/>
        <w:rPr>
          <w:color w:val="545456"/>
          <w:sz w:val="19"/>
        </w:rPr>
      </w:pPr>
      <w:proofErr w:type="spellStart"/>
      <w:r w:rsidRPr="00332A59">
        <w:rPr>
          <w:rFonts w:ascii="ＭＳ ゴシック" w:eastAsia="ＭＳ ゴシック" w:hAnsi="ＭＳ ゴシック" w:cs="ＭＳ ゴシック" w:hint="eastAsia"/>
          <w:color w:val="545456"/>
          <w:sz w:val="19"/>
        </w:rPr>
        <w:t>出荷輸送</w:t>
      </w:r>
      <w:proofErr w:type="spellEnd"/>
    </w:p>
    <w:p w14:paraId="18A07D21" w14:textId="3107BFEC" w:rsidR="0055291C" w:rsidRPr="009065F5" w:rsidRDefault="00332A59">
      <w:pPr>
        <w:pStyle w:val="a5"/>
        <w:numPr>
          <w:ilvl w:val="0"/>
          <w:numId w:val="49"/>
        </w:numPr>
        <w:tabs>
          <w:tab w:val="left" w:pos="843"/>
        </w:tabs>
        <w:spacing w:before="50"/>
        <w:rPr>
          <w:sz w:val="19"/>
        </w:rPr>
      </w:pPr>
      <w:proofErr w:type="spellStart"/>
      <w:r w:rsidRPr="00332A59">
        <w:rPr>
          <w:rFonts w:ascii="ＭＳ ゴシック" w:eastAsia="ＭＳ ゴシック" w:hAnsi="ＭＳ ゴシック" w:cs="ＭＳ ゴシック" w:hint="eastAsia"/>
          <w:color w:val="545456"/>
          <w:sz w:val="19"/>
        </w:rPr>
        <w:t>保管場所間の輸送</w:t>
      </w:r>
      <w:proofErr w:type="spellEnd"/>
    </w:p>
    <w:p w14:paraId="115A8ED0" w14:textId="77777777" w:rsidR="009065F5" w:rsidRDefault="009065F5" w:rsidP="009065F5">
      <w:pPr>
        <w:pStyle w:val="a5"/>
        <w:tabs>
          <w:tab w:val="left" w:pos="843"/>
        </w:tabs>
        <w:spacing w:before="50"/>
        <w:ind w:left="842" w:firstLine="0"/>
        <w:rPr>
          <w:sz w:val="19"/>
        </w:rPr>
      </w:pPr>
    </w:p>
    <w:p w14:paraId="5FED210B" w14:textId="77777777" w:rsidR="0055291C" w:rsidRDefault="0055291C">
      <w:pPr>
        <w:pStyle w:val="a3"/>
        <w:spacing w:before="5"/>
        <w:rPr>
          <w:sz w:val="18"/>
        </w:rPr>
      </w:pPr>
    </w:p>
    <w:p w14:paraId="27199CD5" w14:textId="3ABE7E83" w:rsidR="0055291C" w:rsidRDefault="00332A59">
      <w:pPr>
        <w:ind w:left="582"/>
        <w:rPr>
          <w:rFonts w:ascii="Arial"/>
          <w:b/>
          <w:i/>
          <w:sz w:val="18"/>
        </w:rPr>
      </w:pPr>
      <w:r>
        <w:rPr>
          <w:rFonts w:ascii="ＭＳ ゴシック" w:eastAsia="ＭＳ ゴシック" w:hAnsi="ＭＳ ゴシック" w:cs="ＭＳ ゴシック" w:hint="eastAsia"/>
          <w:b/>
          <w:i/>
          <w:color w:val="7F3F98"/>
          <w:sz w:val="18"/>
          <w:lang w:eastAsia="ja-JP"/>
        </w:rPr>
        <w:t>製品使用</w:t>
      </w:r>
    </w:p>
    <w:p w14:paraId="10E820A7" w14:textId="77777777" w:rsidR="00332A59" w:rsidRPr="00332A59" w:rsidRDefault="00332A59" w:rsidP="00332A59">
      <w:pPr>
        <w:ind w:leftChars="257" w:left="565" w:rightChars="585" w:right="1287"/>
        <w:rPr>
          <w:color w:val="545456"/>
          <w:w w:val="95"/>
          <w:sz w:val="19"/>
          <w:szCs w:val="19"/>
          <w:lang w:eastAsia="ja-JP"/>
        </w:rPr>
      </w:pPr>
      <w:r w:rsidRPr="00332A59">
        <w:rPr>
          <w:rFonts w:ascii="ＭＳ ゴシック" w:eastAsia="ＭＳ ゴシック" w:hAnsi="ＭＳ ゴシック" w:cs="ＭＳ ゴシック" w:hint="eastAsia"/>
          <w:color w:val="545456"/>
          <w:w w:val="95"/>
          <w:sz w:val="19"/>
          <w:szCs w:val="19"/>
          <w:lang w:eastAsia="ja-JP"/>
        </w:rPr>
        <w:t>使用段階は、消費者が製品を所有した時点から始まり、製品が廃棄物として処理された時点で終了します。</w:t>
      </w:r>
    </w:p>
    <w:p w14:paraId="6FDFA25C" w14:textId="77777777" w:rsidR="0055291C" w:rsidRDefault="0055291C">
      <w:pPr>
        <w:rPr>
          <w:lang w:eastAsia="ja-JP"/>
        </w:rPr>
        <w:sectPr w:rsidR="0055291C">
          <w:type w:val="continuous"/>
          <w:pgSz w:w="12240" w:h="15840"/>
          <w:pgMar w:top="740" w:right="0" w:bottom="280" w:left="0" w:header="0" w:footer="859" w:gutter="0"/>
          <w:cols w:num="2" w:space="720" w:equalWidth="0">
            <w:col w:w="5667" w:space="40"/>
            <w:col w:w="6533"/>
          </w:cols>
        </w:sectPr>
      </w:pPr>
    </w:p>
    <w:p w14:paraId="71648DF8" w14:textId="77777777" w:rsidR="0055291C" w:rsidRDefault="0055291C">
      <w:pPr>
        <w:pStyle w:val="a3"/>
        <w:rPr>
          <w:sz w:val="20"/>
          <w:lang w:eastAsia="ja-JP"/>
        </w:rPr>
      </w:pPr>
    </w:p>
    <w:p w14:paraId="39A74853" w14:textId="77777777" w:rsidR="0055291C" w:rsidRDefault="0055291C">
      <w:pPr>
        <w:pStyle w:val="a3"/>
        <w:spacing w:before="8"/>
        <w:rPr>
          <w:lang w:eastAsia="ja-JP"/>
        </w:rPr>
      </w:pPr>
    </w:p>
    <w:p w14:paraId="618E5AE9" w14:textId="5E9AAB4B" w:rsidR="0055291C" w:rsidRDefault="00E12E02">
      <w:pPr>
        <w:pStyle w:val="6"/>
        <w:ind w:left="1162"/>
        <w:rPr>
          <w:lang w:eastAsia="ja-JP"/>
        </w:rPr>
      </w:pPr>
      <w:r>
        <w:rPr>
          <w:rFonts w:ascii="ＭＳ 明朝" w:eastAsia="ＭＳ 明朝" w:hAnsi="ＭＳ 明朝" w:cs="ＭＳ 明朝" w:hint="eastAsia"/>
          <w:color w:val="00ACA1"/>
          <w:w w:val="95"/>
          <w:lang w:eastAsia="ja-JP"/>
        </w:rPr>
        <w:t>図</w:t>
      </w:r>
      <w:r w:rsidR="00F23C61">
        <w:rPr>
          <w:color w:val="00ACA1"/>
          <w:spacing w:val="12"/>
          <w:w w:val="95"/>
          <w:lang w:eastAsia="ja-JP"/>
        </w:rPr>
        <w:t xml:space="preserve"> </w:t>
      </w:r>
      <w:r w:rsidR="00F23C61">
        <w:rPr>
          <w:color w:val="00ACA1"/>
          <w:w w:val="95"/>
          <w:lang w:eastAsia="ja-JP"/>
        </w:rPr>
        <w:t>[7.4]</w:t>
      </w:r>
      <w:r w:rsidR="00F23C61">
        <w:rPr>
          <w:color w:val="00ACA1"/>
          <w:spacing w:val="13"/>
          <w:w w:val="95"/>
          <w:lang w:eastAsia="ja-JP"/>
        </w:rPr>
        <w:t xml:space="preserve"> </w:t>
      </w:r>
      <w:r w:rsidRPr="00E12E02">
        <w:rPr>
          <w:rFonts w:ascii="ＭＳ 明朝" w:eastAsia="ＭＳ 明朝" w:hAnsi="ＭＳ 明朝" w:cs="ＭＳ 明朝" w:hint="eastAsia"/>
          <w:color w:val="545456"/>
          <w:w w:val="95"/>
          <w:lang w:eastAsia="ja-JP"/>
        </w:rPr>
        <w:t>中間製品を生産する企業の視点</w:t>
      </w:r>
    </w:p>
    <w:p w14:paraId="2D4296C7" w14:textId="77777777" w:rsidR="0055291C" w:rsidRDefault="00000000">
      <w:pPr>
        <w:pStyle w:val="a3"/>
        <w:spacing w:before="4"/>
        <w:rPr>
          <w:rFonts w:ascii="Arial"/>
          <w:b/>
          <w:sz w:val="29"/>
          <w:lang w:eastAsia="ja-JP"/>
        </w:rPr>
      </w:pPr>
      <w:r>
        <w:pict w14:anchorId="5A674D86">
          <v:group id="docshapegroup671" o:spid="_x0000_s3133" style="position:absolute;margin-left:56.7pt;margin-top:23.6pt;width:55pt;height:54.6pt;z-index:-251503104;mso-wrap-distance-left:0;mso-wrap-distance-right:0;mso-position-horizontal-relative:page" coordorigin="1134,472" coordsize="1100,1092">
            <v:shape id="docshape672" o:spid="_x0000_s3135" style="position:absolute;left:1133;top:472;width:1100;height:1092" coordorigin="1134,472" coordsize="1100,1092" path="m2064,472r-760,l1206,475r-51,18l1137,544r-3,98l1134,1393r3,99l1155,1542r51,19l1304,1563r760,l2162,1561r50,-19l2231,1492r3,-99l2234,642r-3,-98l2212,493r-50,-18l2064,472xe" fillcolor="#00aca1" stroked="f">
              <v:path arrowok="t"/>
            </v:shape>
            <v:shape id="docshape673" o:spid="_x0000_s3134" type="#_x0000_t202" style="position:absolute;left:1133;top:472;width:1100;height:1092" filled="f" stroked="f">
              <v:textbox style="mso-next-textbox:#docshape673" inset="0,0,0,0">
                <w:txbxContent>
                  <w:p w14:paraId="5C046361" w14:textId="77777777" w:rsidR="0055291C" w:rsidRPr="00332A59" w:rsidRDefault="0055291C">
                    <w:pPr>
                      <w:rPr>
                        <w:rFonts w:ascii="Arial"/>
                        <w:b/>
                        <w:color w:val="FFFFFF" w:themeColor="background1"/>
                        <w:sz w:val="20"/>
                      </w:rPr>
                    </w:pPr>
                  </w:p>
                  <w:p w14:paraId="2F656BE9" w14:textId="25DBED47" w:rsidR="0055291C" w:rsidRPr="00332A59" w:rsidRDefault="00332A59">
                    <w:pPr>
                      <w:spacing w:before="121" w:line="254" w:lineRule="auto"/>
                      <w:ind w:left="116" w:right="118" w:firstLine="72"/>
                      <w:rPr>
                        <w:rFonts w:ascii="Arial"/>
                        <w:b/>
                        <w:i/>
                        <w:color w:val="FFFFFF" w:themeColor="background1"/>
                        <w:sz w:val="18"/>
                      </w:rPr>
                    </w:pPr>
                    <w:r w:rsidRPr="00332A59">
                      <w:rPr>
                        <w:rFonts w:ascii="ＭＳ ゴシック" w:eastAsia="ＭＳ ゴシック" w:hAnsi="ＭＳ ゴシック" w:cs="ＭＳ ゴシック" w:hint="eastAsia"/>
                        <w:b/>
                        <w:i/>
                        <w:color w:val="FFFFFF" w:themeColor="background1"/>
                        <w:sz w:val="18"/>
                        <w:lang w:eastAsia="ja-JP"/>
                      </w:rPr>
                      <w:t>材料購入</w:t>
                    </w:r>
                  </w:p>
                </w:txbxContent>
              </v:textbox>
            </v:shape>
            <w10:wrap type="topAndBottom" anchorx="page"/>
          </v:group>
        </w:pict>
      </w:r>
      <w:r>
        <w:pict w14:anchorId="48160471">
          <v:shape id="docshape674" o:spid="_x0000_s3132" style="position:absolute;margin-left:117.15pt;margin-top:44.1pt;width:21.6pt;height:15.05pt;z-index:-251502080;mso-wrap-distance-left:0;mso-wrap-distance-right:0;mso-position-horizontal-relative:page" coordorigin="2343,882" coordsize="432,301" path="m2574,882r-15,2l2548,896r-4,20l2545,961r-191,1l2343,973r,119l2354,1103r14,1l2545,1103r,46l2549,1169r11,12l2575,1183r20,-8l2754,1070r15,-15l2774,1037r-5,-17l2754,1004,2593,891r-19,-9xe" fillcolor="#85878a" stroked="f">
            <v:path arrowok="t"/>
            <w10:wrap type="topAndBottom" anchorx="page"/>
          </v:shape>
        </w:pict>
      </w:r>
      <w:r>
        <w:pict w14:anchorId="0FB53912">
          <v:group id="docshapegroup675" o:spid="_x0000_s3129" style="position:absolute;margin-left:143pt;margin-top:18.05pt;width:67.1pt;height:67.15pt;z-index:-251501056;mso-wrap-distance-left:0;mso-wrap-distance-right:0;mso-position-horizontal-relative:page" coordorigin="2860,361" coordsize="1342,1343">
            <v:shape id="docshape676" o:spid="_x0000_s3131" style="position:absolute;left:2860;top:361;width:1342;height:1343" coordorigin="2860,361" coordsize="1342,1343" path="m3492,361r-56,57l3366,381r-44,66l3246,424r-31,74l3136,490r-17,77l3040,574r-1,80l2963,676r13,78l2905,790r29,74l2871,913r42,68l2860,1040r54,59l2874,1167r64,48l2911,1289r72,35l2971,1402r77,20l3051,1502r80,5l3149,1584r79,-10l3260,1647r76,-25l3382,1687r69,-38l3508,1704r61,-51l3636,1696r50,-61l3760,1664r37,-69l3875,1610r24,-76l3978,1535r9,-79l4065,1441r-6,-79l4133,1333r-21,-77l4179,1214r-35,-72l4202,1088r-48,-63l4200,960r-59,-53l4174,835r-67,-41l4126,717r-75,-27l4055,610r-78,-12l3966,519r-79,2l3861,446r-77,18l3744,395r-73,31l3620,366r-66,45l3492,361xe" fillcolor="#00aca1" stroked="f">
              <v:path arrowok="t"/>
            </v:shape>
            <v:shape id="docshape677" o:spid="_x0000_s3130" type="#_x0000_t202" style="position:absolute;left:2860;top:361;width:1342;height:1343" filled="f" stroked="f">
              <v:textbox style="mso-next-textbox:#docshape677" inset="0,0,0,0">
                <w:txbxContent>
                  <w:p w14:paraId="2DE83D64" w14:textId="77777777" w:rsidR="00332A59" w:rsidRPr="00332A59" w:rsidRDefault="00332A59">
                    <w:pPr>
                      <w:spacing w:before="232" w:line="225" w:lineRule="auto"/>
                      <w:ind w:left="135" w:right="141"/>
                      <w:jc w:val="center"/>
                      <w:rPr>
                        <w:rFonts w:ascii="ＭＳ ゴシック" w:eastAsia="ＭＳ ゴシック" w:hAnsi="ＭＳ ゴシック" w:cs="ＭＳ ゴシック"/>
                        <w:b/>
                        <w:i/>
                        <w:color w:val="FFFFFF"/>
                        <w:sz w:val="6"/>
                        <w:szCs w:val="4"/>
                        <w:lang w:eastAsia="ja-JP"/>
                      </w:rPr>
                    </w:pPr>
                  </w:p>
                  <w:p w14:paraId="7E4B7C8D" w14:textId="758FEF9C" w:rsidR="0055291C" w:rsidRDefault="00332A59">
                    <w:pPr>
                      <w:spacing w:before="232" w:line="225" w:lineRule="auto"/>
                      <w:ind w:left="135" w:right="141"/>
                      <w:jc w:val="center"/>
                      <w:rPr>
                        <w:rFonts w:ascii="Arial"/>
                        <w:b/>
                        <w:i/>
                        <w:sz w:val="24"/>
                      </w:rPr>
                    </w:pPr>
                    <w:r>
                      <w:rPr>
                        <w:rFonts w:ascii="ＭＳ ゴシック" w:eastAsia="ＭＳ ゴシック" w:hAnsi="ＭＳ ゴシック" w:cs="ＭＳ ゴシック" w:hint="eastAsia"/>
                        <w:b/>
                        <w:i/>
                        <w:color w:val="FFFFFF"/>
                        <w:sz w:val="24"/>
                        <w:lang w:eastAsia="ja-JP"/>
                      </w:rPr>
                      <w:t>材料加工</w:t>
                    </w:r>
                  </w:p>
                </w:txbxContent>
              </v:textbox>
            </v:shape>
            <w10:wrap type="topAndBottom" anchorx="page"/>
          </v:group>
        </w:pict>
      </w:r>
      <w:r>
        <w:pict w14:anchorId="365B2F19">
          <v:shape id="docshape678" o:spid="_x0000_s3128" style="position:absolute;margin-left:214.2pt;margin-top:44.1pt;width:21.6pt;height:15.05pt;z-index:-251500032;mso-wrap-distance-left:0;mso-wrap-distance-right:0;mso-position-horizontal-relative:page" coordorigin="4284,882" coordsize="432,301" path="m4515,882r-15,2l4490,896r-4,20l4486,961r-191,1l4284,973r,119l4295,1103r14,1l4486,1103r1,46l4491,1169r10,12l4517,1183r19,-8l4695,1070r15,-15l4715,1037r-4,-17l4696,1004,4534,891r-19,-9xe" fillcolor="#85878a" stroked="f">
            <v:path arrowok="t"/>
            <w10:wrap type="topAndBottom" anchorx="page"/>
          </v:shape>
        </w:pict>
      </w:r>
      <w:r>
        <w:pict w14:anchorId="632A9777">
          <v:group id="docshapegroup679" o:spid="_x0000_s3125" style="position:absolute;margin-left:239.8pt;margin-top:23.6pt;width:55pt;height:54.6pt;z-index:-251499008;mso-wrap-distance-left:0;mso-wrap-distance-right:0;mso-position-horizontal-relative:page" coordorigin="4796,472" coordsize="1100,1092">
            <v:shape id="docshape680" o:spid="_x0000_s3127" style="position:absolute;left:4796;top:472;width:1100;height:1092" coordorigin="4796,472" coordsize="1100,1092" path="m5726,472r-760,l4868,475r-51,18l4799,544r-3,98l4796,1393r3,99l4817,1542r51,19l4966,1563r760,l5824,1561r51,-19l5893,1492r3,-99l5896,642r-3,-98l5875,493r-51,-18l5726,472xe" fillcolor="#7f3f98" stroked="f">
              <v:path arrowok="t"/>
            </v:shape>
            <v:shape id="docshape681" o:spid="_x0000_s3126" type="#_x0000_t202" style="position:absolute;left:4796;top:472;width:1100;height:1092" filled="f" stroked="f">
              <v:textbox style="mso-next-textbox:#docshape681" inset="0,0,0,0">
                <w:txbxContent>
                  <w:p w14:paraId="6F591EFF" w14:textId="77777777" w:rsidR="0055291C" w:rsidRDefault="0055291C">
                    <w:pPr>
                      <w:rPr>
                        <w:rFonts w:ascii="Arial"/>
                        <w:b/>
                        <w:sz w:val="20"/>
                      </w:rPr>
                    </w:pPr>
                  </w:p>
                  <w:p w14:paraId="5A8EAC42" w14:textId="77777777" w:rsidR="00332A59" w:rsidRDefault="00F23C61">
                    <w:pPr>
                      <w:spacing w:before="121" w:line="254" w:lineRule="auto"/>
                      <w:ind w:left="93" w:right="104" w:firstLine="162"/>
                      <w:rPr>
                        <w:rFonts w:ascii="Arial"/>
                        <w:b/>
                        <w:i/>
                        <w:color w:val="FFFFFF"/>
                        <w:spacing w:val="1"/>
                        <w:sz w:val="18"/>
                      </w:rPr>
                    </w:pPr>
                    <w:r>
                      <w:rPr>
                        <w:rFonts w:ascii="Arial"/>
                        <w:b/>
                        <w:i/>
                        <w:color w:val="FFFFFF"/>
                        <w:sz w:val="18"/>
                      </w:rPr>
                      <w:t>widget</w:t>
                    </w:r>
                    <w:r>
                      <w:rPr>
                        <w:rFonts w:ascii="Arial"/>
                        <w:b/>
                        <w:i/>
                        <w:color w:val="FFFFFF"/>
                        <w:spacing w:val="1"/>
                        <w:sz w:val="18"/>
                      </w:rPr>
                      <w:t xml:space="preserve"> </w:t>
                    </w:r>
                  </w:p>
                  <w:p w14:paraId="4906FCFF" w14:textId="69AADA89" w:rsidR="0055291C" w:rsidRDefault="00332A59">
                    <w:pPr>
                      <w:spacing w:before="121" w:line="254" w:lineRule="auto"/>
                      <w:ind w:left="93" w:right="104" w:firstLine="162"/>
                      <w:rPr>
                        <w:rFonts w:ascii="Arial"/>
                        <w:b/>
                        <w:i/>
                        <w:sz w:val="18"/>
                      </w:rPr>
                    </w:pPr>
                    <w:r>
                      <w:rPr>
                        <w:rFonts w:ascii="ＭＳ ゴシック" w:eastAsia="ＭＳ ゴシック" w:hAnsi="ＭＳ ゴシック" w:cs="ＭＳ ゴシック" w:hint="eastAsia"/>
                        <w:b/>
                        <w:i/>
                        <w:color w:val="FFFFFF"/>
                        <w:spacing w:val="1"/>
                        <w:sz w:val="18"/>
                        <w:lang w:eastAsia="ja-JP"/>
                      </w:rPr>
                      <w:t>生産</w:t>
                    </w:r>
                  </w:p>
                </w:txbxContent>
              </v:textbox>
            </v:shape>
            <w10:wrap type="topAndBottom" anchorx="page"/>
          </v:group>
        </w:pict>
      </w:r>
      <w:r>
        <w:pict w14:anchorId="740191B6">
          <v:shape id="docshape682" o:spid="_x0000_s3124" style="position:absolute;margin-left:298.45pt;margin-top:44.1pt;width:21.6pt;height:15.05pt;z-index:-251497984;mso-wrap-distance-left:0;mso-wrap-distance-right:0;mso-position-horizontal-relative:page" coordorigin="5969,882" coordsize="432,301" path="m6200,882r-15,2l6174,896r-3,20l6171,961r-191,1l5969,973r,119l5980,1103r14,1l6171,1103r,46l6175,1169r11,12l6202,1183r19,-8l6380,1070r15,-15l6400,1037r-5,-17l6380,1004,6219,891r-19,-9xe" fillcolor="#85878a" stroked="f">
            <v:path arrowok="t"/>
            <w10:wrap type="topAndBottom" anchorx="page"/>
          </v:shape>
        </w:pict>
      </w:r>
      <w:r>
        <w:pict w14:anchorId="7B3FD904">
          <v:group id="docshapegroup683" o:spid="_x0000_s3121" style="position:absolute;margin-left:324pt;margin-top:23.6pt;width:55pt;height:54.6pt;z-index:-251496960;mso-wrap-distance-left:0;mso-wrap-distance-right:0;mso-position-horizontal-relative:page" coordorigin="6480,472" coordsize="1100,1092">
            <v:shape id="docshape684" o:spid="_x0000_s3123" style="position:absolute;left:6480;top:472;width:1100;height:1092" coordorigin="6480,472" coordsize="1100,1092" path="m7410,472r-760,l6552,475r-51,18l6483,544r-3,98l6480,1393r3,99l6501,1542r51,19l6650,1563r760,l7508,1561r51,-19l7577,1492r3,-99l7580,642r-3,-98l7559,493r-51,-18l7410,472xe" fillcolor="#4f84c4" stroked="f">
              <v:path arrowok="t"/>
            </v:shape>
            <v:shape id="docshape685" o:spid="_x0000_s3122" type="#_x0000_t202" style="position:absolute;left:6480;top:472;width:1100;height:1092" filled="f" stroked="f">
              <v:textbox style="mso-next-textbox:#docshape685" inset="0,0,0,0">
                <w:txbxContent>
                  <w:p w14:paraId="113DE0E5" w14:textId="77777777" w:rsidR="0055291C" w:rsidRDefault="0055291C">
                    <w:pPr>
                      <w:rPr>
                        <w:rFonts w:ascii="Arial"/>
                        <w:b/>
                        <w:sz w:val="20"/>
                      </w:rPr>
                    </w:pPr>
                  </w:p>
                  <w:p w14:paraId="0DE97169" w14:textId="356162E8" w:rsidR="0055291C" w:rsidRDefault="00F23C61">
                    <w:pPr>
                      <w:spacing w:before="121" w:line="254" w:lineRule="auto"/>
                      <w:ind w:left="58" w:right="68" w:firstLine="198"/>
                      <w:rPr>
                        <w:rFonts w:ascii="Arial"/>
                        <w:b/>
                        <w:i/>
                        <w:color w:val="FFFFFF"/>
                        <w:spacing w:val="-3"/>
                        <w:sz w:val="18"/>
                      </w:rPr>
                    </w:pPr>
                    <w:r>
                      <w:rPr>
                        <w:rFonts w:ascii="Arial"/>
                        <w:b/>
                        <w:i/>
                        <w:color w:val="FFFFFF"/>
                        <w:sz w:val="18"/>
                      </w:rPr>
                      <w:t>widget</w:t>
                    </w:r>
                    <w:r>
                      <w:rPr>
                        <w:rFonts w:ascii="Arial"/>
                        <w:b/>
                        <w:i/>
                        <w:color w:val="FFFFFF"/>
                        <w:spacing w:val="1"/>
                        <w:sz w:val="18"/>
                      </w:rPr>
                      <w:t xml:space="preserve"> </w:t>
                    </w:r>
                  </w:p>
                  <w:p w14:paraId="741C3A11" w14:textId="7F45738E" w:rsidR="00332A59" w:rsidRDefault="00332A59">
                    <w:pPr>
                      <w:spacing w:before="121" w:line="254" w:lineRule="auto"/>
                      <w:ind w:left="58" w:right="68" w:firstLine="198"/>
                      <w:rPr>
                        <w:rFonts w:ascii="Arial"/>
                        <w:b/>
                        <w:i/>
                        <w:sz w:val="18"/>
                      </w:rPr>
                    </w:pPr>
                    <w:r>
                      <w:rPr>
                        <w:rFonts w:ascii="ＭＳ ゴシック" w:eastAsia="ＭＳ ゴシック" w:hAnsi="ＭＳ ゴシック" w:cs="ＭＳ ゴシック" w:hint="eastAsia"/>
                        <w:b/>
                        <w:i/>
                        <w:color w:val="FFFFFF"/>
                        <w:spacing w:val="-3"/>
                        <w:sz w:val="18"/>
                        <w:lang w:eastAsia="ja-JP"/>
                      </w:rPr>
                      <w:t>輸送</w:t>
                    </w:r>
                  </w:p>
                </w:txbxContent>
              </v:textbox>
            </v:shape>
            <w10:wrap type="topAndBottom" anchorx="page"/>
          </v:group>
        </w:pict>
      </w:r>
      <w:r>
        <w:pict w14:anchorId="5B756FDA">
          <v:shape id="docshape686" o:spid="_x0000_s3120" style="position:absolute;margin-left:385.65pt;margin-top:44.1pt;width:21.6pt;height:15.05pt;z-index:-251495936;mso-wrap-distance-left:0;mso-wrap-distance-right:0;mso-position-horizontal-relative:page" coordorigin="7713,882" coordsize="432,301" path="m7944,882r-15,2l7919,896r-4,20l7915,961r-191,1l7713,973r,119l7724,1103r14,1l7916,1103r,46l7920,1169r10,12l7946,1183r19,-8l8124,1070r15,-15l8145,1037r-5,-17l8125,1004,7963,891r-19,-9xe" fillcolor="#85878a" stroked="f">
            <v:path arrowok="t"/>
            <w10:wrap type="topAndBottom" anchorx="page"/>
          </v:shape>
        </w:pict>
      </w:r>
      <w:r>
        <w:pict w14:anchorId="4350F2B5">
          <v:group id="docshapegroup687" o:spid="_x0000_s3117" style="position:absolute;margin-left:413pt;margin-top:23.6pt;width:55pt;height:54.6pt;z-index:-251494912;mso-wrap-distance-left:0;mso-wrap-distance-right:0;mso-position-horizontal-relative:page" coordorigin="8260,472" coordsize="1100,1092">
            <v:shape id="docshape688" o:spid="_x0000_s3119" style="position:absolute;left:8260;top:472;width:1100;height:1092" coordorigin="8260,472" coordsize="1100,1092" path="m9190,472r-760,l8332,475r-51,18l8263,544r-3,98l8260,1393r3,99l8281,1542r51,19l8430,1563r760,l9288,1561r51,-19l9357,1492r3,-99l9360,642r-3,-98l9339,493r-51,-18l9190,472xe" fillcolor="#ed1065" stroked="f">
              <v:path arrowok="t"/>
            </v:shape>
            <v:shape id="docshape689" o:spid="_x0000_s3118" type="#_x0000_t202" style="position:absolute;left:8260;top:472;width:1100;height:1092" filled="f" stroked="f">
              <v:textbox style="mso-next-textbox:#docshape689" inset="0,0,0,0">
                <w:txbxContent>
                  <w:p w14:paraId="3EBE278C" w14:textId="77777777" w:rsidR="0055291C" w:rsidRDefault="0055291C">
                    <w:pPr>
                      <w:rPr>
                        <w:rFonts w:ascii="Arial"/>
                        <w:b/>
                        <w:sz w:val="20"/>
                      </w:rPr>
                    </w:pPr>
                  </w:p>
                  <w:p w14:paraId="5F905690" w14:textId="77777777" w:rsidR="00332A59" w:rsidRDefault="00F23C61">
                    <w:pPr>
                      <w:spacing w:before="121" w:line="254" w:lineRule="auto"/>
                      <w:ind w:left="398" w:right="261" w:hanging="143"/>
                      <w:rPr>
                        <w:rFonts w:ascii="Arial"/>
                        <w:b/>
                        <w:i/>
                        <w:color w:val="FFFFFF"/>
                        <w:spacing w:val="-47"/>
                        <w:sz w:val="18"/>
                      </w:rPr>
                    </w:pPr>
                    <w:r>
                      <w:rPr>
                        <w:rFonts w:ascii="Arial"/>
                        <w:b/>
                        <w:i/>
                        <w:color w:val="FFFFFF"/>
                        <w:spacing w:val="-1"/>
                        <w:sz w:val="18"/>
                      </w:rPr>
                      <w:t>widget</w:t>
                    </w:r>
                    <w:r>
                      <w:rPr>
                        <w:rFonts w:ascii="Arial"/>
                        <w:b/>
                        <w:i/>
                        <w:color w:val="FFFFFF"/>
                        <w:spacing w:val="-47"/>
                        <w:sz w:val="18"/>
                      </w:rPr>
                      <w:t xml:space="preserve"> </w:t>
                    </w:r>
                  </w:p>
                  <w:p w14:paraId="20000D6A" w14:textId="0FFFB35B" w:rsidR="0055291C" w:rsidRDefault="00332A59">
                    <w:pPr>
                      <w:spacing w:before="121" w:line="254" w:lineRule="auto"/>
                      <w:ind w:left="398" w:right="261" w:hanging="143"/>
                      <w:rPr>
                        <w:rFonts w:ascii="Arial"/>
                        <w:b/>
                        <w:i/>
                        <w:sz w:val="18"/>
                      </w:rPr>
                    </w:pPr>
                    <w:r>
                      <w:rPr>
                        <w:rFonts w:ascii="ＭＳ ゴシック" w:eastAsia="ＭＳ ゴシック" w:hAnsi="ＭＳ ゴシック" w:cs="ＭＳ ゴシック" w:hint="eastAsia"/>
                        <w:b/>
                        <w:i/>
                        <w:color w:val="FFFFFF"/>
                        <w:sz w:val="18"/>
                        <w:lang w:eastAsia="ja-JP"/>
                      </w:rPr>
                      <w:t>使用</w:t>
                    </w:r>
                  </w:p>
                </w:txbxContent>
              </v:textbox>
            </v:shape>
            <w10:wrap type="topAndBottom" anchorx="page"/>
          </v:group>
        </w:pict>
      </w:r>
      <w:r>
        <w:pict w14:anchorId="137BF4E8">
          <v:shape id="docshape690" o:spid="_x0000_s3116" style="position:absolute;margin-left:473.5pt;margin-top:44.1pt;width:21.6pt;height:15.05pt;z-index:-251493888;mso-wrap-distance-left:0;mso-wrap-distance-right:0;mso-position-horizontal-relative:page" coordorigin="9470,882" coordsize="432,301" path="m9701,882r-15,2l9676,896r-4,20l9672,961r-191,1l9470,973r,119l9481,1103r14,1l9673,1103r,46l9677,1169r10,12l9703,1183r19,-8l9881,1070r15,-15l9902,1037r-5,-17l9882,1004,9720,891r-19,-9xe" fillcolor="#85878a" stroked="f">
            <v:path arrowok="t"/>
            <w10:wrap type="topAndBottom" anchorx="page"/>
          </v:shape>
        </w:pict>
      </w:r>
      <w:r>
        <w:pict w14:anchorId="156F1205">
          <v:group id="docshapegroup691" o:spid="_x0000_s3113" style="position:absolute;margin-left:500.3pt;margin-top:23.6pt;width:55pt;height:54.6pt;z-index:-251492864;mso-wrap-distance-left:0;mso-wrap-distance-right:0;mso-position-horizontal-relative:page" coordorigin="10006,472" coordsize="1100,1092">
            <v:shape id="docshape692" o:spid="_x0000_s3115" style="position:absolute;left:10006;top:472;width:1100;height:1092" coordorigin="10006,472" coordsize="1100,1092" path="m10936,472r-760,l10078,475r-50,18l10009,544r-3,98l10006,1393r3,99l10028,1542r50,19l10176,1563r760,l11034,1561r51,-19l11103,1492r3,-99l11106,642r-3,-98l11085,493r-51,-18l10936,472xe" fillcolor="#f47836" stroked="f">
              <v:path arrowok="t"/>
            </v:shape>
            <v:shape id="docshape693" o:spid="_x0000_s3114" type="#_x0000_t202" style="position:absolute;left:10006;top:472;width:1100;height:1092" filled="f" stroked="f">
              <v:textbox style="mso-next-textbox:#docshape693" inset="0,0,0,0">
                <w:txbxContent>
                  <w:p w14:paraId="0F7E2969" w14:textId="77777777" w:rsidR="0055291C" w:rsidRDefault="0055291C">
                    <w:pPr>
                      <w:rPr>
                        <w:rFonts w:ascii="Arial"/>
                        <w:b/>
                        <w:sz w:val="20"/>
                      </w:rPr>
                    </w:pPr>
                  </w:p>
                  <w:p w14:paraId="59DEAA9B" w14:textId="20048D3B" w:rsidR="00332A59" w:rsidRDefault="00332A59">
                    <w:pPr>
                      <w:spacing w:before="121" w:line="254" w:lineRule="auto"/>
                      <w:ind w:left="195" w:right="199" w:firstLine="60"/>
                      <w:rPr>
                        <w:rFonts w:ascii="Arial"/>
                        <w:b/>
                        <w:i/>
                        <w:color w:val="FFFFFF"/>
                        <w:sz w:val="18"/>
                      </w:rPr>
                    </w:pPr>
                    <w:r>
                      <w:rPr>
                        <w:rFonts w:ascii="Arial"/>
                        <w:b/>
                        <w:i/>
                        <w:color w:val="FFFFFF"/>
                        <w:sz w:val="18"/>
                      </w:rPr>
                      <w:t>W</w:t>
                    </w:r>
                    <w:r w:rsidR="00F23C61">
                      <w:rPr>
                        <w:rFonts w:ascii="Arial"/>
                        <w:b/>
                        <w:i/>
                        <w:color w:val="FFFFFF"/>
                        <w:sz w:val="18"/>
                      </w:rPr>
                      <w:t>idget</w:t>
                    </w:r>
                  </w:p>
                  <w:p w14:paraId="76076733" w14:textId="3F55CE78" w:rsidR="0055291C" w:rsidRDefault="00F23C61">
                    <w:pPr>
                      <w:spacing w:before="121" w:line="254" w:lineRule="auto"/>
                      <w:ind w:left="195" w:right="199" w:firstLine="60"/>
                      <w:rPr>
                        <w:rFonts w:ascii="Arial"/>
                        <w:b/>
                        <w:i/>
                        <w:sz w:val="18"/>
                      </w:rPr>
                    </w:pPr>
                    <w:r>
                      <w:rPr>
                        <w:rFonts w:ascii="Arial"/>
                        <w:b/>
                        <w:i/>
                        <w:color w:val="FFFFFF"/>
                        <w:spacing w:val="1"/>
                        <w:sz w:val="18"/>
                      </w:rPr>
                      <w:t xml:space="preserve"> </w:t>
                    </w:r>
                    <w:r w:rsidR="00332A59">
                      <w:rPr>
                        <w:rFonts w:ascii="ＭＳ ゴシック" w:eastAsia="ＭＳ ゴシック" w:hAnsi="ＭＳ ゴシック" w:cs="ＭＳ ゴシック" w:hint="eastAsia"/>
                        <w:b/>
                        <w:i/>
                        <w:color w:val="FFFFFF"/>
                        <w:spacing w:val="-1"/>
                        <w:w w:val="95"/>
                        <w:sz w:val="18"/>
                        <w:lang w:eastAsia="ja-JP"/>
                      </w:rPr>
                      <w:t>廃棄</w:t>
                    </w:r>
                  </w:p>
                </w:txbxContent>
              </v:textbox>
            </v:shape>
            <w10:wrap type="topAndBottom" anchorx="page"/>
          </v:group>
        </w:pict>
      </w:r>
    </w:p>
    <w:p w14:paraId="6E9F2CFA" w14:textId="77777777" w:rsidR="0055291C" w:rsidRDefault="0055291C">
      <w:pPr>
        <w:rPr>
          <w:rFonts w:ascii="Arial"/>
          <w:sz w:val="29"/>
          <w:lang w:eastAsia="ja-JP"/>
        </w:rPr>
        <w:sectPr w:rsidR="0055291C">
          <w:type w:val="continuous"/>
          <w:pgSz w:w="12240" w:h="15840"/>
          <w:pgMar w:top="740" w:right="0" w:bottom="280" w:left="0" w:header="0" w:footer="859" w:gutter="0"/>
          <w:cols w:space="720"/>
        </w:sectPr>
      </w:pPr>
    </w:p>
    <w:p w14:paraId="6B8D671B" w14:textId="77777777" w:rsidR="0055291C" w:rsidRDefault="0055291C">
      <w:pPr>
        <w:pStyle w:val="a3"/>
        <w:rPr>
          <w:rFonts w:ascii="Arial"/>
          <w:b/>
          <w:sz w:val="20"/>
          <w:lang w:eastAsia="ja-JP"/>
        </w:rPr>
      </w:pPr>
    </w:p>
    <w:p w14:paraId="2AB9736A" w14:textId="77777777" w:rsidR="0055291C" w:rsidRDefault="0055291C">
      <w:pPr>
        <w:pStyle w:val="a3"/>
        <w:rPr>
          <w:rFonts w:ascii="Arial"/>
          <w:b/>
          <w:sz w:val="20"/>
          <w:lang w:eastAsia="ja-JP"/>
        </w:rPr>
      </w:pPr>
    </w:p>
    <w:p w14:paraId="1C3746D2" w14:textId="77777777" w:rsidR="0055291C" w:rsidRPr="004A4816" w:rsidRDefault="0055291C">
      <w:pPr>
        <w:rPr>
          <w:rFonts w:ascii="Arial" w:eastAsiaTheme="minorEastAsia"/>
          <w:lang w:eastAsia="ja-JP"/>
        </w:rPr>
        <w:sectPr w:rsidR="0055291C" w:rsidRPr="004A4816">
          <w:headerReference w:type="even" r:id="rId153"/>
          <w:footerReference w:type="even" r:id="rId154"/>
          <w:footerReference w:type="default" r:id="rId155"/>
          <w:pgSz w:w="12240" w:h="15840"/>
          <w:pgMar w:top="620" w:right="0" w:bottom="1040" w:left="0" w:header="0" w:footer="859" w:gutter="0"/>
          <w:pgNumType w:start="40"/>
          <w:cols w:space="720"/>
        </w:sectPr>
      </w:pPr>
    </w:p>
    <w:p w14:paraId="0FA49BB7" w14:textId="4F5B4721" w:rsidR="0055291C" w:rsidRDefault="009065F5">
      <w:pPr>
        <w:pStyle w:val="a3"/>
        <w:spacing w:before="112" w:line="312" w:lineRule="auto"/>
        <w:ind w:left="1133" w:right="-14"/>
        <w:rPr>
          <w:lang w:eastAsia="ja-JP"/>
        </w:rPr>
      </w:pPr>
      <w:r w:rsidRPr="009065F5">
        <w:rPr>
          <w:rFonts w:ascii="ＭＳ ゴシック" w:eastAsia="ＭＳ ゴシック" w:hAnsi="ＭＳ ゴシック" w:cs="ＭＳ ゴシック" w:hint="eastAsia"/>
          <w:color w:val="545456"/>
          <w:lang w:eastAsia="ja-JP"/>
        </w:rPr>
        <w:t>使用段階における起因プロセスの種類と期間は、製品の機能と耐用年数に大きく依存します。機能を果たすためにエネルギーを消費する製品については、使用段階での帰属する過程とそれに対応する排出量が、ライフサイクル全体における影響の最大の割合を占める可能性があります。帰属するプロセスの例としては、以下が挙げられます。</w:t>
      </w:r>
    </w:p>
    <w:p w14:paraId="79E13B6E" w14:textId="3EF5956E" w:rsidR="00633969" w:rsidRPr="00633969" w:rsidRDefault="00633969">
      <w:pPr>
        <w:pStyle w:val="a5"/>
        <w:numPr>
          <w:ilvl w:val="1"/>
          <w:numId w:val="69"/>
        </w:numPr>
        <w:tabs>
          <w:tab w:val="left" w:pos="1394"/>
        </w:tabs>
        <w:spacing w:before="50"/>
        <w:rPr>
          <w:color w:val="545456"/>
          <w:sz w:val="19"/>
          <w:lang w:eastAsia="ja-JP"/>
        </w:rPr>
      </w:pPr>
      <w:r w:rsidRPr="00633969">
        <w:rPr>
          <w:rFonts w:ascii="ＭＳ ゴシック" w:eastAsia="ＭＳ ゴシック" w:hAnsi="ＭＳ ゴシック" w:cs="ＭＳ ゴシック" w:hint="eastAsia"/>
          <w:color w:val="545456"/>
          <w:sz w:val="19"/>
          <w:lang w:eastAsia="ja-JP"/>
        </w:rPr>
        <w:t>使用場所までの交通手段（例：消費者が車で自宅まで帰るなど）</w:t>
      </w:r>
    </w:p>
    <w:p w14:paraId="50B1D97B" w14:textId="3595670E" w:rsidR="00633969" w:rsidRPr="00633969" w:rsidRDefault="00633969">
      <w:pPr>
        <w:pStyle w:val="a5"/>
        <w:numPr>
          <w:ilvl w:val="1"/>
          <w:numId w:val="69"/>
        </w:numPr>
        <w:tabs>
          <w:tab w:val="left" w:pos="1394"/>
        </w:tabs>
        <w:spacing w:before="50"/>
        <w:rPr>
          <w:color w:val="545456"/>
          <w:sz w:val="19"/>
        </w:rPr>
      </w:pPr>
      <w:proofErr w:type="spellStart"/>
      <w:r w:rsidRPr="00633969">
        <w:rPr>
          <w:rFonts w:ascii="ＭＳ ゴシック" w:eastAsia="ＭＳ ゴシック" w:hAnsi="ＭＳ ゴシック" w:cs="ＭＳ ゴシック" w:hint="eastAsia"/>
          <w:color w:val="545456"/>
          <w:sz w:val="19"/>
        </w:rPr>
        <w:t>使用場所での冷蔵</w:t>
      </w:r>
      <w:proofErr w:type="spellEnd"/>
    </w:p>
    <w:p w14:paraId="51F11A86" w14:textId="5DF4B503" w:rsidR="00633969" w:rsidRPr="00633969" w:rsidRDefault="00633969">
      <w:pPr>
        <w:pStyle w:val="a5"/>
        <w:numPr>
          <w:ilvl w:val="1"/>
          <w:numId w:val="69"/>
        </w:numPr>
        <w:tabs>
          <w:tab w:val="left" w:pos="1394"/>
        </w:tabs>
        <w:spacing w:before="50"/>
        <w:rPr>
          <w:color w:val="545456"/>
          <w:sz w:val="19"/>
          <w:lang w:eastAsia="ja-JP"/>
        </w:rPr>
      </w:pPr>
      <w:r w:rsidRPr="00633969">
        <w:rPr>
          <w:rFonts w:ascii="ＭＳ ゴシック" w:eastAsia="ＭＳ ゴシック" w:hAnsi="ＭＳ ゴシック" w:cs="ＭＳ ゴシック" w:hint="eastAsia"/>
          <w:color w:val="545456"/>
          <w:sz w:val="19"/>
          <w:lang w:eastAsia="ja-JP"/>
        </w:rPr>
        <w:t>使用準備（電子レンジの加熱など）</w:t>
      </w:r>
    </w:p>
    <w:p w14:paraId="29937487" w14:textId="64BC565A" w:rsidR="00633969" w:rsidRPr="00633969" w:rsidRDefault="00633969">
      <w:pPr>
        <w:pStyle w:val="a5"/>
        <w:numPr>
          <w:ilvl w:val="1"/>
          <w:numId w:val="69"/>
        </w:numPr>
        <w:tabs>
          <w:tab w:val="left" w:pos="1394"/>
        </w:tabs>
        <w:spacing w:before="50"/>
        <w:rPr>
          <w:color w:val="545456"/>
          <w:sz w:val="19"/>
          <w:lang w:eastAsia="ja-JP"/>
        </w:rPr>
      </w:pPr>
      <w:r w:rsidRPr="00633969">
        <w:rPr>
          <w:rFonts w:ascii="ＭＳ ゴシック" w:eastAsia="ＭＳ ゴシック" w:hAnsi="ＭＳ ゴシック" w:cs="ＭＳ ゴシック" w:hint="eastAsia"/>
          <w:color w:val="545456"/>
          <w:sz w:val="19"/>
          <w:lang w:eastAsia="ja-JP"/>
        </w:rPr>
        <w:t>使用（消費電力など）</w:t>
      </w:r>
    </w:p>
    <w:p w14:paraId="5B450B19" w14:textId="27D1F443" w:rsidR="0055291C" w:rsidRPr="00633969" w:rsidRDefault="00633969">
      <w:pPr>
        <w:pStyle w:val="a5"/>
        <w:numPr>
          <w:ilvl w:val="1"/>
          <w:numId w:val="69"/>
        </w:numPr>
        <w:tabs>
          <w:tab w:val="left" w:pos="1394"/>
        </w:tabs>
        <w:spacing w:before="50"/>
        <w:rPr>
          <w:rFonts w:ascii="Arial" w:hAnsi="Arial"/>
          <w:b/>
          <w:color w:val="00ACA1"/>
          <w:sz w:val="20"/>
          <w:lang w:eastAsia="ja-JP"/>
        </w:rPr>
      </w:pPr>
      <w:r w:rsidRPr="00633969">
        <w:rPr>
          <w:rFonts w:ascii="ＭＳ ゴシック" w:eastAsia="ＭＳ ゴシック" w:hAnsi="ＭＳ ゴシック" w:cs="ＭＳ ゴシック" w:hint="eastAsia"/>
          <w:color w:val="545456"/>
          <w:sz w:val="19"/>
          <w:lang w:eastAsia="ja-JP"/>
        </w:rPr>
        <w:t>使用時間中に発生する修理・メンテナンス</w:t>
      </w:r>
      <w:r>
        <w:fldChar w:fldCharType="begin"/>
      </w:r>
      <w:r>
        <w:rPr>
          <w:lang w:eastAsia="ja-JP"/>
        </w:rPr>
        <w:instrText xml:space="preserve"> HYPERLINK \l "_Endnotes_3" </w:instrText>
      </w:r>
      <w:r>
        <w:fldChar w:fldCharType="separate"/>
      </w:r>
      <w:r w:rsidR="00217FB1">
        <w:rPr>
          <w:rStyle w:val="ac"/>
          <w:rFonts w:asciiTheme="minorEastAsia" w:eastAsiaTheme="minorEastAsia" w:hAnsiTheme="minorEastAsia" w:hint="eastAsia"/>
          <w:position w:val="6"/>
          <w:sz w:val="11"/>
          <w:lang w:eastAsia="ja-JP"/>
        </w:rPr>
        <w:t>３</w:t>
      </w:r>
      <w:r>
        <w:rPr>
          <w:rStyle w:val="ac"/>
          <w:rFonts w:asciiTheme="minorEastAsia" w:eastAsiaTheme="minorEastAsia" w:hAnsiTheme="minorEastAsia"/>
          <w:position w:val="6"/>
          <w:sz w:val="11"/>
          <w:lang w:eastAsia="ja-JP"/>
        </w:rPr>
        <w:fldChar w:fldCharType="end"/>
      </w:r>
    </w:p>
    <w:p w14:paraId="691B7CF7" w14:textId="77777777" w:rsidR="00633969" w:rsidRDefault="00633969" w:rsidP="00633969">
      <w:pPr>
        <w:pStyle w:val="a5"/>
        <w:tabs>
          <w:tab w:val="left" w:pos="1394"/>
        </w:tabs>
        <w:spacing w:before="50"/>
        <w:ind w:left="1256" w:firstLine="0"/>
        <w:rPr>
          <w:rFonts w:ascii="Arial" w:hAnsi="Arial"/>
          <w:b/>
          <w:color w:val="00ACA1"/>
          <w:sz w:val="20"/>
          <w:lang w:eastAsia="ja-JP"/>
        </w:rPr>
      </w:pPr>
    </w:p>
    <w:p w14:paraId="02C7B047" w14:textId="77777777" w:rsidR="0055291C" w:rsidRDefault="0055291C">
      <w:pPr>
        <w:pStyle w:val="a3"/>
        <w:spacing w:before="5"/>
        <w:rPr>
          <w:sz w:val="18"/>
          <w:lang w:eastAsia="ja-JP"/>
        </w:rPr>
      </w:pPr>
    </w:p>
    <w:p w14:paraId="41C24060" w14:textId="46BD2385" w:rsidR="0055291C" w:rsidRDefault="00E376DB">
      <w:pPr>
        <w:spacing w:before="1"/>
        <w:ind w:left="1133"/>
        <w:rPr>
          <w:rFonts w:ascii="Arial"/>
          <w:b/>
          <w:i/>
          <w:sz w:val="18"/>
          <w:lang w:eastAsia="ja-JP"/>
        </w:rPr>
      </w:pPr>
      <w:r>
        <w:rPr>
          <w:rFonts w:ascii="ＭＳ ゴシック" w:eastAsia="ＭＳ ゴシック" w:hAnsi="ＭＳ ゴシック" w:cs="ＭＳ ゴシック" w:hint="eastAsia"/>
          <w:b/>
          <w:i/>
          <w:color w:val="7F3F98"/>
          <w:w w:val="105"/>
          <w:sz w:val="18"/>
          <w:lang w:eastAsia="ja-JP"/>
        </w:rPr>
        <w:t>廃棄</w:t>
      </w:r>
    </w:p>
    <w:p w14:paraId="4A297C1C" w14:textId="11615DA4" w:rsidR="0055291C" w:rsidRDefault="00E376DB" w:rsidP="00E376DB">
      <w:pPr>
        <w:pStyle w:val="a3"/>
        <w:spacing w:before="2" w:line="312" w:lineRule="auto"/>
        <w:ind w:left="1133" w:right="281" w:firstLineChars="100" w:firstLine="190"/>
        <w:rPr>
          <w:lang w:eastAsia="ja-JP"/>
        </w:rPr>
      </w:pPr>
      <w:r w:rsidRPr="00E376DB">
        <w:rPr>
          <w:rFonts w:ascii="ＭＳ ゴシック" w:eastAsia="ＭＳ ゴシック" w:hAnsi="ＭＳ ゴシック" w:cs="ＭＳ ゴシック" w:hint="eastAsia"/>
          <w:color w:val="545456"/>
          <w:lang w:eastAsia="ja-JP"/>
        </w:rPr>
        <w:t>使用済み製品が消費者によって廃棄された時点から始まり、製品が自然に還る（例：焼却）か、別の製品のライフサイクルに割り当てられる（例：リサイクル）ことで終了となります。ライフサイクル終了段階での主な帰属プロセスは製品の処理に使用される方法（埋め立て、焼却など）であるため、企業はこの段階をマッピングするために、製品の運命を知っているか、想定する必要があります。帰属プロセスの例としては、以下のようなものがあります。</w:t>
      </w:r>
      <w:r w:rsidR="00F23C61">
        <w:rPr>
          <w:color w:val="545456"/>
          <w:lang w:eastAsia="ja-JP"/>
        </w:rPr>
        <w:t>:</w:t>
      </w:r>
    </w:p>
    <w:p w14:paraId="3A073B84" w14:textId="77777777" w:rsidR="00E376DB" w:rsidRPr="00E376DB" w:rsidRDefault="00E376DB">
      <w:pPr>
        <w:pStyle w:val="a5"/>
        <w:numPr>
          <w:ilvl w:val="1"/>
          <w:numId w:val="57"/>
        </w:numPr>
        <w:tabs>
          <w:tab w:val="left" w:pos="567"/>
        </w:tabs>
        <w:spacing w:before="50"/>
        <w:ind w:left="1418" w:hanging="567"/>
        <w:rPr>
          <w:color w:val="545456"/>
          <w:sz w:val="19"/>
          <w:lang w:eastAsia="ja-JP"/>
        </w:rPr>
      </w:pPr>
      <w:r w:rsidRPr="00E376DB">
        <w:rPr>
          <w:rFonts w:ascii="ＭＳ ゴシック" w:eastAsia="ＭＳ ゴシック" w:hAnsi="ＭＳ ゴシック" w:cs="ＭＳ ゴシック" w:hint="eastAsia"/>
          <w:color w:val="545456"/>
          <w:sz w:val="19"/>
          <w:lang w:eastAsia="ja-JP"/>
        </w:rPr>
        <w:t>使用済み製品・パッケージの回収・輸送</w:t>
      </w:r>
    </w:p>
    <w:p w14:paraId="4282FE49" w14:textId="77777777" w:rsidR="00E376DB" w:rsidRPr="00E376DB" w:rsidRDefault="00E376DB">
      <w:pPr>
        <w:pStyle w:val="a5"/>
        <w:numPr>
          <w:ilvl w:val="1"/>
          <w:numId w:val="57"/>
        </w:numPr>
        <w:tabs>
          <w:tab w:val="left" w:pos="567"/>
        </w:tabs>
        <w:spacing w:before="50"/>
        <w:ind w:left="1418" w:hanging="567"/>
        <w:rPr>
          <w:color w:val="545456"/>
          <w:sz w:val="19"/>
        </w:rPr>
      </w:pPr>
      <w:proofErr w:type="spellStart"/>
      <w:r w:rsidRPr="00E376DB">
        <w:rPr>
          <w:rFonts w:ascii="ＭＳ ゴシック" w:eastAsia="ＭＳ ゴシック" w:hAnsi="ＭＳ ゴシック" w:cs="ＭＳ ゴシック" w:hint="eastAsia"/>
          <w:color w:val="545456"/>
          <w:sz w:val="19"/>
        </w:rPr>
        <w:t>廃棄物管理</w:t>
      </w:r>
      <w:proofErr w:type="spellEnd"/>
    </w:p>
    <w:p w14:paraId="36620D5D" w14:textId="77777777" w:rsidR="00E376DB" w:rsidRPr="00E376DB" w:rsidRDefault="00E376DB">
      <w:pPr>
        <w:pStyle w:val="a5"/>
        <w:numPr>
          <w:ilvl w:val="1"/>
          <w:numId w:val="57"/>
        </w:numPr>
        <w:tabs>
          <w:tab w:val="left" w:pos="567"/>
        </w:tabs>
        <w:spacing w:before="50"/>
        <w:ind w:left="1418" w:hanging="567"/>
        <w:rPr>
          <w:color w:val="545456"/>
          <w:sz w:val="19"/>
        </w:rPr>
      </w:pPr>
      <w:proofErr w:type="spellStart"/>
      <w:r w:rsidRPr="00E376DB">
        <w:rPr>
          <w:rFonts w:ascii="ＭＳ ゴシック" w:eastAsia="ＭＳ ゴシック" w:hAnsi="ＭＳ ゴシック" w:cs="ＭＳ ゴシック" w:hint="eastAsia"/>
          <w:color w:val="545456"/>
          <w:sz w:val="19"/>
        </w:rPr>
        <w:t>部品解体</w:t>
      </w:r>
      <w:proofErr w:type="spellEnd"/>
    </w:p>
    <w:p w14:paraId="6AA77044" w14:textId="77777777" w:rsidR="00E376DB" w:rsidRPr="00E376DB" w:rsidRDefault="00E376DB">
      <w:pPr>
        <w:pStyle w:val="a5"/>
        <w:numPr>
          <w:ilvl w:val="1"/>
          <w:numId w:val="57"/>
        </w:numPr>
        <w:tabs>
          <w:tab w:val="left" w:pos="567"/>
        </w:tabs>
        <w:spacing w:before="50"/>
        <w:ind w:left="1418" w:hanging="567"/>
        <w:rPr>
          <w:color w:val="545456"/>
          <w:sz w:val="19"/>
        </w:rPr>
      </w:pPr>
      <w:proofErr w:type="spellStart"/>
      <w:r w:rsidRPr="00E376DB">
        <w:rPr>
          <w:rFonts w:ascii="ＭＳ ゴシック" w:eastAsia="ＭＳ ゴシック" w:hAnsi="ＭＳ ゴシック" w:cs="ＭＳ ゴシック" w:hint="eastAsia"/>
          <w:color w:val="545456"/>
          <w:sz w:val="19"/>
        </w:rPr>
        <w:t>シュレッダーと分別</w:t>
      </w:r>
      <w:proofErr w:type="spellEnd"/>
    </w:p>
    <w:p w14:paraId="348AC57C" w14:textId="77777777" w:rsidR="00E376DB" w:rsidRPr="00E376DB" w:rsidRDefault="00E376DB">
      <w:pPr>
        <w:pStyle w:val="a5"/>
        <w:numPr>
          <w:ilvl w:val="1"/>
          <w:numId w:val="57"/>
        </w:numPr>
        <w:tabs>
          <w:tab w:val="left" w:pos="567"/>
        </w:tabs>
        <w:spacing w:before="50"/>
        <w:ind w:left="993" w:hanging="426"/>
        <w:rPr>
          <w:color w:val="545456"/>
          <w:sz w:val="19"/>
          <w:lang w:eastAsia="ja-JP"/>
        </w:rPr>
      </w:pPr>
      <w:r w:rsidRPr="00E376DB">
        <w:rPr>
          <w:rFonts w:ascii="ＭＳ ゴシック" w:eastAsia="ＭＳ ゴシック" w:hAnsi="ＭＳ ゴシック" w:cs="ＭＳ ゴシック" w:hint="eastAsia"/>
          <w:color w:val="545456"/>
          <w:sz w:val="19"/>
          <w:lang w:eastAsia="ja-JP"/>
        </w:rPr>
        <w:t>焼却および焼却灰の分別</w:t>
      </w:r>
    </w:p>
    <w:p w14:paraId="2FD8A8D7" w14:textId="4CD2EB8D" w:rsidR="0055291C" w:rsidRDefault="00E376DB">
      <w:pPr>
        <w:pStyle w:val="a5"/>
        <w:numPr>
          <w:ilvl w:val="1"/>
          <w:numId w:val="57"/>
        </w:numPr>
        <w:tabs>
          <w:tab w:val="left" w:pos="567"/>
        </w:tabs>
        <w:spacing w:before="50"/>
        <w:ind w:left="993" w:hanging="426"/>
        <w:rPr>
          <w:sz w:val="19"/>
        </w:rPr>
      </w:pPr>
      <w:proofErr w:type="spellStart"/>
      <w:r w:rsidRPr="00E376DB">
        <w:rPr>
          <w:rFonts w:ascii="ＭＳ ゴシック" w:eastAsia="ＭＳ ゴシック" w:hAnsi="ＭＳ ゴシック" w:cs="ＭＳ ゴシック" w:hint="eastAsia"/>
          <w:color w:val="545456"/>
          <w:sz w:val="19"/>
        </w:rPr>
        <w:t>埋立・維持管理</w:t>
      </w:r>
      <w:proofErr w:type="spellEnd"/>
    </w:p>
    <w:p w14:paraId="25D1FD06" w14:textId="77777777" w:rsidR="0055291C" w:rsidRDefault="0055291C">
      <w:pPr>
        <w:pStyle w:val="a3"/>
        <w:spacing w:before="10"/>
        <w:rPr>
          <w:sz w:val="17"/>
        </w:rPr>
      </w:pPr>
    </w:p>
    <w:p w14:paraId="03E49C82" w14:textId="3332DC26" w:rsidR="0055291C" w:rsidRDefault="00F9351B">
      <w:pPr>
        <w:pStyle w:val="a3"/>
        <w:spacing w:line="312" w:lineRule="auto"/>
        <w:ind w:left="306" w:right="1302"/>
        <w:rPr>
          <w:lang w:eastAsia="ja-JP"/>
        </w:rPr>
      </w:pPr>
      <w:r w:rsidRPr="00F9351B">
        <w:rPr>
          <w:rFonts w:ascii="ＭＳ ゴシック" w:eastAsia="ＭＳ ゴシック" w:hAnsi="ＭＳ ゴシック" w:cs="ＭＳ ゴシック" w:hint="eastAsia"/>
          <w:color w:val="545456"/>
          <w:lang w:eastAsia="ja-JP"/>
        </w:rPr>
        <w:t>使用済み製品のリサイクルに関する要求事項およびガイダンスは、第</w:t>
      </w:r>
      <w:r w:rsidRPr="00F9351B">
        <w:rPr>
          <w:color w:val="545456"/>
          <w:lang w:eastAsia="ja-JP"/>
        </w:rPr>
        <w:t>9</w:t>
      </w:r>
      <w:r w:rsidRPr="00F9351B">
        <w:rPr>
          <w:rFonts w:ascii="ＭＳ ゴシック" w:eastAsia="ＭＳ ゴシック" w:hAnsi="ＭＳ ゴシック" w:cs="ＭＳ ゴシック" w:hint="eastAsia"/>
          <w:color w:val="545456"/>
          <w:lang w:eastAsia="ja-JP"/>
        </w:rPr>
        <w:t>章に掲載されています。</w:t>
      </w:r>
    </w:p>
    <w:p w14:paraId="7454EC15" w14:textId="31312E46" w:rsidR="0055291C" w:rsidRDefault="004A4816" w:rsidP="004A4816">
      <w:pPr>
        <w:pStyle w:val="a3"/>
        <w:spacing w:before="141" w:line="312" w:lineRule="auto"/>
        <w:ind w:left="306" w:right="1108" w:firstLineChars="100" w:firstLine="190"/>
        <w:rPr>
          <w:lang w:eastAsia="ja-JP"/>
        </w:rPr>
      </w:pPr>
      <w:r w:rsidRPr="004A4816">
        <w:rPr>
          <w:rFonts w:ascii="ＭＳ ゴシック" w:eastAsia="ＭＳ ゴシック" w:hAnsi="ＭＳ ゴシック" w:cs="ＭＳ ゴシック" w:hint="eastAsia"/>
          <w:color w:val="545456"/>
          <w:lang w:eastAsia="ja-JP"/>
        </w:rPr>
        <w:t>サービスの場合、生産段階と利用段階を合わせてサービス提供段階とすることがあります。この段階には、サービスを完了するために必要なすべての作業が含まれます。例えば、家電製品の修理の場合、家までの運転、家電製品の評価、部品の注文または引き取り、最終的な修理を完了するための帰着などのプロセスが含まれる場合があります。すべての物質の流れ（例えば、修理に必要な部品）、エネルギーの流れ（例えば、技術者や部品を運ぶための燃料）、および物質と廃棄物のライフサイクル終了時の対価が、サービスのライフサイクルに沿った帰属プロセスを構成しています。</w:t>
      </w:r>
    </w:p>
    <w:p w14:paraId="78F1DF0E" w14:textId="0047F701" w:rsidR="0055291C" w:rsidRDefault="004A4816" w:rsidP="004A4816">
      <w:pPr>
        <w:pStyle w:val="7"/>
        <w:tabs>
          <w:tab w:val="left" w:pos="1026"/>
          <w:tab w:val="left" w:pos="1027"/>
        </w:tabs>
        <w:spacing w:before="133"/>
        <w:ind w:leftChars="64" w:left="141" w:firstLine="0"/>
        <w:rPr>
          <w:lang w:eastAsia="ja-JP"/>
        </w:rPr>
      </w:pPr>
      <w:r>
        <w:rPr>
          <w:rFonts w:ascii="ＭＳ 明朝" w:eastAsia="ＭＳ 明朝" w:hAnsi="ＭＳ 明朝" w:cs="ＭＳ 明朝" w:hint="eastAsia"/>
          <w:color w:val="00B8B1"/>
          <w:w w:val="95"/>
          <w:lang w:eastAsia="ja-JP"/>
        </w:rPr>
        <w:t>7.3.2　工程表の作成</w:t>
      </w:r>
    </w:p>
    <w:p w14:paraId="72071EFC" w14:textId="2E8B89C9" w:rsidR="0055291C" w:rsidRDefault="00AA6D1E" w:rsidP="00AA6D1E">
      <w:pPr>
        <w:pStyle w:val="a3"/>
        <w:spacing w:before="62" w:line="312" w:lineRule="auto"/>
        <w:ind w:left="306" w:right="1347" w:firstLineChars="100" w:firstLine="190"/>
        <w:rPr>
          <w:lang w:eastAsia="ja-JP"/>
        </w:rPr>
      </w:pPr>
      <w:r w:rsidRPr="00AA6D1E">
        <w:rPr>
          <w:rFonts w:ascii="ＭＳ ゴシック" w:eastAsia="ＭＳ ゴシック" w:hAnsi="ＭＳ ゴシック" w:cs="ＭＳ ゴシック" w:hint="eastAsia"/>
          <w:color w:val="545456"/>
          <w:lang w:eastAsia="ja-JP"/>
        </w:rPr>
        <w:t>工程表の作成は、</w:t>
      </w:r>
      <w:r w:rsidR="00AD40B4">
        <w:rPr>
          <w:rFonts w:ascii="ＭＳ ゴシック" w:eastAsia="ＭＳ ゴシック" w:hAnsi="ＭＳ ゴシック" w:cs="ＭＳ ゴシック" w:hint="eastAsia"/>
          <w:color w:val="545456"/>
          <w:lang w:eastAsia="ja-JP"/>
        </w:rPr>
        <w:t>報告書</w:t>
      </w:r>
      <w:r w:rsidRPr="00AA6D1E">
        <w:rPr>
          <w:rFonts w:ascii="ＭＳ ゴシック" w:eastAsia="ＭＳ ゴシック" w:hAnsi="ＭＳ ゴシック" w:cs="ＭＳ ゴシック" w:hint="eastAsia"/>
          <w:color w:val="545456"/>
          <w:lang w:eastAsia="ja-JP"/>
        </w:rPr>
        <w:t>を完成させる上で重要な要件です。なぜなら、工程表で特定された工程と流れが、データの収集と計算の基礎となるからです。企業は、以下のステップを使用することができます。</w:t>
      </w:r>
    </w:p>
    <w:p w14:paraId="1D09D6F6" w14:textId="77777777" w:rsidR="00AA6D1E" w:rsidRPr="00AA6D1E" w:rsidRDefault="00AA6D1E">
      <w:pPr>
        <w:pStyle w:val="a5"/>
        <w:numPr>
          <w:ilvl w:val="0"/>
          <w:numId w:val="48"/>
        </w:numPr>
        <w:tabs>
          <w:tab w:val="left" w:pos="567"/>
        </w:tabs>
        <w:spacing w:before="128" w:line="304" w:lineRule="auto"/>
        <w:ind w:right="1105"/>
        <w:jc w:val="left"/>
        <w:rPr>
          <w:color w:val="545456"/>
          <w:spacing w:val="-1"/>
          <w:w w:val="105"/>
          <w:sz w:val="19"/>
          <w:lang w:eastAsia="ja-JP"/>
        </w:rPr>
      </w:pPr>
      <w:r w:rsidRPr="00AA6D1E">
        <w:rPr>
          <w:rFonts w:ascii="ＭＳ ゴシック" w:eastAsia="ＭＳ ゴシック" w:hAnsi="ＭＳ ゴシック" w:cs="ＭＳ ゴシック" w:hint="eastAsia"/>
          <w:color w:val="545456"/>
          <w:spacing w:val="-1"/>
          <w:w w:val="105"/>
          <w:sz w:val="19"/>
          <w:lang w:eastAsia="ja-JP"/>
        </w:rPr>
        <w:t>表の上部にある、材料の抽出から使用済みまで（生産から出荷までの報告書の場合は生産まで）のライフサイクルステージを定義します。</w:t>
      </w:r>
    </w:p>
    <w:p w14:paraId="2C6C28FD" w14:textId="1ED33A22" w:rsidR="0055291C" w:rsidRDefault="00AA6D1E">
      <w:pPr>
        <w:pStyle w:val="a5"/>
        <w:numPr>
          <w:ilvl w:val="0"/>
          <w:numId w:val="48"/>
        </w:numPr>
        <w:tabs>
          <w:tab w:val="left" w:pos="567"/>
        </w:tabs>
        <w:spacing w:before="128" w:line="304" w:lineRule="auto"/>
        <w:ind w:right="1295"/>
        <w:jc w:val="left"/>
        <w:rPr>
          <w:sz w:val="19"/>
          <w:lang w:eastAsia="ja-JP"/>
        </w:rPr>
      </w:pPr>
      <w:r w:rsidRPr="00AA6D1E">
        <w:rPr>
          <w:rFonts w:ascii="ＭＳ ゴシック" w:eastAsia="ＭＳ ゴシック" w:hAnsi="ＭＳ ゴシック" w:cs="ＭＳ ゴシック" w:hint="eastAsia"/>
          <w:color w:val="545456"/>
          <w:spacing w:val="-1"/>
          <w:w w:val="105"/>
          <w:sz w:val="19"/>
          <w:lang w:eastAsia="ja-JP"/>
        </w:rPr>
        <w:t>調査対象製品が完成し、報告する企業の門を出た</w:t>
      </w:r>
      <w:r>
        <w:rPr>
          <w:rFonts w:ascii="ＭＳ ゴシック" w:eastAsia="ＭＳ ゴシック" w:hAnsi="ＭＳ ゴシック" w:cs="ＭＳ ゴシック" w:hint="eastAsia"/>
          <w:color w:val="545456"/>
          <w:spacing w:val="-1"/>
          <w:w w:val="105"/>
          <w:sz w:val="19"/>
          <w:lang w:eastAsia="ja-JP"/>
        </w:rPr>
        <w:t>位置</w:t>
      </w:r>
      <w:r w:rsidRPr="00AA6D1E">
        <w:rPr>
          <w:rFonts w:ascii="ＭＳ ゴシック" w:eastAsia="ＭＳ ゴシック" w:hAnsi="ＭＳ ゴシック" w:cs="ＭＳ ゴシック" w:hint="eastAsia"/>
          <w:color w:val="545456"/>
          <w:spacing w:val="-1"/>
          <w:w w:val="105"/>
          <w:sz w:val="19"/>
          <w:lang w:eastAsia="ja-JP"/>
        </w:rPr>
        <w:t>を特定します。</w:t>
      </w:r>
    </w:p>
    <w:p w14:paraId="4C6D2A1B" w14:textId="77777777" w:rsidR="0055291C" w:rsidRDefault="0055291C">
      <w:pPr>
        <w:spacing w:line="304" w:lineRule="auto"/>
        <w:rPr>
          <w:sz w:val="19"/>
          <w:lang w:eastAsia="ja-JP"/>
        </w:rPr>
        <w:sectPr w:rsidR="0055291C">
          <w:type w:val="continuous"/>
          <w:pgSz w:w="12240" w:h="15840"/>
          <w:pgMar w:top="740" w:right="0" w:bottom="280" w:left="0" w:header="0" w:footer="859" w:gutter="0"/>
          <w:cols w:num="2" w:space="720" w:equalWidth="0">
            <w:col w:w="5943" w:space="40"/>
            <w:col w:w="6257"/>
          </w:cols>
        </w:sectPr>
      </w:pPr>
    </w:p>
    <w:p w14:paraId="12F5307E" w14:textId="77777777" w:rsidR="0055291C" w:rsidRDefault="0055291C">
      <w:pPr>
        <w:pStyle w:val="a3"/>
        <w:rPr>
          <w:sz w:val="20"/>
          <w:lang w:eastAsia="ja-JP"/>
        </w:rPr>
      </w:pPr>
    </w:p>
    <w:p w14:paraId="63520DB7" w14:textId="77777777" w:rsidR="0055291C" w:rsidRDefault="0055291C">
      <w:pPr>
        <w:pStyle w:val="a3"/>
        <w:spacing w:before="9"/>
        <w:rPr>
          <w:sz w:val="15"/>
          <w:lang w:eastAsia="ja-JP"/>
        </w:rPr>
      </w:pPr>
    </w:p>
    <w:p w14:paraId="5DE50B4E" w14:textId="77777777" w:rsidR="0055291C" w:rsidRDefault="00F23C61">
      <w:pPr>
        <w:pStyle w:val="a3"/>
        <w:rPr>
          <w:sz w:val="20"/>
        </w:rPr>
      </w:pPr>
      <w:r>
        <w:rPr>
          <w:noProof/>
          <w:sz w:val="20"/>
        </w:rPr>
        <w:drawing>
          <wp:inline distT="0" distB="0" distL="0" distR="0" wp14:anchorId="611303F6" wp14:editId="5CBFC235">
            <wp:extent cx="6947183" cy="2688336"/>
            <wp:effectExtent l="0" t="0" r="0" b="0"/>
            <wp:docPr id="1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70.png"/>
                    <pic:cNvPicPr/>
                  </pic:nvPicPr>
                  <pic:blipFill>
                    <a:blip r:embed="rId156" cstate="print"/>
                    <a:stretch>
                      <a:fillRect/>
                    </a:stretch>
                  </pic:blipFill>
                  <pic:spPr>
                    <a:xfrm>
                      <a:off x="0" y="0"/>
                      <a:ext cx="6947183" cy="2688336"/>
                    </a:xfrm>
                    <a:prstGeom prst="rect">
                      <a:avLst/>
                    </a:prstGeom>
                  </pic:spPr>
                </pic:pic>
              </a:graphicData>
            </a:graphic>
          </wp:inline>
        </w:drawing>
      </w:r>
    </w:p>
    <w:p w14:paraId="36EFA9C5" w14:textId="77777777" w:rsidR="0055291C" w:rsidRDefault="0055291C">
      <w:pPr>
        <w:rPr>
          <w:sz w:val="20"/>
        </w:rPr>
        <w:sectPr w:rsidR="0055291C">
          <w:type w:val="continuous"/>
          <w:pgSz w:w="12240" w:h="15840"/>
          <w:pgMar w:top="740" w:right="0" w:bottom="280" w:left="0" w:header="0" w:footer="859" w:gutter="0"/>
          <w:cols w:space="720"/>
        </w:sectPr>
      </w:pPr>
    </w:p>
    <w:p w14:paraId="2350BCC4" w14:textId="77777777" w:rsidR="0055291C" w:rsidRDefault="0055291C">
      <w:pPr>
        <w:pStyle w:val="a3"/>
        <w:rPr>
          <w:sz w:val="20"/>
        </w:rPr>
      </w:pPr>
    </w:p>
    <w:p w14:paraId="6B6668A4" w14:textId="77777777" w:rsidR="0055291C" w:rsidRDefault="0055291C">
      <w:pPr>
        <w:pStyle w:val="a3"/>
        <w:rPr>
          <w:sz w:val="20"/>
        </w:rPr>
      </w:pPr>
    </w:p>
    <w:p w14:paraId="52C959AE" w14:textId="77777777" w:rsidR="0055291C" w:rsidRDefault="0055291C">
      <w:pPr>
        <w:pStyle w:val="a3"/>
        <w:rPr>
          <w:sz w:val="20"/>
        </w:rPr>
      </w:pPr>
    </w:p>
    <w:p w14:paraId="11825D07" w14:textId="77777777" w:rsidR="0055291C" w:rsidRDefault="0055291C">
      <w:pPr>
        <w:pStyle w:val="a3"/>
        <w:spacing w:before="4"/>
        <w:rPr>
          <w:sz w:val="24"/>
        </w:rPr>
      </w:pPr>
    </w:p>
    <w:p w14:paraId="51378FD6" w14:textId="77777777" w:rsidR="0055291C" w:rsidRDefault="00000000">
      <w:pPr>
        <w:spacing w:before="1"/>
        <w:ind w:right="1121"/>
        <w:jc w:val="right"/>
        <w:rPr>
          <w:rFonts w:ascii="Arial"/>
          <w:i/>
          <w:sz w:val="19"/>
        </w:rPr>
      </w:pPr>
      <w:r>
        <w:pict w14:anchorId="5B2D9C07">
          <v:shape id="docshape699" o:spid="_x0000_s3112" style="position:absolute;left:0;text-align:left;margin-left:580.75pt;margin-top:-47.75pt;width:31.3pt;height:285.85pt;z-index:251580928;mso-position-horizontal-relative:page" coordorigin="11615,-955" coordsize="626,5717" path="m12240,-955r-625,l11615,4535r3,131l11643,4733r67,25l11842,4761r398,l12240,-955xe" fillcolor="#00aca1" stroked="f">
            <v:path arrowok="t"/>
            <w10:wrap anchorx="page"/>
          </v:shape>
        </w:pict>
      </w:r>
      <w:r w:rsidR="00F23C61">
        <w:rPr>
          <w:rFonts w:ascii="Arial"/>
          <w:b/>
          <w:i/>
          <w:color w:val="7F3F98"/>
          <w:sz w:val="19"/>
        </w:rPr>
        <w:t>CHAPTER</w:t>
      </w:r>
      <w:r w:rsidR="00F23C61">
        <w:rPr>
          <w:rFonts w:ascii="Arial"/>
          <w:b/>
          <w:i/>
          <w:color w:val="7F3F98"/>
          <w:spacing w:val="9"/>
          <w:sz w:val="19"/>
        </w:rPr>
        <w:t xml:space="preserve"> </w:t>
      </w:r>
      <w:r w:rsidR="00F23C61">
        <w:rPr>
          <w:rFonts w:ascii="Arial"/>
          <w:b/>
          <w:i/>
          <w:color w:val="7F3F98"/>
          <w:sz w:val="19"/>
        </w:rPr>
        <w:t>07</w:t>
      </w:r>
      <w:r w:rsidR="00F23C61">
        <w:rPr>
          <w:rFonts w:ascii="Arial"/>
          <w:b/>
          <w:i/>
          <w:color w:val="7F3F98"/>
          <w:spacing w:val="10"/>
          <w:sz w:val="19"/>
        </w:rPr>
        <w:t xml:space="preserve"> </w:t>
      </w:r>
      <w:r w:rsidR="00F23C61">
        <w:rPr>
          <w:rFonts w:ascii="Arial"/>
          <w:i/>
          <w:color w:val="545456"/>
          <w:sz w:val="19"/>
        </w:rPr>
        <w:t>Boundary</w:t>
      </w:r>
      <w:r w:rsidR="00F23C61">
        <w:rPr>
          <w:rFonts w:ascii="Arial"/>
          <w:i/>
          <w:color w:val="545456"/>
          <w:spacing w:val="7"/>
          <w:sz w:val="19"/>
        </w:rPr>
        <w:t xml:space="preserve"> </w:t>
      </w:r>
      <w:r w:rsidR="00F23C61">
        <w:rPr>
          <w:rFonts w:ascii="Arial"/>
          <w:i/>
          <w:color w:val="545456"/>
          <w:sz w:val="19"/>
        </w:rPr>
        <w:t>Setting</w:t>
      </w:r>
    </w:p>
    <w:p w14:paraId="5B95EAB8" w14:textId="77777777" w:rsidR="0055291C" w:rsidRDefault="0055291C">
      <w:pPr>
        <w:pStyle w:val="a3"/>
        <w:rPr>
          <w:rFonts w:ascii="Arial"/>
          <w:i/>
          <w:sz w:val="20"/>
        </w:rPr>
      </w:pPr>
    </w:p>
    <w:p w14:paraId="215A76DA" w14:textId="77777777" w:rsidR="0055291C" w:rsidRDefault="0055291C">
      <w:pPr>
        <w:pStyle w:val="a3"/>
        <w:spacing w:before="7"/>
        <w:rPr>
          <w:rFonts w:ascii="Arial"/>
          <w:i/>
          <w:sz w:val="24"/>
        </w:rPr>
      </w:pPr>
    </w:p>
    <w:p w14:paraId="268E5327" w14:textId="77777777" w:rsidR="0055291C" w:rsidRDefault="0055291C">
      <w:pPr>
        <w:rPr>
          <w:rFonts w:ascii="Arial"/>
          <w:sz w:val="24"/>
        </w:rPr>
        <w:sectPr w:rsidR="0055291C">
          <w:headerReference w:type="default" r:id="rId157"/>
          <w:pgSz w:w="12240" w:h="15840"/>
          <w:pgMar w:top="0" w:right="0" w:bottom="1040" w:left="0" w:header="0" w:footer="859" w:gutter="0"/>
          <w:cols w:space="720"/>
        </w:sectPr>
      </w:pPr>
    </w:p>
    <w:p w14:paraId="29AEC6DD" w14:textId="3DC3085D" w:rsidR="00645519" w:rsidRPr="00645519" w:rsidRDefault="00645519">
      <w:pPr>
        <w:pStyle w:val="a5"/>
        <w:numPr>
          <w:ilvl w:val="0"/>
          <w:numId w:val="48"/>
        </w:numPr>
        <w:tabs>
          <w:tab w:val="left" w:pos="851"/>
        </w:tabs>
        <w:spacing w:before="131" w:line="309" w:lineRule="auto"/>
        <w:ind w:left="1276" w:right="190" w:hanging="425"/>
        <w:jc w:val="left"/>
        <w:rPr>
          <w:color w:val="545456"/>
          <w:sz w:val="19"/>
          <w:lang w:eastAsia="ja-JP"/>
        </w:rPr>
      </w:pPr>
      <w:r w:rsidRPr="00645519">
        <w:rPr>
          <w:rFonts w:ascii="ＭＳ ゴシック" w:eastAsia="ＭＳ ゴシック" w:hAnsi="ＭＳ ゴシック" w:cs="ＭＳ ゴシック" w:hint="eastAsia"/>
          <w:color w:val="545456"/>
          <w:sz w:val="19"/>
          <w:lang w:eastAsia="ja-JP"/>
        </w:rPr>
        <w:t>最終製品を製造し輸送するために必要な</w:t>
      </w:r>
      <w:r w:rsidR="00F4786F">
        <w:rPr>
          <w:rFonts w:ascii="ＭＳ ゴシック" w:eastAsia="ＭＳ ゴシック" w:hAnsi="ＭＳ ゴシック" w:cs="ＭＳ ゴシック" w:hint="eastAsia"/>
          <w:color w:val="545456"/>
          <w:sz w:val="19"/>
          <w:lang w:eastAsia="ja-JP"/>
        </w:rPr>
        <w:t>材料</w:t>
      </w:r>
      <w:r w:rsidRPr="00645519">
        <w:rPr>
          <w:rFonts w:ascii="ＭＳ ゴシック" w:eastAsia="ＭＳ ゴシック" w:hAnsi="ＭＳ ゴシック" w:cs="ＭＳ ゴシック" w:hint="eastAsia"/>
          <w:color w:val="545456"/>
          <w:sz w:val="19"/>
          <w:lang w:eastAsia="ja-JP"/>
        </w:rPr>
        <w:t>と上流工程を特定し、その工程を適切なライフサイクルステージと整合させます。</w:t>
      </w:r>
    </w:p>
    <w:p w14:paraId="310FE839" w14:textId="77777777" w:rsidR="00645519" w:rsidRPr="00645519" w:rsidRDefault="00645519">
      <w:pPr>
        <w:pStyle w:val="a5"/>
        <w:numPr>
          <w:ilvl w:val="0"/>
          <w:numId w:val="48"/>
        </w:numPr>
        <w:tabs>
          <w:tab w:val="left" w:pos="851"/>
        </w:tabs>
        <w:spacing w:before="131" w:line="309" w:lineRule="auto"/>
        <w:ind w:left="1276" w:right="190" w:hanging="425"/>
        <w:jc w:val="left"/>
        <w:rPr>
          <w:color w:val="545456"/>
          <w:sz w:val="19"/>
          <w:lang w:eastAsia="ja-JP"/>
        </w:rPr>
      </w:pPr>
      <w:r w:rsidRPr="00645519">
        <w:rPr>
          <w:rFonts w:ascii="ＭＳ ゴシック" w:eastAsia="ＭＳ ゴシック" w:hAnsi="ＭＳ ゴシック" w:cs="ＭＳ ゴシック" w:hint="eastAsia"/>
          <w:color w:val="545456"/>
          <w:sz w:val="19"/>
          <w:lang w:eastAsia="ja-JP"/>
        </w:rPr>
        <w:t>製品の機能遂行能力に直接影響を与える投入物（例：肥料、潤滑油）および廃棄物や副産物などの排出物を含む、各上流工程に関連するエネルギーおよび材料の流れを特定します。</w:t>
      </w:r>
    </w:p>
    <w:p w14:paraId="4A4CA7AD" w14:textId="77777777" w:rsidR="00645519" w:rsidRPr="00645519" w:rsidRDefault="00645519">
      <w:pPr>
        <w:pStyle w:val="a5"/>
        <w:numPr>
          <w:ilvl w:val="0"/>
          <w:numId w:val="48"/>
        </w:numPr>
        <w:tabs>
          <w:tab w:val="left" w:pos="851"/>
        </w:tabs>
        <w:spacing w:before="131" w:line="309" w:lineRule="auto"/>
        <w:ind w:left="1276" w:right="190" w:hanging="425"/>
        <w:jc w:val="left"/>
        <w:rPr>
          <w:color w:val="545456"/>
          <w:sz w:val="19"/>
          <w:lang w:eastAsia="ja-JP"/>
        </w:rPr>
      </w:pPr>
      <w:r w:rsidRPr="00645519">
        <w:rPr>
          <w:rFonts w:ascii="ＭＳ ゴシック" w:eastAsia="ＭＳ ゴシック" w:hAnsi="ＭＳ ゴシック" w:cs="ＭＳ ゴシック" w:hint="eastAsia"/>
          <w:color w:val="545456"/>
          <w:sz w:val="19"/>
          <w:lang w:eastAsia="ja-JP"/>
        </w:rPr>
        <w:t>ゆりかごから墓場までのインベントリでは、調査対象製品の流通、保管、使用に必要な下流工程とエネルギーおよび物質フローを特定します。</w:t>
      </w:r>
    </w:p>
    <w:p w14:paraId="24D96DD2" w14:textId="3E8C276D" w:rsidR="0055291C" w:rsidRDefault="00645519">
      <w:pPr>
        <w:pStyle w:val="a5"/>
        <w:numPr>
          <w:ilvl w:val="0"/>
          <w:numId w:val="48"/>
        </w:numPr>
        <w:tabs>
          <w:tab w:val="left" w:pos="851"/>
        </w:tabs>
        <w:spacing w:before="131" w:line="309" w:lineRule="auto"/>
        <w:ind w:left="1276" w:right="380" w:hanging="567"/>
        <w:jc w:val="left"/>
        <w:rPr>
          <w:sz w:val="19"/>
          <w:lang w:eastAsia="ja-JP"/>
        </w:rPr>
      </w:pPr>
      <w:r w:rsidRPr="00645519">
        <w:rPr>
          <w:rFonts w:ascii="ＭＳ ゴシック" w:eastAsia="ＭＳ ゴシック" w:hAnsi="ＭＳ ゴシック" w:cs="ＭＳ ゴシック" w:hint="eastAsia"/>
          <w:color w:val="545456"/>
          <w:sz w:val="19"/>
          <w:lang w:eastAsia="ja-JP"/>
        </w:rPr>
        <w:t>ゆりかごから墓場までのインベントリでは、調査対象製品の廃棄に必要なエネルギーと材料の投入量を特定します。</w:t>
      </w:r>
    </w:p>
    <w:p w14:paraId="4456D82C" w14:textId="31F93411" w:rsidR="0055291C" w:rsidRDefault="006251F4" w:rsidP="006251F4">
      <w:pPr>
        <w:pStyle w:val="a3"/>
        <w:spacing w:before="141" w:line="312" w:lineRule="auto"/>
        <w:ind w:left="1133" w:right="128" w:firstLineChars="100" w:firstLine="190"/>
        <w:rPr>
          <w:lang w:eastAsia="ja-JP"/>
        </w:rPr>
      </w:pPr>
      <w:r w:rsidRPr="006251F4">
        <w:rPr>
          <w:rFonts w:ascii="ＭＳ ゴシック" w:eastAsia="ＭＳ ゴシック" w:hAnsi="ＭＳ ゴシック" w:cs="ＭＳ ゴシック" w:hint="eastAsia"/>
          <w:color w:val="545456"/>
          <w:lang w:eastAsia="ja-JP"/>
        </w:rPr>
        <w:t>図</w:t>
      </w:r>
      <w:r w:rsidRPr="006251F4">
        <w:rPr>
          <w:color w:val="545456"/>
          <w:lang w:eastAsia="ja-JP"/>
        </w:rPr>
        <w:t xml:space="preserve"> 7.5 </w:t>
      </w:r>
      <w:r w:rsidRPr="006251F4">
        <w:rPr>
          <w:rFonts w:ascii="ＭＳ ゴシック" w:eastAsia="ＭＳ ゴシック" w:hAnsi="ＭＳ ゴシック" w:cs="ＭＳ ゴシック" w:hint="eastAsia"/>
          <w:color w:val="545456"/>
          <w:lang w:eastAsia="ja-JP"/>
        </w:rPr>
        <w:t>は、簡略に一般化された、ゆりかごから墓場までの報告書で工程表を作成するための手順を示しています。</w:t>
      </w:r>
    </w:p>
    <w:p w14:paraId="52AFE361" w14:textId="0FF3885C" w:rsidR="0055291C" w:rsidRDefault="00F23C61">
      <w:pPr>
        <w:pStyle w:val="a3"/>
        <w:spacing w:before="111" w:line="312" w:lineRule="auto"/>
        <w:ind w:left="272" w:right="1413"/>
        <w:rPr>
          <w:lang w:eastAsia="ja-JP"/>
        </w:rPr>
      </w:pPr>
      <w:r>
        <w:rPr>
          <w:lang w:eastAsia="ja-JP"/>
        </w:rPr>
        <w:br w:type="column"/>
      </w:r>
      <w:r w:rsidR="006251F4" w:rsidRPr="006251F4">
        <w:rPr>
          <w:rFonts w:ascii="ＭＳ ゴシック" w:eastAsia="ＭＳ ゴシック" w:hAnsi="ＭＳ ゴシック" w:cs="ＭＳ ゴシック" w:hint="eastAsia"/>
          <w:color w:val="545456"/>
          <w:lang w:eastAsia="ja-JP"/>
        </w:rPr>
        <w:t>生産から出荷までの報告書の場合、製品の用途は不明であるため、工程表は調査対象製品が完成した中間製品、通常は生産段階を離れた時点で終了します。</w:t>
      </w:r>
    </w:p>
    <w:p w14:paraId="40B2E072" w14:textId="57EFCAAF" w:rsidR="0055291C" w:rsidRDefault="00000000" w:rsidP="006251F4">
      <w:pPr>
        <w:pStyle w:val="7"/>
        <w:spacing w:line="292" w:lineRule="auto"/>
        <w:ind w:left="721" w:right="1288" w:hanging="437"/>
        <w:rPr>
          <w:lang w:eastAsia="ja-JP"/>
        </w:rPr>
      </w:pPr>
      <w:r>
        <w:pict w14:anchorId="7FC7A81C">
          <v:shape id="docshape700" o:spid="_x0000_s3111" type="#_x0000_t202" style="position:absolute;left:0;text-align:left;margin-left:585.65pt;margin-top:-10.75pt;width:17.7pt;height:119.1pt;z-index:251581952;mso-position-horizontal-relative:page" filled="f" stroked="f">
            <v:textbox style="layout-flow:vertical;mso-layout-flow-alt:bottom-to-top;mso-next-textbox:#docshape700" inset="0,0,0,0">
              <w:txbxContent>
                <w:p w14:paraId="7CE6F5BF"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v:shape>
        </w:pict>
      </w:r>
      <w:r w:rsidR="006251F4">
        <w:rPr>
          <w:rFonts w:ascii="ＭＳ 明朝" w:eastAsia="ＭＳ 明朝" w:hAnsi="ＭＳ 明朝" w:cs="ＭＳ 明朝" w:hint="eastAsia"/>
          <w:color w:val="00B8B1"/>
          <w:spacing w:val="-2"/>
          <w:lang w:eastAsia="ja-JP"/>
        </w:rPr>
        <w:t xml:space="preserve">7.3.3　</w:t>
      </w:r>
      <w:r w:rsidR="006251F4" w:rsidRPr="006251F4">
        <w:rPr>
          <w:rFonts w:ascii="ＭＳ 明朝" w:eastAsia="ＭＳ 明朝" w:hAnsi="ＭＳ 明朝" w:cs="ＭＳ 明朝" w:hint="eastAsia"/>
          <w:color w:val="00B8B1"/>
          <w:spacing w:val="-2"/>
          <w:lang w:eastAsia="ja-JP"/>
        </w:rPr>
        <w:t>使用・廃棄段階での帰属</w:t>
      </w:r>
      <w:r w:rsidR="006251F4">
        <w:rPr>
          <w:rFonts w:ascii="ＭＳ 明朝" w:eastAsia="ＭＳ 明朝" w:hAnsi="ＭＳ 明朝" w:cs="ＭＳ 明朝" w:hint="eastAsia"/>
          <w:color w:val="00B8B1"/>
          <w:spacing w:val="-2"/>
          <w:lang w:eastAsia="ja-JP"/>
        </w:rPr>
        <w:t>プロセス</w:t>
      </w:r>
      <w:r w:rsidR="006251F4" w:rsidRPr="006251F4">
        <w:rPr>
          <w:rFonts w:ascii="ＭＳ 明朝" w:eastAsia="ＭＳ 明朝" w:hAnsi="ＭＳ 明朝" w:cs="ＭＳ 明朝" w:hint="eastAsia"/>
          <w:color w:val="00B8B1"/>
          <w:spacing w:val="-2"/>
          <w:lang w:eastAsia="ja-JP"/>
        </w:rPr>
        <w:t>の特定</w:t>
      </w:r>
    </w:p>
    <w:p w14:paraId="1ADDBF3A" w14:textId="05B4FD44" w:rsidR="0055291C" w:rsidRDefault="000D68BB" w:rsidP="000D68BB">
      <w:pPr>
        <w:pStyle w:val="a3"/>
        <w:spacing w:before="1" w:line="312" w:lineRule="auto"/>
        <w:ind w:left="272" w:right="1149" w:firstLineChars="100" w:firstLine="190"/>
        <w:rPr>
          <w:lang w:eastAsia="ja-JP"/>
        </w:rPr>
      </w:pPr>
      <w:r w:rsidRPr="000D68BB">
        <w:rPr>
          <w:rFonts w:ascii="ＭＳ ゴシック" w:eastAsia="ＭＳ ゴシック" w:hAnsi="ＭＳ ゴシック" w:cs="ＭＳ ゴシック" w:hint="eastAsia"/>
          <w:color w:val="545456"/>
          <w:lang w:eastAsia="ja-JP"/>
        </w:rPr>
        <w:t>企業は工程表を作成する際に、調査対象製品の製造、流通、販売に使用される特定の帰属プロセスを想定する必要があります。製品の使用方法（使用プロファイルと呼ばれる）は、ユーザーによって大きく異なる可能性があるため、使用段階での帰属プロセスを決定することは困難であることが多いです。</w:t>
      </w:r>
    </w:p>
    <w:p w14:paraId="47FDE764" w14:textId="0F36C61D" w:rsidR="0055291C" w:rsidRDefault="00D52955">
      <w:pPr>
        <w:pStyle w:val="a3"/>
        <w:spacing w:before="141" w:line="312" w:lineRule="auto"/>
        <w:ind w:left="272" w:right="1193"/>
        <w:rPr>
          <w:lang w:eastAsia="ja-JP"/>
        </w:rPr>
      </w:pPr>
      <w:r w:rsidRPr="00D52955">
        <w:rPr>
          <w:rFonts w:ascii="ＭＳ ゴシック" w:eastAsia="ＭＳ ゴシック" w:hAnsi="ＭＳ ゴシック" w:cs="ＭＳ ゴシック" w:hint="eastAsia"/>
          <w:color w:val="545456"/>
          <w:spacing w:val="-1"/>
          <w:w w:val="105"/>
          <w:lang w:eastAsia="ja-JP"/>
        </w:rPr>
        <w:t>最初のステップは、製品の機能単位の定義に注目することです。定義された機能、および製品が提供するサービスの期間と品質が、使用プロファイルのプロセスを特定するのに役立つはずです。耐用年数は必ずしも使用プロファイルに直接対応するものではないため、企業は製品の使用を最も正確に表すプロファイルを想定すべきです。</w:t>
      </w:r>
    </w:p>
    <w:p w14:paraId="72A2C091"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950" w:space="40"/>
            <w:col w:w="6250"/>
          </w:cols>
        </w:sectPr>
      </w:pPr>
    </w:p>
    <w:p w14:paraId="68C26153" w14:textId="77777777" w:rsidR="0055291C" w:rsidRDefault="0055291C">
      <w:pPr>
        <w:pStyle w:val="a3"/>
        <w:rPr>
          <w:sz w:val="20"/>
          <w:lang w:eastAsia="ja-JP"/>
        </w:rPr>
      </w:pPr>
    </w:p>
    <w:p w14:paraId="041CA7AA" w14:textId="77777777" w:rsidR="0055291C" w:rsidRDefault="0055291C">
      <w:pPr>
        <w:pStyle w:val="a3"/>
        <w:spacing w:before="10"/>
        <w:rPr>
          <w:lang w:eastAsia="ja-JP"/>
        </w:rPr>
      </w:pPr>
    </w:p>
    <w:p w14:paraId="5A58D78F" w14:textId="4C41A63F" w:rsidR="0055291C" w:rsidRDefault="002C1D6E">
      <w:pPr>
        <w:pStyle w:val="6"/>
        <w:ind w:left="1136"/>
        <w:rPr>
          <w:lang w:eastAsia="ja-JP"/>
        </w:rPr>
      </w:pPr>
      <w:r>
        <w:rPr>
          <w:rFonts w:ascii="ＭＳ 明朝" w:eastAsia="ＭＳ 明朝" w:hAnsi="ＭＳ 明朝" w:cs="ＭＳ 明朝" w:hint="eastAsia"/>
          <w:color w:val="00ACA1"/>
          <w:w w:val="95"/>
          <w:lang w:eastAsia="ja-JP"/>
        </w:rPr>
        <w:t>図</w:t>
      </w:r>
      <w:r w:rsidR="00F23C61">
        <w:rPr>
          <w:color w:val="00ACA1"/>
          <w:spacing w:val="9"/>
          <w:w w:val="95"/>
          <w:lang w:eastAsia="ja-JP"/>
        </w:rPr>
        <w:t xml:space="preserve"> </w:t>
      </w:r>
      <w:r w:rsidR="00F23C61">
        <w:rPr>
          <w:color w:val="00ACA1"/>
          <w:w w:val="95"/>
          <w:lang w:eastAsia="ja-JP"/>
        </w:rPr>
        <w:t>[7.5]</w:t>
      </w:r>
      <w:r w:rsidR="00F23C61">
        <w:rPr>
          <w:color w:val="00ACA1"/>
          <w:spacing w:val="9"/>
          <w:w w:val="95"/>
          <w:lang w:eastAsia="ja-JP"/>
        </w:rPr>
        <w:t xml:space="preserve"> </w:t>
      </w:r>
      <w:r w:rsidRPr="002C1D6E">
        <w:rPr>
          <w:rFonts w:ascii="ＭＳ 明朝" w:eastAsia="ＭＳ 明朝" w:hAnsi="ＭＳ 明朝" w:cs="ＭＳ 明朝" w:hint="eastAsia"/>
          <w:color w:val="545456"/>
          <w:w w:val="95"/>
          <w:lang w:eastAsia="ja-JP"/>
        </w:rPr>
        <w:t>最終製品を生産する企業の工程表を作成するためのステップ</w:t>
      </w:r>
    </w:p>
    <w:p w14:paraId="1D5268A3" w14:textId="0D93A491" w:rsidR="0055291C" w:rsidRDefault="002C1D6E">
      <w:pPr>
        <w:pStyle w:val="a3"/>
        <w:spacing w:before="10"/>
        <w:rPr>
          <w:rFonts w:ascii="Arial"/>
          <w:b/>
          <w:sz w:val="21"/>
          <w:lang w:eastAsia="ja-JP"/>
        </w:rPr>
      </w:pPr>
      <w:r>
        <w:rPr>
          <w:rFonts w:ascii="ＭＳ 明朝" w:eastAsia="ＭＳ 明朝" w:hAnsi="ＭＳ 明朝" w:cs="ＭＳ 明朝" w:hint="eastAsia"/>
          <w:noProof/>
          <w:color w:val="00ACA1"/>
          <w:lang w:eastAsia="ja-JP"/>
        </w:rPr>
        <mc:AlternateContent>
          <mc:Choice Requires="wps">
            <w:drawing>
              <wp:anchor distT="0" distB="0" distL="114300" distR="114300" simplePos="0" relativeHeight="251472384" behindDoc="0" locked="0" layoutInCell="1" allowOverlap="1" wp14:anchorId="16EFCBF0" wp14:editId="3E7C92A5">
                <wp:simplePos x="0" y="0"/>
                <wp:positionH relativeFrom="column">
                  <wp:posOffset>4910330</wp:posOffset>
                </wp:positionH>
                <wp:positionV relativeFrom="paragraph">
                  <wp:posOffset>246091</wp:posOffset>
                </wp:positionV>
                <wp:extent cx="633046" cy="326115"/>
                <wp:effectExtent l="0" t="0" r="0" b="0"/>
                <wp:wrapNone/>
                <wp:docPr id="89" name="テキスト ボックス 89"/>
                <wp:cNvGraphicFramePr/>
                <a:graphic xmlns:a="http://schemas.openxmlformats.org/drawingml/2006/main">
                  <a:graphicData uri="http://schemas.microsoft.com/office/word/2010/wordprocessingShape">
                    <wps:wsp>
                      <wps:cNvSpPr txBox="1"/>
                      <wps:spPr>
                        <a:xfrm>
                          <a:off x="0" y="0"/>
                          <a:ext cx="633046" cy="326115"/>
                        </a:xfrm>
                        <a:prstGeom prst="rect">
                          <a:avLst/>
                        </a:prstGeom>
                        <a:noFill/>
                        <a:ln w="6350">
                          <a:noFill/>
                        </a:ln>
                      </wps:spPr>
                      <wps:txbx>
                        <w:txbxContent>
                          <w:p w14:paraId="350D323E" w14:textId="4778A3AA" w:rsidR="002C1D6E" w:rsidRPr="002C1D6E" w:rsidRDefault="002C1D6E">
                            <w:pPr>
                              <w:rPr>
                                <w:rFonts w:ascii="ＭＳ ゴシック" w:eastAsia="ＭＳ ゴシック" w:hAnsi="ＭＳ ゴシック" w:cs="ＭＳ ゴシック"/>
                                <w:i/>
                                <w:iCs/>
                                <w:color w:val="FFFFFF" w:themeColor="background1"/>
                                <w:sz w:val="16"/>
                                <w:szCs w:val="16"/>
                                <w:lang w:eastAsia="ja-JP"/>
                              </w:rPr>
                            </w:pPr>
                            <w:r w:rsidRPr="002C1D6E">
                              <w:rPr>
                                <w:rFonts w:ascii="ＭＳ ゴシック" w:eastAsia="ＭＳ ゴシック" w:hAnsi="ＭＳ ゴシック" w:cs="ＭＳ ゴシック" w:hint="eastAsia"/>
                                <w:i/>
                                <w:iCs/>
                                <w:color w:val="FFFFFF" w:themeColor="background1"/>
                                <w:sz w:val="20"/>
                                <w:szCs w:val="20"/>
                                <w:lang w:eastAsia="ja-JP"/>
                              </w:rPr>
                              <w:t>使用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EFCBF0" id="テキスト ボックス 89" o:spid="_x0000_s1065" type="#_x0000_t202" style="position:absolute;margin-left:386.65pt;margin-top:19.4pt;width:49.85pt;height:25.7pt;z-index:25147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" filled="f" stroked="f" strokeweight=".5pt">
                <v:textbox>
                  <w:txbxContent>
                    <w:p w14:paraId="350D323E" w14:textId="4778A3AA" w:rsidR="002C1D6E" w:rsidRPr="002C1D6E" w:rsidRDefault="002C1D6E">
                      <w:pPr>
                        <w:rPr>
                          <w:rFonts w:ascii="ＭＳ ゴシック" w:eastAsia="ＭＳ ゴシック" w:hAnsi="ＭＳ ゴシック" w:cs="ＭＳ ゴシック"/>
                          <w:i/>
                          <w:iCs/>
                          <w:color w:val="FFFFFF" w:themeColor="background1"/>
                          <w:sz w:val="16"/>
                          <w:szCs w:val="16"/>
                          <w:lang w:eastAsia="ja-JP"/>
                        </w:rPr>
                      </w:pPr>
                      <w:r w:rsidRPr="002C1D6E">
                        <w:rPr>
                          <w:rFonts w:ascii="ＭＳ ゴシック" w:eastAsia="ＭＳ ゴシック" w:hAnsi="ＭＳ ゴシック" w:cs="ＭＳ ゴシック" w:hint="eastAsia"/>
                          <w:i/>
                          <w:iCs/>
                          <w:color w:val="FFFFFF" w:themeColor="background1"/>
                          <w:sz w:val="20"/>
                          <w:szCs w:val="20"/>
                          <w:lang w:eastAsia="ja-JP"/>
                        </w:rPr>
                        <w:t>使用</w:t>
                      </w:r>
                    </w:p>
                  </w:txbxContent>
                </v:textbox>
              </v:shape>
            </w:pict>
          </mc:Fallback>
        </mc:AlternateContent>
      </w:r>
      <w:r w:rsidR="00000000">
        <w:pict w14:anchorId="298925C5">
          <v:group id="docshapegroup701" o:spid="_x0000_s3100" style="position:absolute;margin-left:57.2pt;margin-top:13.8pt;width:498.45pt;height:30.8pt;z-index:-251491840;mso-wrap-distance-left:0;mso-wrap-distance-right:0;mso-position-horizontal-relative:page;mso-position-vertical-relative:text" coordorigin="1134,276" coordsize="9969,616">
            <v:shape id="docshape702" o:spid="_x0000_s3110" style="position:absolute;left:8619;top:275;width:2483;height:616" coordorigin="8620,276" coordsize="2483,616" o:spt="100" adj="0,,0" path="m10558,276r-1759,l8695,278r-53,19l8623,347r-3,99l8620,721r3,98l8642,869r53,19l8799,891r1753,l10573,890r15,-1l10603,884r24,-8l10642,870r395,-206l11103,603r-8,-52l11059,514r-22,-15l10652,298r-25,-12l10605,279r-18,-2l10568,277r-5,-1l10558,276xm10585,276r-17,1l10587,277r-2,-1xe" fillcolor="#f47836" stroked="f">
              <v:stroke joinstyle="round"/>
              <v:formulas/>
              <v:path arrowok="t" o:connecttype="segments"/>
            </v:shape>
            <v:shape id="docshape703" o:spid="_x0000_s3109" style="position:absolute;left:6820;top:275;width:2483;height:616" coordorigin="6820,276" coordsize="2483,616" o:spt="100" adj="0,,0" path="m8758,276r-1759,l6896,278r-53,19l6823,347r-3,99l6820,721r3,98l6843,869r53,19l6999,891r1753,l8773,890r15,-1l8804,884r23,-8l8842,870,9237,664r66,-61l9296,551r-37,-37l9237,499,8852,298r-25,-12l8805,279r-18,-2l8768,277r-5,-1l8758,276xm8785,276r-17,1l8787,277r-2,-1xe" fillcolor="#ed1065" stroked="f">
              <v:stroke joinstyle="round"/>
              <v:formulas/>
              <v:path arrowok="t" o:connecttype="segments"/>
            </v:shape>
            <v:shape id="docshape704" o:spid="_x0000_s3108" style="position:absolute;left:4921;top:275;width:2483;height:616" coordorigin="4922,276" coordsize="2483,616" o:spt="100" adj="0,,0" path="m6859,276r-1759,l4997,278r-53,19l4924,347r-2,99l4922,721r2,98l4944,869r53,19l5100,891r1754,l6875,890r14,-1l6905,884r23,-8l6943,870,7338,664r66,-61l7397,551r-37,-37l7338,499,6954,298r-26,-12l6906,279r-17,-2l6870,277r-6,-1l6859,276xm6887,276r-17,1l6889,277r-2,-1xe" fillcolor="#4f84c4" stroked="f">
              <v:stroke joinstyle="round"/>
              <v:formulas/>
              <v:path arrowok="t" o:connecttype="segments"/>
            </v:shape>
            <v:shape id="docshape705" o:spid="_x0000_s3107" style="position:absolute;left:3015;top:275;width:2483;height:616" coordorigin="3015,276" coordsize="2483,616" o:spt="100" adj="0,,0" path="m4953,276r-1759,l3091,278r-53,19l3018,347r-3,99l3015,721r3,98l3038,869r53,19l3194,891r1753,l4968,890r15,-1l4999,884r23,-8l5037,870,5432,664r66,-61l5491,551r-37,-37l5432,499,5047,298r-25,-12l5000,279r-18,-2l4963,277r-5,-1l4953,276xm4980,276r-17,1l4982,277r-2,-1xe" fillcolor="#7f3f98" stroked="f">
              <v:stroke joinstyle="round"/>
              <v:formulas/>
              <v:path arrowok="t" o:connecttype="segments"/>
            </v:shape>
            <v:shape id="docshape706" o:spid="_x0000_s3106" style="position:absolute;left:1133;top:275;width:2483;height:616" coordorigin="1134,276" coordsize="2483,616" o:spt="100" adj="0,,0" path="m3072,276r-1759,l1209,278r-53,19l1137,347r-3,99l1134,721r3,98l1156,869r53,19l1313,891r1753,l3087,890r15,-1l3117,884r24,-8l3156,870,3550,664r67,-61l3609,551r-37,-37l3550,499,3166,298r-25,-12l3119,279r-18,-2l3082,277r-5,-1l3072,276xm3099,276r-17,1l3101,277r-2,-1xe" fillcolor="#00aca1" stroked="f">
              <v:stroke joinstyle="round"/>
              <v:formulas/>
              <v:path arrowok="t" o:connecttype="segments"/>
            </v:shape>
            <v:shape id="docshape707" o:spid="_x0000_s3105" type="#_x0000_t202" style="position:absolute;left:1351;top:350;width:1675;height:422" filled="f" stroked="f">
              <v:textbox style="mso-next-textbox:#docshape707" inset="0,0,0,0">
                <w:txbxContent>
                  <w:p w14:paraId="2EDB5DAB" w14:textId="77777777" w:rsidR="002C1D6E" w:rsidRPr="002C1D6E" w:rsidRDefault="002C1D6E">
                    <w:pPr>
                      <w:spacing w:line="254" w:lineRule="auto"/>
                      <w:ind w:left="140" w:right="14" w:hanging="141"/>
                      <w:rPr>
                        <w:rFonts w:ascii="ＭＳ ゴシック" w:eastAsia="ＭＳ ゴシック" w:hAnsi="ＭＳ ゴシック" w:cs="ＭＳ ゴシック"/>
                        <w:b/>
                        <w:i/>
                        <w:color w:val="FFFFFF"/>
                        <w:spacing w:val="-3"/>
                        <w:sz w:val="8"/>
                        <w:szCs w:val="14"/>
                        <w:lang w:eastAsia="ja-JP"/>
                      </w:rPr>
                    </w:pPr>
                  </w:p>
                  <w:p w14:paraId="0319D4F4" w14:textId="439B10AC" w:rsidR="0055291C" w:rsidRDefault="002C1D6E">
                    <w:pPr>
                      <w:spacing w:line="254" w:lineRule="auto"/>
                      <w:ind w:left="140" w:right="14" w:hanging="141"/>
                      <w:rPr>
                        <w:rFonts w:ascii="Arial"/>
                        <w:b/>
                        <w:i/>
                        <w:sz w:val="18"/>
                      </w:rPr>
                    </w:pPr>
                    <w:r>
                      <w:rPr>
                        <w:rFonts w:ascii="ＭＳ ゴシック" w:eastAsia="ＭＳ ゴシック" w:hAnsi="ＭＳ ゴシック" w:cs="ＭＳ ゴシック" w:hint="eastAsia"/>
                        <w:b/>
                        <w:i/>
                        <w:color w:val="FFFFFF"/>
                        <w:spacing w:val="-3"/>
                        <w:sz w:val="18"/>
                        <w:lang w:eastAsia="ja-JP"/>
                      </w:rPr>
                      <w:t>素材入手と前処理</w:t>
                    </w:r>
                  </w:p>
                </w:txbxContent>
              </v:textbox>
            </v:shape>
            <v:shape id="docshape708" o:spid="_x0000_s3104" type="#_x0000_t202" style="position:absolute;left:3903;top:490;width:920;height:202" filled="f" stroked="f">
              <v:textbox style="mso-next-textbox:#docshape708" inset="0,0,0,0">
                <w:txbxContent>
                  <w:p w14:paraId="77CF2499" w14:textId="3808DFC0" w:rsidR="0055291C" w:rsidRDefault="002C1D6E" w:rsidP="002C1D6E">
                    <w:pPr>
                      <w:spacing w:line="202" w:lineRule="exact"/>
                      <w:ind w:firstLineChars="100" w:firstLine="171"/>
                      <w:rPr>
                        <w:rFonts w:ascii="Arial"/>
                        <w:b/>
                        <w:i/>
                        <w:sz w:val="18"/>
                      </w:rPr>
                    </w:pPr>
                    <w:r>
                      <w:rPr>
                        <w:rFonts w:ascii="ＭＳ ゴシック" w:eastAsia="ＭＳ ゴシック" w:hAnsi="ＭＳ ゴシック" w:cs="ＭＳ ゴシック" w:hint="eastAsia"/>
                        <w:b/>
                        <w:i/>
                        <w:color w:val="FFFFFF"/>
                        <w:w w:val="95"/>
                        <w:sz w:val="18"/>
                        <w:lang w:eastAsia="ja-JP"/>
                      </w:rPr>
                      <w:t>生産</w:t>
                    </w:r>
                  </w:p>
                </w:txbxContent>
              </v:textbox>
            </v:shape>
            <v:shape id="docshape709" o:spid="_x0000_s3103" type="#_x0000_t202" style="position:absolute;left:5808;top:350;width:993;height:422" filled="f" stroked="f">
              <v:textbox style="mso-next-textbox:#docshape709" inset="0,0,0,0">
                <w:txbxContent>
                  <w:p w14:paraId="1AB59829" w14:textId="77777777" w:rsidR="002C1D6E" w:rsidRPr="002C1D6E" w:rsidRDefault="002C1D6E" w:rsidP="002C1D6E">
                    <w:pPr>
                      <w:spacing w:line="254" w:lineRule="auto"/>
                      <w:ind w:left="68" w:right="8" w:hanging="69"/>
                      <w:jc w:val="center"/>
                      <w:rPr>
                        <w:rFonts w:ascii="ＭＳ ゴシック" w:eastAsia="ＭＳ ゴシック" w:hAnsi="ＭＳ ゴシック" w:cs="ＭＳ ゴシック"/>
                        <w:b/>
                        <w:i/>
                        <w:color w:val="FFFFFF"/>
                        <w:spacing w:val="-2"/>
                        <w:sz w:val="8"/>
                        <w:szCs w:val="14"/>
                        <w:lang w:eastAsia="ja-JP"/>
                      </w:rPr>
                    </w:pPr>
                  </w:p>
                  <w:p w14:paraId="253069B4" w14:textId="667E6A01" w:rsidR="0055291C" w:rsidRDefault="002C1D6E" w:rsidP="002C1D6E">
                    <w:pPr>
                      <w:spacing w:line="254" w:lineRule="auto"/>
                      <w:ind w:left="68" w:right="8" w:hanging="69"/>
                      <w:jc w:val="center"/>
                      <w:rPr>
                        <w:rFonts w:ascii="Arial"/>
                        <w:b/>
                        <w:i/>
                        <w:sz w:val="18"/>
                      </w:rPr>
                    </w:pPr>
                    <w:r>
                      <w:rPr>
                        <w:rFonts w:ascii="ＭＳ ゴシック" w:eastAsia="ＭＳ ゴシック" w:hAnsi="ＭＳ ゴシック" w:cs="ＭＳ ゴシック" w:hint="eastAsia"/>
                        <w:b/>
                        <w:i/>
                        <w:color w:val="FFFFFF"/>
                        <w:spacing w:val="-2"/>
                        <w:sz w:val="18"/>
                        <w:lang w:eastAsia="ja-JP"/>
                      </w:rPr>
                      <w:t>運送・貯蔵</w:t>
                    </w:r>
                  </w:p>
                </w:txbxContent>
              </v:textbox>
            </v:shape>
            <v:shape id="docshape710" o:spid="_x0000_s3102" type="#_x0000_t202" style="position:absolute;left:7988;top:490;width:305;height:202" filled="f" stroked="f">
              <v:textbox style="mso-next-textbox:#docshape710" inset="0,0,0,0">
                <w:txbxContent>
                  <w:p w14:paraId="25CC0A9F" w14:textId="61E8CBDB" w:rsidR="0055291C" w:rsidRPr="002C1D6E" w:rsidRDefault="0055291C">
                    <w:pPr>
                      <w:spacing w:line="202" w:lineRule="exact"/>
                      <w:rPr>
                        <w:rFonts w:ascii="ＭＳ ゴシック" w:eastAsia="ＭＳ ゴシック" w:hAnsi="ＭＳ ゴシック" w:cs="ＭＳ ゴシック"/>
                        <w:b/>
                        <w:i/>
                        <w:sz w:val="18"/>
                        <w:lang w:eastAsia="ja-JP"/>
                      </w:rPr>
                    </w:pPr>
                  </w:p>
                </w:txbxContent>
              </v:textbox>
            </v:shape>
            <v:shape id="docshape711" o:spid="_x0000_s3101" type="#_x0000_t202" style="position:absolute;left:9671;top:490;width:905;height:202" filled="f" stroked="f">
              <v:textbox style="mso-next-textbox:#docshape711" inset="0,0,0,0">
                <w:txbxContent>
                  <w:p w14:paraId="2CAF9BAA" w14:textId="269DB024" w:rsidR="0055291C" w:rsidRDefault="002C1D6E">
                    <w:pPr>
                      <w:spacing w:line="202" w:lineRule="exact"/>
                      <w:rPr>
                        <w:rFonts w:ascii="Arial"/>
                        <w:b/>
                        <w:i/>
                        <w:sz w:val="18"/>
                      </w:rPr>
                    </w:pPr>
                    <w:r>
                      <w:rPr>
                        <w:rFonts w:ascii="ＭＳ ゴシック" w:eastAsia="ＭＳ ゴシック" w:hAnsi="ＭＳ ゴシック" w:cs="ＭＳ ゴシック" w:hint="eastAsia"/>
                        <w:b/>
                        <w:i/>
                        <w:color w:val="FFFFFF"/>
                        <w:sz w:val="18"/>
                        <w:lang w:eastAsia="ja-JP"/>
                      </w:rPr>
                      <w:t>廃棄</w:t>
                    </w:r>
                  </w:p>
                </w:txbxContent>
              </v:textbox>
            </v:shape>
            <w10:wrap type="topAndBottom" anchorx="page"/>
          </v:group>
        </w:pict>
      </w:r>
    </w:p>
    <w:p w14:paraId="7D84E6F7" w14:textId="182699CC" w:rsidR="0055291C" w:rsidRDefault="0055291C">
      <w:pPr>
        <w:pStyle w:val="a3"/>
        <w:rPr>
          <w:rFonts w:ascii="Arial"/>
          <w:b/>
          <w:sz w:val="20"/>
          <w:lang w:eastAsia="ja-JP"/>
        </w:rPr>
      </w:pPr>
    </w:p>
    <w:p w14:paraId="6E9D82F2" w14:textId="0236978F" w:rsidR="0055291C" w:rsidRDefault="00BC0E84">
      <w:pPr>
        <w:pStyle w:val="a3"/>
        <w:spacing w:before="9"/>
        <w:rPr>
          <w:rFonts w:ascii="Arial"/>
          <w:b/>
          <w:sz w:val="16"/>
          <w:lang w:eastAsia="ja-JP"/>
        </w:rPr>
      </w:pPr>
      <w:r>
        <w:rPr>
          <w:rFonts w:ascii="Arial"/>
          <w:b/>
          <w:noProof/>
          <w:sz w:val="16"/>
          <w:lang w:eastAsia="ja-JP"/>
        </w:rPr>
        <mc:AlternateContent>
          <mc:Choice Requires="wps">
            <w:drawing>
              <wp:anchor distT="0" distB="0" distL="114300" distR="114300" simplePos="0" relativeHeight="251474432" behindDoc="0" locked="0" layoutInCell="1" allowOverlap="1" wp14:anchorId="594BD7E9" wp14:editId="7FCEC3C0">
                <wp:simplePos x="0" y="0"/>
                <wp:positionH relativeFrom="column">
                  <wp:posOffset>6036319</wp:posOffset>
                </wp:positionH>
                <wp:positionV relativeFrom="paragraph">
                  <wp:posOffset>148083</wp:posOffset>
                </wp:positionV>
                <wp:extent cx="1086485" cy="663855"/>
                <wp:effectExtent l="0" t="0" r="0" b="3175"/>
                <wp:wrapNone/>
                <wp:docPr id="91" name="テキスト ボックス 91"/>
                <wp:cNvGraphicFramePr/>
                <a:graphic xmlns:a="http://schemas.openxmlformats.org/drawingml/2006/main">
                  <a:graphicData uri="http://schemas.microsoft.com/office/word/2010/wordprocessingShape">
                    <wps:wsp>
                      <wps:cNvSpPr txBox="1"/>
                      <wps:spPr>
                        <a:xfrm>
                          <a:off x="0" y="0"/>
                          <a:ext cx="1086485" cy="663855"/>
                        </a:xfrm>
                        <a:prstGeom prst="rect">
                          <a:avLst/>
                        </a:prstGeom>
                        <a:noFill/>
                        <a:ln w="6350">
                          <a:noFill/>
                        </a:ln>
                      </wps:spPr>
                      <wps:txbx>
                        <w:txbxContent>
                          <w:p w14:paraId="2DA38D88" w14:textId="384C6F9A" w:rsidR="00DB3B0C" w:rsidRPr="00BC0E84" w:rsidRDefault="00DB3B0C" w:rsidP="00DB3B0C">
                            <w:pPr>
                              <w:rPr>
                                <w:rFonts w:ascii="ＭＳ ゴシック" w:eastAsia="ＭＳ ゴシック" w:hAnsi="ＭＳ ゴシック" w:cs="ＭＳ ゴシック"/>
                                <w:sz w:val="12"/>
                                <w:szCs w:val="12"/>
                                <w:lang w:eastAsia="ja-JP"/>
                              </w:rPr>
                            </w:pPr>
                            <w:r w:rsidRPr="00BC0E84">
                              <w:rPr>
                                <w:rFonts w:ascii="ＭＳ ゴシック" w:eastAsia="ＭＳ ゴシック" w:hAnsi="ＭＳ ゴシック" w:cs="ＭＳ ゴシック" w:hint="eastAsia"/>
                                <w:sz w:val="12"/>
                                <w:szCs w:val="12"/>
                                <w:lang w:eastAsia="ja-JP"/>
                              </w:rPr>
                              <w:t>ライフサイクル内の物質移動</w:t>
                            </w:r>
                          </w:p>
                          <w:p w14:paraId="67623CE3" w14:textId="3EC6B76B" w:rsidR="00DB3B0C" w:rsidRPr="00BC0E84" w:rsidRDefault="00DB3B0C" w:rsidP="00DB3B0C">
                            <w:pPr>
                              <w:rPr>
                                <w:rFonts w:ascii="ＭＳ ゴシック" w:eastAsia="ＭＳ ゴシック" w:hAnsi="ＭＳ ゴシック" w:cs="ＭＳ ゴシック"/>
                                <w:sz w:val="6"/>
                                <w:szCs w:val="6"/>
                                <w:lang w:eastAsia="ja-JP"/>
                              </w:rPr>
                            </w:pPr>
                          </w:p>
                          <w:p w14:paraId="68774D60" w14:textId="3B8CC161" w:rsidR="00DB3B0C" w:rsidRPr="00DB3B0C" w:rsidRDefault="00DB3B0C" w:rsidP="00DB3B0C">
                            <w:pPr>
                              <w:rPr>
                                <w:rFonts w:ascii="ＭＳ ゴシック" w:eastAsia="ＭＳ ゴシック" w:hAnsi="ＭＳ ゴシック" w:cs="ＭＳ ゴシック"/>
                                <w:sz w:val="12"/>
                                <w:szCs w:val="12"/>
                                <w:lang w:eastAsia="ja-JP"/>
                              </w:rPr>
                            </w:pPr>
                            <w:r w:rsidRPr="00DB3B0C">
                              <w:rPr>
                                <w:rFonts w:ascii="ＭＳ ゴシック" w:eastAsia="ＭＳ ゴシック" w:hAnsi="ＭＳ ゴシック" w:cs="ＭＳ ゴシック" w:hint="eastAsia"/>
                                <w:sz w:val="12"/>
                                <w:szCs w:val="12"/>
                                <w:lang w:eastAsia="ja-JP"/>
                              </w:rPr>
                              <w:t>帰属プロセス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BD7E9" id="テキスト ボックス 91" o:spid="_x0000_s1066" type="#_x0000_t202" style="position:absolute;margin-left:475.3pt;margin-top:11.65pt;width:85.55pt;height:52.25pt;z-index:2514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" filled="f" stroked="f" strokeweight=".5pt">
                <v:textbox>
                  <w:txbxContent>
                    <w:p w14:paraId="2DA38D88" w14:textId="384C6F9A" w:rsidR="00DB3B0C" w:rsidRPr="00BC0E84" w:rsidRDefault="00DB3B0C" w:rsidP="00DB3B0C">
                      <w:pPr>
                        <w:rPr>
                          <w:rFonts w:ascii="ＭＳ ゴシック" w:eastAsia="ＭＳ ゴシック" w:hAnsi="ＭＳ ゴシック" w:cs="ＭＳ ゴシック"/>
                          <w:sz w:val="12"/>
                          <w:szCs w:val="12"/>
                          <w:lang w:eastAsia="ja-JP"/>
                        </w:rPr>
                      </w:pPr>
                      <w:r w:rsidRPr="00BC0E84">
                        <w:rPr>
                          <w:rFonts w:ascii="ＭＳ ゴシック" w:eastAsia="ＭＳ ゴシック" w:hAnsi="ＭＳ ゴシック" w:cs="ＭＳ ゴシック" w:hint="eastAsia"/>
                          <w:sz w:val="12"/>
                          <w:szCs w:val="12"/>
                          <w:lang w:eastAsia="ja-JP"/>
                        </w:rPr>
                        <w:t>ライフサイクル内の物質移動</w:t>
                      </w:r>
                    </w:p>
                    <w:p w14:paraId="67623CE3" w14:textId="3EC6B76B" w:rsidR="00DB3B0C" w:rsidRPr="00BC0E84" w:rsidRDefault="00DB3B0C" w:rsidP="00DB3B0C">
                      <w:pPr>
                        <w:rPr>
                          <w:rFonts w:ascii="ＭＳ ゴシック" w:eastAsia="ＭＳ ゴシック" w:hAnsi="ＭＳ ゴシック" w:cs="ＭＳ ゴシック"/>
                          <w:sz w:val="6"/>
                          <w:szCs w:val="6"/>
                          <w:lang w:eastAsia="ja-JP"/>
                        </w:rPr>
                      </w:pPr>
                    </w:p>
                    <w:p w14:paraId="68774D60" w14:textId="3B8CC161" w:rsidR="00DB3B0C" w:rsidRPr="00DB3B0C" w:rsidRDefault="00DB3B0C" w:rsidP="00DB3B0C">
                      <w:pPr>
                        <w:rPr>
                          <w:rFonts w:ascii="ＭＳ ゴシック" w:eastAsia="ＭＳ ゴシック" w:hAnsi="ＭＳ ゴシック" w:cs="ＭＳ ゴシック"/>
                          <w:sz w:val="12"/>
                          <w:szCs w:val="12"/>
                          <w:lang w:eastAsia="ja-JP"/>
                        </w:rPr>
                      </w:pPr>
                      <w:r w:rsidRPr="00DB3B0C">
                        <w:rPr>
                          <w:rFonts w:ascii="ＭＳ ゴシック" w:eastAsia="ＭＳ ゴシック" w:hAnsi="ＭＳ ゴシック" w:cs="ＭＳ ゴシック" w:hint="eastAsia"/>
                          <w:sz w:val="12"/>
                          <w:szCs w:val="12"/>
                          <w:lang w:eastAsia="ja-JP"/>
                        </w:rPr>
                        <w:t>帰属プロセス</w:t>
                      </w:r>
                    </w:p>
                  </w:txbxContent>
                </v:textbox>
              </v:shape>
            </w:pict>
          </mc:Fallback>
        </mc:AlternateContent>
      </w:r>
      <w:r w:rsidR="00DB3B0C">
        <w:rPr>
          <w:rFonts w:ascii="Arial"/>
          <w:b/>
          <w:noProof/>
          <w:sz w:val="16"/>
          <w:lang w:eastAsia="ja-JP"/>
        </w:rPr>
        <mc:AlternateContent>
          <mc:Choice Requires="wps">
            <w:drawing>
              <wp:anchor distT="0" distB="0" distL="114300" distR="114300" simplePos="0" relativeHeight="251473408" behindDoc="0" locked="0" layoutInCell="1" allowOverlap="1" wp14:anchorId="45E5BD5D" wp14:editId="4C129444">
                <wp:simplePos x="0" y="0"/>
                <wp:positionH relativeFrom="column">
                  <wp:posOffset>5070764</wp:posOffset>
                </wp:positionH>
                <wp:positionV relativeFrom="paragraph">
                  <wp:posOffset>199239</wp:posOffset>
                </wp:positionV>
                <wp:extent cx="748145" cy="421640"/>
                <wp:effectExtent l="0" t="0" r="0" b="0"/>
                <wp:wrapNone/>
                <wp:docPr id="90" name="テキスト ボックス 90"/>
                <wp:cNvGraphicFramePr/>
                <a:graphic xmlns:a="http://schemas.openxmlformats.org/drawingml/2006/main">
                  <a:graphicData uri="http://schemas.microsoft.com/office/word/2010/wordprocessingShape">
                    <wps:wsp>
                      <wps:cNvSpPr txBox="1"/>
                      <wps:spPr>
                        <a:xfrm>
                          <a:off x="0" y="0"/>
                          <a:ext cx="748145" cy="421640"/>
                        </a:xfrm>
                        <a:prstGeom prst="rect">
                          <a:avLst/>
                        </a:prstGeom>
                        <a:noFill/>
                        <a:ln w="6350">
                          <a:noFill/>
                        </a:ln>
                      </wps:spPr>
                      <wps:txbx>
                        <w:txbxContent>
                          <w:p w14:paraId="55D8C861" w14:textId="5F3B052A" w:rsidR="00DB3B0C" w:rsidRPr="00DB3B0C" w:rsidRDefault="00DB3B0C">
                            <w:pPr>
                              <w:rPr>
                                <w:rFonts w:ascii="ＭＳ ゴシック" w:eastAsia="ＭＳ ゴシック" w:hAnsi="ＭＳ ゴシック" w:cs="ＭＳ ゴシック"/>
                                <w:sz w:val="12"/>
                                <w:szCs w:val="12"/>
                                <w:lang w:eastAsia="ja-JP"/>
                              </w:rPr>
                            </w:pPr>
                            <w:r w:rsidRPr="00DB3B0C">
                              <w:rPr>
                                <w:rFonts w:ascii="ＭＳ ゴシック" w:eastAsia="ＭＳ ゴシック" w:hAnsi="ＭＳ ゴシック" w:cs="ＭＳ ゴシック" w:hint="eastAsia"/>
                                <w:sz w:val="12"/>
                                <w:szCs w:val="12"/>
                                <w:lang w:eastAsia="ja-JP"/>
                              </w:rPr>
                              <w:t>エネルギー投入</w:t>
                            </w:r>
                          </w:p>
                          <w:p w14:paraId="76420EAC" w14:textId="5F39C455" w:rsidR="00DB3B0C" w:rsidRPr="00DB3B0C" w:rsidRDefault="00DB3B0C">
                            <w:pPr>
                              <w:rPr>
                                <w:rFonts w:ascii="ＭＳ ゴシック" w:eastAsia="ＭＳ ゴシック" w:hAnsi="ＭＳ ゴシック" w:cs="ＭＳ ゴシック"/>
                                <w:sz w:val="14"/>
                                <w:szCs w:val="14"/>
                                <w:lang w:eastAsia="ja-JP"/>
                              </w:rPr>
                            </w:pPr>
                          </w:p>
                          <w:p w14:paraId="462DE7CA" w14:textId="0982AC18" w:rsidR="00DB3B0C" w:rsidRPr="00DB3B0C" w:rsidRDefault="00DB3B0C">
                            <w:pPr>
                              <w:rPr>
                                <w:rFonts w:ascii="ＭＳ ゴシック" w:eastAsia="ＭＳ ゴシック" w:hAnsi="ＭＳ ゴシック" w:cs="ＭＳ ゴシック"/>
                                <w:sz w:val="12"/>
                                <w:szCs w:val="12"/>
                                <w:lang w:eastAsia="ja-JP"/>
                              </w:rPr>
                            </w:pPr>
                            <w:r w:rsidRPr="00DB3B0C">
                              <w:rPr>
                                <w:rFonts w:ascii="ＭＳ ゴシック" w:eastAsia="ＭＳ ゴシック" w:hAnsi="ＭＳ ゴシック" w:cs="ＭＳ ゴシック" w:hint="eastAsia"/>
                                <w:sz w:val="12"/>
                                <w:szCs w:val="12"/>
                                <w:lang w:eastAsia="ja-JP"/>
                              </w:rPr>
                              <w:t>物質投入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5BD5D" id="テキスト ボックス 90" o:spid="_x0000_s1067" type="#_x0000_t202" style="position:absolute;margin-left:399.25pt;margin-top:15.7pt;width:58.9pt;height:33.2pt;z-index:2514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" filled="f" stroked="f" strokeweight=".5pt">
                <v:textbox>
                  <w:txbxContent>
                    <w:p w14:paraId="55D8C861" w14:textId="5F3B052A" w:rsidR="00DB3B0C" w:rsidRPr="00DB3B0C" w:rsidRDefault="00DB3B0C">
                      <w:pPr>
                        <w:rPr>
                          <w:rFonts w:ascii="ＭＳ ゴシック" w:eastAsia="ＭＳ ゴシック" w:hAnsi="ＭＳ ゴシック" w:cs="ＭＳ ゴシック"/>
                          <w:sz w:val="12"/>
                          <w:szCs w:val="12"/>
                          <w:lang w:eastAsia="ja-JP"/>
                        </w:rPr>
                      </w:pPr>
                      <w:r w:rsidRPr="00DB3B0C">
                        <w:rPr>
                          <w:rFonts w:ascii="ＭＳ ゴシック" w:eastAsia="ＭＳ ゴシック" w:hAnsi="ＭＳ ゴシック" w:cs="ＭＳ ゴシック" w:hint="eastAsia"/>
                          <w:sz w:val="12"/>
                          <w:szCs w:val="12"/>
                          <w:lang w:eastAsia="ja-JP"/>
                        </w:rPr>
                        <w:t>エネルギー投入</w:t>
                      </w:r>
                    </w:p>
                    <w:p w14:paraId="76420EAC" w14:textId="5F39C455" w:rsidR="00DB3B0C" w:rsidRPr="00DB3B0C" w:rsidRDefault="00DB3B0C">
                      <w:pPr>
                        <w:rPr>
                          <w:rFonts w:ascii="ＭＳ ゴシック" w:eastAsia="ＭＳ ゴシック" w:hAnsi="ＭＳ ゴシック" w:cs="ＭＳ ゴシック"/>
                          <w:sz w:val="14"/>
                          <w:szCs w:val="14"/>
                          <w:lang w:eastAsia="ja-JP"/>
                        </w:rPr>
                      </w:pPr>
                    </w:p>
                    <w:p w14:paraId="462DE7CA" w14:textId="0982AC18" w:rsidR="00DB3B0C" w:rsidRPr="00DB3B0C" w:rsidRDefault="00DB3B0C">
                      <w:pPr>
                        <w:rPr>
                          <w:rFonts w:ascii="ＭＳ ゴシック" w:eastAsia="ＭＳ ゴシック" w:hAnsi="ＭＳ ゴシック" w:cs="ＭＳ ゴシック"/>
                          <w:sz w:val="12"/>
                          <w:szCs w:val="12"/>
                          <w:lang w:eastAsia="ja-JP"/>
                        </w:rPr>
                      </w:pPr>
                      <w:r w:rsidRPr="00DB3B0C">
                        <w:rPr>
                          <w:rFonts w:ascii="ＭＳ ゴシック" w:eastAsia="ＭＳ ゴシック" w:hAnsi="ＭＳ ゴシック" w:cs="ＭＳ ゴシック" w:hint="eastAsia"/>
                          <w:sz w:val="12"/>
                          <w:szCs w:val="12"/>
                          <w:lang w:eastAsia="ja-JP"/>
                        </w:rPr>
                        <w:t>物質投入</w:t>
                      </w:r>
                    </w:p>
                  </w:txbxContent>
                </v:textbox>
              </v:shape>
            </w:pict>
          </mc:Fallback>
        </mc:AlternateContent>
      </w:r>
    </w:p>
    <w:p w14:paraId="2BB56970" w14:textId="77777777" w:rsidR="0055291C" w:rsidRDefault="0055291C">
      <w:pPr>
        <w:rPr>
          <w:rFonts w:ascii="Arial"/>
          <w:sz w:val="16"/>
          <w:lang w:eastAsia="ja-JP"/>
        </w:rPr>
        <w:sectPr w:rsidR="0055291C">
          <w:type w:val="continuous"/>
          <w:pgSz w:w="12240" w:h="15840"/>
          <w:pgMar w:top="740" w:right="0" w:bottom="280" w:left="0" w:header="0" w:footer="859" w:gutter="0"/>
          <w:cols w:space="720"/>
        </w:sectPr>
      </w:pPr>
    </w:p>
    <w:p w14:paraId="699ABA56" w14:textId="77777777" w:rsidR="0055291C" w:rsidRDefault="0055291C">
      <w:pPr>
        <w:pStyle w:val="a3"/>
        <w:rPr>
          <w:rFonts w:ascii="Arial"/>
          <w:b/>
          <w:sz w:val="20"/>
          <w:lang w:eastAsia="ja-JP"/>
        </w:rPr>
      </w:pPr>
    </w:p>
    <w:p w14:paraId="6FEB6E79" w14:textId="5D7E5085" w:rsidR="0055291C" w:rsidRDefault="002C1D6E">
      <w:pPr>
        <w:spacing w:before="151" w:line="254" w:lineRule="auto"/>
        <w:ind w:left="1533" w:right="38" w:hanging="2"/>
        <w:jc w:val="center"/>
        <w:rPr>
          <w:rFonts w:ascii="ＭＳ ゴシック" w:eastAsia="ＭＳ ゴシック" w:hAnsi="ＭＳ ゴシック" w:cs="ＭＳ ゴシック"/>
          <w:b/>
          <w:i/>
          <w:color w:val="FFFFFF"/>
          <w:spacing w:val="-2"/>
          <w:w w:val="95"/>
          <w:sz w:val="18"/>
        </w:rPr>
      </w:pPr>
      <w:r>
        <w:rPr>
          <w:rFonts w:ascii="ＭＳ ゴシック" w:eastAsia="ＭＳ ゴシック" w:hAnsi="ＭＳ ゴシック" w:cs="ＭＳ ゴシック" w:hint="eastAsia"/>
          <w:b/>
          <w:i/>
          <w:color w:val="FFFFFF"/>
          <w:sz w:val="18"/>
          <w:lang w:eastAsia="ja-JP"/>
        </w:rPr>
        <w:t>素材</w:t>
      </w:r>
      <w:r w:rsidR="00F23C61">
        <w:rPr>
          <w:rFonts w:ascii="Arial"/>
          <w:b/>
          <w:i/>
          <w:color w:val="FFFFFF"/>
          <w:spacing w:val="-9"/>
          <w:w w:val="95"/>
          <w:sz w:val="18"/>
        </w:rPr>
        <w:t xml:space="preserve"> </w:t>
      </w:r>
      <w:r w:rsidR="00F23C61">
        <w:rPr>
          <w:rFonts w:ascii="Arial"/>
          <w:b/>
          <w:i/>
          <w:color w:val="FFFFFF"/>
          <w:spacing w:val="-2"/>
          <w:w w:val="95"/>
          <w:sz w:val="18"/>
        </w:rPr>
        <w:t>A</w:t>
      </w:r>
      <w:r>
        <w:rPr>
          <w:rFonts w:ascii="ＭＳ ゴシック" w:eastAsia="ＭＳ ゴシック" w:hAnsi="ＭＳ ゴシック" w:cs="ＭＳ ゴシック" w:hint="eastAsia"/>
          <w:b/>
          <w:i/>
          <w:color w:val="FFFFFF"/>
          <w:spacing w:val="-2"/>
          <w:w w:val="95"/>
          <w:sz w:val="18"/>
          <w:lang w:eastAsia="ja-JP"/>
        </w:rPr>
        <w:t>の処理</w:t>
      </w:r>
    </w:p>
    <w:p w14:paraId="51E3E2A5" w14:textId="77777777" w:rsidR="002C1D6E" w:rsidRDefault="002C1D6E">
      <w:pPr>
        <w:spacing w:before="151" w:line="254" w:lineRule="auto"/>
        <w:ind w:left="1533" w:right="38" w:hanging="2"/>
        <w:jc w:val="center"/>
        <w:rPr>
          <w:rFonts w:ascii="Arial"/>
          <w:b/>
          <w:i/>
          <w:sz w:val="18"/>
        </w:rPr>
      </w:pPr>
    </w:p>
    <w:p w14:paraId="35FA141D" w14:textId="3EA3FE24" w:rsidR="0055291C" w:rsidRPr="00DB3B0C" w:rsidRDefault="00F23C61">
      <w:pPr>
        <w:spacing w:before="102"/>
        <w:ind w:left="1556"/>
        <w:rPr>
          <w:rFonts w:ascii="Arial"/>
          <w:b/>
          <w:i/>
          <w:color w:val="000000" w:themeColor="text1"/>
          <w:sz w:val="13"/>
        </w:rPr>
      </w:pPr>
      <w:r>
        <w:br w:type="column"/>
      </w:r>
      <w:r>
        <w:rPr>
          <w:rFonts w:ascii="Arial"/>
          <w:b/>
          <w:i/>
          <w:color w:val="FFFFFF"/>
          <w:w w:val="90"/>
          <w:sz w:val="21"/>
        </w:rPr>
        <w:t>e</w:t>
      </w:r>
      <w:r>
        <w:rPr>
          <w:rFonts w:ascii="Arial"/>
          <w:b/>
          <w:i/>
          <w:color w:val="FFFFFF"/>
          <w:spacing w:val="134"/>
          <w:sz w:val="21"/>
        </w:rPr>
        <w:t xml:space="preserve"> </w:t>
      </w:r>
    </w:p>
    <w:p w14:paraId="55E275A0" w14:textId="772BDE86" w:rsidR="0055291C" w:rsidRDefault="00000000">
      <w:pPr>
        <w:spacing w:before="124"/>
        <w:ind w:left="1533"/>
        <w:rPr>
          <w:rFonts w:ascii="Arial"/>
          <w:b/>
          <w:i/>
          <w:sz w:val="13"/>
        </w:rPr>
      </w:pPr>
      <w:r>
        <w:pict w14:anchorId="0D7ACA1D">
          <v:group id="docshapegroup712" o:spid="_x0000_s3079" style="position:absolute;left:0;text-align:left;margin-left:66.5pt;margin-top:-16.25pt;width:488.85pt;height:179.85pt;z-index:-251577856;mso-position-horizontal-relative:page" coordorigin="1330,-325" coordsize="9777,3597">
            <v:shape id="docshape713" o:spid="_x0000_s3099" style="position:absolute;left:1980;top:-101;width:1440;height:3299" coordorigin="1981,-100" coordsize="1440,3299" path="m3420,1539r-5,-17l3401,1508,3243,1402r-18,-8l3210,1396r-10,10l3196,1425r,43l2188,1468r,-1568l2056,-100r,2749l2013,2650r-19,9l1983,2685r-2,37l1988,2768r99,381l2101,3186r17,12l2134,3187r15,-36l2255,2763r8,-45l2261,2682r-11,-25l2231,2648r-42,l2188,1600r1009,1l3197,1643r4,19l3211,1673r15,3l3245,1668r155,-98l3415,1555r5,-16xe" fillcolor="#b8babd" stroked="f">
              <v:path arrowok="t"/>
            </v:shape>
            <v:shape id="docshape714" o:spid="_x0000_s3098" style="position:absolute;left:1330;top:-154;width:1496;height:936" coordorigin="1330,-154" coordsize="1496,936" path="m2655,-154r-1155,l1402,-151r-51,18l1333,-82r-3,98l1330,612r3,98l1351,760r51,19l1500,782r1155,l2753,779r51,-19l2823,710r2,-98l2825,16r-2,-98l2804,-133r-51,-18l2655,-154xe" fillcolor="#00aca1" stroked="f">
              <v:path arrowok="t"/>
            </v:shape>
            <v:shape id="docshape715" o:spid="_x0000_s3097" style="position:absolute;left:4218;top:1393;width:1284;height:282" coordorigin="4218,1394" coordsize="1284,282" path="m5315,1394r-14,2l5291,1406r-3,19l5288,1468r-1070,l4218,1600r1070,1l5288,1643r4,19l5302,1673r14,3l5334,1668r148,-98l5497,1555r5,-16l5497,1522r-14,-14l5332,1402r-17,-8xe" fillcolor="#b8babd" stroked="f">
              <v:path arrowok="t"/>
            </v:shape>
            <v:shape id="docshape716" o:spid="_x0000_s3096" style="position:absolute;left:3483;top:1068;width:1496;height:936" coordorigin="3483,1069" coordsize="1496,936" path="m4808,1069r-1155,l3555,1071r-51,19l3486,1140r-3,99l3483,1834r3,98l3504,1983r51,18l3653,2004r1155,l4906,2001r51,-18l4975,1932r3,-98l4978,1239r-3,-99l4957,1090r-51,-19l4808,1069xe" fillcolor="#7f3f98" stroked="f">
              <v:path arrowok="t"/>
            </v:shape>
            <v:shape id="docshape717" o:spid="_x0000_s3095" style="position:absolute;left:6261;top:1393;width:1284;height:282" coordorigin="6262,1394" coordsize="1284,282" path="m7358,1394r-14,2l7334,1406r-3,19l7331,1468r-1069,l6262,1600r1069,1l7332,1643r3,19l7345,1673r15,3l7378,1668r148,-98l7540,1555r5,-16l7540,1522r-13,-14l7376,1402r-18,-8xe" fillcolor="#b8babd" stroked="f">
              <v:path arrowok="t"/>
            </v:shape>
            <v:shape id="docshape718" o:spid="_x0000_s3094" style="position:absolute;left:5553;top:1068;width:1496;height:936" coordorigin="5553,1069" coordsize="1496,936" path="m6878,1069r-1155,l5625,1071r-50,19l5556,1140r-3,99l5553,1834r3,98l5575,1983r50,18l5723,2004r1155,l6977,2001r50,-18l7046,1932r2,-98l7048,1239r-2,-99l7027,1090r-50,-19l6878,1069xe" fillcolor="#4f84c4" stroked="f">
              <v:path arrowok="t"/>
            </v:shape>
            <v:shape id="docshape719" o:spid="_x0000_s3093" style="position:absolute;left:8313;top:1393;width:1284;height:282" coordorigin="8314,1394" coordsize="1284,282" path="m9410,1394r-14,2l9386,1406r-3,19l9383,1468r-1069,l8314,1600r1069,1l9383,1643r4,19l9397,1673r15,3l9429,1668r149,-98l9592,1555r5,-16l9592,1522r-14,-14l9428,1402r-18,-8xe" fillcolor="#b8babd" stroked="f">
              <v:path arrowok="t"/>
            </v:shape>
            <v:shape id="docshape720" o:spid="_x0000_s3092" style="position:absolute;left:7588;top:1068;width:1496;height:936" coordorigin="7588,1069" coordsize="1496,936" path="m8913,1069r-1155,l7660,1071r-51,19l7591,1140r-3,99l7588,1834r3,98l7609,1983r51,18l7758,2004r1155,l9011,2001r51,-18l9080,1932r3,-98l9083,1239r-3,-99l9062,1090r-51,-19l8913,1069xe" fillcolor="#ed1065" stroked="f">
              <v:path arrowok="t"/>
            </v:shape>
            <v:shape id="docshape721" o:spid="_x0000_s3091" style="position:absolute;left:1330;top:2336;width:1496;height:936" coordorigin="1330,2336" coordsize="1496,936" path="m2655,2336r-1155,l1402,2339r-51,19l1333,2408r-3,99l1330,3102r3,98l1351,3251r51,18l1500,3272r1155,l2753,3269r51,-18l2823,3200r2,-98l2825,2507r-2,-99l2804,2358r-51,-19l2655,2336xe" fillcolor="#00aca1" stroked="f">
              <v:path arrowok="t"/>
            </v:shape>
            <v:shape id="docshape722" o:spid="_x0000_s3090" style="position:absolute;left:9611;top:1068;width:1496;height:936" coordorigin="9611,1069" coordsize="1496,936" path="m10936,1069r-1155,l9683,1071r-51,19l9614,1140r-3,99l9611,1834r3,98l9632,1983r51,18l9781,2004r1155,l11034,2001r51,-18l11103,1932r3,-98l11106,1239r-3,-99l11085,1090r-51,-19l10936,1069xe" fillcolor="#f47836" stroked="f">
              <v:path arrowok="t"/>
            </v:shape>
            <v:shape id="docshape723" o:spid="_x0000_s3089" type="#_x0000_t75" style="position:absolute;left:4030;top:823;width:360;height:360">
              <v:imagedata r:id="rId158" o:title=""/>
            </v:shape>
            <v:shape id="docshape724" o:spid="_x0000_s3088" type="#_x0000_t75" style="position:absolute;left:6148;top:823;width:360;height:360">
              <v:imagedata r:id="rId158" o:title=""/>
            </v:shape>
            <v:shape id="docshape725" o:spid="_x0000_s3087" type="#_x0000_t75" style="position:absolute;left:8177;top:823;width:360;height:360">
              <v:imagedata r:id="rId158" o:title=""/>
            </v:shape>
            <v:shape id="docshape726" o:spid="_x0000_s3086" type="#_x0000_t75" style="position:absolute;left:10190;top:845;width:360;height:360">
              <v:imagedata r:id="rId159" o:title=""/>
            </v:shape>
            <v:shape id="docshape727" o:spid="_x0000_s3085" style="position:absolute;left:1913;top:876;width:470;height:1361" coordorigin="1913,877" coordsize="470,1361" o:spt="100" adj="0,,0" path="m2369,1145r-25,-33l2270,1065,2045,928r-76,-44l1930,877r-15,37l1913,1001r,287l1915,1376r15,37l1969,1406r76,-44l2270,1225r74,-48l2369,1145xm2383,1969r-25,-32l2285,1889,2059,1752r-76,-44l1944,1701r-14,37l1928,1826r,287l1930,2201r14,37l1983,2231r76,-44l2285,2049r73,-47l2383,1969xe" fillcolor="#81cfcb" stroked="f">
              <v:stroke joinstyle="round"/>
              <v:formulas/>
              <v:path arrowok="t" o:connecttype="segments"/>
            </v:shape>
            <v:shape id="docshape728" o:spid="_x0000_s3084" style="position:absolute;left:7604;top:-322;width:3500;height:779" coordorigin="7604,-321" coordsize="3500,779" path="m7725,-321r-70,2l7619,-306r-13,36l7604,-200r,535l7606,406r13,36l7655,455r70,2l10982,457r70,-2l11088,442r13,-36l11103,335r,-535l11101,-270r-13,-36l11052,-319r-70,-2l7725,-321xe" filled="f" strokecolor="#545456" strokeweight=".1284mm">
              <v:path arrowok="t"/>
            </v:shape>
            <v:shape id="docshape729" o:spid="_x0000_s3083" type="#_x0000_t75" style="position:absolute;left:7744;top:92;width:259;height:307">
              <v:imagedata r:id="rId160" o:title=""/>
            </v:shape>
            <v:shape id="docshape730" o:spid="_x0000_s3082" type="#_x0000_t75" style="position:absolute;left:7724;top:-226;width:257;height:257">
              <v:imagedata r:id="rId161" o:title=""/>
            </v:shape>
            <v:shape id="docshape731" o:spid="_x0000_s3081" type="#_x0000_t75" style="position:absolute;left:9209;top:-187;width:318;height:201">
              <v:imagedata r:id="rId162" o:title=""/>
            </v:shape>
            <v:shape id="docshape732" o:spid="_x0000_s3080" type="#_x0000_t75" style="position:absolute;left:9219;top:150;width:296;height:192">
              <v:imagedata r:id="rId163" o:title=""/>
            </v:shape>
            <w10:wrap anchorx="page"/>
          </v:group>
        </w:pict>
      </w:r>
      <w:r w:rsidR="00F23C61">
        <w:rPr>
          <w:rFonts w:ascii="Arial"/>
          <w:b/>
          <w:i/>
          <w:color w:val="FFFFFF"/>
          <w:spacing w:val="-1"/>
          <w:w w:val="95"/>
          <w:sz w:val="17"/>
        </w:rPr>
        <w:t>m</w:t>
      </w:r>
      <w:r w:rsidR="00F23C61">
        <w:rPr>
          <w:rFonts w:ascii="Arial"/>
          <w:b/>
          <w:i/>
          <w:color w:val="FFFFFF"/>
          <w:spacing w:val="43"/>
          <w:sz w:val="17"/>
        </w:rPr>
        <w:t xml:space="preserve">  </w:t>
      </w:r>
    </w:p>
    <w:p w14:paraId="6BC753D6" w14:textId="77777777" w:rsidR="0055291C" w:rsidRDefault="00F23C61">
      <w:pPr>
        <w:spacing w:before="7"/>
        <w:rPr>
          <w:rFonts w:ascii="Arial"/>
          <w:b/>
          <w:i/>
          <w:sz w:val="16"/>
        </w:rPr>
      </w:pPr>
      <w:r>
        <w:br w:type="column"/>
      </w:r>
    </w:p>
    <w:p w14:paraId="15920942" w14:textId="77777777" w:rsidR="0055291C" w:rsidRDefault="0055291C">
      <w:pPr>
        <w:rPr>
          <w:rFonts w:ascii="Arial"/>
          <w:sz w:val="13"/>
        </w:rPr>
        <w:sectPr w:rsidR="0055291C">
          <w:type w:val="continuous"/>
          <w:pgSz w:w="12240" w:h="15840"/>
          <w:pgMar w:top="740" w:right="0" w:bottom="280" w:left="0" w:header="0" w:footer="859" w:gutter="0"/>
          <w:cols w:num="3" w:space="720" w:equalWidth="0">
            <w:col w:w="2647" w:space="3579"/>
            <w:col w:w="2726" w:space="40"/>
            <w:col w:w="3248"/>
          </w:cols>
        </w:sectPr>
      </w:pPr>
    </w:p>
    <w:p w14:paraId="1E79D8B5" w14:textId="77777777" w:rsidR="0055291C" w:rsidRDefault="00F23C61">
      <w:pPr>
        <w:spacing w:before="231" w:line="299" w:lineRule="exact"/>
        <w:ind w:left="1126"/>
        <w:rPr>
          <w:rFonts w:ascii="Arial"/>
          <w:b/>
          <w:i/>
          <w:sz w:val="30"/>
        </w:rPr>
      </w:pPr>
      <w:r>
        <w:rPr>
          <w:rFonts w:ascii="Arial"/>
          <w:b/>
          <w:i/>
          <w:color w:val="545456"/>
          <w:sz w:val="18"/>
        </w:rPr>
        <w:t>material</w:t>
      </w:r>
      <w:r>
        <w:rPr>
          <w:rFonts w:ascii="Arial"/>
          <w:b/>
          <w:i/>
          <w:color w:val="545456"/>
          <w:spacing w:val="63"/>
          <w:sz w:val="18"/>
        </w:rPr>
        <w:t xml:space="preserve"> </w:t>
      </w:r>
      <w:r>
        <w:rPr>
          <w:rFonts w:ascii="Arial"/>
          <w:b/>
          <w:i/>
          <w:color w:val="FFFFFF"/>
          <w:position w:val="-7"/>
          <w:sz w:val="30"/>
        </w:rPr>
        <w:t>m</w:t>
      </w:r>
    </w:p>
    <w:p w14:paraId="437B6647" w14:textId="77777777" w:rsidR="0055291C" w:rsidRDefault="00F23C61">
      <w:pPr>
        <w:spacing w:line="115" w:lineRule="exact"/>
        <w:ind w:left="1179"/>
        <w:rPr>
          <w:rFonts w:ascii="Arial"/>
          <w:b/>
          <w:i/>
          <w:sz w:val="18"/>
        </w:rPr>
      </w:pPr>
      <w:r>
        <w:rPr>
          <w:rFonts w:ascii="Arial"/>
          <w:b/>
          <w:i/>
          <w:color w:val="545456"/>
          <w:spacing w:val="-1"/>
          <w:w w:val="95"/>
          <w:sz w:val="18"/>
        </w:rPr>
        <w:t>input</w:t>
      </w:r>
      <w:r>
        <w:rPr>
          <w:rFonts w:ascii="Arial"/>
          <w:b/>
          <w:i/>
          <w:color w:val="545456"/>
          <w:spacing w:val="-9"/>
          <w:w w:val="95"/>
          <w:sz w:val="18"/>
        </w:rPr>
        <w:t xml:space="preserve"> </w:t>
      </w:r>
      <w:r>
        <w:rPr>
          <w:rFonts w:ascii="Arial"/>
          <w:b/>
          <w:i/>
          <w:color w:val="545456"/>
          <w:w w:val="95"/>
          <w:sz w:val="18"/>
        </w:rPr>
        <w:t>A</w:t>
      </w:r>
    </w:p>
    <w:p w14:paraId="700F996B" w14:textId="77777777" w:rsidR="0055291C" w:rsidRDefault="00F23C61">
      <w:pPr>
        <w:tabs>
          <w:tab w:val="left" w:pos="2117"/>
          <w:tab w:val="left" w:pos="4146"/>
          <w:tab w:val="left" w:pos="6159"/>
        </w:tabs>
        <w:spacing w:before="100"/>
        <w:ind w:right="682"/>
        <w:jc w:val="center"/>
        <w:rPr>
          <w:rFonts w:ascii="Arial"/>
          <w:b/>
          <w:i/>
          <w:sz w:val="30"/>
        </w:rPr>
      </w:pPr>
      <w:r>
        <w:br w:type="column"/>
      </w:r>
      <w:r>
        <w:rPr>
          <w:rFonts w:ascii="Arial"/>
          <w:b/>
          <w:i/>
          <w:color w:val="FFFFFF"/>
          <w:sz w:val="30"/>
        </w:rPr>
        <w:t>e</w:t>
      </w:r>
      <w:r>
        <w:rPr>
          <w:rFonts w:ascii="Arial"/>
          <w:b/>
          <w:i/>
          <w:color w:val="FFFFFF"/>
          <w:sz w:val="30"/>
        </w:rPr>
        <w:tab/>
      </w:r>
      <w:proofErr w:type="spellStart"/>
      <w:r>
        <w:rPr>
          <w:rFonts w:ascii="Arial"/>
          <w:b/>
          <w:i/>
          <w:color w:val="FFFFFF"/>
          <w:sz w:val="30"/>
        </w:rPr>
        <w:t>e</w:t>
      </w:r>
      <w:proofErr w:type="spellEnd"/>
      <w:r>
        <w:rPr>
          <w:rFonts w:ascii="Arial"/>
          <w:b/>
          <w:i/>
          <w:color w:val="FFFFFF"/>
          <w:sz w:val="30"/>
        </w:rPr>
        <w:tab/>
      </w:r>
      <w:proofErr w:type="spellStart"/>
      <w:r>
        <w:rPr>
          <w:rFonts w:ascii="Arial"/>
          <w:b/>
          <w:i/>
          <w:color w:val="FFFFFF"/>
          <w:sz w:val="30"/>
        </w:rPr>
        <w:t>e</w:t>
      </w:r>
      <w:proofErr w:type="spellEnd"/>
      <w:r>
        <w:rPr>
          <w:rFonts w:ascii="Arial"/>
          <w:b/>
          <w:i/>
          <w:color w:val="FFFFFF"/>
          <w:sz w:val="30"/>
        </w:rPr>
        <w:tab/>
      </w:r>
      <w:proofErr w:type="spellStart"/>
      <w:r>
        <w:rPr>
          <w:rFonts w:ascii="Arial"/>
          <w:b/>
          <w:i/>
          <w:color w:val="FFFFFF"/>
          <w:position w:val="-1"/>
          <w:sz w:val="30"/>
        </w:rPr>
        <w:t>e</w:t>
      </w:r>
      <w:proofErr w:type="spellEnd"/>
    </w:p>
    <w:p w14:paraId="217D7FBB" w14:textId="77777777" w:rsidR="0055291C" w:rsidRDefault="0055291C">
      <w:pPr>
        <w:jc w:val="center"/>
        <w:rPr>
          <w:rFonts w:ascii="Arial"/>
          <w:sz w:val="30"/>
        </w:rPr>
        <w:sectPr w:rsidR="0055291C">
          <w:type w:val="continuous"/>
          <w:pgSz w:w="12240" w:h="15840"/>
          <w:pgMar w:top="740" w:right="0" w:bottom="280" w:left="0" w:header="0" w:footer="859" w:gutter="0"/>
          <w:cols w:num="2" w:space="720" w:equalWidth="0">
            <w:col w:w="2234" w:space="751"/>
            <w:col w:w="9255"/>
          </w:cols>
        </w:sectPr>
      </w:pPr>
    </w:p>
    <w:p w14:paraId="6699E519" w14:textId="77777777" w:rsidR="0055291C" w:rsidRDefault="0055291C">
      <w:pPr>
        <w:pStyle w:val="a3"/>
        <w:spacing w:before="3"/>
        <w:rPr>
          <w:rFonts w:ascii="Arial"/>
          <w:b/>
          <w:i/>
          <w:sz w:val="36"/>
        </w:rPr>
      </w:pPr>
    </w:p>
    <w:p w14:paraId="38F6EAD1" w14:textId="77777777" w:rsidR="0055291C" w:rsidRDefault="00F23C61">
      <w:pPr>
        <w:spacing w:line="299" w:lineRule="exact"/>
        <w:ind w:left="1127"/>
        <w:rPr>
          <w:rFonts w:ascii="Arial"/>
          <w:b/>
          <w:i/>
          <w:sz w:val="30"/>
        </w:rPr>
      </w:pPr>
      <w:r>
        <w:rPr>
          <w:rFonts w:ascii="Arial"/>
          <w:b/>
          <w:i/>
          <w:color w:val="545456"/>
          <w:sz w:val="18"/>
        </w:rPr>
        <w:t>material</w:t>
      </w:r>
      <w:r>
        <w:rPr>
          <w:rFonts w:ascii="Arial"/>
          <w:b/>
          <w:i/>
          <w:color w:val="545456"/>
          <w:spacing w:val="77"/>
          <w:sz w:val="18"/>
        </w:rPr>
        <w:t xml:space="preserve"> </w:t>
      </w:r>
      <w:r>
        <w:rPr>
          <w:rFonts w:ascii="Arial"/>
          <w:b/>
          <w:i/>
          <w:color w:val="FFFFFF"/>
          <w:position w:val="-7"/>
          <w:sz w:val="30"/>
        </w:rPr>
        <w:t>m</w:t>
      </w:r>
    </w:p>
    <w:p w14:paraId="739B1BA1" w14:textId="77777777" w:rsidR="0055291C" w:rsidRDefault="00F23C61">
      <w:pPr>
        <w:spacing w:line="161" w:lineRule="exact"/>
        <w:ind w:left="1181"/>
        <w:rPr>
          <w:rFonts w:ascii="Arial"/>
          <w:b/>
          <w:i/>
          <w:sz w:val="18"/>
        </w:rPr>
      </w:pPr>
      <w:r>
        <w:rPr>
          <w:rFonts w:ascii="Arial"/>
          <w:b/>
          <w:i/>
          <w:color w:val="545456"/>
          <w:spacing w:val="-2"/>
          <w:w w:val="95"/>
          <w:sz w:val="18"/>
        </w:rPr>
        <w:t>input</w:t>
      </w:r>
      <w:r>
        <w:rPr>
          <w:rFonts w:ascii="Arial"/>
          <w:b/>
          <w:i/>
          <w:color w:val="545456"/>
          <w:spacing w:val="-8"/>
          <w:w w:val="95"/>
          <w:sz w:val="18"/>
        </w:rPr>
        <w:t xml:space="preserve"> </w:t>
      </w:r>
      <w:r>
        <w:rPr>
          <w:rFonts w:ascii="Arial"/>
          <w:b/>
          <w:i/>
          <w:color w:val="545456"/>
          <w:spacing w:val="-1"/>
          <w:w w:val="95"/>
          <w:sz w:val="18"/>
        </w:rPr>
        <w:t>B</w:t>
      </w:r>
    </w:p>
    <w:p w14:paraId="207FE92D" w14:textId="0D3056A6" w:rsidR="0055291C" w:rsidRPr="00F4786F" w:rsidRDefault="00F23C61">
      <w:pPr>
        <w:spacing w:line="254" w:lineRule="auto"/>
        <w:ind w:left="1263" w:right="-11" w:hanging="136"/>
        <w:rPr>
          <w:rFonts w:ascii="Arial"/>
          <w:b/>
          <w:bCs/>
          <w:i/>
          <w:iCs/>
          <w:sz w:val="18"/>
        </w:rPr>
      </w:pPr>
      <w:r>
        <w:br w:type="column"/>
      </w:r>
      <w:r w:rsidR="00F4786F" w:rsidRPr="00F4786F">
        <w:rPr>
          <w:rFonts w:ascii="ＭＳ ゴシック" w:eastAsia="ＭＳ ゴシック" w:hAnsi="ＭＳ ゴシック" w:cs="ＭＳ ゴシック" w:hint="eastAsia"/>
          <w:b/>
          <w:bCs/>
          <w:i/>
          <w:iCs/>
          <w:color w:val="FFFFFF" w:themeColor="background1"/>
          <w:sz w:val="18"/>
          <w:szCs w:val="18"/>
          <w:lang w:eastAsia="ja-JP"/>
        </w:rPr>
        <w:t>生産過程</w:t>
      </w:r>
    </w:p>
    <w:p w14:paraId="66211639" w14:textId="139D45E0" w:rsidR="0055291C" w:rsidRDefault="00F23C61">
      <w:pPr>
        <w:spacing w:line="254" w:lineRule="auto"/>
        <w:ind w:left="1275" w:right="29" w:hanging="172"/>
        <w:rPr>
          <w:rFonts w:ascii="Arial"/>
          <w:b/>
          <w:i/>
          <w:sz w:val="18"/>
        </w:rPr>
      </w:pPr>
      <w:r>
        <w:br w:type="column"/>
      </w:r>
      <w:r w:rsidR="00F4786F">
        <w:rPr>
          <w:rFonts w:ascii="ＭＳ ゴシック" w:eastAsia="ＭＳ ゴシック" w:hAnsi="ＭＳ ゴシック" w:cs="ＭＳ ゴシック" w:hint="eastAsia"/>
          <w:b/>
          <w:i/>
          <w:color w:val="FFFFFF"/>
          <w:spacing w:val="-3"/>
          <w:sz w:val="18"/>
          <w:lang w:eastAsia="ja-JP"/>
        </w:rPr>
        <w:t>保管過程</w:t>
      </w:r>
    </w:p>
    <w:p w14:paraId="1E5E6F5C" w14:textId="72B54600" w:rsidR="0055291C" w:rsidRDefault="00F23C61" w:rsidP="00F4786F">
      <w:pPr>
        <w:spacing w:line="254" w:lineRule="auto"/>
        <w:ind w:right="-198" w:firstLineChars="500" w:firstLine="1100"/>
        <w:rPr>
          <w:rFonts w:ascii="Arial"/>
          <w:b/>
          <w:i/>
          <w:sz w:val="18"/>
          <w:lang w:eastAsia="ja-JP"/>
        </w:rPr>
      </w:pPr>
      <w:r>
        <w:rPr>
          <w:lang w:eastAsia="ja-JP"/>
        </w:rPr>
        <w:br w:type="column"/>
      </w:r>
      <w:r w:rsidR="00F4786F">
        <w:rPr>
          <w:rFonts w:ascii="ＭＳ ゴシック" w:eastAsia="ＭＳ ゴシック" w:hAnsi="ＭＳ ゴシック" w:cs="ＭＳ ゴシック" w:hint="eastAsia"/>
          <w:b/>
          <w:i/>
          <w:color w:val="FFFFFF"/>
          <w:sz w:val="18"/>
          <w:lang w:eastAsia="ja-JP"/>
        </w:rPr>
        <w:t>使用過程</w:t>
      </w:r>
    </w:p>
    <w:p w14:paraId="27E2F06B" w14:textId="59907697" w:rsidR="0055291C" w:rsidRDefault="00F23C61">
      <w:pPr>
        <w:spacing w:line="254" w:lineRule="auto"/>
        <w:ind w:left="1127" w:right="1450"/>
        <w:jc w:val="center"/>
        <w:rPr>
          <w:rFonts w:ascii="Arial"/>
          <w:b/>
          <w:i/>
          <w:sz w:val="18"/>
          <w:lang w:eastAsia="ja-JP"/>
        </w:rPr>
      </w:pPr>
      <w:r>
        <w:rPr>
          <w:lang w:eastAsia="ja-JP"/>
        </w:rPr>
        <w:br w:type="column"/>
      </w:r>
      <w:r w:rsidR="00F4786F">
        <w:rPr>
          <w:rFonts w:ascii="ＭＳ ゴシック" w:eastAsia="ＭＳ ゴシック" w:hAnsi="ＭＳ ゴシック" w:cs="ＭＳ ゴシック" w:hint="eastAsia"/>
          <w:b/>
          <w:i/>
          <w:color w:val="FFFFFF"/>
          <w:sz w:val="18"/>
          <w:lang w:eastAsia="ja-JP"/>
        </w:rPr>
        <w:t>廃棄過程</w:t>
      </w:r>
    </w:p>
    <w:p w14:paraId="482E0419" w14:textId="77777777" w:rsidR="0055291C" w:rsidRDefault="0055291C">
      <w:pPr>
        <w:spacing w:line="254" w:lineRule="auto"/>
        <w:jc w:val="center"/>
        <w:rPr>
          <w:rFonts w:ascii="Arial"/>
          <w:sz w:val="18"/>
          <w:lang w:eastAsia="ja-JP"/>
        </w:rPr>
        <w:sectPr w:rsidR="0055291C">
          <w:type w:val="continuous"/>
          <w:pgSz w:w="12240" w:h="15840"/>
          <w:pgMar w:top="740" w:right="0" w:bottom="280" w:left="0" w:header="0" w:footer="859" w:gutter="0"/>
          <w:cols w:num="5" w:space="720" w:equalWidth="0">
            <w:col w:w="2248" w:space="401"/>
            <w:col w:w="2019" w:space="40"/>
            <w:col w:w="2106" w:space="76"/>
            <w:col w:w="1787" w:space="108"/>
            <w:col w:w="3455"/>
          </w:cols>
        </w:sectPr>
      </w:pPr>
    </w:p>
    <w:p w14:paraId="28601B02" w14:textId="77777777" w:rsidR="0055291C" w:rsidRDefault="0055291C">
      <w:pPr>
        <w:pStyle w:val="a3"/>
        <w:spacing w:before="5"/>
        <w:rPr>
          <w:rFonts w:ascii="Arial"/>
          <w:b/>
          <w:i/>
          <w:sz w:val="18"/>
          <w:lang w:eastAsia="ja-JP"/>
        </w:rPr>
      </w:pPr>
    </w:p>
    <w:p w14:paraId="09F8F319" w14:textId="77777777" w:rsidR="0055291C" w:rsidRDefault="0055291C">
      <w:pPr>
        <w:rPr>
          <w:rFonts w:ascii="Arial"/>
          <w:sz w:val="18"/>
          <w:lang w:eastAsia="ja-JP"/>
        </w:rPr>
        <w:sectPr w:rsidR="0055291C">
          <w:type w:val="continuous"/>
          <w:pgSz w:w="12240" w:h="15840"/>
          <w:pgMar w:top="740" w:right="0" w:bottom="280" w:left="0" w:header="0" w:footer="859" w:gutter="0"/>
          <w:cols w:space="720"/>
        </w:sectPr>
      </w:pPr>
    </w:p>
    <w:p w14:paraId="2E92B19E" w14:textId="1F01764F" w:rsidR="0055291C" w:rsidRDefault="002C1D6E">
      <w:pPr>
        <w:spacing w:before="99" w:line="254" w:lineRule="auto"/>
        <w:ind w:left="1538" w:hanging="2"/>
        <w:jc w:val="center"/>
        <w:rPr>
          <w:rFonts w:ascii="Arial"/>
          <w:b/>
          <w:i/>
          <w:sz w:val="18"/>
          <w:lang w:eastAsia="ja-JP"/>
        </w:rPr>
      </w:pPr>
      <w:r>
        <w:rPr>
          <w:rFonts w:ascii="ＭＳ ゴシック" w:eastAsia="ＭＳ ゴシック" w:hAnsi="ＭＳ ゴシック" w:cs="ＭＳ ゴシック" w:hint="eastAsia"/>
          <w:b/>
          <w:i/>
          <w:color w:val="FFFFFF"/>
          <w:sz w:val="18"/>
          <w:lang w:eastAsia="ja-JP"/>
        </w:rPr>
        <w:t>素材Bの処理</w:t>
      </w:r>
    </w:p>
    <w:p w14:paraId="4CB4C254" w14:textId="4B375740" w:rsidR="0055291C" w:rsidRDefault="00F23C61">
      <w:pPr>
        <w:tabs>
          <w:tab w:val="left" w:pos="1885"/>
        </w:tabs>
        <w:spacing w:before="147"/>
        <w:ind w:left="958"/>
        <w:rPr>
          <w:rFonts w:ascii="Arial"/>
          <w:b/>
          <w:i/>
          <w:sz w:val="18"/>
          <w:lang w:eastAsia="ja-JP"/>
        </w:rPr>
      </w:pPr>
      <w:r>
        <w:rPr>
          <w:lang w:eastAsia="ja-JP"/>
        </w:rPr>
        <w:br w:type="column"/>
      </w:r>
      <w:r>
        <w:rPr>
          <w:rFonts w:ascii="Arial"/>
          <w:b/>
          <w:i/>
          <w:color w:val="00ACA1"/>
          <w:spacing w:val="-2"/>
          <w:sz w:val="18"/>
          <w:lang w:eastAsia="ja-JP"/>
        </w:rPr>
        <w:t>Step</w:t>
      </w:r>
      <w:r>
        <w:rPr>
          <w:rFonts w:ascii="Arial"/>
          <w:b/>
          <w:i/>
          <w:color w:val="00ACA1"/>
          <w:spacing w:val="-11"/>
          <w:sz w:val="18"/>
          <w:lang w:eastAsia="ja-JP"/>
        </w:rPr>
        <w:t xml:space="preserve"> </w:t>
      </w:r>
      <w:r>
        <w:rPr>
          <w:rFonts w:ascii="Arial"/>
          <w:b/>
          <w:i/>
          <w:color w:val="00ACA1"/>
          <w:spacing w:val="-2"/>
          <w:sz w:val="18"/>
          <w:lang w:eastAsia="ja-JP"/>
        </w:rPr>
        <w:t>[1]</w:t>
      </w:r>
      <w:r>
        <w:rPr>
          <w:rFonts w:ascii="Arial"/>
          <w:b/>
          <w:i/>
          <w:color w:val="00ACA1"/>
          <w:spacing w:val="-2"/>
          <w:sz w:val="18"/>
          <w:lang w:eastAsia="ja-JP"/>
        </w:rPr>
        <w:tab/>
      </w:r>
      <w:r w:rsidR="00F4786F" w:rsidRPr="00F4786F">
        <w:rPr>
          <w:rFonts w:ascii="ＭＳ ゴシック" w:eastAsia="ＭＳ ゴシック" w:hAnsi="ＭＳ ゴシック" w:cs="ＭＳ ゴシック" w:hint="eastAsia"/>
          <w:b/>
          <w:i/>
          <w:color w:val="545456"/>
          <w:spacing w:val="-3"/>
          <w:sz w:val="18"/>
          <w:lang w:eastAsia="ja-JP"/>
        </w:rPr>
        <w:t>ライフサイクルステージの特定</w:t>
      </w:r>
    </w:p>
    <w:p w14:paraId="6F1700C0" w14:textId="6084BEE8" w:rsidR="00F4786F" w:rsidRDefault="00F23C61">
      <w:pPr>
        <w:tabs>
          <w:tab w:val="left" w:pos="1858"/>
        </w:tabs>
        <w:spacing w:before="113" w:line="372" w:lineRule="auto"/>
        <w:ind w:left="958" w:right="3160"/>
        <w:rPr>
          <w:rFonts w:ascii="ＭＳ ゴシック" w:eastAsia="ＭＳ ゴシック" w:hAnsi="ＭＳ ゴシック" w:cs="ＭＳ ゴシック"/>
          <w:b/>
          <w:i/>
          <w:color w:val="545456"/>
          <w:w w:val="95"/>
          <w:sz w:val="18"/>
          <w:lang w:eastAsia="ja-JP"/>
        </w:rPr>
      </w:pPr>
      <w:r>
        <w:rPr>
          <w:rFonts w:ascii="Arial"/>
          <w:b/>
          <w:i/>
          <w:color w:val="00ACA1"/>
          <w:spacing w:val="-2"/>
          <w:sz w:val="18"/>
          <w:lang w:eastAsia="ja-JP"/>
        </w:rPr>
        <w:t>Step</w:t>
      </w:r>
      <w:r>
        <w:rPr>
          <w:rFonts w:ascii="Arial"/>
          <w:b/>
          <w:i/>
          <w:color w:val="00ACA1"/>
          <w:spacing w:val="-11"/>
          <w:sz w:val="18"/>
          <w:lang w:eastAsia="ja-JP"/>
        </w:rPr>
        <w:t xml:space="preserve"> </w:t>
      </w:r>
      <w:r>
        <w:rPr>
          <w:rFonts w:ascii="Arial"/>
          <w:b/>
          <w:i/>
          <w:color w:val="00ACA1"/>
          <w:spacing w:val="-2"/>
          <w:sz w:val="18"/>
          <w:lang w:eastAsia="ja-JP"/>
        </w:rPr>
        <w:t>[2]</w:t>
      </w:r>
      <w:r>
        <w:rPr>
          <w:rFonts w:ascii="Arial"/>
          <w:b/>
          <w:i/>
          <w:color w:val="00ACA1"/>
          <w:spacing w:val="-2"/>
          <w:sz w:val="18"/>
          <w:lang w:eastAsia="ja-JP"/>
        </w:rPr>
        <w:tab/>
      </w:r>
      <w:r w:rsidR="00F4786F" w:rsidRPr="00F4786F">
        <w:rPr>
          <w:rFonts w:ascii="ＭＳ ゴシック" w:eastAsia="ＭＳ ゴシック" w:hAnsi="ＭＳ ゴシック" w:cs="ＭＳ ゴシック" w:hint="eastAsia"/>
          <w:b/>
          <w:i/>
          <w:color w:val="545456"/>
          <w:w w:val="95"/>
          <w:sz w:val="18"/>
          <w:lang w:eastAsia="ja-JP"/>
        </w:rPr>
        <w:t>出荷される調査対象製品の特定</w:t>
      </w:r>
    </w:p>
    <w:p w14:paraId="4D8FF8BE" w14:textId="36F9FDF8" w:rsidR="0055291C" w:rsidRDefault="00F23C61">
      <w:pPr>
        <w:tabs>
          <w:tab w:val="left" w:pos="1858"/>
        </w:tabs>
        <w:spacing w:before="113" w:line="372" w:lineRule="auto"/>
        <w:ind w:left="958" w:right="3160"/>
        <w:rPr>
          <w:rFonts w:ascii="Arial"/>
          <w:b/>
          <w:i/>
          <w:sz w:val="18"/>
          <w:lang w:eastAsia="ja-JP"/>
        </w:rPr>
      </w:pPr>
      <w:r>
        <w:rPr>
          <w:rFonts w:ascii="Arial"/>
          <w:b/>
          <w:i/>
          <w:color w:val="545456"/>
          <w:spacing w:val="-44"/>
          <w:w w:val="95"/>
          <w:sz w:val="18"/>
          <w:lang w:eastAsia="ja-JP"/>
        </w:rPr>
        <w:t xml:space="preserve"> </w:t>
      </w:r>
      <w:r>
        <w:rPr>
          <w:rFonts w:ascii="Arial"/>
          <w:b/>
          <w:i/>
          <w:color w:val="00ACA1"/>
          <w:spacing w:val="-2"/>
          <w:sz w:val="18"/>
          <w:lang w:eastAsia="ja-JP"/>
        </w:rPr>
        <w:t>Step</w:t>
      </w:r>
      <w:r>
        <w:rPr>
          <w:rFonts w:ascii="Arial"/>
          <w:b/>
          <w:i/>
          <w:color w:val="00ACA1"/>
          <w:spacing w:val="-11"/>
          <w:sz w:val="18"/>
          <w:lang w:eastAsia="ja-JP"/>
        </w:rPr>
        <w:t xml:space="preserve"> </w:t>
      </w:r>
      <w:r>
        <w:rPr>
          <w:rFonts w:ascii="Arial"/>
          <w:b/>
          <w:i/>
          <w:color w:val="00ACA1"/>
          <w:spacing w:val="-2"/>
          <w:sz w:val="18"/>
          <w:lang w:eastAsia="ja-JP"/>
        </w:rPr>
        <w:t>[3]</w:t>
      </w:r>
      <w:r>
        <w:rPr>
          <w:rFonts w:ascii="Arial"/>
          <w:b/>
          <w:i/>
          <w:color w:val="00ACA1"/>
          <w:spacing w:val="-2"/>
          <w:sz w:val="18"/>
          <w:lang w:eastAsia="ja-JP"/>
        </w:rPr>
        <w:tab/>
      </w:r>
      <w:r w:rsidR="00F4786F">
        <w:rPr>
          <w:rFonts w:ascii="ＭＳ ゴシック" w:eastAsia="ＭＳ ゴシック" w:hAnsi="ＭＳ ゴシック" w:cs="ＭＳ ゴシック" w:hint="eastAsia"/>
          <w:b/>
          <w:i/>
          <w:color w:val="545456"/>
          <w:w w:val="95"/>
          <w:sz w:val="18"/>
          <w:lang w:eastAsia="ja-JP"/>
        </w:rPr>
        <w:t>材料と上流工程の特定</w:t>
      </w:r>
    </w:p>
    <w:p w14:paraId="2408569F" w14:textId="77777777" w:rsidR="00F4786F" w:rsidRDefault="00F23C61">
      <w:pPr>
        <w:tabs>
          <w:tab w:val="left" w:pos="1858"/>
        </w:tabs>
        <w:spacing w:line="372" w:lineRule="auto"/>
        <w:ind w:left="958" w:right="2978"/>
        <w:rPr>
          <w:rFonts w:ascii="ＭＳ ゴシック" w:eastAsia="ＭＳ ゴシック" w:hAnsi="ＭＳ ゴシック" w:cs="ＭＳ ゴシック"/>
          <w:b/>
          <w:i/>
          <w:color w:val="545456"/>
          <w:spacing w:val="-3"/>
          <w:sz w:val="18"/>
          <w:lang w:eastAsia="ja-JP"/>
        </w:rPr>
      </w:pPr>
      <w:r>
        <w:rPr>
          <w:rFonts w:ascii="Arial"/>
          <w:b/>
          <w:i/>
          <w:color w:val="00ACA1"/>
          <w:spacing w:val="-2"/>
          <w:sz w:val="18"/>
          <w:lang w:eastAsia="ja-JP"/>
        </w:rPr>
        <w:t>Step</w:t>
      </w:r>
      <w:r>
        <w:rPr>
          <w:rFonts w:ascii="Arial"/>
          <w:b/>
          <w:i/>
          <w:color w:val="00ACA1"/>
          <w:spacing w:val="-11"/>
          <w:sz w:val="18"/>
          <w:lang w:eastAsia="ja-JP"/>
        </w:rPr>
        <w:t xml:space="preserve"> </w:t>
      </w:r>
      <w:r>
        <w:rPr>
          <w:rFonts w:ascii="Arial"/>
          <w:b/>
          <w:i/>
          <w:color w:val="00ACA1"/>
          <w:spacing w:val="-2"/>
          <w:sz w:val="18"/>
          <w:lang w:eastAsia="ja-JP"/>
        </w:rPr>
        <w:t>[4]</w:t>
      </w:r>
      <w:r>
        <w:rPr>
          <w:rFonts w:ascii="Arial"/>
          <w:b/>
          <w:i/>
          <w:color w:val="00ACA1"/>
          <w:spacing w:val="-2"/>
          <w:sz w:val="18"/>
          <w:lang w:eastAsia="ja-JP"/>
        </w:rPr>
        <w:tab/>
      </w:r>
      <w:r w:rsidR="00F4786F" w:rsidRPr="00F4786F">
        <w:rPr>
          <w:rFonts w:ascii="ＭＳ ゴシック" w:eastAsia="ＭＳ ゴシック" w:hAnsi="ＭＳ ゴシック" w:cs="ＭＳ ゴシック" w:hint="eastAsia"/>
          <w:b/>
          <w:i/>
          <w:color w:val="545456"/>
          <w:spacing w:val="-3"/>
          <w:sz w:val="18"/>
          <w:lang w:eastAsia="ja-JP"/>
        </w:rPr>
        <w:t>直接的に関連するエネルギーと物質の流れの特定</w:t>
      </w:r>
    </w:p>
    <w:p w14:paraId="518D2854" w14:textId="700AF693" w:rsidR="0055291C" w:rsidRDefault="00F23C61" w:rsidP="00DB3B0C">
      <w:pPr>
        <w:tabs>
          <w:tab w:val="left" w:pos="1858"/>
        </w:tabs>
        <w:spacing w:line="372" w:lineRule="auto"/>
        <w:ind w:left="958" w:right="2978"/>
        <w:rPr>
          <w:rFonts w:ascii="Arial"/>
          <w:sz w:val="18"/>
          <w:lang w:eastAsia="ja-JP"/>
        </w:rPr>
        <w:sectPr w:rsidR="0055291C">
          <w:type w:val="continuous"/>
          <w:pgSz w:w="12240" w:h="15840"/>
          <w:pgMar w:top="740" w:right="0" w:bottom="280" w:left="0" w:header="0" w:footer="859" w:gutter="0"/>
          <w:cols w:num="2" w:space="720" w:equalWidth="0">
            <w:col w:w="2602" w:space="40"/>
            <w:col w:w="9598"/>
          </w:cols>
        </w:sectPr>
      </w:pPr>
      <w:r>
        <w:rPr>
          <w:rFonts w:ascii="Arial"/>
          <w:b/>
          <w:i/>
          <w:color w:val="545456"/>
          <w:spacing w:val="-1"/>
          <w:sz w:val="18"/>
          <w:lang w:eastAsia="ja-JP"/>
        </w:rPr>
        <w:t xml:space="preserve"> </w:t>
      </w:r>
      <w:r>
        <w:rPr>
          <w:rFonts w:ascii="Arial"/>
          <w:b/>
          <w:i/>
          <w:color w:val="00ACA1"/>
          <w:spacing w:val="-4"/>
          <w:sz w:val="18"/>
          <w:lang w:eastAsia="ja-JP"/>
        </w:rPr>
        <w:t>Step</w:t>
      </w:r>
      <w:r>
        <w:rPr>
          <w:rFonts w:ascii="Arial"/>
          <w:b/>
          <w:i/>
          <w:color w:val="00ACA1"/>
          <w:spacing w:val="-14"/>
          <w:sz w:val="18"/>
          <w:lang w:eastAsia="ja-JP"/>
        </w:rPr>
        <w:t xml:space="preserve"> </w:t>
      </w:r>
      <w:r>
        <w:rPr>
          <w:rFonts w:ascii="Arial"/>
          <w:b/>
          <w:i/>
          <w:color w:val="00ACA1"/>
          <w:spacing w:val="-4"/>
          <w:sz w:val="18"/>
          <w:lang w:eastAsia="ja-JP"/>
        </w:rPr>
        <w:t>[5+6]</w:t>
      </w:r>
      <w:r>
        <w:rPr>
          <w:rFonts w:ascii="Arial"/>
          <w:b/>
          <w:i/>
          <w:color w:val="00ACA1"/>
          <w:spacing w:val="25"/>
          <w:sz w:val="18"/>
          <w:lang w:eastAsia="ja-JP"/>
        </w:rPr>
        <w:t xml:space="preserve"> </w:t>
      </w:r>
      <w:r w:rsidR="00DB3B0C" w:rsidRPr="00DB3B0C">
        <w:rPr>
          <w:rFonts w:ascii="ＭＳ ゴシック" w:eastAsia="ＭＳ ゴシック" w:hAnsi="ＭＳ ゴシック" w:cs="ＭＳ ゴシック" w:hint="eastAsia"/>
          <w:b/>
          <w:i/>
          <w:color w:val="545456"/>
          <w:spacing w:val="-3"/>
          <w:sz w:val="18"/>
          <w:lang w:eastAsia="ja-JP"/>
        </w:rPr>
        <w:t>下流工程とエネルギー</w:t>
      </w:r>
      <w:r w:rsidR="00DB3B0C" w:rsidRPr="00DB3B0C">
        <w:rPr>
          <w:rFonts w:ascii="Arial"/>
          <w:b/>
          <w:i/>
          <w:color w:val="545456"/>
          <w:spacing w:val="-3"/>
          <w:sz w:val="18"/>
          <w:lang w:eastAsia="ja-JP"/>
        </w:rPr>
        <w:t>/</w:t>
      </w:r>
      <w:r w:rsidR="00DB3B0C" w:rsidRPr="00DB3B0C">
        <w:rPr>
          <w:rFonts w:ascii="ＭＳ ゴシック" w:eastAsia="ＭＳ ゴシック" w:hAnsi="ＭＳ ゴシック" w:cs="ＭＳ ゴシック" w:hint="eastAsia"/>
          <w:b/>
          <w:i/>
          <w:color w:val="545456"/>
          <w:spacing w:val="-3"/>
          <w:sz w:val="18"/>
          <w:lang w:eastAsia="ja-JP"/>
        </w:rPr>
        <w:t>物質フローの把握</w:t>
      </w:r>
    </w:p>
    <w:p w14:paraId="2F510E4F" w14:textId="77777777" w:rsidR="0055291C" w:rsidRDefault="0055291C">
      <w:pPr>
        <w:pStyle w:val="a3"/>
        <w:rPr>
          <w:rFonts w:ascii="Arial"/>
          <w:b/>
          <w:i/>
          <w:sz w:val="20"/>
          <w:lang w:eastAsia="ja-JP"/>
        </w:rPr>
      </w:pPr>
    </w:p>
    <w:p w14:paraId="2C522D1C" w14:textId="77777777" w:rsidR="0055291C" w:rsidRDefault="0055291C">
      <w:pPr>
        <w:rPr>
          <w:rFonts w:ascii="Arial"/>
          <w:sz w:val="20"/>
          <w:lang w:eastAsia="ja-JP"/>
        </w:rPr>
        <w:sectPr w:rsidR="0055291C">
          <w:headerReference w:type="even" r:id="rId164"/>
          <w:footerReference w:type="even" r:id="rId165"/>
          <w:footerReference w:type="default" r:id="rId166"/>
          <w:pgSz w:w="12240" w:h="15840"/>
          <w:pgMar w:top="620" w:right="0" w:bottom="1040" w:left="0" w:header="0" w:footer="859" w:gutter="0"/>
          <w:pgNumType w:start="42"/>
          <w:cols w:space="720"/>
        </w:sectPr>
      </w:pPr>
    </w:p>
    <w:p w14:paraId="679948D6" w14:textId="77777777" w:rsidR="0055291C" w:rsidRDefault="0055291C">
      <w:pPr>
        <w:pStyle w:val="a3"/>
        <w:spacing w:before="2"/>
        <w:rPr>
          <w:rFonts w:ascii="Arial"/>
          <w:b/>
          <w:i/>
          <w:sz w:val="21"/>
          <w:lang w:eastAsia="ja-JP"/>
        </w:rPr>
      </w:pPr>
    </w:p>
    <w:p w14:paraId="7E8C2662" w14:textId="43E08FC2" w:rsidR="0055291C" w:rsidRPr="007F7176" w:rsidRDefault="00D52955" w:rsidP="007F7176">
      <w:pPr>
        <w:pStyle w:val="a3"/>
        <w:spacing w:before="141" w:line="312" w:lineRule="auto"/>
        <w:ind w:left="709" w:right="308"/>
        <w:rPr>
          <w:rFonts w:eastAsiaTheme="minorEastAsia"/>
          <w:lang w:eastAsia="ja-JP"/>
        </w:rPr>
      </w:pPr>
      <w:r w:rsidRPr="00D52955">
        <w:rPr>
          <w:rFonts w:ascii="ＭＳ ゴシック" w:eastAsia="ＭＳ ゴシック" w:hAnsi="ＭＳ ゴシック" w:cs="ＭＳ ゴシック" w:hint="eastAsia"/>
          <w:color w:val="545456"/>
          <w:spacing w:val="-1"/>
          <w:w w:val="105"/>
          <w:lang w:eastAsia="ja-JP"/>
        </w:rPr>
        <w:t>また、規格の帰属アプローチと、可能な限り特定のデータを使用するというデータ収集の要件も遵守する必要があります。これは、可能であれば顧客調査から収集したデータ、または製品の平均的な使用に関する業界の平均値に基づいたデータで</w:t>
      </w:r>
      <w:r>
        <w:rPr>
          <w:rFonts w:ascii="ＭＳ ゴシック" w:eastAsia="ＭＳ ゴシック" w:hAnsi="ＭＳ ゴシック" w:cs="ＭＳ ゴシック" w:hint="eastAsia"/>
          <w:color w:val="545456"/>
          <w:spacing w:val="-1"/>
          <w:w w:val="105"/>
          <w:lang w:eastAsia="ja-JP"/>
        </w:rPr>
        <w:t>す</w:t>
      </w:r>
      <w:r w:rsidRPr="00D52955">
        <w:rPr>
          <w:rFonts w:ascii="ＭＳ ゴシック" w:eastAsia="ＭＳ ゴシック" w:hAnsi="ＭＳ ゴシック" w:cs="ＭＳ ゴシック" w:hint="eastAsia"/>
          <w:color w:val="545456"/>
          <w:spacing w:val="-1"/>
          <w:w w:val="105"/>
          <w:lang w:eastAsia="ja-JP"/>
        </w:rPr>
        <w:t>。</w:t>
      </w:r>
    </w:p>
    <w:p w14:paraId="07E7152F" w14:textId="77777777" w:rsidR="007F7176" w:rsidRPr="007F7176" w:rsidRDefault="007F7176" w:rsidP="007F7176">
      <w:pPr>
        <w:pStyle w:val="a3"/>
        <w:spacing w:before="1" w:line="312" w:lineRule="auto"/>
        <w:ind w:left="709" w:right="83" w:firstLineChars="100" w:firstLine="190"/>
        <w:rPr>
          <w:color w:val="545456"/>
          <w:lang w:eastAsia="ja-JP"/>
        </w:rPr>
      </w:pPr>
      <w:r w:rsidRPr="007F7176">
        <w:rPr>
          <w:rFonts w:ascii="ＭＳ ゴシック" w:eastAsia="ＭＳ ゴシック" w:hAnsi="ＭＳ ゴシック" w:cs="ＭＳ ゴシック" w:hint="eastAsia"/>
          <w:color w:val="545456"/>
          <w:lang w:eastAsia="ja-JP"/>
        </w:rPr>
        <w:t>使用段階と最終段階の両方で、帰属プロセスが地理的に大きく異なる可能性があります。</w:t>
      </w:r>
    </w:p>
    <w:p w14:paraId="4079C07E" w14:textId="5B3001D9" w:rsidR="0055291C" w:rsidRDefault="007F7176" w:rsidP="007F7176">
      <w:pPr>
        <w:pStyle w:val="a3"/>
        <w:spacing w:before="1" w:line="312" w:lineRule="auto"/>
        <w:ind w:left="709" w:right="83"/>
        <w:rPr>
          <w:lang w:eastAsia="ja-JP"/>
        </w:rPr>
      </w:pPr>
      <w:r w:rsidRPr="007F7176">
        <w:rPr>
          <w:rFonts w:ascii="ＭＳ ゴシック" w:eastAsia="ＭＳ ゴシック" w:hAnsi="ＭＳ ゴシック" w:cs="ＭＳ ゴシック" w:hint="eastAsia"/>
          <w:color w:val="545456"/>
          <w:lang w:eastAsia="ja-JP"/>
        </w:rPr>
        <w:t>企業は世界平均を用いることもできますが、特定の地域や国に焦点を当てることで、製品の使用と使用後の段階での</w:t>
      </w:r>
      <w:r w:rsidRPr="007F7176">
        <w:rPr>
          <w:color w:val="545456"/>
          <w:lang w:eastAsia="ja-JP"/>
        </w:rPr>
        <w:t>GHG</w:t>
      </w:r>
      <w:r w:rsidRPr="007F7176">
        <w:rPr>
          <w:rFonts w:ascii="ＭＳ ゴシック" w:eastAsia="ＭＳ ゴシック" w:hAnsi="ＭＳ ゴシック" w:cs="ＭＳ ゴシック" w:hint="eastAsia"/>
          <w:color w:val="545456"/>
          <w:lang w:eastAsia="ja-JP"/>
        </w:rPr>
        <w:t>影響についてより深い洞察を得ることができるかもしれません。データ収集の要件とガイダンスは、企業が最も適切な使用と廃棄物処理のプロファイルを決定するのに役立つよう、第</w:t>
      </w:r>
      <w:r w:rsidRPr="007F7176">
        <w:rPr>
          <w:color w:val="545456"/>
          <w:lang w:eastAsia="ja-JP"/>
        </w:rPr>
        <w:t>8</w:t>
      </w:r>
      <w:r w:rsidRPr="007F7176">
        <w:rPr>
          <w:rFonts w:ascii="ＭＳ ゴシック" w:eastAsia="ＭＳ ゴシック" w:hAnsi="ＭＳ ゴシック" w:cs="ＭＳ ゴシック" w:hint="eastAsia"/>
          <w:color w:val="545456"/>
          <w:lang w:eastAsia="ja-JP"/>
        </w:rPr>
        <w:t>章で説明します。</w:t>
      </w:r>
    </w:p>
    <w:p w14:paraId="6FAAD1D9" w14:textId="6B9D4DE2" w:rsidR="0055291C" w:rsidRPr="007F7176" w:rsidRDefault="007F7176" w:rsidP="007F7176">
      <w:pPr>
        <w:pStyle w:val="a3"/>
        <w:spacing w:before="3" w:line="312" w:lineRule="auto"/>
        <w:ind w:left="709" w:right="224" w:firstLineChars="100" w:firstLine="190"/>
        <w:rPr>
          <w:color w:val="545456"/>
          <w:lang w:eastAsia="ja-JP"/>
        </w:rPr>
      </w:pPr>
      <w:r w:rsidRPr="007F7176">
        <w:rPr>
          <w:rFonts w:ascii="ＭＳ ゴシック" w:eastAsia="ＭＳ ゴシック" w:hAnsi="ＭＳ ゴシック" w:cs="ＭＳ ゴシック" w:hint="eastAsia"/>
          <w:color w:val="545456"/>
          <w:lang w:eastAsia="ja-JP"/>
        </w:rPr>
        <w:t>複数の使用・廃棄プロファイルが考えられる場合、企業はシナリオの不確実性を評価（感度分析）して、各プロファイルが算出結果全体に与える影響を理解することができます。例えば、ある企業は、冷凍庫に食品を</w:t>
      </w:r>
      <w:r w:rsidRPr="007F7176">
        <w:rPr>
          <w:color w:val="545456"/>
          <w:lang w:eastAsia="ja-JP"/>
        </w:rPr>
        <w:t>3</w:t>
      </w:r>
      <w:r w:rsidRPr="007F7176">
        <w:rPr>
          <w:rFonts w:ascii="ＭＳ ゴシック" w:eastAsia="ＭＳ ゴシック" w:hAnsi="ＭＳ ゴシック" w:cs="ＭＳ ゴシック" w:hint="eastAsia"/>
          <w:color w:val="545456"/>
          <w:lang w:eastAsia="ja-JP"/>
        </w:rPr>
        <w:t>ヶ月間保管する場合と</w:t>
      </w:r>
      <w:r w:rsidRPr="007F7176">
        <w:rPr>
          <w:color w:val="545456"/>
          <w:lang w:eastAsia="ja-JP"/>
        </w:rPr>
        <w:t xml:space="preserve"> 1</w:t>
      </w:r>
      <w:r w:rsidRPr="007F7176">
        <w:rPr>
          <w:rFonts w:ascii="ＭＳ ゴシック" w:eastAsia="ＭＳ ゴシック" w:hAnsi="ＭＳ ゴシック" w:cs="ＭＳ ゴシック" w:hint="eastAsia"/>
          <w:color w:val="545456"/>
          <w:lang w:eastAsia="ja-JP"/>
        </w:rPr>
        <w:t>年間保管する場合の排出量算出結果に対する影響を報告書のユーザーに知ってもらいたいと考えるかもしれません。シナリオの不確実性に関する詳細は、第</w:t>
      </w:r>
      <w:r w:rsidRPr="007F7176">
        <w:rPr>
          <w:color w:val="545456"/>
          <w:lang w:eastAsia="ja-JP"/>
        </w:rPr>
        <w:t>10</w:t>
      </w:r>
      <w:r w:rsidRPr="007F7176">
        <w:rPr>
          <w:rFonts w:ascii="ＭＳ ゴシック" w:eastAsia="ＭＳ ゴシック" w:hAnsi="ＭＳ ゴシック" w:cs="ＭＳ ゴシック" w:hint="eastAsia"/>
          <w:color w:val="545456"/>
          <w:lang w:eastAsia="ja-JP"/>
        </w:rPr>
        <w:t>章をご参照ください。</w:t>
      </w:r>
    </w:p>
    <w:p w14:paraId="4B9C93E2" w14:textId="1309B0C2" w:rsidR="00BC0E84" w:rsidRDefault="00BC0E84">
      <w:pPr>
        <w:pStyle w:val="a3"/>
        <w:spacing w:before="63" w:line="312" w:lineRule="auto"/>
        <w:ind w:left="1133" w:right="13"/>
        <w:rPr>
          <w:rFonts w:ascii="ＭＳ 明朝" w:eastAsia="ＭＳ 明朝" w:hAnsi="ＭＳ 明朝" w:cs="ＭＳ 明朝"/>
          <w:b/>
          <w:bCs/>
          <w:i/>
          <w:iCs/>
          <w:color w:val="00B8B1"/>
          <w:w w:val="95"/>
          <w:sz w:val="20"/>
          <w:szCs w:val="20"/>
          <w:lang w:eastAsia="ja-JP"/>
        </w:rPr>
      </w:pPr>
      <w:r w:rsidRPr="00BC0E84">
        <w:rPr>
          <w:rFonts w:ascii="Arial" w:eastAsia="Arial" w:hAnsi="Arial" w:cs="Arial"/>
          <w:b/>
          <w:bCs/>
          <w:i/>
          <w:iCs/>
          <w:color w:val="00B8B1"/>
          <w:w w:val="95"/>
          <w:sz w:val="20"/>
          <w:szCs w:val="20"/>
          <w:lang w:eastAsia="ja-JP"/>
        </w:rPr>
        <w:t>7.3.4</w:t>
      </w:r>
      <w:r w:rsidR="00475F1C">
        <w:rPr>
          <w:rFonts w:ascii="ＭＳ 明朝" w:eastAsia="ＭＳ 明朝" w:hAnsi="ＭＳ 明朝" w:cs="ＭＳ 明朝" w:hint="eastAsia"/>
          <w:b/>
          <w:bCs/>
          <w:i/>
          <w:iCs/>
          <w:color w:val="00B8B1"/>
          <w:w w:val="95"/>
          <w:sz w:val="20"/>
          <w:szCs w:val="20"/>
          <w:lang w:eastAsia="ja-JP"/>
        </w:rPr>
        <w:t xml:space="preserve">　重要性</w:t>
      </w:r>
      <w:r w:rsidRPr="00BC0E84">
        <w:rPr>
          <w:rFonts w:ascii="ＭＳ 明朝" w:eastAsia="ＭＳ 明朝" w:hAnsi="ＭＳ 明朝" w:cs="ＭＳ 明朝" w:hint="eastAsia"/>
          <w:b/>
          <w:bCs/>
          <w:i/>
          <w:iCs/>
          <w:color w:val="00B8B1"/>
          <w:w w:val="95"/>
          <w:sz w:val="20"/>
          <w:szCs w:val="20"/>
          <w:lang w:eastAsia="ja-JP"/>
        </w:rPr>
        <w:t>を判断するための推計</w:t>
      </w:r>
    </w:p>
    <w:p w14:paraId="73CC4015" w14:textId="0803FD91" w:rsidR="0055291C" w:rsidRDefault="00BC0E84" w:rsidP="00C01846">
      <w:pPr>
        <w:pStyle w:val="a3"/>
        <w:spacing w:before="63" w:line="312" w:lineRule="auto"/>
        <w:ind w:left="709" w:right="449" w:firstLineChars="100" w:firstLine="187"/>
        <w:rPr>
          <w:lang w:eastAsia="ja-JP"/>
        </w:rPr>
      </w:pPr>
      <w:r w:rsidRPr="00BC0E84">
        <w:rPr>
          <w:rFonts w:ascii="ＭＳ ゴシック" w:eastAsia="ＭＳ ゴシック" w:hAnsi="ＭＳ ゴシック" w:cs="ＭＳ ゴシック" w:hint="eastAsia"/>
          <w:color w:val="545456"/>
          <w:spacing w:val="-3"/>
          <w:lang w:eastAsia="ja-JP"/>
        </w:rPr>
        <w:t>重要でない事項を判断するために、企業は、上限を仮定したデータを用いて工程の排出量を推定し、最も保守的な場合には、質量、エネルギー、体積のいずれかに基づいて、また、</w:t>
      </w:r>
      <w:r w:rsidRPr="00BC0E84">
        <w:rPr>
          <w:color w:val="545456"/>
          <w:spacing w:val="-3"/>
          <w:lang w:eastAsia="ja-JP"/>
        </w:rPr>
        <w:t xml:space="preserve"> GHG</w:t>
      </w:r>
      <w:r w:rsidRPr="00BC0E84">
        <w:rPr>
          <w:rFonts w:ascii="ＭＳ ゴシック" w:eastAsia="ＭＳ ゴシック" w:hAnsi="ＭＳ ゴシック" w:cs="ＭＳ ゴシック" w:hint="eastAsia"/>
          <w:color w:val="545456"/>
          <w:spacing w:val="-3"/>
          <w:lang w:eastAsia="ja-JP"/>
        </w:rPr>
        <w:t>との関連性の基準に基づいて、重要でないかどうかを判断する必要があります。</w:t>
      </w:r>
    </w:p>
    <w:p w14:paraId="492CB079" w14:textId="70CB4160" w:rsidR="0055291C" w:rsidRPr="00C01846" w:rsidRDefault="00C01846" w:rsidP="00C01846">
      <w:pPr>
        <w:pStyle w:val="a3"/>
        <w:spacing w:before="1" w:line="312" w:lineRule="auto"/>
        <w:ind w:left="709" w:right="449" w:firstLineChars="100" w:firstLine="190"/>
        <w:rPr>
          <w:color w:val="545456"/>
          <w:lang w:eastAsia="ja-JP"/>
        </w:rPr>
      </w:pPr>
      <w:r w:rsidRPr="00C01846">
        <w:rPr>
          <w:rFonts w:ascii="ＭＳ ゴシック" w:eastAsia="ＭＳ ゴシック" w:hAnsi="ＭＳ ゴシック" w:cs="ＭＳ ゴシック" w:hint="eastAsia"/>
          <w:color w:val="545456"/>
          <w:lang w:eastAsia="ja-JP"/>
        </w:rPr>
        <w:t>推計値が重要でないかどうかを判断するために、企業は重要でないことの定義を設定する必要があります。この定義には、経験則による閾値が含まれることがあります。例えば、重要でないことの経験則として、あるプロセス、ライフサイクル段階、または総排出量における質量、エネルギー、体積、および推定される</w:t>
      </w:r>
      <w:r w:rsidRPr="00C01846">
        <w:rPr>
          <w:color w:val="545456"/>
          <w:lang w:eastAsia="ja-JP"/>
        </w:rPr>
        <w:t>GHG</w:t>
      </w:r>
      <w:r w:rsidRPr="00C01846">
        <w:rPr>
          <w:rFonts w:ascii="ＭＳ ゴシック" w:eastAsia="ＭＳ ゴシック" w:hAnsi="ＭＳ ゴシック" w:cs="ＭＳ ゴシック" w:hint="eastAsia"/>
          <w:color w:val="545456"/>
          <w:lang w:eastAsia="ja-JP"/>
        </w:rPr>
        <w:t>重要度の</w:t>
      </w:r>
      <w:r w:rsidRPr="00C01846">
        <w:rPr>
          <w:color w:val="545456"/>
          <w:lang w:eastAsia="ja-JP"/>
        </w:rPr>
        <w:t>1</w:t>
      </w:r>
      <w:r w:rsidRPr="00C01846">
        <w:rPr>
          <w:rFonts w:ascii="ＭＳ ゴシック" w:eastAsia="ＭＳ ゴシック" w:hAnsi="ＭＳ ゴシック" w:cs="ＭＳ ゴシック" w:hint="eastAsia"/>
          <w:color w:val="545456"/>
          <w:lang w:eastAsia="ja-JP"/>
        </w:rPr>
        <w:t>％に満たない物質またはエネルギーフローを挙げることができます。</w:t>
      </w:r>
      <w:r>
        <w:fldChar w:fldCharType="begin"/>
      </w:r>
      <w:r>
        <w:rPr>
          <w:lang w:eastAsia="ja-JP"/>
        </w:rPr>
        <w:instrText xml:space="preserve"> HYPERLINK \l "_Endnotes_3" </w:instrText>
      </w:r>
      <w:r>
        <w:fldChar w:fldCharType="separate"/>
      </w:r>
      <w:r w:rsidRPr="00C01846">
        <w:rPr>
          <w:rStyle w:val="ac"/>
          <w:rFonts w:asciiTheme="minorEastAsia" w:eastAsiaTheme="minorEastAsia" w:hAnsiTheme="minorEastAsia"/>
          <w:position w:val="6"/>
          <w:sz w:val="11"/>
          <w:lang w:eastAsia="ja-JP"/>
        </w:rPr>
        <w:t>ⅳ</w:t>
      </w:r>
      <w:r>
        <w:rPr>
          <w:rStyle w:val="ac"/>
          <w:rFonts w:asciiTheme="minorEastAsia" w:eastAsiaTheme="minorEastAsia" w:hAnsiTheme="minorEastAsia"/>
          <w:position w:val="6"/>
          <w:sz w:val="11"/>
          <w:lang w:eastAsia="ja-JP"/>
        </w:rPr>
        <w:fldChar w:fldCharType="end"/>
      </w:r>
    </w:p>
    <w:p w14:paraId="20533E1B" w14:textId="232BF293" w:rsidR="0055291C" w:rsidRDefault="00475F1C" w:rsidP="00475F1C">
      <w:pPr>
        <w:pStyle w:val="a3"/>
        <w:spacing w:before="142" w:line="312" w:lineRule="auto"/>
        <w:ind w:left="709" w:right="410" w:firstLineChars="100" w:firstLine="190"/>
        <w:jc w:val="both"/>
        <w:rPr>
          <w:lang w:eastAsia="ja-JP"/>
        </w:rPr>
      </w:pPr>
      <w:r w:rsidRPr="00475F1C">
        <w:rPr>
          <w:rFonts w:ascii="ＭＳ ゴシック" w:eastAsia="ＭＳ ゴシック" w:hAnsi="ＭＳ ゴシック" w:cs="ＭＳ ゴシック" w:hint="eastAsia"/>
          <w:lang w:eastAsia="ja-JP"/>
        </w:rPr>
        <w:t>例えば、材料</w:t>
      </w:r>
      <w:r w:rsidRPr="00475F1C">
        <w:rPr>
          <w:lang w:eastAsia="ja-JP"/>
        </w:rPr>
        <w:t>X</w:t>
      </w:r>
      <w:r w:rsidRPr="00475F1C">
        <w:rPr>
          <w:rFonts w:ascii="ＭＳ ゴシック" w:eastAsia="ＭＳ ゴシック" w:hAnsi="ＭＳ ゴシック" w:cs="ＭＳ ゴシック" w:hint="eastAsia"/>
          <w:lang w:eastAsia="ja-JP"/>
        </w:rPr>
        <w:t>について、製品の総材料投入量</w:t>
      </w:r>
      <w:r w:rsidRPr="00475F1C">
        <w:rPr>
          <w:lang w:eastAsia="ja-JP"/>
        </w:rPr>
        <w:t>100g</w:t>
      </w:r>
      <w:r w:rsidRPr="00475F1C">
        <w:rPr>
          <w:rFonts w:ascii="ＭＳ ゴシック" w:eastAsia="ＭＳ ゴシック" w:hAnsi="ＭＳ ゴシック" w:cs="ＭＳ ゴシック" w:hint="eastAsia"/>
          <w:lang w:eastAsia="ja-JP"/>
        </w:rPr>
        <w:t>に対して</w:t>
      </w:r>
      <w:r w:rsidRPr="00475F1C">
        <w:rPr>
          <w:lang w:eastAsia="ja-JP"/>
        </w:rPr>
        <w:t>GHG0.5g</w:t>
      </w:r>
      <w:r w:rsidRPr="00475F1C">
        <w:rPr>
          <w:rFonts w:ascii="ＭＳ ゴシック" w:eastAsia="ＭＳ ゴシック" w:hAnsi="ＭＳ ゴシック" w:cs="ＭＳ ゴシック" w:hint="eastAsia"/>
          <w:lang w:eastAsia="ja-JP"/>
        </w:rPr>
        <w:t>の排出に寄与しているという以外、一次データも二次データもない工程を考えます。同社は、材料</w:t>
      </w:r>
      <w:r w:rsidRPr="00475F1C">
        <w:rPr>
          <w:lang w:eastAsia="ja-JP"/>
        </w:rPr>
        <w:t>X</w:t>
      </w:r>
      <w:r w:rsidRPr="00475F1C">
        <w:rPr>
          <w:rFonts w:ascii="ＭＳ ゴシック" w:eastAsia="ＭＳ ゴシック" w:hAnsi="ＭＳ ゴシック" w:cs="ＭＳ ゴシック" w:hint="eastAsia"/>
          <w:lang w:eastAsia="ja-JP"/>
        </w:rPr>
        <w:t>が温室効果ガス集約的な投入量であっても、</w:t>
      </w:r>
      <w:r w:rsidRPr="00475F1C">
        <w:rPr>
          <w:lang w:eastAsia="ja-JP"/>
        </w:rPr>
        <w:t>0.5</w:t>
      </w:r>
      <w:r w:rsidRPr="00475F1C">
        <w:rPr>
          <w:rFonts w:ascii="ＭＳ ゴシック" w:eastAsia="ＭＳ ゴシック" w:hAnsi="ＭＳ ゴシック" w:cs="ＭＳ ゴシック" w:hint="eastAsia"/>
          <w:lang w:eastAsia="ja-JP"/>
        </w:rPr>
        <w:t>グラムは質量または環境影響の</w:t>
      </w:r>
      <w:r w:rsidRPr="00475F1C">
        <w:rPr>
          <w:lang w:eastAsia="ja-JP"/>
        </w:rPr>
        <w:t>1</w:t>
      </w:r>
      <w:r w:rsidRPr="00475F1C">
        <w:rPr>
          <w:rFonts w:ascii="ＭＳ ゴシック" w:eastAsia="ＭＳ ゴシック" w:hAnsi="ＭＳ ゴシック" w:cs="ＭＳ ゴシック" w:hint="eastAsia"/>
          <w:lang w:eastAsia="ja-JP"/>
        </w:rPr>
        <w:t>％を超えないため、その材料投入量は正当な除外であると推定しています。</w:t>
      </w:r>
    </w:p>
    <w:p w14:paraId="348263EE" w14:textId="77777777" w:rsidR="0055291C" w:rsidRDefault="00F23C61">
      <w:pPr>
        <w:spacing w:before="7" w:after="25"/>
        <w:rPr>
          <w:sz w:val="9"/>
          <w:lang w:eastAsia="ja-JP"/>
        </w:rPr>
      </w:pPr>
      <w:r>
        <w:rPr>
          <w:lang w:eastAsia="ja-JP"/>
        </w:rPr>
        <w:br w:type="column"/>
      </w:r>
    </w:p>
    <w:p w14:paraId="09407E4D" w14:textId="7D1A9C00" w:rsidR="0055291C" w:rsidRDefault="00000000">
      <w:pPr>
        <w:pStyle w:val="a3"/>
        <w:ind w:left="135"/>
        <w:rPr>
          <w:sz w:val="20"/>
        </w:rPr>
      </w:pPr>
      <w:r>
        <w:rPr>
          <w:sz w:val="20"/>
        </w:rPr>
      </w:r>
      <w:r>
        <w:rPr>
          <w:sz w:val="20"/>
        </w:rPr>
        <w:pict w14:anchorId="6D9C37B6">
          <v:group id="docshapegroup738" o:spid="_x0000_s3072" style="width:246.15pt;height:356.6pt;mso-position-horizontal-relative:char;mso-position-vertical-relative:line" coordsize="4923,7132">
            <v:shape id="docshape739" o:spid="_x0000_s3078" style="position:absolute;left:76;top:473;width:4847;height:6659" coordorigin="77,473" coordsize="4847,6659" path="m4923,473l77,473r,6438l80,7038r25,66l172,7128r131,3l4696,7131r131,-3l4894,7104r25,-66l4923,6911r,-6438xe" fillcolor="#f3f4f4" stroked="f">
              <v:path arrowok="t"/>
            </v:shape>
            <v:shape id="docshape740" o:spid="_x0000_s3077" style="position:absolute;left:76;width:4847;height:545" coordorigin="77" coordsize="4847,545" path="m4696,l303,,172,4,105,28,80,96,77,227r,317l4923,544r,-317l4919,96,4894,28,4827,4,4696,xe" fillcolor="#00aca1" stroked="f">
              <v:path arrowok="t"/>
            </v:shape>
            <v:line id="_x0000_s3076" style="position:absolute" from="0,560" to="4923,560" strokecolor="white" strokeweight="3pt"/>
            <v:shape id="docshape741" o:spid="_x0000_s3075" style="position:absolute;left:2821;top:762;width:1765;height:1411" coordorigin="2821,763" coordsize="1765,1411" o:spt="100" adj="0,,0" path="m3974,763r-40,49l3906,846r-29,32l3835,924r-49,56l3748,1028r-25,33l3714,1074r,265l3724,1343r8,10l3732,1377r-8,10l3714,1391r,164l3724,1559r8,10l3732,1593r-8,10l3714,1607r,164l3724,1775r8,10l3732,1809r-8,10l3714,1823r,350l4131,2173r,-1017l4495,1156r91,-64l4507,973r-62,-68l4369,864,4248,825,4118,789r-84,-19l3988,763r-14,xm4495,1156r-364,l4248,1330r247,-174xm3693,1156r-416,l3277,2173r416,l3693,1823r-10,-4l3675,1809r,-24l3683,1775r10,-4l3693,1607r-10,-4l3675,1593r,-24l3683,1559r10,-4l3693,1391r-10,-4l3675,1377r,-24l3683,1343r10,-4l3693,1156xm3433,763r-42,l3349,770r-69,19l3160,825r-140,68l2913,982r-68,77l2821,1092r339,238l3277,1156r416,l3693,1074r-29,-44l3642,1000r-27,-31l3573,924r-52,-58l3476,814r-31,-37l3433,763xe" fillcolor="#00aca1" stroked="f">
              <v:stroke joinstyle="round"/>
              <v:formulas/>
              <v:path arrowok="t" o:connecttype="segments"/>
            </v:shape>
            <v:rect id="docshape742" o:spid="_x0000_s3074" style="position:absolute;left:2553;top:2366;width:2326;height:171" fillcolor="#6e6f71" stroked="f"/>
            <v:shape id="docshape743" o:spid="_x0000_s3073" type="#_x0000_t202" style="position:absolute;width:4923;height:7132" filled="f" stroked="f">
              <v:textbox style="mso-next-textbox:#docshape743" inset="0,0,0,0">
                <w:txbxContent>
                  <w:p w14:paraId="094432A9" w14:textId="77777777" w:rsidR="0055291C" w:rsidRDefault="00F23C61">
                    <w:pPr>
                      <w:spacing w:before="131"/>
                      <w:ind w:left="286"/>
                      <w:rPr>
                        <w:rFonts w:ascii="Arial"/>
                        <w:b/>
                        <w:i/>
                        <w:sz w:val="24"/>
                        <w:lang w:eastAsia="ja-JP"/>
                      </w:rPr>
                    </w:pPr>
                    <w:r>
                      <w:rPr>
                        <w:rFonts w:ascii="Arial"/>
                        <w:b/>
                        <w:i/>
                        <w:color w:val="F3F4F4"/>
                        <w:sz w:val="24"/>
                        <w:lang w:eastAsia="ja-JP"/>
                      </w:rPr>
                      <w:t>TAL</w:t>
                    </w:r>
                  </w:p>
                  <w:p w14:paraId="1858446E" w14:textId="77777777" w:rsidR="0055291C" w:rsidRDefault="0055291C">
                    <w:pPr>
                      <w:spacing w:before="7"/>
                      <w:rPr>
                        <w:rFonts w:ascii="Arial"/>
                        <w:b/>
                        <w:i/>
                        <w:sz w:val="23"/>
                        <w:lang w:eastAsia="ja-JP"/>
                      </w:rPr>
                    </w:pPr>
                  </w:p>
                  <w:p w14:paraId="18CC0C34" w14:textId="77777777" w:rsidR="00BC3A2B" w:rsidRDefault="00475F1C" w:rsidP="00BC3A2B">
                    <w:pPr>
                      <w:tabs>
                        <w:tab w:val="left" w:pos="2127"/>
                      </w:tabs>
                      <w:spacing w:before="6" w:line="328" w:lineRule="auto"/>
                      <w:ind w:left="284" w:right="2372" w:firstLineChars="100" w:firstLine="180"/>
                      <w:rPr>
                        <w:rFonts w:eastAsiaTheme="minorEastAsia"/>
                        <w:color w:val="545456"/>
                        <w:sz w:val="18"/>
                        <w:lang w:eastAsia="ja-JP"/>
                      </w:rPr>
                    </w:pPr>
                    <w:r w:rsidRPr="00475F1C">
                      <w:rPr>
                        <w:color w:val="545456"/>
                        <w:sz w:val="18"/>
                        <w:lang w:eastAsia="ja-JP"/>
                      </w:rPr>
                      <w:t>TAL</w:t>
                    </w:r>
                    <w:r w:rsidRPr="00475F1C">
                      <w:rPr>
                        <w:rFonts w:ascii="ＭＳ ゴシック" w:eastAsia="ＭＳ ゴシック" w:hAnsi="ＭＳ ゴシック" w:cs="ＭＳ ゴシック" w:hint="eastAsia"/>
                        <w:color w:val="545456"/>
                        <w:sz w:val="18"/>
                        <w:lang w:eastAsia="ja-JP"/>
                      </w:rPr>
                      <w:t>アパレルは、中国と東南アジアに複数の生産拠点を持つ大手アパレルメーカーです。</w:t>
                    </w:r>
                    <w:r w:rsidRPr="00475F1C">
                      <w:rPr>
                        <w:color w:val="545456"/>
                        <w:sz w:val="18"/>
                        <w:lang w:eastAsia="ja-JP"/>
                      </w:rPr>
                      <w:t>TAL</w:t>
                    </w:r>
                    <w:r w:rsidRPr="00475F1C">
                      <w:rPr>
                        <w:rFonts w:ascii="ＭＳ ゴシック" w:eastAsia="ＭＳ ゴシック" w:hAnsi="ＭＳ ゴシック" w:cs="ＭＳ ゴシック" w:hint="eastAsia"/>
                        <w:color w:val="545456"/>
                        <w:sz w:val="18"/>
                        <w:lang w:eastAsia="ja-JP"/>
                      </w:rPr>
                      <w:t>は、ノンアイロンシャツのほとんどの帰属プロセスについてサブメーターを導入しています。</w:t>
                    </w:r>
                  </w:p>
                  <w:p w14:paraId="4E52846D" w14:textId="38E16E30" w:rsidR="0055291C" w:rsidRPr="00475F1C" w:rsidRDefault="00475F1C" w:rsidP="00BC3A2B">
                    <w:pPr>
                      <w:spacing w:before="6" w:line="328" w:lineRule="auto"/>
                      <w:ind w:left="303" w:right="104" w:firstLineChars="100" w:firstLine="180"/>
                      <w:rPr>
                        <w:color w:val="545456"/>
                        <w:sz w:val="18"/>
                        <w:lang w:eastAsia="ja-JP"/>
                      </w:rPr>
                    </w:pPr>
                    <w:r w:rsidRPr="00475F1C">
                      <w:rPr>
                        <w:rFonts w:ascii="ＭＳ ゴシック" w:eastAsia="ＭＳ ゴシック" w:hAnsi="ＭＳ ゴシック" w:cs="ＭＳ ゴシック" w:hint="eastAsia"/>
                        <w:color w:val="545456"/>
                        <w:sz w:val="18"/>
                        <w:lang w:eastAsia="ja-JP"/>
                      </w:rPr>
                      <w:t>しかし、梱包などの一部の工程では、研究開発や製品テストなど工場内で発生する非所有工程とエネルギー使用量を完全に分離することができません。そこで</w:t>
                    </w:r>
                    <w:r w:rsidRPr="00475F1C">
                      <w:rPr>
                        <w:color w:val="545456"/>
                        <w:sz w:val="18"/>
                        <w:lang w:eastAsia="ja-JP"/>
                      </w:rPr>
                      <w:t>TAL</w:t>
                    </w:r>
                    <w:r w:rsidRPr="00475F1C">
                      <w:rPr>
                        <w:rFonts w:ascii="ＭＳ ゴシック" w:eastAsia="ＭＳ ゴシック" w:hAnsi="ＭＳ ゴシック" w:cs="ＭＳ ゴシック" w:hint="eastAsia"/>
                        <w:color w:val="545456"/>
                        <w:sz w:val="18"/>
                        <w:lang w:eastAsia="ja-JP"/>
                      </w:rPr>
                      <w:t>は、計測された工程の排出量を差し引いた後、計測されない残りの工程（帰属・非帰属）の排出量を、工場で生産されるすべての製品に割り当てることで、排出量の把握に努めました。この方法を用いた結果、製品インベントリは、すべての帰属プロセスを含むという境界要件を満たすことができました。また、どの非</w:t>
                    </w:r>
                    <w:r w:rsidR="009863CC">
                      <w:rPr>
                        <w:rFonts w:ascii="ＭＳ ゴシック" w:eastAsia="ＭＳ ゴシック" w:hAnsi="ＭＳ ゴシック" w:cs="ＭＳ ゴシック" w:hint="eastAsia"/>
                        <w:color w:val="545456"/>
                        <w:sz w:val="18"/>
                        <w:lang w:eastAsia="ja-JP"/>
                      </w:rPr>
                      <w:t>帰属プロセス</w:t>
                    </w:r>
                    <w:r w:rsidRPr="00475F1C">
                      <w:rPr>
                        <w:rFonts w:ascii="ＭＳ ゴシック" w:eastAsia="ＭＳ ゴシック" w:hAnsi="ＭＳ ゴシック" w:cs="ＭＳ ゴシック" w:hint="eastAsia"/>
                        <w:color w:val="545456"/>
                        <w:sz w:val="18"/>
                        <w:lang w:eastAsia="ja-JP"/>
                      </w:rPr>
                      <w:t>がレポートに含まれるかを明示することで、</w:t>
                    </w:r>
                    <w:r w:rsidRPr="00475F1C">
                      <w:rPr>
                        <w:color w:val="545456"/>
                        <w:sz w:val="18"/>
                        <w:lang w:eastAsia="ja-JP"/>
                      </w:rPr>
                      <w:t>TAL</w:t>
                    </w:r>
                    <w:r w:rsidRPr="00475F1C">
                      <w:rPr>
                        <w:rFonts w:ascii="ＭＳ ゴシック" w:eastAsia="ＭＳ ゴシック" w:hAnsi="ＭＳ ゴシック" w:cs="ＭＳ ゴシック" w:hint="eastAsia"/>
                        <w:color w:val="545456"/>
                        <w:sz w:val="18"/>
                        <w:lang w:eastAsia="ja-JP"/>
                      </w:rPr>
                      <w:t>はインベントリ結果の透明性を向上させました。</w:t>
                    </w:r>
                  </w:p>
                </w:txbxContent>
              </v:textbox>
            </v:shape>
            <w10:anchorlock/>
          </v:group>
        </w:pict>
      </w:r>
    </w:p>
    <w:p w14:paraId="0A3A057A" w14:textId="77777777" w:rsidR="0055291C" w:rsidRDefault="0055291C">
      <w:pPr>
        <w:pStyle w:val="a3"/>
        <w:rPr>
          <w:sz w:val="20"/>
        </w:rPr>
      </w:pPr>
    </w:p>
    <w:p w14:paraId="6EF0C0F4" w14:textId="400B29F0" w:rsidR="0055291C" w:rsidRDefault="00475F1C">
      <w:pPr>
        <w:pStyle w:val="a3"/>
        <w:spacing w:before="149" w:line="312" w:lineRule="auto"/>
        <w:ind w:left="244" w:right="1219"/>
        <w:rPr>
          <w:lang w:eastAsia="ja-JP"/>
        </w:rPr>
      </w:pPr>
      <w:r w:rsidRPr="00475F1C">
        <w:rPr>
          <w:rFonts w:ascii="ＭＳ ゴシック" w:eastAsia="ＭＳ ゴシック" w:hAnsi="ＭＳ ゴシック" w:cs="ＭＳ ゴシック" w:hint="eastAsia"/>
          <w:lang w:eastAsia="ja-JP"/>
        </w:rPr>
        <w:t>重要でないことの定義は、インベントリを実施する企業の事業目標を反映したものであるべきです。前述したように、企業は報告書において、</w:t>
      </w:r>
      <w:r w:rsidRPr="00475F1C">
        <w:rPr>
          <w:lang w:eastAsia="ja-JP"/>
        </w:rPr>
        <w:t xml:space="preserve"> </w:t>
      </w:r>
      <w:r w:rsidRPr="00475F1C">
        <w:rPr>
          <w:rFonts w:ascii="ＭＳ ゴシック" w:eastAsia="ＭＳ ゴシック" w:hAnsi="ＭＳ ゴシック" w:cs="ＭＳ ゴシック" w:hint="eastAsia"/>
          <w:lang w:eastAsia="ja-JP"/>
        </w:rPr>
        <w:t>帰属プロセスの除外要素を開示し、その正当性を示すことが求められています。</w:t>
      </w:r>
    </w:p>
    <w:p w14:paraId="25275437" w14:textId="411F19BD" w:rsidR="0055291C" w:rsidRPr="00BC3A2B" w:rsidRDefault="00BC3A2B" w:rsidP="00BC3A2B">
      <w:pPr>
        <w:pStyle w:val="7"/>
        <w:ind w:left="0" w:firstLine="720"/>
        <w:rPr>
          <w:color w:val="00ACA1"/>
          <w:lang w:eastAsia="ja-JP"/>
        </w:rPr>
      </w:pPr>
      <w:r w:rsidRPr="00BC3A2B">
        <w:rPr>
          <w:rFonts w:ascii="ＭＳ 明朝" w:eastAsia="ＭＳ 明朝" w:hAnsi="ＭＳ 明朝" w:cs="ＭＳ 明朝" w:hint="eastAsia"/>
          <w:color w:val="00ACA1"/>
          <w:lang w:eastAsia="ja-JP"/>
        </w:rPr>
        <w:t>7.3.5　非帰属プロセス</w:t>
      </w:r>
    </w:p>
    <w:p w14:paraId="70D69A51" w14:textId="040BF7A4" w:rsidR="0055291C" w:rsidRDefault="00226710" w:rsidP="00BC3A2B">
      <w:pPr>
        <w:pStyle w:val="a3"/>
        <w:spacing w:before="62" w:line="312" w:lineRule="auto"/>
        <w:ind w:left="244" w:right="1132" w:firstLineChars="100" w:firstLine="190"/>
        <w:rPr>
          <w:lang w:eastAsia="ja-JP"/>
        </w:rPr>
      </w:pPr>
      <w:r w:rsidRPr="00226710">
        <w:rPr>
          <w:rFonts w:ascii="ＭＳ ゴシック" w:eastAsia="ＭＳ ゴシック" w:hAnsi="ＭＳ ゴシック" w:cs="ＭＳ ゴシック" w:hint="eastAsia"/>
          <w:color w:val="545456"/>
          <w:lang w:eastAsia="ja-JP"/>
        </w:rPr>
        <w:t>企業は、非帰属工程（調査対象製品に直接関係しない工程）を境界に含める必要はありません。しかし、帰属する工程のデータから分離できない場合、または、その工程が調査対象製品に関連すると企業が判断した場合は、帰属しない工程を算出範囲に含めるべきです。関連性は企業によって決定され、事業目標や削減可能性、製品規則やセクターガイダンス、排出量算出の他の部分との関連における相対的影響など、多くの異なる要因に基づきます。</w:t>
      </w:r>
    </w:p>
    <w:p w14:paraId="73EB1B8B"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978" w:space="40"/>
            <w:col w:w="6222"/>
          </w:cols>
        </w:sectPr>
      </w:pPr>
    </w:p>
    <w:p w14:paraId="1D8CA918" w14:textId="77777777" w:rsidR="0055291C" w:rsidRDefault="0055291C">
      <w:pPr>
        <w:pStyle w:val="a3"/>
        <w:rPr>
          <w:sz w:val="20"/>
          <w:lang w:eastAsia="ja-JP"/>
        </w:rPr>
      </w:pPr>
    </w:p>
    <w:p w14:paraId="383FD277" w14:textId="77777777" w:rsidR="0055291C" w:rsidRDefault="0055291C">
      <w:pPr>
        <w:pStyle w:val="a3"/>
        <w:rPr>
          <w:sz w:val="20"/>
          <w:lang w:eastAsia="ja-JP"/>
        </w:rPr>
      </w:pPr>
    </w:p>
    <w:p w14:paraId="0379E36B" w14:textId="77777777" w:rsidR="0055291C" w:rsidRDefault="0055291C">
      <w:pPr>
        <w:pStyle w:val="a3"/>
        <w:rPr>
          <w:sz w:val="20"/>
          <w:lang w:eastAsia="ja-JP"/>
        </w:rPr>
      </w:pPr>
    </w:p>
    <w:p w14:paraId="76163E95" w14:textId="77777777" w:rsidR="0055291C" w:rsidRDefault="0055291C">
      <w:pPr>
        <w:pStyle w:val="a3"/>
        <w:spacing w:before="4"/>
        <w:rPr>
          <w:sz w:val="24"/>
          <w:lang w:eastAsia="ja-JP"/>
        </w:rPr>
      </w:pPr>
    </w:p>
    <w:p w14:paraId="4E6BDB9B" w14:textId="77777777" w:rsidR="0055291C" w:rsidRDefault="00000000">
      <w:pPr>
        <w:spacing w:before="1"/>
        <w:ind w:right="1121"/>
        <w:jc w:val="right"/>
        <w:rPr>
          <w:rFonts w:ascii="Arial"/>
          <w:i/>
          <w:sz w:val="19"/>
        </w:rPr>
      </w:pPr>
      <w:r>
        <w:pict w14:anchorId="1D123C9A">
          <v:shape id="docshape744" o:spid="_x0000_s3071" style="position:absolute;left:0;text-align:left;margin-left:580.75pt;margin-top:-47.75pt;width:31.3pt;height:285.85pt;z-index:251582976;mso-position-horizontal-relative:page" coordorigin="11615,-955" coordsize="626,5717" path="m12240,-955r-625,l11615,4535r3,131l11643,4733r67,25l11842,4761r398,l12240,-955xe" fillcolor="#00aca1" stroked="f">
            <v:path arrowok="t"/>
            <w10:wrap anchorx="page"/>
          </v:shape>
        </w:pict>
      </w:r>
      <w:r w:rsidR="00F23C61">
        <w:rPr>
          <w:rFonts w:ascii="Arial"/>
          <w:b/>
          <w:i/>
          <w:color w:val="7F3F98"/>
          <w:sz w:val="19"/>
        </w:rPr>
        <w:t>CHAPTER</w:t>
      </w:r>
      <w:r w:rsidR="00F23C61">
        <w:rPr>
          <w:rFonts w:ascii="Arial"/>
          <w:b/>
          <w:i/>
          <w:color w:val="7F3F98"/>
          <w:spacing w:val="9"/>
          <w:sz w:val="19"/>
        </w:rPr>
        <w:t xml:space="preserve"> </w:t>
      </w:r>
      <w:r w:rsidR="00F23C61">
        <w:rPr>
          <w:rFonts w:ascii="Arial"/>
          <w:b/>
          <w:i/>
          <w:color w:val="7F3F98"/>
          <w:sz w:val="19"/>
        </w:rPr>
        <w:t>07</w:t>
      </w:r>
      <w:r w:rsidR="00F23C61">
        <w:rPr>
          <w:rFonts w:ascii="Arial"/>
          <w:b/>
          <w:i/>
          <w:color w:val="7F3F98"/>
          <w:spacing w:val="10"/>
          <w:sz w:val="19"/>
        </w:rPr>
        <w:t xml:space="preserve"> </w:t>
      </w:r>
      <w:r w:rsidR="00F23C61">
        <w:rPr>
          <w:rFonts w:ascii="Arial"/>
          <w:i/>
          <w:color w:val="545456"/>
          <w:sz w:val="19"/>
        </w:rPr>
        <w:t>Boundary</w:t>
      </w:r>
      <w:r w:rsidR="00F23C61">
        <w:rPr>
          <w:rFonts w:ascii="Arial"/>
          <w:i/>
          <w:color w:val="545456"/>
          <w:spacing w:val="7"/>
          <w:sz w:val="19"/>
        </w:rPr>
        <w:t xml:space="preserve"> </w:t>
      </w:r>
      <w:r w:rsidR="00F23C61">
        <w:rPr>
          <w:rFonts w:ascii="Arial"/>
          <w:i/>
          <w:color w:val="545456"/>
          <w:sz w:val="19"/>
        </w:rPr>
        <w:t>Setting</w:t>
      </w:r>
    </w:p>
    <w:p w14:paraId="1AD49E5B" w14:textId="77777777" w:rsidR="0055291C" w:rsidRDefault="0055291C">
      <w:pPr>
        <w:pStyle w:val="a3"/>
        <w:rPr>
          <w:rFonts w:ascii="Arial"/>
          <w:i/>
          <w:sz w:val="20"/>
        </w:rPr>
      </w:pPr>
    </w:p>
    <w:p w14:paraId="69CBC2C0" w14:textId="77777777" w:rsidR="0055291C" w:rsidRDefault="0055291C">
      <w:pPr>
        <w:pStyle w:val="a3"/>
        <w:spacing w:before="4"/>
        <w:rPr>
          <w:rFonts w:ascii="Arial"/>
          <w:i/>
          <w:sz w:val="29"/>
        </w:rPr>
      </w:pPr>
    </w:p>
    <w:p w14:paraId="48FB3AB5" w14:textId="77777777" w:rsidR="0055291C" w:rsidRDefault="00000000">
      <w:pPr>
        <w:pStyle w:val="3"/>
        <w:ind w:left="1366"/>
      </w:pPr>
      <w:r>
        <w:pict w14:anchorId="5FABA09B">
          <v:group id="docshapegroup745" o:spid="_x0000_s3043" style="position:absolute;left:0;text-align:left;margin-left:54pt;margin-top:-1.6pt;width:506.5pt;height:643.5pt;z-index:-251576832;mso-position-horizontal-relative:page" coordorigin="1080,-32" coordsize="10130,12870">
            <v:shape id="docshape746" o:spid="_x0000_s3070" style="position:absolute;left:1133;top:441;width:9973;height:12397" coordorigin="1134,441" coordsize="9973,12397" path="m11106,441r-9972,l1134,12611r3,131l1162,12809r68,25l1361,12838r9518,l11010,12834r68,-25l11103,12742r3,-131l11106,441xe" fillcolor="#f3f4f4" stroked="f">
              <v:path arrowok="t"/>
            </v:shape>
            <v:line id="_x0000_s3069" style="position:absolute" from="4888,5594" to="9853,5594" strokecolor="#b6b8ba" strokeweight="8pt"/>
            <v:line id="_x0000_s3068" style="position:absolute" from="3998,9646" to="9865,9646" strokecolor="#b6b8ba" strokeweight="8pt"/>
            <v:line id="_x0000_s3067" style="position:absolute" from="2188,8058" to="4980,8058" strokecolor="#b6b8ba" strokeweight="8pt"/>
            <v:line id="_x0000_s3066" style="position:absolute" from="2558,10252" to="10478,10252" strokecolor="#b6b8ba" strokeweight="8pt"/>
            <v:line id="_x0000_s3065" style="position:absolute" from="9788,5516" to="9788,9689" strokecolor="#b6b8ba" strokeweight="8pt"/>
            <v:line id="_x0000_s3064" style="position:absolute" from="6048,5210" to="6048,5638" strokecolor="#b6b8ba" strokeweight="8pt"/>
            <v:line id="_x0000_s3063" style="position:absolute" from="2269,7978" to="2269,10321" strokecolor="#b6b8ba" strokeweight="8pt"/>
            <v:line id="_x0000_s3062" style="position:absolute" from="3918,8989" to="3918,10949" strokecolor="#b6b8ba" strokeweight="8pt"/>
            <v:line id="_x0000_s3061" style="position:absolute" from="5821,10229" to="5821,10949" strokecolor="#b6b8ba" strokeweight="8pt"/>
            <v:line id="_x0000_s3060" style="position:absolute" from="4900,5518" to="4900,8131" strokecolor="#b6b8ba" strokeweight="8pt"/>
            <v:shape id="docshape747" o:spid="_x0000_s3059" style="position:absolute;left:9108;top:6101;width:1343;height:1260" coordorigin="9108,6102" coordsize="1343,1260" path="m10309,6102r-1059,l9168,6104r-42,16l9111,6162r-3,82l9108,7220r3,82l9126,7344r42,16l9250,7362r1059,l10391,7360r42,-16l10448,7302r3,-82l10451,6244r-3,-82l10433,6120r-42,-16l10309,6102xe" fillcolor="#d8eeec" stroked="f">
              <v:path arrowok="t"/>
            </v:shape>
            <v:shape id="docshape748" o:spid="_x0000_s3058" style="position:absolute;left:1156;top:-33;width:9973;height:545" coordorigin="1157,-32" coordsize="9973,545" path="m10902,-32r-9519,l1252,-29r-67,25l1160,63r-3,132l1157,512r9972,l11129,195r-4,-132l11100,-4r-67,-25l10902,-32xe" fillcolor="#00aca1" stroked="f">
              <v:path arrowok="t"/>
            </v:shape>
            <v:line id="_x0000_s3057" style="position:absolute" from="1080,528" to="11209,528" strokecolor="white" strokeweight="3pt"/>
            <v:shape id="docshape749" o:spid="_x0000_s3056" style="position:absolute;left:8541;top:3837;width:2434;height:603" coordorigin="8542,3838" coordsize="2434,603" o:spt="100" adj="0,,0" path="m10441,3838r-1724,l8616,3840r-52,19l8545,3908r-3,96l8542,4274r3,96l8564,4420r52,18l8717,4441r1718,l10456,4440r15,-1l10486,4434r23,-8l10523,4421r387,-203l10975,4159r-7,-51l10932,4071r-22,-14l10533,3860r-24,-12l10487,3841r-17,-2l10451,3839r-5,-1l10441,3838xm10468,3838r-17,1l10470,3839r-2,-1xe" fillcolor="#f47836" stroked="f">
              <v:stroke joinstyle="round"/>
              <v:formulas/>
              <v:path arrowok="t" o:connecttype="segments"/>
            </v:shape>
            <v:shape id="docshape750" o:spid="_x0000_s3055" style="position:absolute;left:6777;top:3837;width:2434;height:603" coordorigin="6778,3838" coordsize="2434,603" o:spt="100" adj="0,,0" path="m8677,3838r-1724,l6852,3840r-52,19l6781,3908r-3,96l6778,4274r3,96l6800,4420r52,18l6953,4441r1719,l8692,4440r15,-1l8722,4434r23,-8l8760,4421r386,-203l9211,4159r-7,-51l9168,4071r-22,-14l8770,3860r-25,-12l8723,3841r-17,-2l8687,3839r-5,-1l8677,3838xm8704,3838r-17,1l8706,3839r-2,-1xe" fillcolor="#ed1065" stroked="f">
              <v:stroke joinstyle="round"/>
              <v:formulas/>
              <v:path arrowok="t" o:connecttype="segments"/>
            </v:shape>
            <v:shape id="docshape751" o:spid="_x0000_s3054" style="position:absolute;left:4917;top:3837;width:2434;height:603" coordorigin="4917,3838" coordsize="2434,603" o:spt="100" adj="0,,0" path="m6816,3838r-1724,l4991,3840r-52,19l4920,3908r-3,96l4917,4274r3,96l4939,4420r52,18l5092,4441r1719,l6831,4440r15,-1l6861,4434r23,-8l6899,4421r387,-203l7350,4159r-7,-51l7307,4071r-21,-14l6909,3860r-25,-12l6862,3841r-17,-2l6826,3839r-5,-1l6816,3838xm6843,3838r-17,1l6845,3839r-2,-1xe" fillcolor="#4f84c4" stroked="f">
              <v:stroke joinstyle="round"/>
              <v:formulas/>
              <v:path arrowok="t" o:connecttype="segments"/>
            </v:shape>
            <v:shape id="docshape752" o:spid="_x0000_s3053" style="position:absolute;left:3048;top:3837;width:2434;height:603" coordorigin="3049,3838" coordsize="2434,603" o:spt="100" adj="0,,0" path="m4948,3838r-1724,l3123,3840r-52,19l3051,3908r-2,96l3049,4274r2,96l3071,4420r52,18l3224,4441r1718,l4963,4440r14,-1l4993,4434r22,-8l5030,4421r387,-203l5482,4159r-7,-51l5439,4071r-22,-14l5040,3860r-24,-12l4994,3841r-17,-2l4958,3839r-5,-1l4948,3838xm4975,3838r-17,1l4977,3839r-2,-1xe" fillcolor="#7f3f98" stroked="f">
              <v:stroke joinstyle="round"/>
              <v:formulas/>
              <v:path arrowok="t" o:connecttype="segments"/>
            </v:shape>
            <v:shape id="docshape753" o:spid="_x0000_s3052" style="position:absolute;left:1204;top:3837;width:7366;height:1946" coordorigin="1205,3838" coordsize="7366,1946" o:spt="100" adj="0,,0" path="m3638,4159r-7,-51l3595,4071r-22,-14l3196,3860r-24,-12l3150,3842r-17,-3l3131,3838r-17,1l3109,3838r-5,l1380,3838r-101,2l1227,3859r-20,49l1205,4005r,269l1207,4370r20,50l1279,4438r101,3l3098,4441r21,-1l3133,4439r16,-5l3171,4426r15,-5l3573,4218r65,-59xm6688,5543r-2,-82l6671,5419r-42,-16l6547,5401r-1010,l5456,5403r-43,16l5398,5461r-2,82l5396,5642r2,82l5413,5766r43,16l5537,5784r1010,l6629,5782r42,-16l6686,5724r2,-82l6688,5543xm8571,4980r-3,-92l8551,4840r-48,-17l8411,4820r-4525,l3794,4823r-48,17l3729,4888r-3,92l3726,5043r3,92l3746,5183r48,17l3886,5203r4525,l8503,5200r48,-17l8568,5135r3,-92l8571,4980xe" fillcolor="#00aca1" stroked="f">
              <v:stroke joinstyle="round"/>
              <v:formulas/>
              <v:path arrowok="t" o:connecttype="segments"/>
            </v:shape>
            <v:shape id="docshape754" o:spid="_x0000_s3051" style="position:absolute;left:1190;top:6054;width:7507;height:1758" coordorigin="1191,6054" coordsize="7507,1758" path="m8555,6054r-7223,l1250,6057r-42,15l1193,6114r-2,82l1191,7670r2,82l1208,7794r42,16l1332,7812r7223,l8637,7810r42,-16l8694,7752r3,-82l8697,6196r-3,-82l8679,6072r-42,-15l8555,6054xe" fillcolor="#d8eeec" stroked="f">
              <v:path arrowok="t"/>
            </v:shape>
            <v:shape id="docshape755" o:spid="_x0000_s3050" style="position:absolute;left:1288;top:6164;width:7283;height:2758" coordorigin="1288,6164" coordsize="7283,2758" o:spt="100" adj="0,,0" path="m2368,7302r-4,-21l2353,7265r-17,-11l2315,7249r-974,l1321,7254r-17,11l1293,7281r-5,21l1288,7575r5,21l1304,7612r17,12l1341,7628r974,l2336,7624r17,-12l2364,7596r4,-21l2368,7302xm2368,6766r-4,-20l2353,6729r-17,-11l2315,6714r-974,l1321,6718r-17,11l1293,6746r-5,20l1288,7040r5,20l1304,7077r17,11l1341,7092r974,l2336,7088r17,-11l2364,7060r4,-20l2368,6766xm2368,6216r-4,-20l2353,6179r-17,-11l2315,6164r-974,l1321,6168r-17,11l1293,6196r-5,20l1288,6490r5,20l1304,6527r17,11l1341,6542r974,l2336,6538r17,-11l2364,6510r4,-20l2368,6216xm2886,8681r-3,-82l2868,8557r-42,-16l2744,8539r-850,l1812,8541r-42,16l1754,8599r-2,82l1752,8780r2,82l1770,8904r42,16l1894,8922r850,l2826,8920r42,-16l2883,8862r3,-82l2886,8681xm3609,7302r-4,-21l3593,7265r-17,-11l3556,7249r-974,l2561,7254r-17,11l2533,7281r-4,21l2529,7575r4,21l2544,7612r17,12l2582,7628r974,l3576,7624r17,-12l3605,7596r4,-21l3609,7302xm3609,6766r-4,-20l3593,6729r-17,-11l3556,6714r-974,l2561,6718r-17,11l2533,6746r-4,20l2529,7040r4,20l2544,7077r17,11l2582,7092r974,l3576,7088r17,-11l3605,7060r4,-20l3609,6766xm3609,6216r-4,-20l3593,6179r-17,-11l3556,6164r-974,l2561,6168r-17,11l2533,6196r-4,20l2529,6490r4,20l2544,6527r17,11l2582,6542r974,l3576,6538r17,-11l3605,6510r4,-20l3609,6216xm4849,7302r-4,-21l4834,7265r-17,-11l4796,7249r-974,l3802,7254r-17,11l3773,7281r-4,21l3769,7575r4,21l3785,7612r17,12l3822,7628r974,l4817,7624r17,-12l4845,7596r4,-21l4849,7302xm4849,6766r-4,-20l4834,6729r-17,-11l4796,6714r-974,l3802,6718r-17,11l3773,6746r-4,20l3769,7040r4,20l3785,7077r17,11l3822,7092r974,l4817,7088r17,-11l4845,7060r4,-20l4849,6766xm4849,6216r-4,-20l4834,6179r-17,-11l4796,6164r-974,l3802,6168r-17,11l3773,6196r-4,20l3769,6490r4,20l3785,6527r17,11l3822,6542r974,l4817,6538r17,-11l4845,6510r4,-20l4849,6216xm6090,6766r-4,-20l6074,6729r-17,-11l6037,6714r-974,l5042,6718r-17,11l5014,6746r-4,20l5010,7040r4,20l5025,7077r17,11l5063,7092r974,l6057,7088r17,-11l6086,7060r4,-20l6090,6766xm6090,6216r-4,-20l6074,6179r-17,-11l6037,6164r-974,l5042,6168r-17,11l5014,6196r-4,20l5010,6490r4,20l5025,6527r17,11l5063,6542r974,l6057,6538r17,-11l6086,6510r4,-20l6090,6216xm7330,6766r-4,-20l7315,6729r-17,-11l7277,6714r-974,l6282,6718r-16,11l6254,6746r-4,20l6250,7040r4,20l6266,7077r16,11l6303,7092r974,l7298,7088r17,-11l7326,7060r4,-20l7330,6766xm7330,6216r-4,-20l7315,6179r-17,-11l7277,6164r-974,l6282,6168r-16,11l6254,6196r-4,20l6250,6490r4,20l6266,6527r16,11l6303,6542r974,l7298,6538r17,-11l7326,6510r4,-20l7330,6216xm8571,7391r-3,-82l8553,7267r-42,-15l8429,7249r-3242,l5105,7252r-42,15l5048,7309r-2,82l5046,7490r2,82l5063,7614r42,16l5187,7632r3242,l8511,7630r42,-16l8568,7572r3,-82l8571,7391xm8571,6766r-5,-20l8555,6729r-17,-11l8518,6714r-975,l7523,6718r-17,11l7495,6746r-4,20l7491,7040r4,20l7506,7077r17,11l7543,7092r975,l8538,7088r17,-11l8566,7060r5,-20l8571,6766xm8571,6230r-5,-20l8555,6194r-17,-12l8518,6178r-975,l7523,6182r-17,12l7495,6210r-4,20l7491,6504r4,21l7506,6541r17,11l7543,6557r975,l8538,6552r17,-11l8566,6525r5,-21l8571,6230xe" fillcolor="#00aca1" stroked="f">
              <v:stroke joinstyle="round"/>
              <v:formulas/>
              <v:path arrowok="t" o:connecttype="segments"/>
            </v:shape>
            <v:shape id="docshape756" o:spid="_x0000_s3049" style="position:absolute;left:1751;top:10048;width:1134;height:383" coordorigin="1752,10049" coordsize="1134,383" path="m2744,10049r-850,l1812,10051r-42,16l1754,10109r-2,82l1752,10290r2,82l1770,10414r42,15l1894,10432r850,l2826,10429r42,-15l2883,10372r3,-82l2886,10191r-3,-82l2868,10067r-42,-16l2744,10049xe" fillcolor="#4f84c4" stroked="f">
              <v:path arrowok="t"/>
            </v:shape>
            <v:shape id="docshape757" o:spid="_x0000_s3048" style="position:absolute;left:1468;top:9197;width:1701;height:672" coordorigin="1468,9197" coordsize="1701,672" path="m3027,9197r-1417,l1528,9199r-42,16l1471,9257r-3,82l1468,9727r3,82l1486,9851r42,16l1610,9869r1417,l3109,9867r42,-16l3167,9809r2,-82l3169,9339r-2,-82l3151,9215r-42,-16l3027,9197xe" fillcolor="#7f3f98" stroked="f">
              <v:path arrowok="t"/>
            </v:shape>
            <v:shape id="docshape758" o:spid="_x0000_s3047" style="position:absolute;left:3361;top:8728;width:1134;height:2401" coordorigin="3361,8728" coordsize="1134,2401" o:spt="100" adj="0,,0" path="m4495,10888r-2,-82l4478,10764r-43,-15l4354,10746r-851,l3421,10749r-42,15l3364,10806r-3,82l3361,10987r3,82l3379,11111r42,16l3503,11129r851,l4435,11127r43,-16l4493,11069r2,-82l4495,10888xm4495,10046r-2,-82l4478,9922r-43,-15l4354,9904r-851,l3421,9907r-42,15l3364,9964r-3,82l3361,10434r3,82l3379,10558r42,16l3503,10576r851,l4435,10574r43,-16l4493,10516r2,-82l4495,10046xm4495,8870r-2,-82l4478,8746r-43,-16l4354,8728r-851,l3421,8730r-42,16l3364,8788r-3,82l3361,9258r3,82l3379,9382r42,16l3503,9400r851,l4435,9398r43,-16l4493,9340r2,-82l4495,8870xe" fillcolor="#4f84c4" stroked="f">
              <v:stroke joinstyle="round"/>
              <v:formulas/>
              <v:path arrowok="t" o:connecttype="segments"/>
            </v:shape>
            <v:shape id="docshape759" o:spid="_x0000_s3046" style="position:absolute;left:5265;top:9935;width:1134;height:1178" coordorigin="5266,9936" coordsize="1134,1178" o:spt="100" adj="0,,0" path="m6399,10872r-2,-82l6382,10748r-42,-15l6258,10731r-851,l5325,10733r-42,15l5268,10790r-2,82l5266,10972r2,82l5283,11096r42,15l5407,11113r851,l6340,11111r42,-15l6397,11054r2,-82l6399,10872xm6399,10077r-2,-82l6382,9953r-42,-15l6258,9936r-851,l5325,9938r-42,15l5268,9995r-2,82l5266,10466r2,82l5283,10590r42,15l5407,10607r851,l6340,10605r42,-15l6397,10548r2,-82l6399,10077xe" fillcolor="#ed1065" stroked="f">
              <v:stroke joinstyle="round"/>
              <v:formulas/>
              <v:path arrowok="t" o:connecttype="segments"/>
            </v:shape>
            <v:shape id="docshape760" o:spid="_x0000_s3045" style="position:absolute;left:6540;top:9935;width:4500;height:672" coordorigin="6540,9936" coordsize="4500,672" o:spt="100" adj="0,,0" path="m8241,10077r-2,-82l8224,9953r-43,-15l8100,9936r-1418,l6600,9938r-42,15l6543,9995r-3,82l6540,10466r3,82l6558,10590r42,15l6682,10607r1418,l8181,10605r43,-15l8239,10548r2,-82l8241,10077xm9641,10222r-2,-82l9623,10098r-42,-16l9499,10080r-850,l8567,10082r-42,16l8509,10140r-2,82l8507,10321r2,82l8525,10445r42,16l8649,10463r850,l9581,10461r42,-16l9639,10403r2,-82l9641,10222xm11040,10077r-2,-82l11023,9953r-42,-15l10899,9936r-851,l9966,9938r-42,15l9909,9995r-2,82l9907,10466r2,82l9924,10590r42,15l10048,10607r851,l10981,10605r42,-15l11038,10548r2,-82l11040,10077xe" fillcolor="#f47836" stroked="f">
              <v:stroke joinstyle="round"/>
              <v:formulas/>
              <v:path arrowok="t" o:connecttype="segments"/>
            </v:shape>
            <v:shape id="docshape761" o:spid="_x0000_s3044" style="position:absolute;left:9222;top:6268;width:1134;height:2680" coordorigin="9222,6269" coordsize="1134,2680" o:spt="100" adj="0,,0" path="m10320,6869r-5,-20l10304,6832r-17,-11l10267,6817r-975,l9272,6821r-17,11l9244,6849r-4,20l9240,7143r4,20l9255,7180r17,11l9292,7195r975,l10287,7191r17,-11l10315,7163r5,-20l10320,6869xm10320,6321r-5,-20l10304,6284r-17,-11l10267,6269r-975,l9272,6273r-17,11l9244,6301r-4,20l9240,6595r4,20l9255,6632r17,11l9292,6647r975,l10287,6643r17,-11l10315,6615r5,-20l10320,6321xm10356,8707r-2,-82l10338,8583r-42,-15l10214,8566r-850,l9282,8568r-42,15l9224,8625r-2,82l9222,8806r2,82l9240,8930r42,16l9364,8948r850,l10296,8946r42,-16l10354,8888r2,-82l10356,8707xe" fillcolor="#00aca1" stroked="f">
              <v:stroke joinstyle="round"/>
              <v:formulas/>
              <v:path arrowok="t" o:connecttype="segments"/>
            </v:shape>
            <w10:wrap anchorx="page"/>
          </v:group>
        </w:pict>
      </w:r>
      <w:r w:rsidR="00F23C61">
        <w:rPr>
          <w:color w:val="F3F4F4"/>
        </w:rPr>
        <w:t>GE</w:t>
      </w:r>
    </w:p>
    <w:p w14:paraId="69080E5D" w14:textId="77777777" w:rsidR="0055291C" w:rsidRDefault="0055291C">
      <w:pPr>
        <w:pStyle w:val="a3"/>
        <w:spacing w:before="1"/>
        <w:rPr>
          <w:rFonts w:ascii="Arial"/>
          <w:b/>
          <w:i/>
          <w:sz w:val="25"/>
        </w:rPr>
      </w:pPr>
    </w:p>
    <w:p w14:paraId="751BF31A" w14:textId="77777777" w:rsidR="0055291C" w:rsidRDefault="0055291C">
      <w:pPr>
        <w:rPr>
          <w:rFonts w:ascii="Arial"/>
          <w:sz w:val="25"/>
        </w:rPr>
        <w:sectPr w:rsidR="0055291C">
          <w:headerReference w:type="default" r:id="rId167"/>
          <w:pgSz w:w="12240" w:h="15840"/>
          <w:pgMar w:top="0" w:right="0" w:bottom="1040" w:left="0" w:header="0" w:footer="859" w:gutter="0"/>
          <w:cols w:space="720"/>
        </w:sectPr>
      </w:pPr>
    </w:p>
    <w:p w14:paraId="4C4A2D2C" w14:textId="49212D33" w:rsidR="0055291C" w:rsidRDefault="008247D8">
      <w:pPr>
        <w:spacing w:before="102" w:line="328" w:lineRule="auto"/>
        <w:ind w:left="1360" w:right="-1"/>
        <w:rPr>
          <w:sz w:val="18"/>
          <w:lang w:eastAsia="ja-JP"/>
        </w:rPr>
      </w:pPr>
      <w:r w:rsidRPr="008247D8">
        <w:rPr>
          <w:sz w:val="19"/>
          <w:szCs w:val="19"/>
          <w:lang w:eastAsia="ja-JP"/>
        </w:rPr>
        <w:t>GE</w:t>
      </w:r>
      <w:r w:rsidRPr="008247D8">
        <w:rPr>
          <w:rFonts w:ascii="ＭＳ ゴシック" w:eastAsia="ＭＳ ゴシック" w:hAnsi="ＭＳ ゴシック" w:cs="ＭＳ ゴシック" w:hint="eastAsia"/>
          <w:sz w:val="19"/>
          <w:szCs w:val="19"/>
          <w:lang w:eastAsia="ja-JP"/>
        </w:rPr>
        <w:t>は、</w:t>
      </w:r>
      <w:r w:rsidRPr="008247D8">
        <w:rPr>
          <w:sz w:val="19"/>
          <w:szCs w:val="19"/>
          <w:lang w:eastAsia="ja-JP"/>
        </w:rPr>
        <w:t>GE</w:t>
      </w:r>
      <w:r w:rsidRPr="008247D8">
        <w:rPr>
          <w:rFonts w:ascii="ＭＳ ゴシック" w:eastAsia="ＭＳ ゴシック" w:hAnsi="ＭＳ ゴシック" w:cs="ＭＳ ゴシック" w:hint="eastAsia"/>
          <w:sz w:val="19"/>
          <w:szCs w:val="19"/>
          <w:lang w:eastAsia="ja-JP"/>
        </w:rPr>
        <w:t>エナジー社の</w:t>
      </w:r>
      <w:r w:rsidRPr="008247D8">
        <w:rPr>
          <w:sz w:val="19"/>
          <w:szCs w:val="19"/>
          <w:lang w:eastAsia="ja-JP"/>
        </w:rPr>
        <w:t>2.5xl</w:t>
      </w:r>
      <w:r w:rsidRPr="008247D8">
        <w:rPr>
          <w:rFonts w:ascii="ＭＳ ゴシック" w:eastAsia="ＭＳ ゴシック" w:hAnsi="ＭＳ ゴシック" w:cs="ＭＳ ゴシック" w:hint="eastAsia"/>
          <w:sz w:val="19"/>
          <w:szCs w:val="19"/>
          <w:lang w:eastAsia="ja-JP"/>
        </w:rPr>
        <w:t>風力タービンの</w:t>
      </w:r>
      <w:r w:rsidRPr="008247D8">
        <w:rPr>
          <w:sz w:val="19"/>
          <w:szCs w:val="19"/>
          <w:lang w:eastAsia="ja-JP"/>
        </w:rPr>
        <w:t>GHG</w:t>
      </w:r>
      <w:r w:rsidRPr="008247D8">
        <w:rPr>
          <w:rFonts w:ascii="ＭＳ ゴシック" w:eastAsia="ＭＳ ゴシック" w:hAnsi="ＭＳ ゴシック" w:cs="ＭＳ ゴシック" w:hint="eastAsia"/>
          <w:sz w:val="19"/>
          <w:szCs w:val="19"/>
          <w:lang w:eastAsia="ja-JP"/>
        </w:rPr>
        <w:t>イン</w:t>
      </w:r>
      <w:r w:rsidRPr="008247D8">
        <w:rPr>
          <w:sz w:val="19"/>
          <w:szCs w:val="19"/>
          <w:lang w:eastAsia="ja-JP"/>
        </w:rPr>
        <w:t xml:space="preserve"> </w:t>
      </w:r>
      <w:r w:rsidRPr="008247D8">
        <w:rPr>
          <w:rFonts w:ascii="ＭＳ ゴシック" w:eastAsia="ＭＳ ゴシック" w:hAnsi="ＭＳ ゴシック" w:cs="ＭＳ ゴシック" w:hint="eastAsia"/>
          <w:sz w:val="19"/>
          <w:szCs w:val="19"/>
          <w:lang w:eastAsia="ja-JP"/>
        </w:rPr>
        <w:t>ベントリを実施しました。分析単位は、</w:t>
      </w:r>
      <w:r w:rsidRPr="008247D8">
        <w:rPr>
          <w:sz w:val="19"/>
          <w:szCs w:val="19"/>
          <w:lang w:eastAsia="ja-JP"/>
        </w:rPr>
        <w:t>2.5xl</w:t>
      </w:r>
      <w:r w:rsidRPr="008247D8">
        <w:rPr>
          <w:rFonts w:ascii="ＭＳ ゴシック" w:eastAsia="ＭＳ ゴシック" w:hAnsi="ＭＳ ゴシック" w:cs="ＭＳ ゴシック" w:hint="eastAsia"/>
          <w:sz w:val="19"/>
          <w:szCs w:val="19"/>
          <w:lang w:eastAsia="ja-JP"/>
        </w:rPr>
        <w:t>風力タービンが</w:t>
      </w:r>
      <w:r w:rsidRPr="008247D8">
        <w:rPr>
          <w:sz w:val="19"/>
          <w:szCs w:val="19"/>
          <w:lang w:eastAsia="ja-JP"/>
        </w:rPr>
        <w:t>20</w:t>
      </w:r>
      <w:r w:rsidRPr="008247D8">
        <w:rPr>
          <w:rFonts w:ascii="ＭＳ ゴシック" w:eastAsia="ＭＳ ゴシック" w:hAnsi="ＭＳ ゴシック" w:cs="ＭＳ ゴシック" w:hint="eastAsia"/>
          <w:sz w:val="19"/>
          <w:szCs w:val="19"/>
          <w:lang w:eastAsia="ja-JP"/>
        </w:rPr>
        <w:t>年間の寿命でグリッドに供給する電力量と定義されています。</w:t>
      </w:r>
      <w:r w:rsidRPr="008247D8">
        <w:rPr>
          <w:sz w:val="19"/>
          <w:szCs w:val="19"/>
          <w:lang w:eastAsia="ja-JP"/>
        </w:rPr>
        <w:t>GE</w:t>
      </w:r>
      <w:r w:rsidRPr="008247D8">
        <w:rPr>
          <w:rFonts w:ascii="ＭＳ ゴシック" w:eastAsia="ＭＳ ゴシック" w:hAnsi="ＭＳ ゴシック" w:cs="ＭＳ ゴシック" w:hint="eastAsia"/>
          <w:sz w:val="19"/>
          <w:szCs w:val="19"/>
          <w:lang w:eastAsia="ja-JP"/>
        </w:rPr>
        <w:t>は、この規格で定義された一般的</w:t>
      </w:r>
      <w:r w:rsidRPr="008247D8">
        <w:rPr>
          <w:sz w:val="19"/>
          <w:szCs w:val="19"/>
          <w:lang w:eastAsia="ja-JP"/>
        </w:rPr>
        <w:t xml:space="preserve"> </w:t>
      </w:r>
      <w:r w:rsidRPr="008247D8">
        <w:rPr>
          <w:rFonts w:ascii="ＭＳ ゴシック" w:eastAsia="ＭＳ ゴシック" w:hAnsi="ＭＳ ゴシック" w:cs="ＭＳ ゴシック" w:hint="eastAsia"/>
          <w:sz w:val="19"/>
          <w:szCs w:val="19"/>
          <w:lang w:eastAsia="ja-JP"/>
        </w:rPr>
        <w:t>なライフサイクルステージを使用して、さまざまな材</w:t>
      </w:r>
      <w:r w:rsidRPr="008247D8">
        <w:rPr>
          <w:sz w:val="19"/>
          <w:szCs w:val="19"/>
          <w:lang w:eastAsia="ja-JP"/>
        </w:rPr>
        <w:t xml:space="preserve"> </w:t>
      </w:r>
      <w:r w:rsidRPr="008247D8">
        <w:rPr>
          <w:rFonts w:ascii="ＭＳ ゴシック" w:eastAsia="ＭＳ ゴシック" w:hAnsi="ＭＳ ゴシック" w:cs="ＭＳ ゴシック" w:hint="eastAsia"/>
          <w:sz w:val="19"/>
          <w:szCs w:val="19"/>
          <w:lang w:eastAsia="ja-JP"/>
        </w:rPr>
        <w:t>料と活動をライフサイクル内でどのように分類すべきかを反映したプロセスマップを作成しました。風力タービンには</w:t>
      </w:r>
      <w:r w:rsidRPr="008247D8">
        <w:rPr>
          <w:sz w:val="19"/>
          <w:szCs w:val="19"/>
          <w:lang w:eastAsia="ja-JP"/>
        </w:rPr>
        <w:t>10,000</w:t>
      </w:r>
      <w:r w:rsidRPr="008247D8">
        <w:rPr>
          <w:rFonts w:ascii="ＭＳ ゴシック" w:eastAsia="ＭＳ ゴシック" w:hAnsi="ＭＳ ゴシック" w:cs="ＭＳ ゴシック" w:hint="eastAsia"/>
          <w:sz w:val="19"/>
          <w:szCs w:val="19"/>
          <w:lang w:eastAsia="ja-JP"/>
        </w:rPr>
        <w:t>以上の部品が含まれているため、材料の入手と前処理段階のプロセス</w:t>
      </w:r>
    </w:p>
    <w:p w14:paraId="10D4CE30" w14:textId="49601182" w:rsidR="0055291C" w:rsidRDefault="00F23C61" w:rsidP="008247D8">
      <w:pPr>
        <w:spacing w:before="102" w:line="328" w:lineRule="auto"/>
        <w:ind w:left="377" w:right="1526"/>
        <w:rPr>
          <w:sz w:val="18"/>
          <w:lang w:eastAsia="ja-JP"/>
        </w:rPr>
      </w:pPr>
      <w:r>
        <w:rPr>
          <w:lang w:eastAsia="ja-JP"/>
        </w:rPr>
        <w:br w:type="column"/>
      </w:r>
      <w:r w:rsidR="008247D8" w:rsidRPr="008247D8">
        <w:rPr>
          <w:rFonts w:ascii="ＭＳ ゴシック" w:eastAsia="ＭＳ ゴシック" w:hAnsi="ＭＳ ゴシック" w:cs="ＭＳ ゴシック" w:hint="eastAsia"/>
          <w:sz w:val="19"/>
          <w:szCs w:val="19"/>
          <w:lang w:eastAsia="ja-JP"/>
        </w:rPr>
        <w:t>は、主要な材料投入量のみを含むように簡略化し、かつ</w:t>
      </w:r>
      <w:r w:rsidR="008247D8" w:rsidRPr="008247D8">
        <w:rPr>
          <w:sz w:val="19"/>
          <w:szCs w:val="19"/>
          <w:lang w:eastAsia="ja-JP"/>
        </w:rPr>
        <w:t xml:space="preserve"> </w:t>
      </w:r>
      <w:r w:rsidR="008247D8" w:rsidRPr="008247D8">
        <w:rPr>
          <w:rFonts w:ascii="ＭＳ ゴシック" w:eastAsia="ＭＳ ゴシック" w:hAnsi="ＭＳ ゴシック" w:cs="ＭＳ ゴシック" w:hint="eastAsia"/>
          <w:sz w:val="19"/>
          <w:szCs w:val="19"/>
          <w:lang w:eastAsia="ja-JP"/>
        </w:rPr>
        <w:t>、その大きさを</w:t>
      </w:r>
      <w:r w:rsidR="008247D8">
        <w:rPr>
          <w:rFonts w:ascii="ＭＳ ゴシック" w:eastAsia="ＭＳ ゴシック" w:hAnsi="ＭＳ ゴシック" w:cs="ＭＳ ゴシック" w:hint="eastAsia"/>
          <w:sz w:val="19"/>
          <w:szCs w:val="19"/>
          <w:lang w:eastAsia="ja-JP"/>
        </w:rPr>
        <w:t>他のステージと</w:t>
      </w:r>
      <w:r w:rsidR="008247D8" w:rsidRPr="008247D8">
        <w:rPr>
          <w:rFonts w:ascii="ＭＳ ゴシック" w:eastAsia="ＭＳ ゴシック" w:hAnsi="ＭＳ ゴシック" w:cs="ＭＳ ゴシック" w:hint="eastAsia"/>
          <w:sz w:val="19"/>
          <w:szCs w:val="19"/>
          <w:lang w:eastAsia="ja-JP"/>
        </w:rPr>
        <w:t>比較できるようにしました。生産段階には、さまざまなター</w:t>
      </w:r>
      <w:r w:rsidR="008247D8" w:rsidRPr="008247D8">
        <w:rPr>
          <w:sz w:val="19"/>
          <w:szCs w:val="19"/>
          <w:lang w:eastAsia="ja-JP"/>
        </w:rPr>
        <w:t xml:space="preserve"> </w:t>
      </w:r>
      <w:r w:rsidR="008247D8" w:rsidRPr="008247D8">
        <w:rPr>
          <w:rFonts w:ascii="ＭＳ ゴシック" w:eastAsia="ＭＳ ゴシック" w:hAnsi="ＭＳ ゴシック" w:cs="ＭＳ ゴシック" w:hint="eastAsia"/>
          <w:sz w:val="19"/>
          <w:szCs w:val="19"/>
          <w:lang w:eastAsia="ja-JP"/>
        </w:rPr>
        <w:t>ビン部品の組み立てが含まれます。使用段階には、風力タービンが稼働している</w:t>
      </w:r>
      <w:r w:rsidR="008247D8" w:rsidRPr="008247D8">
        <w:rPr>
          <w:sz w:val="19"/>
          <w:szCs w:val="19"/>
          <w:lang w:eastAsia="ja-JP"/>
        </w:rPr>
        <w:t xml:space="preserve"> 20 </w:t>
      </w:r>
      <w:r w:rsidR="008247D8" w:rsidRPr="008247D8">
        <w:rPr>
          <w:rFonts w:ascii="ＭＳ ゴシック" w:eastAsia="ＭＳ ゴシック" w:hAnsi="ＭＳ ゴシック" w:cs="ＭＳ ゴシック" w:hint="eastAsia"/>
          <w:sz w:val="19"/>
          <w:szCs w:val="19"/>
          <w:lang w:eastAsia="ja-JP"/>
        </w:rPr>
        <w:t>年間に発生する運転と保守</w:t>
      </w:r>
      <w:r w:rsidR="008247D8" w:rsidRPr="008247D8">
        <w:rPr>
          <w:sz w:val="19"/>
          <w:szCs w:val="19"/>
          <w:lang w:eastAsia="ja-JP"/>
        </w:rPr>
        <w:t xml:space="preserve"> </w:t>
      </w:r>
      <w:r w:rsidR="008247D8" w:rsidRPr="008247D8">
        <w:rPr>
          <w:rFonts w:ascii="ＭＳ ゴシック" w:eastAsia="ＭＳ ゴシック" w:hAnsi="ＭＳ ゴシック" w:cs="ＭＳ ゴシック" w:hint="eastAsia"/>
          <w:sz w:val="19"/>
          <w:szCs w:val="19"/>
          <w:lang w:eastAsia="ja-JP"/>
        </w:rPr>
        <w:t>（</w:t>
      </w:r>
      <w:r w:rsidR="008247D8" w:rsidRPr="008247D8">
        <w:rPr>
          <w:sz w:val="19"/>
          <w:szCs w:val="19"/>
          <w:lang w:eastAsia="ja-JP"/>
        </w:rPr>
        <w:t>O&amp;M</w:t>
      </w:r>
      <w:r w:rsidR="008247D8" w:rsidRPr="008247D8">
        <w:rPr>
          <w:rFonts w:ascii="ＭＳ ゴシック" w:eastAsia="ＭＳ ゴシック" w:hAnsi="ＭＳ ゴシック" w:cs="ＭＳ ゴシック" w:hint="eastAsia"/>
          <w:sz w:val="19"/>
          <w:szCs w:val="19"/>
          <w:lang w:eastAsia="ja-JP"/>
        </w:rPr>
        <w:t>）、および設置場所への関連輸送が含まれ</w:t>
      </w:r>
      <w:r w:rsidR="008247D8">
        <w:rPr>
          <w:rFonts w:ascii="ＭＳ ゴシック" w:eastAsia="ＭＳ ゴシック" w:hAnsi="ＭＳ ゴシック" w:cs="ＭＳ ゴシック" w:hint="eastAsia"/>
          <w:sz w:val="19"/>
          <w:szCs w:val="19"/>
          <w:lang w:eastAsia="ja-JP"/>
        </w:rPr>
        <w:t>ます</w:t>
      </w:r>
      <w:r w:rsidR="008247D8" w:rsidRPr="008247D8">
        <w:rPr>
          <w:rFonts w:ascii="ＭＳ ゴシック" w:eastAsia="ＭＳ ゴシック" w:hAnsi="ＭＳ ゴシック" w:cs="ＭＳ ゴシック" w:hint="eastAsia"/>
          <w:sz w:val="19"/>
          <w:szCs w:val="19"/>
          <w:lang w:eastAsia="ja-JP"/>
        </w:rPr>
        <w:t>。</w:t>
      </w:r>
      <w:r w:rsidR="008247D8" w:rsidRPr="008247D8">
        <w:rPr>
          <w:sz w:val="19"/>
          <w:szCs w:val="19"/>
          <w:lang w:eastAsia="ja-JP"/>
        </w:rPr>
        <w:t xml:space="preserve"> </w:t>
      </w:r>
      <w:r w:rsidR="008247D8" w:rsidRPr="008247D8">
        <w:rPr>
          <w:rFonts w:ascii="ＭＳ ゴシック" w:eastAsia="ＭＳ ゴシック" w:hAnsi="ＭＳ ゴシック" w:cs="ＭＳ ゴシック" w:hint="eastAsia"/>
          <w:sz w:val="19"/>
          <w:szCs w:val="19"/>
          <w:lang w:eastAsia="ja-JP"/>
        </w:rPr>
        <w:t>使用終了段階には、廃車（タービンの解体）、タービン材料のリサイクルまたは廃棄が含まれ</w:t>
      </w:r>
      <w:r w:rsidR="008247D8">
        <w:rPr>
          <w:rFonts w:ascii="ＭＳ ゴシック" w:eastAsia="ＭＳ ゴシック" w:hAnsi="ＭＳ ゴシック" w:cs="ＭＳ ゴシック" w:hint="eastAsia"/>
          <w:sz w:val="19"/>
          <w:szCs w:val="19"/>
          <w:lang w:eastAsia="ja-JP"/>
        </w:rPr>
        <w:t>ます</w:t>
      </w:r>
      <w:r w:rsidR="008247D8" w:rsidRPr="008247D8">
        <w:rPr>
          <w:rFonts w:ascii="ＭＳ ゴシック" w:eastAsia="ＭＳ ゴシック" w:hAnsi="ＭＳ ゴシック" w:cs="ＭＳ ゴシック" w:hint="eastAsia"/>
          <w:sz w:val="19"/>
          <w:szCs w:val="19"/>
          <w:lang w:eastAsia="ja-JP"/>
        </w:rPr>
        <w:t>。</w:t>
      </w:r>
    </w:p>
    <w:p w14:paraId="4EF6D00B" w14:textId="77777777" w:rsidR="0055291C" w:rsidRDefault="0055291C">
      <w:pPr>
        <w:spacing w:line="328" w:lineRule="auto"/>
        <w:rPr>
          <w:sz w:val="18"/>
          <w:lang w:eastAsia="ja-JP"/>
        </w:rPr>
        <w:sectPr w:rsidR="0055291C">
          <w:type w:val="continuous"/>
          <w:pgSz w:w="12240" w:h="15840"/>
          <w:pgMar w:top="740" w:right="0" w:bottom="280" w:left="0" w:header="0" w:footer="859" w:gutter="0"/>
          <w:cols w:num="2" w:space="720" w:equalWidth="0">
            <w:col w:w="5845" w:space="40"/>
            <w:col w:w="6355"/>
          </w:cols>
        </w:sectPr>
      </w:pPr>
    </w:p>
    <w:p w14:paraId="6D981035" w14:textId="77777777" w:rsidR="0055291C" w:rsidRDefault="0055291C">
      <w:pPr>
        <w:pStyle w:val="a3"/>
        <w:spacing w:before="4"/>
        <w:rPr>
          <w:sz w:val="22"/>
          <w:lang w:eastAsia="ja-JP"/>
        </w:rPr>
      </w:pPr>
    </w:p>
    <w:p w14:paraId="7DB2B5C4" w14:textId="77777777" w:rsidR="0055291C" w:rsidRDefault="0055291C">
      <w:pPr>
        <w:rPr>
          <w:lang w:eastAsia="ja-JP"/>
        </w:rPr>
        <w:sectPr w:rsidR="0055291C">
          <w:type w:val="continuous"/>
          <w:pgSz w:w="12240" w:h="15840"/>
          <w:pgMar w:top="740" w:right="0" w:bottom="280" w:left="0" w:header="0" w:footer="859" w:gutter="0"/>
          <w:cols w:space="720"/>
        </w:sectPr>
      </w:pPr>
    </w:p>
    <w:p w14:paraId="6C672BBD" w14:textId="043598DE" w:rsidR="0055291C" w:rsidRDefault="008247D8">
      <w:pPr>
        <w:tabs>
          <w:tab w:val="left" w:pos="3918"/>
        </w:tabs>
        <w:spacing w:line="246" w:lineRule="exact"/>
        <w:ind w:left="1555"/>
        <w:rPr>
          <w:rFonts w:ascii="Arial"/>
          <w:b/>
          <w:i/>
          <w:sz w:val="17"/>
          <w:lang w:eastAsia="ja-JP"/>
        </w:rPr>
      </w:pPr>
      <w:r>
        <w:rPr>
          <w:rFonts w:ascii="ＭＳ ゴシック" w:eastAsia="ＭＳ ゴシック" w:hAnsi="ＭＳ ゴシック" w:cs="ＭＳ ゴシック" w:hint="eastAsia"/>
          <w:b/>
          <w:i/>
          <w:color w:val="FFFFFF"/>
          <w:sz w:val="17"/>
          <w:lang w:eastAsia="ja-JP"/>
        </w:rPr>
        <w:t>素材入手と前処理</w:t>
      </w:r>
      <w:r w:rsidR="00F23C61">
        <w:rPr>
          <w:rFonts w:ascii="Arial"/>
          <w:b/>
          <w:i/>
          <w:color w:val="FFFFFF"/>
          <w:spacing w:val="-3"/>
          <w:sz w:val="17"/>
          <w:lang w:eastAsia="ja-JP"/>
        </w:rPr>
        <w:tab/>
      </w:r>
      <w:r>
        <w:rPr>
          <w:rFonts w:ascii="ＭＳ ゴシック" w:eastAsia="ＭＳ ゴシック" w:hAnsi="ＭＳ ゴシック" w:cs="ＭＳ ゴシック" w:hint="eastAsia"/>
          <w:b/>
          <w:i/>
          <w:color w:val="FFFFFF"/>
          <w:spacing w:val="-3"/>
          <w:sz w:val="17"/>
          <w:lang w:eastAsia="ja-JP"/>
        </w:rPr>
        <w:t>生産</w:t>
      </w:r>
    </w:p>
    <w:p w14:paraId="73C9CEE5" w14:textId="34658BA3" w:rsidR="0055291C" w:rsidRPr="008247D8" w:rsidRDefault="00F23C61" w:rsidP="008247D8">
      <w:pPr>
        <w:spacing w:before="105" w:line="166" w:lineRule="exact"/>
        <w:ind w:left="945"/>
        <w:rPr>
          <w:rFonts w:ascii="Arial"/>
          <w:b/>
          <w:i/>
          <w:color w:val="FFFFFF"/>
          <w:position w:val="-7"/>
          <w:sz w:val="17"/>
          <w:lang w:eastAsia="ja-JP"/>
        </w:rPr>
      </w:pPr>
      <w:r>
        <w:rPr>
          <w:lang w:eastAsia="ja-JP"/>
        </w:rPr>
        <w:br w:type="column"/>
      </w:r>
      <w:r w:rsidR="008247D8">
        <w:rPr>
          <w:rFonts w:ascii="ＭＳ ゴシック" w:eastAsia="ＭＳ ゴシック" w:hAnsi="ＭＳ ゴシック" w:cs="ＭＳ ゴシック" w:hint="eastAsia"/>
          <w:b/>
          <w:i/>
          <w:color w:val="FFFFFF"/>
          <w:w w:val="105"/>
          <w:sz w:val="17"/>
          <w:lang w:eastAsia="ja-JP"/>
        </w:rPr>
        <w:t>運送・保管</w:t>
      </w:r>
      <w:r w:rsidR="008247D8">
        <w:rPr>
          <w:rFonts w:ascii="ＭＳ ゴシック" w:eastAsia="ＭＳ ゴシック" w:hAnsi="ＭＳ ゴシック" w:cs="ＭＳ ゴシック"/>
          <w:b/>
          <w:i/>
          <w:color w:val="FFFFFF"/>
          <w:w w:val="105"/>
          <w:sz w:val="17"/>
          <w:lang w:eastAsia="ja-JP"/>
        </w:rPr>
        <w:tab/>
      </w:r>
      <w:r w:rsidR="008247D8">
        <w:rPr>
          <w:rFonts w:ascii="ＭＳ ゴシック" w:eastAsia="ＭＳ ゴシック" w:hAnsi="ＭＳ ゴシック" w:cs="ＭＳ ゴシック"/>
          <w:b/>
          <w:i/>
          <w:color w:val="FFFFFF"/>
          <w:w w:val="105"/>
          <w:sz w:val="17"/>
          <w:lang w:eastAsia="ja-JP"/>
        </w:rPr>
        <w:tab/>
      </w:r>
      <w:r w:rsidR="008247D8">
        <w:rPr>
          <w:rFonts w:ascii="ＭＳ ゴシック" w:eastAsia="ＭＳ ゴシック" w:hAnsi="ＭＳ ゴシック" w:cs="ＭＳ ゴシック" w:hint="eastAsia"/>
          <w:b/>
          <w:i/>
          <w:color w:val="FFFFFF"/>
          <w:w w:val="105"/>
          <w:sz w:val="17"/>
          <w:lang w:eastAsia="ja-JP"/>
        </w:rPr>
        <w:t>使用</w:t>
      </w:r>
      <w:r w:rsidR="008247D8">
        <w:rPr>
          <w:rFonts w:ascii="ＭＳ ゴシック" w:eastAsia="ＭＳ ゴシック" w:hAnsi="ＭＳ ゴシック" w:cs="ＭＳ ゴシック"/>
          <w:b/>
          <w:i/>
          <w:color w:val="FFFFFF"/>
          <w:w w:val="105"/>
          <w:sz w:val="17"/>
          <w:lang w:eastAsia="ja-JP"/>
        </w:rPr>
        <w:tab/>
      </w:r>
      <w:r w:rsidR="008247D8">
        <w:rPr>
          <w:rFonts w:ascii="ＭＳ ゴシック" w:eastAsia="ＭＳ ゴシック" w:hAnsi="ＭＳ ゴシック" w:cs="ＭＳ ゴシック"/>
          <w:b/>
          <w:i/>
          <w:color w:val="FFFFFF"/>
          <w:w w:val="105"/>
          <w:sz w:val="17"/>
          <w:lang w:eastAsia="ja-JP"/>
        </w:rPr>
        <w:tab/>
      </w:r>
      <w:r w:rsidR="008247D8">
        <w:rPr>
          <w:rFonts w:ascii="ＭＳ ゴシック" w:eastAsia="ＭＳ ゴシック" w:hAnsi="ＭＳ ゴシック" w:cs="ＭＳ ゴシック"/>
          <w:b/>
          <w:i/>
          <w:color w:val="FFFFFF"/>
          <w:w w:val="105"/>
          <w:sz w:val="17"/>
          <w:lang w:eastAsia="ja-JP"/>
        </w:rPr>
        <w:tab/>
      </w:r>
      <w:r w:rsidR="008247D8">
        <w:rPr>
          <w:rFonts w:ascii="ＭＳ ゴシック" w:eastAsia="ＭＳ ゴシック" w:hAnsi="ＭＳ ゴシック" w:cs="ＭＳ ゴシック" w:hint="eastAsia"/>
          <w:b/>
          <w:i/>
          <w:color w:val="FFFFFF"/>
          <w:w w:val="105"/>
          <w:sz w:val="17"/>
          <w:lang w:eastAsia="ja-JP"/>
        </w:rPr>
        <w:t>廃棄</w:t>
      </w:r>
    </w:p>
    <w:p w14:paraId="20131C3B" w14:textId="77777777" w:rsidR="0055291C" w:rsidRDefault="0055291C">
      <w:pPr>
        <w:spacing w:line="194" w:lineRule="auto"/>
        <w:rPr>
          <w:rFonts w:ascii="Arial"/>
          <w:sz w:val="17"/>
          <w:lang w:eastAsia="ja-JP"/>
        </w:rPr>
        <w:sectPr w:rsidR="0055291C">
          <w:type w:val="continuous"/>
          <w:pgSz w:w="12240" w:h="15840"/>
          <w:pgMar w:top="740" w:right="0" w:bottom="280" w:left="0" w:header="0" w:footer="859" w:gutter="0"/>
          <w:cols w:num="2" w:space="720" w:equalWidth="0">
            <w:col w:w="4801" w:space="40"/>
            <w:col w:w="7399"/>
          </w:cols>
        </w:sectPr>
      </w:pPr>
    </w:p>
    <w:p w14:paraId="182ED2C9" w14:textId="77777777" w:rsidR="0055291C" w:rsidRDefault="0055291C">
      <w:pPr>
        <w:pStyle w:val="a3"/>
        <w:rPr>
          <w:rFonts w:ascii="Arial"/>
          <w:b/>
          <w:i/>
          <w:sz w:val="20"/>
          <w:lang w:eastAsia="ja-JP"/>
        </w:rPr>
      </w:pPr>
    </w:p>
    <w:p w14:paraId="57592A35" w14:textId="77777777" w:rsidR="0055291C" w:rsidRDefault="0055291C">
      <w:pPr>
        <w:pStyle w:val="a3"/>
        <w:spacing w:before="5"/>
        <w:rPr>
          <w:rFonts w:ascii="Arial"/>
          <w:b/>
          <w:i/>
          <w:sz w:val="21"/>
          <w:lang w:eastAsia="ja-JP"/>
        </w:rPr>
      </w:pPr>
    </w:p>
    <w:p w14:paraId="12B50E25" w14:textId="0CB4DB86" w:rsidR="0055291C" w:rsidRDefault="00F23C61">
      <w:pPr>
        <w:spacing w:before="99"/>
        <w:ind w:left="275" w:right="223"/>
        <w:jc w:val="center"/>
        <w:rPr>
          <w:rFonts w:ascii="Arial"/>
          <w:b/>
          <w:i/>
          <w:sz w:val="16"/>
        </w:rPr>
      </w:pPr>
      <w:r>
        <w:rPr>
          <w:rFonts w:ascii="Arial"/>
          <w:b/>
          <w:i/>
          <w:color w:val="FFFFFF"/>
          <w:w w:val="95"/>
          <w:sz w:val="16"/>
        </w:rPr>
        <w:t>material</w:t>
      </w:r>
      <w:r>
        <w:rPr>
          <w:rFonts w:ascii="Arial"/>
          <w:b/>
          <w:i/>
          <w:color w:val="FFFFFF"/>
          <w:spacing w:val="5"/>
          <w:w w:val="95"/>
          <w:sz w:val="16"/>
        </w:rPr>
        <w:t xml:space="preserve"> </w:t>
      </w:r>
      <w:r>
        <w:rPr>
          <w:rFonts w:ascii="Arial"/>
          <w:b/>
          <w:i/>
          <w:color w:val="FFFFFF"/>
          <w:w w:val="95"/>
          <w:sz w:val="16"/>
        </w:rPr>
        <w:t>acquisition</w:t>
      </w:r>
      <w:r>
        <w:rPr>
          <w:rFonts w:ascii="Arial"/>
          <w:b/>
          <w:i/>
          <w:color w:val="FFFFFF"/>
          <w:spacing w:val="6"/>
          <w:w w:val="95"/>
          <w:sz w:val="16"/>
        </w:rPr>
        <w:t xml:space="preserve"> </w:t>
      </w:r>
      <w:r>
        <w:rPr>
          <w:rFonts w:ascii="Arial"/>
          <w:b/>
          <w:i/>
          <w:color w:val="FFFFFF"/>
          <w:w w:val="95"/>
          <w:sz w:val="16"/>
        </w:rPr>
        <w:t>and</w:t>
      </w:r>
      <w:r>
        <w:rPr>
          <w:rFonts w:ascii="Arial"/>
          <w:b/>
          <w:i/>
          <w:color w:val="FFFFFF"/>
          <w:spacing w:val="6"/>
          <w:w w:val="95"/>
          <w:sz w:val="16"/>
        </w:rPr>
        <w:t xml:space="preserve"> </w:t>
      </w:r>
      <w:r>
        <w:rPr>
          <w:rFonts w:ascii="Arial"/>
          <w:b/>
          <w:i/>
          <w:color w:val="FFFFFF"/>
          <w:w w:val="95"/>
          <w:sz w:val="16"/>
        </w:rPr>
        <w:t>processing</w:t>
      </w:r>
    </w:p>
    <w:p w14:paraId="46EC6194" w14:textId="77777777" w:rsidR="0055291C" w:rsidRDefault="0055291C">
      <w:pPr>
        <w:pStyle w:val="a3"/>
        <w:spacing w:before="11"/>
        <w:rPr>
          <w:rFonts w:ascii="Arial"/>
          <w:b/>
          <w:i/>
          <w:sz w:val="25"/>
        </w:rPr>
      </w:pPr>
    </w:p>
    <w:p w14:paraId="7568572F" w14:textId="0456B044" w:rsidR="0055291C" w:rsidRDefault="00F23C61">
      <w:pPr>
        <w:spacing w:before="99"/>
        <w:ind w:left="275" w:right="441"/>
        <w:jc w:val="center"/>
        <w:rPr>
          <w:rFonts w:ascii="Arial"/>
          <w:b/>
          <w:i/>
          <w:sz w:val="16"/>
        </w:rPr>
      </w:pPr>
      <w:r>
        <w:rPr>
          <w:rFonts w:ascii="Arial"/>
          <w:b/>
          <w:i/>
          <w:color w:val="FFFFFF"/>
          <w:w w:val="105"/>
          <w:sz w:val="16"/>
        </w:rPr>
        <w:t>transport</w:t>
      </w:r>
    </w:p>
    <w:p w14:paraId="3EE59FE8" w14:textId="77777777" w:rsidR="0055291C" w:rsidRDefault="0055291C">
      <w:pPr>
        <w:pStyle w:val="a3"/>
        <w:rPr>
          <w:rFonts w:ascii="Arial"/>
          <w:b/>
          <w:i/>
          <w:sz w:val="20"/>
        </w:rPr>
      </w:pPr>
    </w:p>
    <w:p w14:paraId="0A346E9C" w14:textId="77777777" w:rsidR="0055291C" w:rsidRDefault="0055291C">
      <w:pPr>
        <w:pStyle w:val="a3"/>
        <w:spacing w:before="3"/>
        <w:rPr>
          <w:rFonts w:ascii="Arial"/>
          <w:b/>
          <w:i/>
          <w:sz w:val="23"/>
        </w:rPr>
      </w:pPr>
    </w:p>
    <w:p w14:paraId="18841CA8" w14:textId="77777777" w:rsidR="0055291C" w:rsidRDefault="0055291C">
      <w:pPr>
        <w:rPr>
          <w:rFonts w:ascii="Arial"/>
          <w:sz w:val="23"/>
        </w:rPr>
        <w:sectPr w:rsidR="0055291C">
          <w:type w:val="continuous"/>
          <w:pgSz w:w="12240" w:h="15840"/>
          <w:pgMar w:top="740" w:right="0" w:bottom="280" w:left="0" w:header="0" w:footer="859" w:gutter="0"/>
          <w:cols w:space="720"/>
        </w:sectPr>
      </w:pPr>
    </w:p>
    <w:p w14:paraId="1F4C2589" w14:textId="77777777" w:rsidR="0055291C" w:rsidRDefault="00F23C61">
      <w:pPr>
        <w:tabs>
          <w:tab w:val="left" w:pos="2808"/>
          <w:tab w:val="left" w:pos="4042"/>
          <w:tab w:val="left" w:pos="5248"/>
          <w:tab w:val="left" w:pos="6563"/>
          <w:tab w:val="left" w:pos="7729"/>
        </w:tabs>
        <w:spacing w:before="96"/>
        <w:ind w:left="1725"/>
        <w:rPr>
          <w:rFonts w:ascii="Arial"/>
          <w:b/>
          <w:i/>
          <w:sz w:val="12"/>
          <w:lang w:eastAsia="ja-JP"/>
        </w:rPr>
      </w:pPr>
      <w:r>
        <w:rPr>
          <w:rFonts w:ascii="Arial"/>
          <w:b/>
          <w:i/>
          <w:color w:val="FFFFFF"/>
          <w:position w:val="1"/>
          <w:sz w:val="12"/>
        </w:rPr>
        <w:t>hub</w:t>
      </w:r>
      <w:r>
        <w:rPr>
          <w:rFonts w:ascii="Arial"/>
          <w:b/>
          <w:i/>
          <w:color w:val="FFFFFF"/>
          <w:position w:val="1"/>
          <w:sz w:val="12"/>
          <w:lang w:eastAsia="ja-JP"/>
        </w:rPr>
        <w:tab/>
      </w:r>
      <w:r>
        <w:rPr>
          <w:rFonts w:ascii="Arial"/>
          <w:b/>
          <w:i/>
          <w:color w:val="FFFFFF"/>
          <w:position w:val="1"/>
          <w:sz w:val="12"/>
        </w:rPr>
        <w:t>bed</w:t>
      </w:r>
      <w:r>
        <w:rPr>
          <w:rFonts w:ascii="Arial"/>
          <w:b/>
          <w:i/>
          <w:color w:val="FFFFFF"/>
          <w:spacing w:val="-6"/>
          <w:position w:val="1"/>
          <w:sz w:val="12"/>
        </w:rPr>
        <w:t xml:space="preserve"> </w:t>
      </w:r>
      <w:r>
        <w:rPr>
          <w:rFonts w:ascii="Arial"/>
          <w:b/>
          <w:i/>
          <w:color w:val="FFFFFF"/>
          <w:position w:val="1"/>
          <w:sz w:val="12"/>
        </w:rPr>
        <w:t>plate</w:t>
      </w:r>
      <w:r>
        <w:rPr>
          <w:rFonts w:ascii="Arial"/>
          <w:b/>
          <w:i/>
          <w:color w:val="FFFFFF"/>
          <w:position w:val="1"/>
          <w:sz w:val="12"/>
          <w:lang w:eastAsia="ja-JP"/>
        </w:rPr>
        <w:tab/>
      </w:r>
      <w:r>
        <w:rPr>
          <w:rFonts w:ascii="Arial"/>
          <w:b/>
          <w:i/>
          <w:color w:val="FFFFFF"/>
          <w:position w:val="2"/>
          <w:sz w:val="12"/>
        </w:rPr>
        <w:t>converter</w:t>
      </w:r>
      <w:r>
        <w:rPr>
          <w:rFonts w:ascii="Arial"/>
          <w:b/>
          <w:i/>
          <w:color w:val="FFFFFF"/>
          <w:position w:val="2"/>
          <w:sz w:val="12"/>
          <w:lang w:eastAsia="ja-JP"/>
        </w:rPr>
        <w:tab/>
      </w:r>
      <w:r>
        <w:rPr>
          <w:rFonts w:ascii="Arial"/>
          <w:b/>
          <w:i/>
          <w:color w:val="FFFFFF"/>
          <w:position w:val="1"/>
          <w:sz w:val="12"/>
        </w:rPr>
        <w:t>main</w:t>
      </w:r>
      <w:r>
        <w:rPr>
          <w:rFonts w:ascii="Arial"/>
          <w:b/>
          <w:i/>
          <w:color w:val="FFFFFF"/>
          <w:spacing w:val="-4"/>
          <w:position w:val="1"/>
          <w:sz w:val="12"/>
        </w:rPr>
        <w:t xml:space="preserve"> </w:t>
      </w:r>
      <w:r>
        <w:rPr>
          <w:rFonts w:ascii="Arial"/>
          <w:b/>
          <w:i/>
          <w:color w:val="FFFFFF"/>
          <w:position w:val="1"/>
          <w:sz w:val="12"/>
        </w:rPr>
        <w:t>shaft</w:t>
      </w:r>
      <w:r>
        <w:rPr>
          <w:rFonts w:ascii="Arial"/>
          <w:b/>
          <w:i/>
          <w:color w:val="FFFFFF"/>
          <w:position w:val="1"/>
          <w:sz w:val="12"/>
          <w:lang w:eastAsia="ja-JP"/>
        </w:rPr>
        <w:tab/>
      </w:r>
      <w:r>
        <w:rPr>
          <w:rFonts w:ascii="Arial"/>
          <w:b/>
          <w:i/>
          <w:color w:val="FFFFFF"/>
          <w:position w:val="1"/>
          <w:sz w:val="12"/>
        </w:rPr>
        <w:t>gearbox</w:t>
      </w:r>
      <w:r>
        <w:rPr>
          <w:rFonts w:ascii="Arial"/>
          <w:b/>
          <w:i/>
          <w:color w:val="FFFFFF"/>
          <w:position w:val="1"/>
          <w:sz w:val="12"/>
          <w:lang w:eastAsia="ja-JP"/>
        </w:rPr>
        <w:tab/>
      </w:r>
      <w:r>
        <w:rPr>
          <w:rFonts w:ascii="Arial"/>
          <w:b/>
          <w:i/>
          <w:color w:val="FFFFFF"/>
          <w:spacing w:val="-3"/>
          <w:sz w:val="12"/>
          <w:lang w:eastAsia="ja-JP"/>
        </w:rPr>
        <w:t>yaw</w:t>
      </w:r>
      <w:r>
        <w:rPr>
          <w:rFonts w:ascii="Arial"/>
          <w:b/>
          <w:i/>
          <w:color w:val="FFFFFF"/>
          <w:spacing w:val="-4"/>
          <w:sz w:val="12"/>
          <w:lang w:eastAsia="ja-JP"/>
        </w:rPr>
        <w:t xml:space="preserve"> </w:t>
      </w:r>
      <w:r>
        <w:rPr>
          <w:rFonts w:ascii="Arial"/>
          <w:b/>
          <w:i/>
          <w:color w:val="FFFFFF"/>
          <w:spacing w:val="-3"/>
          <w:sz w:val="12"/>
          <w:lang w:eastAsia="ja-JP"/>
        </w:rPr>
        <w:t>drives</w:t>
      </w:r>
    </w:p>
    <w:p w14:paraId="4748BDB4" w14:textId="77777777" w:rsidR="0055291C" w:rsidRDefault="00F23C61">
      <w:pPr>
        <w:spacing w:before="10"/>
        <w:rPr>
          <w:rFonts w:ascii="Arial"/>
          <w:b/>
          <w:i/>
          <w:sz w:val="17"/>
          <w:lang w:eastAsia="ja-JP"/>
        </w:rPr>
      </w:pPr>
      <w:r>
        <w:rPr>
          <w:lang w:eastAsia="ja-JP"/>
        </w:rPr>
        <w:br w:type="column"/>
      </w:r>
    </w:p>
    <w:p w14:paraId="4CA2806D" w14:textId="77777777" w:rsidR="0055291C" w:rsidRDefault="00F23C61">
      <w:pPr>
        <w:ind w:left="1223"/>
        <w:rPr>
          <w:rFonts w:ascii="Arial"/>
          <w:b/>
          <w:i/>
          <w:sz w:val="12"/>
        </w:rPr>
      </w:pPr>
      <w:r>
        <w:rPr>
          <w:rFonts w:ascii="Arial"/>
          <w:b/>
          <w:i/>
          <w:color w:val="FFFFFF"/>
          <w:sz w:val="12"/>
        </w:rPr>
        <w:t>blades</w:t>
      </w:r>
    </w:p>
    <w:p w14:paraId="1125ADDE" w14:textId="77777777" w:rsidR="0055291C" w:rsidRDefault="0055291C">
      <w:pPr>
        <w:rPr>
          <w:rFonts w:ascii="Arial"/>
          <w:sz w:val="12"/>
        </w:rPr>
        <w:sectPr w:rsidR="0055291C">
          <w:type w:val="continuous"/>
          <w:pgSz w:w="12240" w:h="15840"/>
          <w:pgMar w:top="740" w:right="0" w:bottom="280" w:left="0" w:header="0" w:footer="859" w:gutter="0"/>
          <w:cols w:num="2" w:space="720" w:equalWidth="0">
            <w:col w:w="8332" w:space="40"/>
            <w:col w:w="3868"/>
          </w:cols>
        </w:sectPr>
      </w:pPr>
    </w:p>
    <w:p w14:paraId="6D8BD013" w14:textId="77777777" w:rsidR="0055291C" w:rsidRDefault="0055291C">
      <w:pPr>
        <w:pStyle w:val="a3"/>
        <w:rPr>
          <w:rFonts w:ascii="Arial"/>
          <w:b/>
          <w:i/>
          <w:sz w:val="18"/>
        </w:rPr>
      </w:pPr>
    </w:p>
    <w:p w14:paraId="27BA4C1C" w14:textId="77777777" w:rsidR="0055291C" w:rsidRDefault="0055291C">
      <w:pPr>
        <w:rPr>
          <w:rFonts w:ascii="Arial"/>
          <w:sz w:val="18"/>
        </w:rPr>
        <w:sectPr w:rsidR="0055291C">
          <w:type w:val="continuous"/>
          <w:pgSz w:w="12240" w:h="15840"/>
          <w:pgMar w:top="740" w:right="0" w:bottom="280" w:left="0" w:header="0" w:footer="859" w:gutter="0"/>
          <w:cols w:space="720"/>
        </w:sectPr>
      </w:pPr>
    </w:p>
    <w:p w14:paraId="31069488" w14:textId="77777777" w:rsidR="0055291C" w:rsidRDefault="00F23C61">
      <w:pPr>
        <w:tabs>
          <w:tab w:val="left" w:pos="2793"/>
          <w:tab w:val="left" w:pos="4101"/>
          <w:tab w:val="left" w:pos="5186"/>
          <w:tab w:val="left" w:pos="6425"/>
          <w:tab w:val="left" w:pos="7688"/>
        </w:tabs>
        <w:spacing w:before="101"/>
        <w:ind w:left="1630"/>
        <w:rPr>
          <w:rFonts w:ascii="Arial"/>
          <w:b/>
          <w:i/>
          <w:sz w:val="12"/>
        </w:rPr>
      </w:pPr>
      <w:r>
        <w:rPr>
          <w:rFonts w:ascii="Arial"/>
          <w:b/>
          <w:i/>
          <w:color w:val="FFFFFF"/>
          <w:sz w:val="12"/>
        </w:rPr>
        <w:t>nacelle</w:t>
      </w:r>
      <w:r>
        <w:rPr>
          <w:rFonts w:ascii="Arial"/>
          <w:b/>
          <w:i/>
          <w:color w:val="FFFFFF"/>
          <w:sz w:val="12"/>
        </w:rPr>
        <w:tab/>
        <w:t>generator</w:t>
      </w:r>
      <w:r>
        <w:rPr>
          <w:rFonts w:ascii="Arial"/>
          <w:b/>
          <w:i/>
          <w:color w:val="FFFFFF"/>
          <w:sz w:val="12"/>
        </w:rPr>
        <w:tab/>
      </w:r>
      <w:r>
        <w:rPr>
          <w:rFonts w:ascii="Arial"/>
          <w:b/>
          <w:i/>
          <w:color w:val="FFFFFF"/>
          <w:spacing w:val="-1"/>
          <w:sz w:val="12"/>
        </w:rPr>
        <w:t>top</w:t>
      </w:r>
      <w:r>
        <w:rPr>
          <w:rFonts w:ascii="Arial"/>
          <w:b/>
          <w:i/>
          <w:color w:val="FFFFFF"/>
          <w:spacing w:val="-8"/>
          <w:sz w:val="12"/>
        </w:rPr>
        <w:t xml:space="preserve"> </w:t>
      </w:r>
      <w:r>
        <w:rPr>
          <w:rFonts w:ascii="Arial"/>
          <w:b/>
          <w:i/>
          <w:color w:val="FFFFFF"/>
          <w:spacing w:val="-1"/>
          <w:sz w:val="12"/>
        </w:rPr>
        <w:t>box</w:t>
      </w:r>
      <w:r>
        <w:rPr>
          <w:rFonts w:ascii="Arial"/>
          <w:b/>
          <w:i/>
          <w:color w:val="FFFFFF"/>
          <w:spacing w:val="-1"/>
          <w:sz w:val="12"/>
        </w:rPr>
        <w:tab/>
        <w:t>main</w:t>
      </w:r>
      <w:r>
        <w:rPr>
          <w:rFonts w:ascii="Arial"/>
          <w:b/>
          <w:i/>
          <w:color w:val="FFFFFF"/>
          <w:spacing w:val="-7"/>
          <w:sz w:val="12"/>
        </w:rPr>
        <w:t xml:space="preserve"> </w:t>
      </w:r>
      <w:r>
        <w:rPr>
          <w:rFonts w:ascii="Arial"/>
          <w:b/>
          <w:i/>
          <w:color w:val="FFFFFF"/>
          <w:spacing w:val="-1"/>
          <w:sz w:val="12"/>
        </w:rPr>
        <w:t>bearing</w:t>
      </w:r>
      <w:r>
        <w:rPr>
          <w:rFonts w:ascii="Arial"/>
          <w:b/>
          <w:i/>
          <w:color w:val="FFFFFF"/>
          <w:spacing w:val="-1"/>
          <w:sz w:val="12"/>
        </w:rPr>
        <w:tab/>
      </w:r>
      <w:r>
        <w:rPr>
          <w:rFonts w:ascii="Arial"/>
          <w:b/>
          <w:i/>
          <w:color w:val="FFFFFF"/>
          <w:w w:val="95"/>
          <w:sz w:val="12"/>
        </w:rPr>
        <w:t>pitch</w:t>
      </w:r>
      <w:r>
        <w:rPr>
          <w:rFonts w:ascii="Arial"/>
          <w:b/>
          <w:i/>
          <w:color w:val="FFFFFF"/>
          <w:spacing w:val="1"/>
          <w:w w:val="95"/>
          <w:sz w:val="12"/>
        </w:rPr>
        <w:t xml:space="preserve"> </w:t>
      </w:r>
      <w:r>
        <w:rPr>
          <w:rFonts w:ascii="Arial"/>
          <w:b/>
          <w:i/>
          <w:color w:val="FFFFFF"/>
          <w:w w:val="95"/>
          <w:sz w:val="12"/>
        </w:rPr>
        <w:t>bearing</w:t>
      </w:r>
      <w:r>
        <w:rPr>
          <w:rFonts w:ascii="Arial"/>
          <w:b/>
          <w:i/>
          <w:color w:val="FFFFFF"/>
          <w:w w:val="95"/>
          <w:sz w:val="12"/>
        </w:rPr>
        <w:tab/>
      </w:r>
      <w:r>
        <w:rPr>
          <w:rFonts w:ascii="Arial"/>
          <w:b/>
          <w:i/>
          <w:color w:val="FFFFFF"/>
          <w:spacing w:val="-3"/>
          <w:sz w:val="12"/>
        </w:rPr>
        <w:t>yaw</w:t>
      </w:r>
      <w:r>
        <w:rPr>
          <w:rFonts w:ascii="Arial"/>
          <w:b/>
          <w:i/>
          <w:color w:val="FFFFFF"/>
          <w:spacing w:val="-1"/>
          <w:sz w:val="12"/>
        </w:rPr>
        <w:t xml:space="preserve"> </w:t>
      </w:r>
      <w:r>
        <w:rPr>
          <w:rFonts w:ascii="Arial"/>
          <w:b/>
          <w:i/>
          <w:color w:val="FFFFFF"/>
          <w:spacing w:val="-3"/>
          <w:sz w:val="12"/>
        </w:rPr>
        <w:t>bearing</w:t>
      </w:r>
    </w:p>
    <w:p w14:paraId="647CEE62" w14:textId="77777777" w:rsidR="0055291C" w:rsidRDefault="00F23C61">
      <w:pPr>
        <w:spacing w:before="8"/>
        <w:rPr>
          <w:rFonts w:ascii="Arial"/>
          <w:b/>
          <w:i/>
          <w:sz w:val="17"/>
        </w:rPr>
      </w:pPr>
      <w:r>
        <w:br w:type="column"/>
      </w:r>
    </w:p>
    <w:p w14:paraId="27D222A9" w14:textId="77777777" w:rsidR="0055291C" w:rsidRDefault="00F23C61">
      <w:pPr>
        <w:ind w:left="1202"/>
        <w:rPr>
          <w:rFonts w:ascii="Arial"/>
          <w:b/>
          <w:i/>
          <w:sz w:val="12"/>
        </w:rPr>
      </w:pPr>
      <w:r>
        <w:rPr>
          <w:rFonts w:ascii="Arial"/>
          <w:b/>
          <w:i/>
          <w:color w:val="FFFFFF"/>
          <w:w w:val="105"/>
          <w:sz w:val="12"/>
        </w:rPr>
        <w:t>tower</w:t>
      </w:r>
    </w:p>
    <w:p w14:paraId="438866F1" w14:textId="77777777" w:rsidR="0055291C" w:rsidRDefault="0055291C">
      <w:pPr>
        <w:rPr>
          <w:rFonts w:ascii="Arial"/>
          <w:sz w:val="12"/>
        </w:rPr>
        <w:sectPr w:rsidR="0055291C">
          <w:type w:val="continuous"/>
          <w:pgSz w:w="12240" w:h="15840"/>
          <w:pgMar w:top="740" w:right="0" w:bottom="280" w:left="0" w:header="0" w:footer="859" w:gutter="0"/>
          <w:cols w:num="2" w:space="720" w:equalWidth="0">
            <w:col w:w="8373" w:space="40"/>
            <w:col w:w="3827"/>
          </w:cols>
        </w:sectPr>
      </w:pPr>
    </w:p>
    <w:p w14:paraId="62E1F235" w14:textId="77777777" w:rsidR="0055291C" w:rsidRDefault="0055291C">
      <w:pPr>
        <w:pStyle w:val="a3"/>
        <w:spacing w:before="10"/>
        <w:rPr>
          <w:rFonts w:ascii="Arial"/>
          <w:b/>
          <w:i/>
          <w:sz w:val="16"/>
        </w:rPr>
      </w:pPr>
    </w:p>
    <w:p w14:paraId="1115C01C" w14:textId="77777777" w:rsidR="0055291C" w:rsidRDefault="00F23C61">
      <w:pPr>
        <w:tabs>
          <w:tab w:val="left" w:pos="2707"/>
          <w:tab w:val="left" w:pos="3967"/>
          <w:tab w:val="left" w:pos="6305"/>
        </w:tabs>
        <w:spacing w:before="103"/>
        <w:ind w:left="1479"/>
        <w:rPr>
          <w:rFonts w:ascii="Arial"/>
          <w:b/>
          <w:i/>
          <w:sz w:val="12"/>
        </w:rPr>
      </w:pPr>
      <w:r>
        <w:rPr>
          <w:rFonts w:ascii="Arial"/>
          <w:b/>
          <w:i/>
          <w:color w:val="FFFFFF"/>
          <w:w w:val="95"/>
          <w:sz w:val="12"/>
        </w:rPr>
        <w:t>pitch</w:t>
      </w:r>
      <w:r>
        <w:rPr>
          <w:rFonts w:ascii="Arial"/>
          <w:b/>
          <w:i/>
          <w:color w:val="FFFFFF"/>
          <w:spacing w:val="-3"/>
          <w:w w:val="95"/>
          <w:sz w:val="12"/>
        </w:rPr>
        <w:t xml:space="preserve"> </w:t>
      </w:r>
      <w:r>
        <w:rPr>
          <w:rFonts w:ascii="Arial"/>
          <w:b/>
          <w:i/>
          <w:color w:val="FFFFFF"/>
          <w:w w:val="95"/>
          <w:sz w:val="12"/>
        </w:rPr>
        <w:t>system</w:t>
      </w:r>
      <w:r>
        <w:rPr>
          <w:rFonts w:ascii="Arial"/>
          <w:b/>
          <w:i/>
          <w:color w:val="FFFFFF"/>
          <w:w w:val="95"/>
          <w:sz w:val="12"/>
        </w:rPr>
        <w:tab/>
      </w:r>
      <w:r>
        <w:rPr>
          <w:rFonts w:ascii="Arial"/>
          <w:b/>
          <w:i/>
          <w:color w:val="FFFFFF"/>
          <w:sz w:val="12"/>
        </w:rPr>
        <w:t>main</w:t>
      </w:r>
      <w:r>
        <w:rPr>
          <w:rFonts w:ascii="Arial"/>
          <w:b/>
          <w:i/>
          <w:color w:val="FFFFFF"/>
          <w:spacing w:val="-7"/>
          <w:sz w:val="12"/>
        </w:rPr>
        <w:t xml:space="preserve"> </w:t>
      </w:r>
      <w:r>
        <w:rPr>
          <w:rFonts w:ascii="Arial"/>
          <w:b/>
          <w:i/>
          <w:color w:val="FFFFFF"/>
          <w:sz w:val="12"/>
        </w:rPr>
        <w:t>ctrl</w:t>
      </w:r>
      <w:r>
        <w:rPr>
          <w:rFonts w:ascii="Arial"/>
          <w:b/>
          <w:i/>
          <w:color w:val="FFFFFF"/>
          <w:spacing w:val="-8"/>
          <w:sz w:val="12"/>
        </w:rPr>
        <w:t xml:space="preserve"> </w:t>
      </w:r>
      <w:r>
        <w:rPr>
          <w:rFonts w:ascii="Arial"/>
          <w:b/>
          <w:i/>
          <w:color w:val="FFFFFF"/>
          <w:sz w:val="12"/>
        </w:rPr>
        <w:t>cab</w:t>
      </w:r>
      <w:r>
        <w:rPr>
          <w:rFonts w:ascii="Arial"/>
          <w:b/>
          <w:i/>
          <w:color w:val="FFFFFF"/>
          <w:sz w:val="12"/>
        </w:rPr>
        <w:tab/>
        <w:t>transformer</w:t>
      </w:r>
      <w:r>
        <w:rPr>
          <w:rFonts w:ascii="Arial"/>
          <w:b/>
          <w:i/>
          <w:color w:val="FFFFFF"/>
          <w:sz w:val="12"/>
        </w:rPr>
        <w:tab/>
      </w:r>
      <w:r>
        <w:rPr>
          <w:rFonts w:ascii="Arial"/>
          <w:b/>
          <w:i/>
          <w:color w:val="FFFFFF"/>
          <w:w w:val="95"/>
          <w:sz w:val="12"/>
        </w:rPr>
        <w:t>other</w:t>
      </w:r>
      <w:r>
        <w:rPr>
          <w:rFonts w:ascii="Arial"/>
          <w:b/>
          <w:i/>
          <w:color w:val="FFFFFF"/>
          <w:spacing w:val="1"/>
          <w:w w:val="95"/>
          <w:sz w:val="12"/>
        </w:rPr>
        <w:t xml:space="preserve"> </w:t>
      </w:r>
      <w:r>
        <w:rPr>
          <w:rFonts w:ascii="Arial"/>
          <w:b/>
          <w:i/>
          <w:color w:val="FFFFFF"/>
          <w:w w:val="95"/>
          <w:sz w:val="12"/>
        </w:rPr>
        <w:t>components</w:t>
      </w:r>
    </w:p>
    <w:p w14:paraId="0A77B862" w14:textId="77777777" w:rsidR="0055291C" w:rsidRDefault="0055291C">
      <w:pPr>
        <w:pStyle w:val="a3"/>
        <w:rPr>
          <w:rFonts w:ascii="Arial"/>
          <w:b/>
          <w:i/>
          <w:sz w:val="20"/>
        </w:rPr>
      </w:pPr>
    </w:p>
    <w:p w14:paraId="2DE942A6" w14:textId="77777777" w:rsidR="0055291C" w:rsidRDefault="0055291C">
      <w:pPr>
        <w:pStyle w:val="a3"/>
        <w:rPr>
          <w:rFonts w:ascii="Arial"/>
          <w:b/>
          <w:i/>
          <w:sz w:val="20"/>
        </w:rPr>
      </w:pPr>
    </w:p>
    <w:p w14:paraId="68AE92E0" w14:textId="77777777" w:rsidR="0055291C" w:rsidRDefault="0055291C">
      <w:pPr>
        <w:pStyle w:val="a3"/>
        <w:spacing w:before="5"/>
        <w:rPr>
          <w:rFonts w:ascii="Arial"/>
          <w:b/>
          <w:i/>
          <w:sz w:val="21"/>
        </w:rPr>
      </w:pPr>
    </w:p>
    <w:p w14:paraId="0C457A8A" w14:textId="77777777" w:rsidR="0055291C" w:rsidRDefault="00F23C61">
      <w:pPr>
        <w:ind w:left="3503"/>
        <w:rPr>
          <w:rFonts w:ascii="Arial"/>
          <w:i/>
          <w:sz w:val="18"/>
        </w:rPr>
      </w:pPr>
      <w:r>
        <w:rPr>
          <w:rFonts w:ascii="Arial"/>
          <w:i/>
          <w:color w:val="7D7D82"/>
          <w:w w:val="95"/>
          <w:sz w:val="18"/>
        </w:rPr>
        <w:t>vendor</w:t>
      </w:r>
      <w:r>
        <w:rPr>
          <w:rFonts w:ascii="Arial"/>
          <w:i/>
          <w:color w:val="7D7D82"/>
          <w:spacing w:val="3"/>
          <w:w w:val="95"/>
          <w:sz w:val="18"/>
        </w:rPr>
        <w:t xml:space="preserve"> </w:t>
      </w:r>
      <w:r>
        <w:rPr>
          <w:rFonts w:ascii="Arial"/>
          <w:i/>
          <w:color w:val="7D7D82"/>
          <w:w w:val="95"/>
          <w:sz w:val="18"/>
        </w:rPr>
        <w:t>parts</w:t>
      </w:r>
      <w:r>
        <w:rPr>
          <w:rFonts w:ascii="Arial"/>
          <w:i/>
          <w:color w:val="7D7D82"/>
          <w:spacing w:val="4"/>
          <w:w w:val="95"/>
          <w:sz w:val="18"/>
        </w:rPr>
        <w:t xml:space="preserve"> </w:t>
      </w:r>
      <w:r>
        <w:rPr>
          <w:rFonts w:ascii="Arial"/>
          <w:i/>
          <w:color w:val="7D7D82"/>
          <w:w w:val="95"/>
          <w:sz w:val="18"/>
        </w:rPr>
        <w:t>shipped</w:t>
      </w:r>
      <w:r>
        <w:rPr>
          <w:rFonts w:ascii="Arial"/>
          <w:i/>
          <w:color w:val="7D7D82"/>
          <w:spacing w:val="3"/>
          <w:w w:val="95"/>
          <w:sz w:val="18"/>
        </w:rPr>
        <w:t xml:space="preserve"> </w:t>
      </w:r>
      <w:r>
        <w:rPr>
          <w:rFonts w:ascii="Arial"/>
          <w:i/>
          <w:color w:val="7D7D82"/>
          <w:w w:val="95"/>
          <w:sz w:val="18"/>
        </w:rPr>
        <w:t>to</w:t>
      </w:r>
      <w:r>
        <w:rPr>
          <w:rFonts w:ascii="Arial"/>
          <w:i/>
          <w:color w:val="7D7D82"/>
          <w:spacing w:val="4"/>
          <w:w w:val="95"/>
          <w:sz w:val="18"/>
        </w:rPr>
        <w:t xml:space="preserve"> </w:t>
      </w:r>
      <w:r>
        <w:rPr>
          <w:rFonts w:ascii="Arial"/>
          <w:i/>
          <w:color w:val="7D7D82"/>
          <w:w w:val="95"/>
          <w:sz w:val="18"/>
        </w:rPr>
        <w:t>GE</w:t>
      </w:r>
    </w:p>
    <w:p w14:paraId="607AA778" w14:textId="77777777" w:rsidR="0055291C" w:rsidRDefault="0055291C">
      <w:pPr>
        <w:pStyle w:val="a3"/>
        <w:rPr>
          <w:rFonts w:ascii="Arial"/>
          <w:i/>
          <w:sz w:val="10"/>
        </w:rPr>
      </w:pPr>
    </w:p>
    <w:p w14:paraId="5C778E4B" w14:textId="77777777" w:rsidR="0055291C" w:rsidRDefault="0055291C">
      <w:pPr>
        <w:rPr>
          <w:rFonts w:ascii="Arial"/>
          <w:sz w:val="10"/>
        </w:rPr>
        <w:sectPr w:rsidR="0055291C">
          <w:type w:val="continuous"/>
          <w:pgSz w:w="12240" w:h="15840"/>
          <w:pgMar w:top="740" w:right="0" w:bottom="280" w:left="0" w:header="0" w:footer="859" w:gutter="0"/>
          <w:cols w:space="720"/>
        </w:sectPr>
      </w:pPr>
    </w:p>
    <w:p w14:paraId="719ABC11" w14:textId="77777777" w:rsidR="0055291C" w:rsidRDefault="00F23C61">
      <w:pPr>
        <w:spacing w:before="99"/>
        <w:ind w:left="1630"/>
        <w:jc w:val="center"/>
        <w:rPr>
          <w:rFonts w:ascii="Arial"/>
          <w:b/>
          <w:i/>
          <w:sz w:val="16"/>
        </w:rPr>
      </w:pPr>
      <w:r>
        <w:rPr>
          <w:rFonts w:ascii="Arial"/>
          <w:b/>
          <w:i/>
          <w:color w:val="FFFFFF"/>
          <w:w w:val="105"/>
          <w:sz w:val="16"/>
        </w:rPr>
        <w:t>transport</w:t>
      </w:r>
    </w:p>
    <w:p w14:paraId="582DDCCC" w14:textId="77777777" w:rsidR="0055291C" w:rsidRDefault="0055291C">
      <w:pPr>
        <w:pStyle w:val="a3"/>
        <w:rPr>
          <w:rFonts w:ascii="Arial"/>
          <w:b/>
          <w:i/>
          <w:sz w:val="18"/>
        </w:rPr>
      </w:pPr>
    </w:p>
    <w:p w14:paraId="727C6B6D" w14:textId="77777777" w:rsidR="0055291C" w:rsidRDefault="0055291C">
      <w:pPr>
        <w:pStyle w:val="a3"/>
        <w:rPr>
          <w:rFonts w:ascii="Arial"/>
          <w:b/>
          <w:i/>
          <w:sz w:val="18"/>
        </w:rPr>
      </w:pPr>
    </w:p>
    <w:p w14:paraId="2A323553" w14:textId="77777777" w:rsidR="0055291C" w:rsidRDefault="00F23C61">
      <w:pPr>
        <w:spacing w:before="120" w:line="235" w:lineRule="auto"/>
        <w:ind w:left="1643"/>
        <w:jc w:val="center"/>
        <w:rPr>
          <w:rFonts w:ascii="Arial"/>
          <w:b/>
          <w:i/>
          <w:sz w:val="16"/>
        </w:rPr>
      </w:pPr>
      <w:r>
        <w:rPr>
          <w:rFonts w:ascii="Arial"/>
          <w:b/>
          <w:i/>
          <w:color w:val="FFFFFF"/>
          <w:w w:val="95"/>
          <w:sz w:val="16"/>
        </w:rPr>
        <w:t>GE</w:t>
      </w:r>
      <w:r>
        <w:rPr>
          <w:rFonts w:ascii="Arial"/>
          <w:b/>
          <w:i/>
          <w:color w:val="FFFFFF"/>
          <w:spacing w:val="6"/>
          <w:w w:val="95"/>
          <w:sz w:val="16"/>
        </w:rPr>
        <w:t xml:space="preserve"> </w:t>
      </w:r>
      <w:r>
        <w:rPr>
          <w:rFonts w:ascii="Arial"/>
          <w:b/>
          <w:i/>
          <w:color w:val="FFFFFF"/>
          <w:w w:val="95"/>
          <w:sz w:val="16"/>
        </w:rPr>
        <w:t>manufacturing</w:t>
      </w:r>
      <w:r>
        <w:rPr>
          <w:rFonts w:ascii="Arial"/>
          <w:b/>
          <w:i/>
          <w:color w:val="FFFFFF"/>
          <w:spacing w:val="-39"/>
          <w:w w:val="95"/>
          <w:sz w:val="16"/>
        </w:rPr>
        <w:t xml:space="preserve"> </w:t>
      </w:r>
      <w:r>
        <w:rPr>
          <w:rFonts w:ascii="Arial"/>
          <w:b/>
          <w:i/>
          <w:color w:val="FFFFFF"/>
          <w:sz w:val="16"/>
        </w:rPr>
        <w:t>&amp;</w:t>
      </w:r>
      <w:r>
        <w:rPr>
          <w:rFonts w:ascii="Arial"/>
          <w:b/>
          <w:i/>
          <w:color w:val="FFFFFF"/>
          <w:spacing w:val="-10"/>
          <w:sz w:val="16"/>
        </w:rPr>
        <w:t xml:space="preserve"> </w:t>
      </w:r>
      <w:r>
        <w:rPr>
          <w:rFonts w:ascii="Arial"/>
          <w:b/>
          <w:i/>
          <w:color w:val="FFFFFF"/>
          <w:sz w:val="16"/>
        </w:rPr>
        <w:t>assembly</w:t>
      </w:r>
    </w:p>
    <w:p w14:paraId="63348D63" w14:textId="77777777" w:rsidR="0055291C" w:rsidRDefault="00F23C61">
      <w:pPr>
        <w:rPr>
          <w:rFonts w:ascii="Arial"/>
          <w:b/>
          <w:i/>
          <w:sz w:val="18"/>
        </w:rPr>
      </w:pPr>
      <w:r>
        <w:br w:type="column"/>
      </w:r>
    </w:p>
    <w:p w14:paraId="7220FFCE" w14:textId="77777777" w:rsidR="0055291C" w:rsidRDefault="0055291C">
      <w:pPr>
        <w:pStyle w:val="a3"/>
        <w:spacing w:before="7"/>
        <w:rPr>
          <w:rFonts w:ascii="Arial"/>
          <w:b/>
          <w:i/>
        </w:rPr>
      </w:pPr>
    </w:p>
    <w:p w14:paraId="770270CD" w14:textId="77777777" w:rsidR="0055291C" w:rsidRDefault="00F23C61">
      <w:pPr>
        <w:ind w:left="565"/>
        <w:rPr>
          <w:rFonts w:ascii="Arial"/>
          <w:b/>
          <w:i/>
          <w:sz w:val="16"/>
        </w:rPr>
      </w:pPr>
      <w:r>
        <w:rPr>
          <w:rFonts w:ascii="Arial"/>
          <w:b/>
          <w:i/>
          <w:color w:val="FFFFFF"/>
          <w:w w:val="95"/>
          <w:sz w:val="16"/>
        </w:rPr>
        <w:t>site</w:t>
      </w:r>
      <w:r>
        <w:rPr>
          <w:rFonts w:ascii="Arial"/>
          <w:b/>
          <w:i/>
          <w:color w:val="FFFFFF"/>
          <w:spacing w:val="-7"/>
          <w:w w:val="95"/>
          <w:sz w:val="16"/>
        </w:rPr>
        <w:t xml:space="preserve"> </w:t>
      </w:r>
      <w:r>
        <w:rPr>
          <w:rFonts w:ascii="Arial"/>
          <w:b/>
          <w:i/>
          <w:color w:val="FFFFFF"/>
          <w:w w:val="95"/>
          <w:sz w:val="16"/>
        </w:rPr>
        <w:t>prep</w:t>
      </w:r>
    </w:p>
    <w:p w14:paraId="33AE6920" w14:textId="77777777" w:rsidR="0055291C" w:rsidRDefault="00F23C61">
      <w:pPr>
        <w:spacing w:before="126"/>
        <w:ind w:left="5142"/>
        <w:rPr>
          <w:rFonts w:ascii="Arial"/>
          <w:b/>
          <w:i/>
          <w:sz w:val="16"/>
        </w:rPr>
      </w:pPr>
      <w:r>
        <w:br w:type="column"/>
      </w:r>
      <w:r>
        <w:rPr>
          <w:rFonts w:ascii="Arial"/>
          <w:b/>
          <w:i/>
          <w:color w:val="FFFFFF"/>
          <w:w w:val="105"/>
          <w:sz w:val="16"/>
        </w:rPr>
        <w:t>transport</w:t>
      </w:r>
    </w:p>
    <w:p w14:paraId="4503C5D2" w14:textId="77777777" w:rsidR="0055291C" w:rsidRDefault="0055291C">
      <w:pPr>
        <w:pStyle w:val="a3"/>
        <w:rPr>
          <w:rFonts w:ascii="Arial"/>
          <w:b/>
          <w:i/>
          <w:sz w:val="18"/>
        </w:rPr>
      </w:pPr>
    </w:p>
    <w:p w14:paraId="3CC8D0EC" w14:textId="77777777" w:rsidR="0055291C" w:rsidRDefault="0055291C">
      <w:pPr>
        <w:pStyle w:val="a3"/>
        <w:spacing w:before="7"/>
        <w:rPr>
          <w:rFonts w:ascii="Arial"/>
          <w:b/>
          <w:i/>
        </w:rPr>
      </w:pPr>
    </w:p>
    <w:p w14:paraId="7F03BA15" w14:textId="77777777" w:rsidR="0055291C" w:rsidRDefault="00F23C61">
      <w:pPr>
        <w:ind w:left="1620"/>
        <w:rPr>
          <w:rFonts w:ascii="Arial"/>
          <w:i/>
          <w:sz w:val="18"/>
        </w:rPr>
      </w:pPr>
      <w:r>
        <w:rPr>
          <w:rFonts w:ascii="Arial"/>
          <w:i/>
          <w:color w:val="7D7D82"/>
          <w:sz w:val="18"/>
        </w:rPr>
        <w:t>vendor</w:t>
      </w:r>
      <w:r>
        <w:rPr>
          <w:rFonts w:ascii="Arial"/>
          <w:i/>
          <w:color w:val="7D7D82"/>
          <w:spacing w:val="-2"/>
          <w:sz w:val="18"/>
        </w:rPr>
        <w:t xml:space="preserve"> </w:t>
      </w:r>
      <w:r>
        <w:rPr>
          <w:rFonts w:ascii="Arial"/>
          <w:i/>
          <w:color w:val="7D7D82"/>
          <w:sz w:val="18"/>
        </w:rPr>
        <w:t>parts</w:t>
      </w:r>
      <w:r>
        <w:rPr>
          <w:rFonts w:ascii="Arial"/>
          <w:i/>
          <w:color w:val="7D7D82"/>
          <w:spacing w:val="-1"/>
          <w:sz w:val="18"/>
        </w:rPr>
        <w:t xml:space="preserve"> </w:t>
      </w:r>
      <w:r>
        <w:rPr>
          <w:rFonts w:ascii="Arial"/>
          <w:i/>
          <w:color w:val="7D7D82"/>
          <w:sz w:val="18"/>
        </w:rPr>
        <w:t>shipped</w:t>
      </w:r>
      <w:r>
        <w:rPr>
          <w:rFonts w:ascii="Arial"/>
          <w:i/>
          <w:color w:val="7D7D82"/>
          <w:spacing w:val="-2"/>
          <w:sz w:val="18"/>
        </w:rPr>
        <w:t xml:space="preserve"> </w:t>
      </w:r>
      <w:r>
        <w:rPr>
          <w:rFonts w:ascii="Arial"/>
          <w:i/>
          <w:color w:val="7D7D82"/>
          <w:sz w:val="18"/>
        </w:rPr>
        <w:t>directly</w:t>
      </w:r>
      <w:r>
        <w:rPr>
          <w:rFonts w:ascii="Arial"/>
          <w:i/>
          <w:color w:val="7D7D82"/>
          <w:spacing w:val="-1"/>
          <w:sz w:val="18"/>
        </w:rPr>
        <w:t xml:space="preserve"> </w:t>
      </w:r>
      <w:r>
        <w:rPr>
          <w:rFonts w:ascii="Arial"/>
          <w:i/>
          <w:color w:val="7D7D82"/>
          <w:sz w:val="18"/>
        </w:rPr>
        <w:t>to</w:t>
      </w:r>
      <w:r>
        <w:rPr>
          <w:rFonts w:ascii="Arial"/>
          <w:i/>
          <w:color w:val="7D7D82"/>
          <w:spacing w:val="-2"/>
          <w:sz w:val="18"/>
        </w:rPr>
        <w:t xml:space="preserve"> </w:t>
      </w:r>
      <w:r>
        <w:rPr>
          <w:rFonts w:ascii="Arial"/>
          <w:i/>
          <w:color w:val="7D7D82"/>
          <w:sz w:val="18"/>
        </w:rPr>
        <w:t>installation</w:t>
      </w:r>
      <w:r>
        <w:rPr>
          <w:rFonts w:ascii="Arial"/>
          <w:i/>
          <w:color w:val="7D7D82"/>
          <w:spacing w:val="-1"/>
          <w:sz w:val="18"/>
        </w:rPr>
        <w:t xml:space="preserve"> </w:t>
      </w:r>
      <w:r>
        <w:rPr>
          <w:rFonts w:ascii="Arial"/>
          <w:i/>
          <w:color w:val="7D7D82"/>
          <w:sz w:val="18"/>
        </w:rPr>
        <w:t>site</w:t>
      </w:r>
    </w:p>
    <w:p w14:paraId="4D06BB5A" w14:textId="77777777" w:rsidR="0055291C" w:rsidRDefault="0055291C">
      <w:pPr>
        <w:rPr>
          <w:rFonts w:ascii="Arial"/>
          <w:sz w:val="18"/>
        </w:rPr>
        <w:sectPr w:rsidR="0055291C">
          <w:type w:val="continuous"/>
          <w:pgSz w:w="12240" w:h="15840"/>
          <w:pgMar w:top="740" w:right="0" w:bottom="280" w:left="0" w:header="0" w:footer="859" w:gutter="0"/>
          <w:cols w:num="3" w:space="720" w:equalWidth="0">
            <w:col w:w="2994" w:space="40"/>
            <w:col w:w="1211" w:space="39"/>
            <w:col w:w="7956"/>
          </w:cols>
        </w:sectPr>
      </w:pPr>
    </w:p>
    <w:p w14:paraId="164E5220" w14:textId="77777777" w:rsidR="0055291C" w:rsidRDefault="0055291C">
      <w:pPr>
        <w:pStyle w:val="a3"/>
        <w:spacing w:before="9"/>
        <w:rPr>
          <w:rFonts w:ascii="Arial"/>
          <w:i/>
          <w:sz w:val="23"/>
        </w:rPr>
      </w:pPr>
    </w:p>
    <w:p w14:paraId="55B154B7" w14:textId="77777777" w:rsidR="0055291C" w:rsidRDefault="0055291C">
      <w:pPr>
        <w:rPr>
          <w:rFonts w:ascii="Arial"/>
          <w:sz w:val="23"/>
        </w:rPr>
        <w:sectPr w:rsidR="0055291C">
          <w:type w:val="continuous"/>
          <w:pgSz w:w="12240" w:h="15840"/>
          <w:pgMar w:top="740" w:right="0" w:bottom="280" w:left="0" w:header="0" w:footer="859" w:gutter="0"/>
          <w:cols w:space="720"/>
        </w:sectPr>
      </w:pPr>
    </w:p>
    <w:p w14:paraId="0F0BC813" w14:textId="77777777" w:rsidR="0055291C" w:rsidRDefault="00F23C61">
      <w:pPr>
        <w:spacing w:before="158"/>
        <w:jc w:val="right"/>
        <w:rPr>
          <w:rFonts w:ascii="Arial"/>
          <w:b/>
          <w:i/>
          <w:sz w:val="16"/>
        </w:rPr>
      </w:pPr>
      <w:r>
        <w:rPr>
          <w:rFonts w:ascii="Arial"/>
          <w:b/>
          <w:i/>
          <w:color w:val="FFFFFF"/>
          <w:w w:val="105"/>
          <w:sz w:val="16"/>
        </w:rPr>
        <w:t>transport</w:t>
      </w:r>
    </w:p>
    <w:p w14:paraId="52074157" w14:textId="77777777" w:rsidR="0055291C" w:rsidRDefault="00F23C61">
      <w:pPr>
        <w:spacing w:before="158"/>
        <w:ind w:left="785"/>
        <w:rPr>
          <w:rFonts w:ascii="Arial"/>
          <w:b/>
          <w:i/>
          <w:sz w:val="16"/>
        </w:rPr>
      </w:pPr>
      <w:r>
        <w:br w:type="column"/>
      </w:r>
      <w:r>
        <w:rPr>
          <w:rFonts w:ascii="Arial"/>
          <w:b/>
          <w:i/>
          <w:color w:val="FFFFFF"/>
          <w:spacing w:val="-1"/>
          <w:w w:val="105"/>
          <w:sz w:val="16"/>
        </w:rPr>
        <w:t>installation</w:t>
      </w:r>
    </w:p>
    <w:p w14:paraId="7B628889" w14:textId="77777777" w:rsidR="0055291C" w:rsidRDefault="00F23C61">
      <w:pPr>
        <w:tabs>
          <w:tab w:val="left" w:pos="3910"/>
          <w:tab w:val="left" w:pos="5295"/>
        </w:tabs>
        <w:spacing w:before="99" w:line="227" w:lineRule="exact"/>
        <w:ind w:left="1955"/>
        <w:rPr>
          <w:rFonts w:ascii="Arial"/>
          <w:b/>
          <w:i/>
          <w:sz w:val="16"/>
        </w:rPr>
      </w:pPr>
      <w:r>
        <w:br w:type="column"/>
      </w:r>
      <w:r>
        <w:rPr>
          <w:rFonts w:ascii="Arial"/>
          <w:b/>
          <w:i/>
          <w:color w:val="FFFFFF"/>
          <w:sz w:val="16"/>
        </w:rPr>
        <w:t>decommissioning</w:t>
      </w:r>
      <w:r>
        <w:rPr>
          <w:rFonts w:ascii="Arial"/>
          <w:b/>
          <w:i/>
          <w:color w:val="FFFFFF"/>
          <w:sz w:val="16"/>
        </w:rPr>
        <w:tab/>
        <w:t>transport</w:t>
      </w:r>
      <w:r>
        <w:rPr>
          <w:rFonts w:ascii="Arial"/>
          <w:b/>
          <w:i/>
          <w:color w:val="FFFFFF"/>
          <w:sz w:val="16"/>
        </w:rPr>
        <w:tab/>
      </w:r>
      <w:r>
        <w:rPr>
          <w:rFonts w:ascii="Arial"/>
          <w:b/>
          <w:i/>
          <w:color w:val="FFFFFF"/>
          <w:position w:val="9"/>
          <w:sz w:val="16"/>
        </w:rPr>
        <w:t>recycling/</w:t>
      </w:r>
    </w:p>
    <w:p w14:paraId="0E1CD91F" w14:textId="77777777" w:rsidR="0055291C" w:rsidRDefault="00000000">
      <w:pPr>
        <w:spacing w:line="137" w:lineRule="exact"/>
        <w:ind w:right="1459"/>
        <w:jc w:val="right"/>
        <w:rPr>
          <w:rFonts w:ascii="Arial"/>
          <w:b/>
          <w:i/>
          <w:sz w:val="16"/>
        </w:rPr>
      </w:pPr>
      <w:r>
        <w:pict w14:anchorId="095ED56E">
          <v:shape id="docshape763" o:spid="_x0000_s3041" type="#_x0000_t202" style="position:absolute;left:0;text-align:left;margin-left:282pt;margin-top:-6.7pt;width:18.55pt;height:9pt;z-index:251584000;mso-position-horizontal-relative:page" filled="f" stroked="f">
            <v:textbox style="mso-next-textbox:#docshape763" inset="0,0,0,0">
              <w:txbxContent>
                <w:p w14:paraId="4827E656" w14:textId="77777777" w:rsidR="0055291C" w:rsidRDefault="00F23C61">
                  <w:pPr>
                    <w:spacing w:line="179" w:lineRule="exact"/>
                    <w:rPr>
                      <w:rFonts w:ascii="Arial"/>
                      <w:b/>
                      <w:i/>
                      <w:sz w:val="16"/>
                    </w:rPr>
                  </w:pPr>
                  <w:r>
                    <w:rPr>
                      <w:rFonts w:ascii="Arial"/>
                      <w:b/>
                      <w:i/>
                      <w:color w:val="FFFFFF"/>
                      <w:w w:val="95"/>
                      <w:sz w:val="16"/>
                    </w:rPr>
                    <w:t>O&amp;M</w:t>
                  </w:r>
                </w:p>
              </w:txbxContent>
            </v:textbox>
            <w10:wrap anchorx="page"/>
          </v:shape>
        </w:pict>
      </w:r>
      <w:r w:rsidR="00F23C61">
        <w:rPr>
          <w:rFonts w:ascii="Arial"/>
          <w:b/>
          <w:i/>
          <w:color w:val="FFFFFF"/>
          <w:sz w:val="16"/>
        </w:rPr>
        <w:t>disposal</w:t>
      </w:r>
    </w:p>
    <w:p w14:paraId="03C23CBA" w14:textId="77777777" w:rsidR="0055291C" w:rsidRDefault="0055291C">
      <w:pPr>
        <w:spacing w:line="137" w:lineRule="exact"/>
        <w:jc w:val="right"/>
        <w:rPr>
          <w:rFonts w:ascii="Arial"/>
          <w:sz w:val="16"/>
        </w:rPr>
        <w:sectPr w:rsidR="0055291C">
          <w:type w:val="continuous"/>
          <w:pgSz w:w="12240" w:h="15840"/>
          <w:pgMar w:top="740" w:right="0" w:bottom="280" w:left="0" w:header="0" w:footer="859" w:gutter="0"/>
          <w:cols w:num="3" w:space="720" w:equalWidth="0">
            <w:col w:w="2668" w:space="40"/>
            <w:col w:w="1682" w:space="410"/>
            <w:col w:w="7440"/>
          </w:cols>
        </w:sectPr>
      </w:pPr>
    </w:p>
    <w:p w14:paraId="4DA06377" w14:textId="77777777" w:rsidR="0055291C" w:rsidRDefault="0055291C">
      <w:pPr>
        <w:pStyle w:val="a3"/>
        <w:spacing w:before="2"/>
        <w:rPr>
          <w:rFonts w:ascii="Arial"/>
          <w:b/>
          <w:i/>
          <w:sz w:val="24"/>
        </w:rPr>
      </w:pPr>
    </w:p>
    <w:p w14:paraId="1D14B967" w14:textId="77777777" w:rsidR="0055291C" w:rsidRDefault="00F23C61">
      <w:pPr>
        <w:tabs>
          <w:tab w:val="left" w:pos="5469"/>
        </w:tabs>
        <w:spacing w:before="94"/>
        <w:ind w:left="3565"/>
        <w:rPr>
          <w:rFonts w:ascii="Arial"/>
          <w:b/>
          <w:i/>
          <w:sz w:val="16"/>
        </w:rPr>
      </w:pPr>
      <w:r>
        <w:rPr>
          <w:rFonts w:ascii="Arial"/>
          <w:b/>
          <w:i/>
          <w:color w:val="FFFFFF"/>
          <w:w w:val="105"/>
          <w:sz w:val="16"/>
        </w:rPr>
        <w:t>transport</w:t>
      </w:r>
      <w:r>
        <w:rPr>
          <w:rFonts w:ascii="Arial"/>
          <w:b/>
          <w:i/>
          <w:color w:val="FFFFFF"/>
          <w:w w:val="105"/>
          <w:sz w:val="16"/>
        </w:rPr>
        <w:tab/>
      </w:r>
      <w:r>
        <w:rPr>
          <w:rFonts w:ascii="Arial"/>
          <w:b/>
          <w:i/>
          <w:color w:val="FFFFFF"/>
          <w:w w:val="105"/>
          <w:position w:val="2"/>
          <w:sz w:val="16"/>
        </w:rPr>
        <w:t>transport</w:t>
      </w:r>
    </w:p>
    <w:p w14:paraId="3F1970D8" w14:textId="77777777" w:rsidR="0055291C" w:rsidRDefault="0055291C">
      <w:pPr>
        <w:pStyle w:val="a3"/>
        <w:spacing w:before="9"/>
        <w:rPr>
          <w:rFonts w:ascii="Arial"/>
          <w:b/>
          <w:i/>
          <w:sz w:val="22"/>
        </w:rPr>
      </w:pPr>
    </w:p>
    <w:p w14:paraId="4E0AF2CC" w14:textId="77777777" w:rsidR="0055291C" w:rsidRDefault="00F23C61">
      <w:pPr>
        <w:spacing w:before="101"/>
        <w:ind w:left="1311"/>
        <w:rPr>
          <w:sz w:val="16"/>
        </w:rPr>
      </w:pPr>
      <w:r>
        <w:rPr>
          <w:color w:val="545456"/>
          <w:sz w:val="16"/>
        </w:rPr>
        <w:t>NOTE:</w:t>
      </w:r>
      <w:r>
        <w:rPr>
          <w:color w:val="545456"/>
          <w:spacing w:val="-6"/>
          <w:sz w:val="16"/>
        </w:rPr>
        <w:t xml:space="preserve"> </w:t>
      </w:r>
      <w:r>
        <w:rPr>
          <w:color w:val="545456"/>
          <w:sz w:val="16"/>
        </w:rPr>
        <w:t>The</w:t>
      </w:r>
      <w:r>
        <w:rPr>
          <w:color w:val="545456"/>
          <w:spacing w:val="-5"/>
          <w:sz w:val="16"/>
        </w:rPr>
        <w:t xml:space="preserve"> </w:t>
      </w:r>
      <w:r>
        <w:rPr>
          <w:color w:val="545456"/>
          <w:sz w:val="16"/>
        </w:rPr>
        <w:t>upstream</w:t>
      </w:r>
      <w:r>
        <w:rPr>
          <w:color w:val="545456"/>
          <w:spacing w:val="-6"/>
          <w:sz w:val="16"/>
        </w:rPr>
        <w:t xml:space="preserve"> </w:t>
      </w:r>
      <w:r>
        <w:rPr>
          <w:color w:val="545456"/>
          <w:sz w:val="16"/>
        </w:rPr>
        <w:t>and</w:t>
      </w:r>
      <w:r>
        <w:rPr>
          <w:color w:val="545456"/>
          <w:spacing w:val="-5"/>
          <w:sz w:val="16"/>
        </w:rPr>
        <w:t xml:space="preserve"> </w:t>
      </w:r>
      <w:r>
        <w:rPr>
          <w:color w:val="545456"/>
          <w:sz w:val="16"/>
        </w:rPr>
        <w:t>downstream</w:t>
      </w:r>
      <w:r>
        <w:rPr>
          <w:color w:val="545456"/>
          <w:spacing w:val="-5"/>
          <w:sz w:val="16"/>
        </w:rPr>
        <w:t xml:space="preserve"> </w:t>
      </w:r>
      <w:r>
        <w:rPr>
          <w:color w:val="545456"/>
          <w:sz w:val="16"/>
        </w:rPr>
        <w:t>material</w:t>
      </w:r>
      <w:r>
        <w:rPr>
          <w:color w:val="545456"/>
          <w:spacing w:val="-6"/>
          <w:sz w:val="16"/>
        </w:rPr>
        <w:t xml:space="preserve"> </w:t>
      </w:r>
      <w:r>
        <w:rPr>
          <w:color w:val="545456"/>
          <w:sz w:val="16"/>
        </w:rPr>
        <w:t>and</w:t>
      </w:r>
      <w:r>
        <w:rPr>
          <w:color w:val="545456"/>
          <w:spacing w:val="-5"/>
          <w:sz w:val="16"/>
        </w:rPr>
        <w:t xml:space="preserve"> </w:t>
      </w:r>
      <w:r>
        <w:rPr>
          <w:color w:val="545456"/>
          <w:sz w:val="16"/>
        </w:rPr>
        <w:t>energy</w:t>
      </w:r>
      <w:r>
        <w:rPr>
          <w:color w:val="545456"/>
          <w:spacing w:val="-6"/>
          <w:sz w:val="16"/>
        </w:rPr>
        <w:t xml:space="preserve"> </w:t>
      </w:r>
      <w:r>
        <w:rPr>
          <w:color w:val="545456"/>
          <w:sz w:val="16"/>
        </w:rPr>
        <w:t>inputs</w:t>
      </w:r>
      <w:r>
        <w:rPr>
          <w:color w:val="545456"/>
          <w:spacing w:val="-5"/>
          <w:sz w:val="16"/>
        </w:rPr>
        <w:t xml:space="preserve"> </w:t>
      </w:r>
      <w:r>
        <w:rPr>
          <w:color w:val="545456"/>
          <w:sz w:val="16"/>
        </w:rPr>
        <w:t>are</w:t>
      </w:r>
      <w:r>
        <w:rPr>
          <w:color w:val="545456"/>
          <w:spacing w:val="-5"/>
          <w:sz w:val="16"/>
        </w:rPr>
        <w:t xml:space="preserve"> </w:t>
      </w:r>
      <w:r>
        <w:rPr>
          <w:color w:val="545456"/>
          <w:sz w:val="16"/>
        </w:rPr>
        <w:t>not</w:t>
      </w:r>
      <w:r>
        <w:rPr>
          <w:color w:val="545456"/>
          <w:spacing w:val="-6"/>
          <w:sz w:val="16"/>
        </w:rPr>
        <w:t xml:space="preserve"> </w:t>
      </w:r>
      <w:r>
        <w:rPr>
          <w:color w:val="545456"/>
          <w:sz w:val="16"/>
        </w:rPr>
        <w:t>identified</w:t>
      </w:r>
      <w:r>
        <w:rPr>
          <w:color w:val="545456"/>
          <w:spacing w:val="-5"/>
          <w:sz w:val="16"/>
        </w:rPr>
        <w:t xml:space="preserve"> </w:t>
      </w:r>
      <w:r>
        <w:rPr>
          <w:color w:val="545456"/>
          <w:sz w:val="16"/>
        </w:rPr>
        <w:t>in</w:t>
      </w:r>
      <w:r>
        <w:rPr>
          <w:color w:val="545456"/>
          <w:spacing w:val="-6"/>
          <w:sz w:val="16"/>
        </w:rPr>
        <w:t xml:space="preserve"> </w:t>
      </w:r>
      <w:r>
        <w:rPr>
          <w:color w:val="545456"/>
          <w:sz w:val="16"/>
        </w:rPr>
        <w:t>this</w:t>
      </w:r>
      <w:r>
        <w:rPr>
          <w:color w:val="545456"/>
          <w:spacing w:val="-5"/>
          <w:sz w:val="16"/>
        </w:rPr>
        <w:t xml:space="preserve"> </w:t>
      </w:r>
      <w:r>
        <w:rPr>
          <w:color w:val="545456"/>
          <w:sz w:val="16"/>
        </w:rPr>
        <w:t>process</w:t>
      </w:r>
      <w:r>
        <w:rPr>
          <w:color w:val="545456"/>
          <w:spacing w:val="-5"/>
          <w:sz w:val="16"/>
        </w:rPr>
        <w:t xml:space="preserve"> </w:t>
      </w:r>
      <w:r>
        <w:rPr>
          <w:color w:val="545456"/>
          <w:sz w:val="16"/>
        </w:rPr>
        <w:t>map</w:t>
      </w:r>
      <w:r>
        <w:rPr>
          <w:color w:val="545456"/>
          <w:spacing w:val="-6"/>
          <w:sz w:val="16"/>
        </w:rPr>
        <w:t xml:space="preserve"> </w:t>
      </w:r>
      <w:r>
        <w:rPr>
          <w:color w:val="545456"/>
          <w:sz w:val="16"/>
        </w:rPr>
        <w:t>for</w:t>
      </w:r>
      <w:r>
        <w:rPr>
          <w:color w:val="545456"/>
          <w:spacing w:val="-5"/>
          <w:sz w:val="16"/>
        </w:rPr>
        <w:t xml:space="preserve"> </w:t>
      </w:r>
      <w:r>
        <w:rPr>
          <w:color w:val="545456"/>
          <w:sz w:val="16"/>
        </w:rPr>
        <w:t>simplicity.</w:t>
      </w:r>
    </w:p>
    <w:p w14:paraId="15115E45" w14:textId="77777777" w:rsidR="0055291C" w:rsidRDefault="0055291C">
      <w:pPr>
        <w:pStyle w:val="a3"/>
        <w:spacing w:before="10"/>
        <w:rPr>
          <w:sz w:val="23"/>
        </w:rPr>
      </w:pPr>
    </w:p>
    <w:p w14:paraId="565A2E98" w14:textId="1B4BB8C2" w:rsidR="0055291C" w:rsidRDefault="00ED3C25">
      <w:pPr>
        <w:spacing w:line="328" w:lineRule="auto"/>
        <w:ind w:left="1311" w:right="1445"/>
        <w:rPr>
          <w:sz w:val="18"/>
          <w:lang w:eastAsia="ja-JP"/>
        </w:rPr>
      </w:pPr>
      <w:r w:rsidRPr="00ED3C25">
        <w:rPr>
          <w:rFonts w:ascii="ＭＳ ゴシック" w:eastAsia="ＭＳ ゴシック" w:hAnsi="ＭＳ ゴシック" w:cs="ＭＳ ゴシック" w:hint="eastAsia"/>
          <w:sz w:val="19"/>
          <w:szCs w:val="19"/>
          <w:lang w:eastAsia="ja-JP"/>
        </w:rPr>
        <w:t>この</w:t>
      </w:r>
      <w:r>
        <w:rPr>
          <w:rFonts w:ascii="ＭＳ ゴシック" w:eastAsia="ＭＳ ゴシック" w:hAnsi="ＭＳ ゴシック" w:cs="ＭＳ ゴシック" w:hint="eastAsia"/>
          <w:sz w:val="19"/>
          <w:szCs w:val="19"/>
          <w:lang w:eastAsia="ja-JP"/>
        </w:rPr>
        <w:t>算出</w:t>
      </w:r>
      <w:r w:rsidRPr="00ED3C25">
        <w:rPr>
          <w:rFonts w:ascii="ＭＳ ゴシック" w:eastAsia="ＭＳ ゴシック" w:hAnsi="ＭＳ ゴシック" w:cs="ＭＳ ゴシック" w:hint="eastAsia"/>
          <w:sz w:val="19"/>
          <w:szCs w:val="19"/>
          <w:lang w:eastAsia="ja-JP"/>
        </w:rPr>
        <w:t>の結果、ライフサイクル</w:t>
      </w:r>
      <w:r w:rsidRPr="00ED3C25">
        <w:rPr>
          <w:sz w:val="19"/>
          <w:szCs w:val="19"/>
          <w:lang w:eastAsia="ja-JP"/>
        </w:rPr>
        <w:t>GHG</w:t>
      </w:r>
      <w:r w:rsidRPr="00ED3C25">
        <w:rPr>
          <w:rFonts w:ascii="ＭＳ ゴシック" w:eastAsia="ＭＳ ゴシック" w:hAnsi="ＭＳ ゴシック" w:cs="ＭＳ ゴシック" w:hint="eastAsia"/>
          <w:sz w:val="19"/>
          <w:szCs w:val="19"/>
          <w:lang w:eastAsia="ja-JP"/>
        </w:rPr>
        <w:t>排出量の</w:t>
      </w:r>
      <w:r w:rsidRPr="00ED3C25">
        <w:rPr>
          <w:sz w:val="19"/>
          <w:szCs w:val="19"/>
          <w:lang w:eastAsia="ja-JP"/>
        </w:rPr>
        <w:t>65%</w:t>
      </w:r>
      <w:r w:rsidRPr="00ED3C25">
        <w:rPr>
          <w:rFonts w:ascii="ＭＳ ゴシック" w:eastAsia="ＭＳ ゴシック" w:hAnsi="ＭＳ ゴシック" w:cs="ＭＳ ゴシック" w:hint="eastAsia"/>
          <w:sz w:val="19"/>
          <w:szCs w:val="19"/>
          <w:lang w:eastAsia="ja-JP"/>
        </w:rPr>
        <w:t>が、材料の入手と前処理の段階で発生していることがわかりました。</w:t>
      </w:r>
      <w:r>
        <w:rPr>
          <w:rFonts w:ascii="ＭＳ ゴシック" w:eastAsia="ＭＳ ゴシック" w:hAnsi="ＭＳ ゴシック" w:cs="ＭＳ ゴシック" w:hint="eastAsia"/>
          <w:sz w:val="19"/>
          <w:szCs w:val="19"/>
          <w:lang w:eastAsia="ja-JP"/>
        </w:rPr>
        <w:t>報告書</w:t>
      </w:r>
      <w:r w:rsidRPr="00ED3C25">
        <w:rPr>
          <w:rFonts w:ascii="ＭＳ ゴシック" w:eastAsia="ＭＳ ゴシック" w:hAnsi="ＭＳ ゴシック" w:cs="ＭＳ ゴシック" w:hint="eastAsia"/>
          <w:sz w:val="19"/>
          <w:szCs w:val="19"/>
          <w:lang w:eastAsia="ja-JP"/>
        </w:rPr>
        <w:t>に</w:t>
      </w:r>
      <w:r>
        <w:rPr>
          <w:rFonts w:ascii="ＭＳ ゴシック" w:eastAsia="ＭＳ ゴシック" w:hAnsi="ＭＳ ゴシック" w:cs="ＭＳ ゴシック" w:hint="eastAsia"/>
          <w:sz w:val="19"/>
          <w:szCs w:val="19"/>
          <w:lang w:eastAsia="ja-JP"/>
        </w:rPr>
        <w:t>工程表</w:t>
      </w:r>
      <w:r w:rsidRPr="00ED3C25">
        <w:rPr>
          <w:rFonts w:ascii="ＭＳ ゴシック" w:eastAsia="ＭＳ ゴシック" w:hAnsi="ＭＳ ゴシック" w:cs="ＭＳ ゴシック" w:hint="eastAsia"/>
          <w:sz w:val="19"/>
          <w:szCs w:val="19"/>
          <w:lang w:eastAsia="ja-JP"/>
        </w:rPr>
        <w:t>を含めることで、</w:t>
      </w:r>
      <w:r w:rsidRPr="00ED3C25">
        <w:rPr>
          <w:sz w:val="19"/>
          <w:szCs w:val="19"/>
          <w:lang w:eastAsia="ja-JP"/>
        </w:rPr>
        <w:t>GE</w:t>
      </w:r>
      <w:r w:rsidRPr="00ED3C25">
        <w:rPr>
          <w:rFonts w:ascii="ＭＳ ゴシック" w:eastAsia="ＭＳ ゴシック" w:hAnsi="ＭＳ ゴシック" w:cs="ＭＳ ゴシック" w:hint="eastAsia"/>
          <w:sz w:val="19"/>
          <w:szCs w:val="19"/>
          <w:lang w:eastAsia="ja-JP"/>
        </w:rPr>
        <w:t>のステークホルダーは、風力タービンに起因するライフサイクルプロセスだけでなく、</w:t>
      </w:r>
      <w:r w:rsidR="00A237BE">
        <w:rPr>
          <w:rFonts w:ascii="ＭＳ ゴシック" w:eastAsia="ＭＳ ゴシック" w:hAnsi="ＭＳ ゴシック" w:cs="ＭＳ ゴシック" w:hint="eastAsia"/>
          <w:sz w:val="19"/>
          <w:szCs w:val="19"/>
          <w:lang w:eastAsia="ja-JP"/>
        </w:rPr>
        <w:t>算出</w:t>
      </w:r>
      <w:r w:rsidRPr="00ED3C25">
        <w:rPr>
          <w:rFonts w:ascii="ＭＳ ゴシック" w:eastAsia="ＭＳ ゴシック" w:hAnsi="ＭＳ ゴシック" w:cs="ＭＳ ゴシック" w:hint="eastAsia"/>
          <w:sz w:val="19"/>
          <w:szCs w:val="19"/>
          <w:lang w:eastAsia="ja-JP"/>
        </w:rPr>
        <w:t>の結果も視覚的に理解することができます。</w:t>
      </w:r>
      <w:r w:rsidR="00F23C61">
        <w:rPr>
          <w:color w:val="545456"/>
          <w:sz w:val="18"/>
          <w:lang w:eastAsia="ja-JP"/>
        </w:rPr>
        <w:t>.</w:t>
      </w:r>
    </w:p>
    <w:p w14:paraId="5CBA5987" w14:textId="77777777" w:rsidR="0055291C" w:rsidRDefault="0055291C">
      <w:pPr>
        <w:spacing w:line="328" w:lineRule="auto"/>
        <w:rPr>
          <w:sz w:val="18"/>
          <w:lang w:eastAsia="ja-JP"/>
        </w:rPr>
        <w:sectPr w:rsidR="0055291C">
          <w:type w:val="continuous"/>
          <w:pgSz w:w="12240" w:h="15840"/>
          <w:pgMar w:top="740" w:right="0" w:bottom="280" w:left="0" w:header="0" w:footer="859" w:gutter="0"/>
          <w:cols w:space="720"/>
        </w:sectPr>
      </w:pPr>
    </w:p>
    <w:p w14:paraId="740987DA" w14:textId="77777777" w:rsidR="0055291C" w:rsidRDefault="0055291C">
      <w:pPr>
        <w:pStyle w:val="a3"/>
        <w:rPr>
          <w:sz w:val="20"/>
          <w:lang w:eastAsia="ja-JP"/>
        </w:rPr>
      </w:pPr>
    </w:p>
    <w:p w14:paraId="2CADA10B" w14:textId="77777777" w:rsidR="0055291C" w:rsidRDefault="0055291C">
      <w:pPr>
        <w:pStyle w:val="a3"/>
        <w:rPr>
          <w:sz w:val="20"/>
          <w:lang w:eastAsia="ja-JP"/>
        </w:rPr>
      </w:pPr>
    </w:p>
    <w:p w14:paraId="1C07FDBD" w14:textId="77777777" w:rsidR="0055291C" w:rsidRDefault="0055291C">
      <w:pPr>
        <w:pStyle w:val="a3"/>
        <w:rPr>
          <w:sz w:val="20"/>
          <w:lang w:eastAsia="ja-JP"/>
        </w:rPr>
      </w:pPr>
    </w:p>
    <w:p w14:paraId="799DEDDC" w14:textId="77777777" w:rsidR="0055291C" w:rsidRDefault="0055291C">
      <w:pPr>
        <w:pStyle w:val="a3"/>
        <w:rPr>
          <w:sz w:val="20"/>
          <w:lang w:eastAsia="ja-JP"/>
        </w:rPr>
      </w:pPr>
    </w:p>
    <w:p w14:paraId="3ABB0596" w14:textId="77777777" w:rsidR="0055291C" w:rsidRDefault="0055291C">
      <w:pPr>
        <w:rPr>
          <w:sz w:val="20"/>
          <w:lang w:eastAsia="ja-JP"/>
        </w:rPr>
        <w:sectPr w:rsidR="0055291C">
          <w:headerReference w:type="even" r:id="rId168"/>
          <w:footerReference w:type="even" r:id="rId169"/>
          <w:footerReference w:type="default" r:id="rId170"/>
          <w:pgSz w:w="12240" w:h="15840"/>
          <w:pgMar w:top="620" w:right="0" w:bottom="1040" w:left="0" w:header="0" w:footer="859" w:gutter="0"/>
          <w:pgNumType w:start="44"/>
          <w:cols w:space="720"/>
        </w:sectPr>
      </w:pPr>
    </w:p>
    <w:p w14:paraId="33D21E4A" w14:textId="77777777" w:rsidR="0055291C" w:rsidRDefault="0055291C">
      <w:pPr>
        <w:pStyle w:val="a3"/>
        <w:spacing w:before="9"/>
        <w:rPr>
          <w:sz w:val="22"/>
          <w:lang w:eastAsia="ja-JP"/>
        </w:rPr>
      </w:pPr>
    </w:p>
    <w:p w14:paraId="117BEB34" w14:textId="26388EE0" w:rsidR="0055291C" w:rsidRPr="003D3CE4" w:rsidRDefault="003D3CE4" w:rsidP="003D3CE4">
      <w:pPr>
        <w:pStyle w:val="a3"/>
        <w:spacing w:before="1" w:line="312" w:lineRule="auto"/>
        <w:ind w:left="1108" w:right="-8"/>
        <w:rPr>
          <w:color w:val="545456"/>
          <w:lang w:eastAsia="ja-JP"/>
        </w:rPr>
      </w:pPr>
      <w:r w:rsidRPr="003D3CE4">
        <w:rPr>
          <w:rFonts w:ascii="ＭＳ ゴシック" w:eastAsia="ＭＳ ゴシック" w:hAnsi="ＭＳ ゴシック" w:cs="ＭＳ ゴシック" w:hint="eastAsia"/>
          <w:color w:val="545456"/>
          <w:lang w:eastAsia="ja-JP"/>
        </w:rPr>
        <w:t>一部の製品に関連する可能性のある非帰属プロセスは、資本財と下部構造です。例えば、水力発電や風力発電などの再生可能エネルギーは、資本財やインフラを必要とし、他の排出部分と比較して大きな</w:t>
      </w:r>
      <w:r w:rsidRPr="003D3CE4">
        <w:rPr>
          <w:color w:val="545456"/>
          <w:lang w:eastAsia="ja-JP"/>
        </w:rPr>
        <w:t>GHG</w:t>
      </w:r>
      <w:r w:rsidRPr="003D3CE4">
        <w:rPr>
          <w:rFonts w:ascii="ＭＳ ゴシック" w:eastAsia="ＭＳ ゴシック" w:hAnsi="ＭＳ ゴシック" w:cs="ＭＳ ゴシック" w:hint="eastAsia"/>
          <w:color w:val="545456"/>
          <w:lang w:eastAsia="ja-JP"/>
        </w:rPr>
        <w:t>影響を与える可能性があります。これは、重要性を決定する際に定義された同じ基準と閾値を使用して決定することができます。さらに企業は、非帰属プロセスである企業活動を、削減の可能性のある重要な領域と見なし、製品インベントリに含めることが適切であると決定することもできます。</w:t>
      </w:r>
    </w:p>
    <w:p w14:paraId="59FAE768" w14:textId="4E150276" w:rsidR="0055291C" w:rsidRPr="00A237BE" w:rsidRDefault="00A237BE">
      <w:pPr>
        <w:pStyle w:val="7"/>
        <w:numPr>
          <w:ilvl w:val="2"/>
          <w:numId w:val="51"/>
        </w:numPr>
        <w:tabs>
          <w:tab w:val="left" w:pos="1828"/>
          <w:tab w:val="left" w:pos="1829"/>
        </w:tabs>
        <w:ind w:left="1828" w:hanging="721"/>
        <w:jc w:val="left"/>
        <w:rPr>
          <w:color w:val="00ACA1"/>
        </w:rPr>
      </w:pPr>
      <w:r w:rsidRPr="00A237BE">
        <w:rPr>
          <w:rFonts w:ascii="ＭＳ 明朝" w:eastAsia="ＭＳ 明朝" w:hAnsi="ＭＳ 明朝" w:cs="ＭＳ 明朝" w:hint="eastAsia"/>
          <w:color w:val="00ACA1"/>
          <w:lang w:eastAsia="ja-JP"/>
        </w:rPr>
        <w:t>期間</w:t>
      </w:r>
    </w:p>
    <w:p w14:paraId="69382F06" w14:textId="5BF65A54" w:rsidR="0055291C" w:rsidRDefault="00A237BE" w:rsidP="00932801">
      <w:pPr>
        <w:pStyle w:val="a3"/>
        <w:spacing w:before="1" w:line="312" w:lineRule="auto"/>
        <w:ind w:left="1108" w:right="37" w:firstLineChars="100" w:firstLine="190"/>
        <w:rPr>
          <w:lang w:eastAsia="ja-JP"/>
        </w:rPr>
      </w:pPr>
      <w:r>
        <w:rPr>
          <w:rFonts w:ascii="ＭＳ ゴシック" w:eastAsia="ＭＳ ゴシック" w:hAnsi="ＭＳ ゴシック" w:cs="ＭＳ ゴシック" w:hint="eastAsia"/>
          <w:lang w:eastAsia="ja-JP"/>
        </w:rPr>
        <w:t>総在庫期間は、使用段階と生産終了段階に依存します。使用段階の期間は、製品の耐用年数に基づいています。例えば、ノートパソコンの機能が</w:t>
      </w:r>
      <w:r>
        <w:rPr>
          <w:lang w:eastAsia="ja-JP"/>
        </w:rPr>
        <w:t>5,000</w:t>
      </w:r>
      <w:r>
        <w:rPr>
          <w:rFonts w:ascii="ＭＳ ゴシック" w:eastAsia="ＭＳ ゴシック" w:hAnsi="ＭＳ ゴシック" w:cs="ＭＳ ゴシック" w:hint="eastAsia"/>
          <w:lang w:eastAsia="ja-JP"/>
        </w:rPr>
        <w:t>時間の計算機能で、</w:t>
      </w:r>
      <w:r>
        <w:rPr>
          <w:lang w:eastAsia="ja-JP"/>
        </w:rPr>
        <w:t>1</w:t>
      </w:r>
      <w:r>
        <w:rPr>
          <w:rFonts w:ascii="ＭＳ ゴシック" w:eastAsia="ＭＳ ゴシック" w:hAnsi="ＭＳ ゴシック" w:cs="ＭＳ ゴシック" w:hint="eastAsia"/>
          <w:lang w:eastAsia="ja-JP"/>
        </w:rPr>
        <w:t>日</w:t>
      </w:r>
      <w:r>
        <w:rPr>
          <w:lang w:eastAsia="ja-JP"/>
        </w:rPr>
        <w:t>8</w:t>
      </w:r>
      <w:r>
        <w:rPr>
          <w:rFonts w:ascii="ＭＳ ゴシック" w:eastAsia="ＭＳ ゴシック" w:hAnsi="ＭＳ ゴシック" w:cs="ＭＳ ゴシック" w:hint="eastAsia"/>
          <w:lang w:eastAsia="ja-JP"/>
        </w:rPr>
        <w:t>時間、週</w:t>
      </w:r>
      <w:r>
        <w:rPr>
          <w:lang w:eastAsia="ja-JP"/>
        </w:rPr>
        <w:t>5</w:t>
      </w:r>
      <w:r>
        <w:rPr>
          <w:rFonts w:ascii="ＭＳ ゴシック" w:eastAsia="ＭＳ ゴシック" w:hAnsi="ＭＳ ゴシック" w:cs="ＭＳ ゴシック" w:hint="eastAsia"/>
          <w:lang w:eastAsia="ja-JP"/>
        </w:rPr>
        <w:t>日稼働とする場合、使用ステージの期間は</w:t>
      </w:r>
      <w:r>
        <w:rPr>
          <w:lang w:eastAsia="ja-JP"/>
        </w:rPr>
        <w:t>2.4</w:t>
      </w:r>
      <w:r>
        <w:rPr>
          <w:rFonts w:ascii="ＭＳ ゴシック" w:eastAsia="ＭＳ ゴシック" w:hAnsi="ＭＳ ゴシック" w:cs="ＭＳ ゴシック" w:hint="eastAsia"/>
          <w:lang w:eastAsia="ja-JP"/>
        </w:rPr>
        <w:t>年となります。</w:t>
      </w:r>
    </w:p>
    <w:p w14:paraId="282495E3" w14:textId="13B895F1" w:rsidR="0055291C" w:rsidRPr="00AD40B4" w:rsidRDefault="00754D60" w:rsidP="00932801">
      <w:pPr>
        <w:pStyle w:val="a3"/>
        <w:spacing w:before="141" w:line="312" w:lineRule="auto"/>
        <w:ind w:left="1108" w:right="-8" w:firstLineChars="100" w:firstLine="190"/>
        <w:rPr>
          <w:rFonts w:eastAsiaTheme="minorEastAsia"/>
          <w:lang w:eastAsia="ja-JP"/>
        </w:rPr>
      </w:pPr>
      <w:r>
        <w:rPr>
          <w:rFonts w:ascii="ＭＳ ゴシック" w:eastAsia="ＭＳ ゴシック" w:hAnsi="ＭＳ ゴシック" w:cs="ＭＳ ゴシック" w:hint="eastAsia"/>
          <w:lang w:eastAsia="ja-JP"/>
        </w:rPr>
        <w:t>耐用年数については、調査対象製品の、その地域での平均的な廃棄物処理プロファイルを想定し</w:t>
      </w:r>
      <w:r>
        <w:rPr>
          <w:rFonts w:ascii="ＭＳ ゴシック" w:eastAsia="ＭＳ ゴシック" w:hAnsi="ＭＳ ゴシック" w:cs="ＭＳ ゴシック" w:hint="eastAsia"/>
          <w:color w:val="545456"/>
          <w:spacing w:val="-13"/>
          <w:w w:val="105"/>
          <w:lang w:eastAsia="ja-JP"/>
        </w:rPr>
        <w:t>ており、</w:t>
      </w:r>
    </w:p>
    <w:p w14:paraId="1E96F27E" w14:textId="77777777" w:rsidR="0055291C" w:rsidRDefault="0055291C">
      <w:pPr>
        <w:pStyle w:val="a3"/>
        <w:spacing w:before="1"/>
        <w:rPr>
          <w:sz w:val="16"/>
          <w:lang w:eastAsia="ja-JP"/>
        </w:rPr>
      </w:pPr>
    </w:p>
    <w:p w14:paraId="1FE19B20" w14:textId="3F4BB31C" w:rsidR="0055291C" w:rsidRDefault="00F23C61">
      <w:pPr>
        <w:pStyle w:val="6"/>
        <w:spacing w:before="0"/>
        <w:ind w:left="1176"/>
        <w:rPr>
          <w:lang w:eastAsia="ja-JP"/>
        </w:rPr>
      </w:pPr>
      <w:r>
        <w:rPr>
          <w:color w:val="00ACA1"/>
          <w:w w:val="95"/>
          <w:lang w:eastAsia="ja-JP"/>
        </w:rPr>
        <w:t>Box</w:t>
      </w:r>
      <w:r>
        <w:rPr>
          <w:color w:val="00ACA1"/>
          <w:spacing w:val="1"/>
          <w:w w:val="95"/>
          <w:lang w:eastAsia="ja-JP"/>
        </w:rPr>
        <w:t xml:space="preserve"> </w:t>
      </w:r>
      <w:r>
        <w:rPr>
          <w:color w:val="00ACA1"/>
          <w:w w:val="95"/>
          <w:lang w:eastAsia="ja-JP"/>
        </w:rPr>
        <w:t>[7.3]</w:t>
      </w:r>
      <w:r>
        <w:rPr>
          <w:color w:val="00ACA1"/>
          <w:spacing w:val="2"/>
          <w:w w:val="95"/>
          <w:lang w:eastAsia="ja-JP"/>
        </w:rPr>
        <w:t xml:space="preserve"> </w:t>
      </w:r>
      <w:r w:rsidR="00AD40B4" w:rsidRPr="00AD40B4">
        <w:rPr>
          <w:rFonts w:ascii="ＭＳ 明朝" w:eastAsia="ＭＳ 明朝" w:hAnsi="ＭＳ 明朝" w:cs="ＭＳ 明朝" w:hint="eastAsia"/>
          <w:sz w:val="19"/>
          <w:szCs w:val="19"/>
          <w:lang w:eastAsia="ja-JP"/>
        </w:rPr>
        <w:t>関連性と意義</w:t>
      </w:r>
    </w:p>
    <w:p w14:paraId="2D08DBD0" w14:textId="2A3AF82F" w:rsidR="0055291C" w:rsidRDefault="00000000">
      <w:pPr>
        <w:spacing w:before="5"/>
        <w:rPr>
          <w:rFonts w:ascii="Arial"/>
          <w:b/>
          <w:lang w:eastAsia="ja-JP"/>
        </w:rPr>
      </w:pPr>
      <w:r>
        <w:pict w14:anchorId="162EA066">
          <v:group id="docshapegroup769" o:spid="_x0000_s3038" style="position:absolute;margin-left:57.85pt;margin-top:3.15pt;width:241.1pt;height:322.85pt;z-index:251585024;mso-position-horizontal-relative:page" coordorigin="1157,952" coordsize="4822,6011">
            <v:shape id="docshape770" o:spid="_x0000_s3040" style="position:absolute;left:1156;top:952;width:4822;height:6011" coordorigin="1157,952" coordsize="4822,6011" path="m5751,952r-4368,l1252,956r-67,25l1160,1048r-3,131l1157,6737r3,131l1185,6935r67,25l1383,6963r4368,l5883,6960r67,-25l5975,6868r3,-131l5978,1179r-3,-131l5950,981r-67,-25l5751,952xe" fillcolor="#e4f3f1" stroked="f">
              <v:path arrowok="t"/>
            </v:shape>
            <v:shape id="docshape771" o:spid="_x0000_s3039" type="#_x0000_t202" style="position:absolute;left:1156;top:952;width:4822;height:6011" filled="f" stroked="f">
              <v:textbox style="mso-next-textbox:#docshape771" inset="0,0,0,0">
                <w:txbxContent>
                  <w:p w14:paraId="50367B1B" w14:textId="77777777" w:rsidR="00A375AB" w:rsidRDefault="00A375AB" w:rsidP="002C441B">
                    <w:pPr>
                      <w:spacing w:before="2" w:line="328" w:lineRule="auto"/>
                      <w:ind w:left="226" w:right="230" w:firstLineChars="100" w:firstLine="180"/>
                      <w:rPr>
                        <w:rFonts w:ascii="ＭＳ ゴシック" w:eastAsia="ＭＳ ゴシック" w:hAnsi="ＭＳ ゴシック" w:cs="ＭＳ ゴシック"/>
                        <w:sz w:val="18"/>
                        <w:szCs w:val="18"/>
                        <w:lang w:eastAsia="ja-JP"/>
                      </w:rPr>
                    </w:pPr>
                  </w:p>
                  <w:p w14:paraId="02034492" w14:textId="551D8B0E" w:rsidR="00A375AB" w:rsidRPr="002C441B" w:rsidRDefault="002C441B" w:rsidP="00A375AB">
                    <w:pPr>
                      <w:spacing w:before="2" w:line="328" w:lineRule="auto"/>
                      <w:ind w:left="226" w:right="230" w:firstLineChars="100" w:firstLine="180"/>
                      <w:rPr>
                        <w:rFonts w:ascii="ＭＳ ゴシック" w:eastAsia="ＭＳ ゴシック" w:hAnsi="ＭＳ ゴシック" w:cs="ＭＳ ゴシック"/>
                        <w:sz w:val="18"/>
                        <w:szCs w:val="18"/>
                        <w:lang w:eastAsia="ja-JP"/>
                      </w:rPr>
                    </w:pPr>
                    <w:r w:rsidRPr="002C441B">
                      <w:rPr>
                        <w:rFonts w:ascii="ＭＳ ゴシック" w:eastAsia="ＭＳ ゴシック" w:hAnsi="ＭＳ ゴシック" w:cs="ＭＳ ゴシック" w:hint="eastAsia"/>
                        <w:sz w:val="18"/>
                        <w:szCs w:val="18"/>
                        <w:lang w:eastAsia="ja-JP"/>
                      </w:rPr>
                      <w:t>この規格では、類似の概念を定義するために、関連性と重要性の両方が使用されています。</w:t>
                    </w:r>
                  </w:p>
                  <w:p w14:paraId="2C1E63CD" w14:textId="77777777" w:rsidR="002C441B" w:rsidRPr="002C441B" w:rsidRDefault="002C441B" w:rsidP="002C441B">
                    <w:pPr>
                      <w:spacing w:before="2" w:line="328" w:lineRule="auto"/>
                      <w:ind w:left="226" w:right="230" w:firstLineChars="100" w:firstLine="180"/>
                      <w:rPr>
                        <w:rFonts w:ascii="ＭＳ ゴシック" w:eastAsia="ＭＳ ゴシック" w:hAnsi="ＭＳ ゴシック" w:cs="ＭＳ ゴシック"/>
                        <w:sz w:val="18"/>
                        <w:szCs w:val="18"/>
                        <w:lang w:eastAsia="ja-JP"/>
                      </w:rPr>
                    </w:pPr>
                    <w:r w:rsidRPr="002C441B">
                      <w:rPr>
                        <w:rFonts w:ascii="ＭＳ ゴシック" w:eastAsia="ＭＳ ゴシック" w:hAnsi="ＭＳ ゴシック" w:cs="ＭＳ ゴシック" w:hint="eastAsia"/>
                        <w:sz w:val="18"/>
                        <w:szCs w:val="18"/>
                        <w:lang w:eastAsia="ja-JP"/>
                      </w:rPr>
                      <w:t>重要性</w:t>
                    </w:r>
                    <w:r w:rsidRPr="002C441B">
                      <w:rPr>
                        <w:rFonts w:ascii="ＭＳ ゴシック" w:eastAsia="ＭＳ ゴシック" w:hAnsi="ＭＳ ゴシック" w:cs="ＭＳ ゴシック"/>
                        <w:sz w:val="18"/>
                        <w:szCs w:val="18"/>
                        <w:lang w:eastAsia="ja-JP"/>
                      </w:rPr>
                      <w:t>(Significance)</w:t>
                    </w:r>
                    <w:r w:rsidRPr="002C441B">
                      <w:rPr>
                        <w:rFonts w:ascii="ＭＳ ゴシック" w:eastAsia="ＭＳ ゴシック" w:hAnsi="ＭＳ ゴシック" w:cs="ＭＳ ゴシック" w:hint="eastAsia"/>
                        <w:sz w:val="18"/>
                        <w:szCs w:val="18"/>
                        <w:lang w:eastAsia="ja-JP"/>
                      </w:rPr>
                      <w:t>とは、排出量、除去量、または</w:t>
                    </w:r>
                    <w:r w:rsidRPr="002C441B">
                      <w:rPr>
                        <w:rFonts w:ascii="ＭＳ ゴシック" w:eastAsia="ＭＳ ゴシック" w:hAnsi="ＭＳ ゴシック" w:cs="ＭＳ ゴシック"/>
                        <w:sz w:val="18"/>
                        <w:szCs w:val="18"/>
                        <w:lang w:eastAsia="ja-JP"/>
                      </w:rPr>
                      <w:t>GHG</w:t>
                    </w:r>
                    <w:r w:rsidRPr="002C441B">
                      <w:rPr>
                        <w:rFonts w:ascii="ＭＳ ゴシック" w:eastAsia="ＭＳ ゴシック" w:hAnsi="ＭＳ ゴシック" w:cs="ＭＳ ゴシック" w:hint="eastAsia"/>
                        <w:sz w:val="18"/>
                        <w:szCs w:val="18"/>
                        <w:lang w:eastAsia="ja-JP"/>
                      </w:rPr>
                      <w:t>原単位の大きさとして定義され、基準全体を通じて定量的に使用されるものです。重要性は、データ品質報告（第</w:t>
                    </w:r>
                    <w:r w:rsidRPr="002C441B">
                      <w:rPr>
                        <w:rFonts w:ascii="ＭＳ ゴシック" w:eastAsia="ＭＳ ゴシック" w:hAnsi="ＭＳ ゴシック" w:cs="ＭＳ ゴシック"/>
                        <w:sz w:val="18"/>
                        <w:szCs w:val="18"/>
                        <w:lang w:eastAsia="ja-JP"/>
                      </w:rPr>
                      <w:t>8</w:t>
                    </w:r>
                    <w:r w:rsidRPr="002C441B">
                      <w:rPr>
                        <w:rFonts w:ascii="ＭＳ ゴシック" w:eastAsia="ＭＳ ゴシック" w:hAnsi="ＭＳ ゴシック" w:cs="ＭＳ ゴシック" w:hint="eastAsia"/>
                        <w:sz w:val="18"/>
                        <w:szCs w:val="18"/>
                        <w:lang w:eastAsia="ja-JP"/>
                      </w:rPr>
                      <w:t>章）において、算出結果に大きな影響を与えるデータ記述するために使用されます。</w:t>
                    </w:r>
                  </w:p>
                  <w:p w14:paraId="24E77874" w14:textId="65D306E8" w:rsidR="002C441B" w:rsidRDefault="002C441B" w:rsidP="002C441B">
                    <w:pPr>
                      <w:spacing w:before="2" w:line="328" w:lineRule="auto"/>
                      <w:ind w:left="226" w:right="230" w:firstLineChars="100" w:firstLine="180"/>
                      <w:rPr>
                        <w:rFonts w:ascii="ＭＳ ゴシック" w:eastAsia="ＭＳ ゴシック" w:hAnsi="ＭＳ ゴシック" w:cs="ＭＳ ゴシック"/>
                        <w:sz w:val="18"/>
                        <w:szCs w:val="18"/>
                        <w:lang w:eastAsia="ja-JP"/>
                      </w:rPr>
                    </w:pPr>
                    <w:r w:rsidRPr="002C441B">
                      <w:rPr>
                        <w:rFonts w:ascii="ＭＳ ゴシック" w:eastAsia="ＭＳ ゴシック" w:hAnsi="ＭＳ ゴシック" w:cs="ＭＳ ゴシック" w:hint="eastAsia"/>
                        <w:sz w:val="18"/>
                        <w:szCs w:val="18"/>
                        <w:lang w:eastAsia="ja-JP"/>
                      </w:rPr>
                      <w:t>また、有意差</w:t>
                    </w:r>
                    <w:r w:rsidRPr="002C441B">
                      <w:rPr>
                        <w:rFonts w:ascii="ＭＳ ゴシック" w:eastAsia="ＭＳ ゴシック" w:hAnsi="ＭＳ ゴシック" w:cs="ＭＳ ゴシック"/>
                        <w:sz w:val="18"/>
                        <w:szCs w:val="18"/>
                        <w:lang w:eastAsia="ja-JP"/>
                      </w:rPr>
                      <w:t>(Insignificance)</w:t>
                    </w:r>
                    <w:r w:rsidRPr="002C441B">
                      <w:rPr>
                        <w:rFonts w:ascii="ＭＳ ゴシック" w:eastAsia="ＭＳ ゴシック" w:hAnsi="ＭＳ ゴシック" w:cs="ＭＳ ゴシック" w:hint="eastAsia"/>
                        <w:sz w:val="18"/>
                        <w:szCs w:val="18"/>
                        <w:lang w:eastAsia="ja-JP"/>
                      </w:rPr>
                      <w:t>は、境界設定とベースインベントリ再計算</w:t>
                    </w:r>
                    <w:r w:rsidRPr="002C441B">
                      <w:rPr>
                        <w:rFonts w:ascii="ＭＳ ゴシック" w:eastAsia="ＭＳ ゴシック" w:hAnsi="ＭＳ ゴシック" w:cs="ＭＳ ゴシック"/>
                        <w:sz w:val="18"/>
                        <w:szCs w:val="18"/>
                        <w:lang w:eastAsia="ja-JP"/>
                      </w:rPr>
                      <w:t xml:space="preserve"> </w:t>
                    </w:r>
                    <w:r w:rsidRPr="002C441B">
                      <w:rPr>
                        <w:rFonts w:ascii="ＭＳ ゴシック" w:eastAsia="ＭＳ ゴシック" w:hAnsi="ＭＳ ゴシック" w:cs="ＭＳ ゴシック" w:hint="eastAsia"/>
                        <w:sz w:val="18"/>
                        <w:szCs w:val="18"/>
                        <w:lang w:eastAsia="ja-JP"/>
                      </w:rPr>
                      <w:t>（第</w:t>
                    </w:r>
                    <w:r w:rsidRPr="002C441B">
                      <w:rPr>
                        <w:rFonts w:ascii="ＭＳ ゴシック" w:eastAsia="ＭＳ ゴシック" w:hAnsi="ＭＳ ゴシック" w:cs="ＭＳ ゴシック"/>
                        <w:sz w:val="18"/>
                        <w:szCs w:val="18"/>
                        <w:lang w:eastAsia="ja-JP"/>
                      </w:rPr>
                      <w:t>14</w:t>
                    </w:r>
                    <w:r w:rsidRPr="002C441B">
                      <w:rPr>
                        <w:rFonts w:ascii="ＭＳ ゴシック" w:eastAsia="ＭＳ ゴシック" w:hAnsi="ＭＳ ゴシック" w:cs="ＭＳ ゴシック" w:hint="eastAsia"/>
                        <w:sz w:val="18"/>
                        <w:szCs w:val="18"/>
                        <w:lang w:eastAsia="ja-JP"/>
                      </w:rPr>
                      <w:t>章）において、あるプロセスや変化が算出結果に対して重要でないと見なすことができる閾値を表すためにも使用されます。</w:t>
                    </w:r>
                  </w:p>
                  <w:p w14:paraId="6BBCE764" w14:textId="77777777" w:rsidR="00A375AB" w:rsidRPr="002C441B" w:rsidRDefault="00A375AB" w:rsidP="002C441B">
                    <w:pPr>
                      <w:spacing w:before="2" w:line="328" w:lineRule="auto"/>
                      <w:ind w:left="226" w:right="230" w:firstLineChars="100" w:firstLine="180"/>
                      <w:rPr>
                        <w:rFonts w:ascii="ＭＳ ゴシック" w:eastAsia="ＭＳ ゴシック" w:hAnsi="ＭＳ ゴシック" w:cs="ＭＳ ゴシック"/>
                        <w:sz w:val="18"/>
                        <w:szCs w:val="18"/>
                        <w:lang w:eastAsia="ja-JP"/>
                      </w:rPr>
                    </w:pPr>
                  </w:p>
                  <w:p w14:paraId="4A34027E" w14:textId="7C85D481" w:rsidR="0055291C" w:rsidRDefault="002C441B" w:rsidP="002C441B">
                    <w:pPr>
                      <w:spacing w:before="2" w:line="328" w:lineRule="auto"/>
                      <w:ind w:left="226" w:right="230" w:firstLineChars="100" w:firstLine="180"/>
                      <w:rPr>
                        <w:sz w:val="18"/>
                        <w:lang w:eastAsia="ja-JP"/>
                      </w:rPr>
                    </w:pPr>
                    <w:r w:rsidRPr="002C441B">
                      <w:rPr>
                        <w:rFonts w:ascii="ＭＳ ゴシック" w:eastAsia="ＭＳ ゴシック" w:hAnsi="ＭＳ ゴシック" w:cs="ＭＳ ゴシック" w:hint="eastAsia"/>
                        <w:sz w:val="18"/>
                        <w:szCs w:val="18"/>
                        <w:lang w:eastAsia="ja-JP"/>
                      </w:rPr>
                      <w:t>関連性</w:t>
                    </w:r>
                    <w:r w:rsidRPr="002C441B">
                      <w:rPr>
                        <w:rFonts w:ascii="ＭＳ ゴシック" w:eastAsia="ＭＳ ゴシック" w:hAnsi="ＭＳ ゴシック" w:cs="ＭＳ ゴシック"/>
                        <w:sz w:val="18"/>
                        <w:szCs w:val="18"/>
                        <w:lang w:eastAsia="ja-JP"/>
                      </w:rPr>
                      <w:t>(Relevance)</w:t>
                    </w:r>
                    <w:r w:rsidRPr="002C441B">
                      <w:rPr>
                        <w:rFonts w:ascii="ＭＳ ゴシック" w:eastAsia="ＭＳ ゴシック" w:hAnsi="ＭＳ ゴシック" w:cs="ＭＳ ゴシック" w:hint="eastAsia"/>
                        <w:sz w:val="18"/>
                        <w:szCs w:val="18"/>
                        <w:lang w:eastAsia="ja-JP"/>
                      </w:rPr>
                      <w:t>とは、算出過程で行われる決定が、企業のビジネス目標にどのような影響を与えるかを表す定性的な用語です。関連性を考慮するものとしては、範囲の設定（</w:t>
                    </w:r>
                    <w:r w:rsidRPr="002C441B">
                      <w:rPr>
                        <w:rFonts w:ascii="ＭＳ ゴシック" w:eastAsia="ＭＳ ゴシック" w:hAnsi="ＭＳ ゴシック" w:cs="ＭＳ ゴシック"/>
                        <w:sz w:val="18"/>
                        <w:szCs w:val="18"/>
                        <w:lang w:eastAsia="ja-JP"/>
                      </w:rPr>
                      <w:t>6</w:t>
                    </w:r>
                    <w:r w:rsidRPr="002C441B">
                      <w:rPr>
                        <w:rFonts w:ascii="ＭＳ ゴシック" w:eastAsia="ＭＳ ゴシック" w:hAnsi="ＭＳ ゴシック" w:cs="ＭＳ ゴシック" w:hint="eastAsia"/>
                        <w:sz w:val="18"/>
                        <w:szCs w:val="18"/>
                        <w:lang w:eastAsia="ja-JP"/>
                      </w:rPr>
                      <w:t>章）、非</w:t>
                    </w:r>
                    <w:r w:rsidR="009863CC">
                      <w:rPr>
                        <w:rFonts w:ascii="ＭＳ ゴシック" w:eastAsia="ＭＳ ゴシック" w:hAnsi="ＭＳ ゴシック" w:cs="ＭＳ ゴシック" w:hint="eastAsia"/>
                        <w:sz w:val="18"/>
                        <w:szCs w:val="18"/>
                        <w:lang w:eastAsia="ja-JP"/>
                      </w:rPr>
                      <w:t>帰属</w:t>
                    </w:r>
                    <w:r w:rsidRPr="002C441B">
                      <w:rPr>
                        <w:rFonts w:ascii="ＭＳ ゴシック" w:eastAsia="ＭＳ ゴシック" w:hAnsi="ＭＳ ゴシック" w:cs="ＭＳ ゴシック" w:hint="eastAsia"/>
                        <w:sz w:val="18"/>
                        <w:szCs w:val="18"/>
                        <w:lang w:eastAsia="ja-JP"/>
                      </w:rPr>
                      <w:t>プロセスの含む、データ収集時のスクリーニング（</w:t>
                    </w:r>
                    <w:r w:rsidRPr="002C441B">
                      <w:rPr>
                        <w:rFonts w:ascii="ＭＳ ゴシック" w:eastAsia="ＭＳ ゴシック" w:hAnsi="ＭＳ ゴシック" w:cs="ＭＳ ゴシック"/>
                        <w:sz w:val="18"/>
                        <w:szCs w:val="18"/>
                        <w:lang w:eastAsia="ja-JP"/>
                      </w:rPr>
                      <w:t>8</w:t>
                    </w:r>
                    <w:r w:rsidRPr="002C441B">
                      <w:rPr>
                        <w:rFonts w:ascii="ＭＳ ゴシック" w:eastAsia="ＭＳ ゴシック" w:hAnsi="ＭＳ ゴシック" w:cs="ＭＳ ゴシック" w:hint="eastAsia"/>
                        <w:sz w:val="18"/>
                        <w:szCs w:val="18"/>
                        <w:lang w:eastAsia="ja-JP"/>
                      </w:rPr>
                      <w:t>章）などがあります。関連性に基づいて意思決定を行う場合、通常、企業は重要性も考慮することが推奨されています。</w:t>
                    </w:r>
                  </w:p>
                </w:txbxContent>
              </v:textbox>
            </v:shape>
            <w10:wrap anchorx="page"/>
          </v:group>
        </w:pict>
      </w:r>
      <w:r w:rsidR="00F23C61">
        <w:rPr>
          <w:lang w:eastAsia="ja-JP"/>
        </w:rPr>
        <w:br w:type="column"/>
      </w:r>
    </w:p>
    <w:p w14:paraId="05B18BAE" w14:textId="1A1FAF6C" w:rsidR="00E360F8" w:rsidRDefault="00754D60" w:rsidP="00551C21">
      <w:pPr>
        <w:pStyle w:val="a3"/>
        <w:spacing w:before="2" w:line="312" w:lineRule="auto"/>
        <w:ind w:left="709" w:right="915"/>
        <w:rPr>
          <w:lang w:eastAsia="ja-JP"/>
        </w:rPr>
      </w:pPr>
      <w:r>
        <w:rPr>
          <w:rFonts w:ascii="ＭＳ ゴシック" w:eastAsia="ＭＳ ゴシック" w:hAnsi="ＭＳ ゴシック" w:cs="ＭＳ ゴシック" w:hint="eastAsia"/>
          <w:lang w:eastAsia="ja-JP"/>
        </w:rPr>
        <w:t>また想定される廃棄物処理の種類や製品に含まれる炭素が自然に還るまでの期間によって大きく異なる場合があります。例えば</w:t>
      </w:r>
      <w:r>
        <w:rPr>
          <w:lang w:eastAsia="ja-JP"/>
        </w:rPr>
        <w:t xml:space="preserve"> </w:t>
      </w:r>
      <w:r>
        <w:rPr>
          <w:rFonts w:ascii="ＭＳ ゴシック" w:eastAsia="ＭＳ ゴシック" w:hAnsi="ＭＳ ゴシック" w:cs="ＭＳ ゴシック" w:hint="eastAsia"/>
          <w:lang w:eastAsia="ja-JP"/>
        </w:rPr>
        <w:t>、焼却された廃棄物は、埋立地に処分された廃棄物に比べて非常に短い期間しかありません。また、すべての廃棄物処理方法が、製品に含まれる炭素を大気中に放出するわけではありません。製品の炭素のすべてまたは一部が廃棄物処理中に</w:t>
      </w:r>
      <w:r>
        <w:rPr>
          <w:lang w:eastAsia="ja-JP"/>
        </w:rPr>
        <w:t xml:space="preserve"> </w:t>
      </w:r>
      <w:r>
        <w:rPr>
          <w:rFonts w:ascii="ＭＳ ゴシック" w:eastAsia="ＭＳ ゴシック" w:hAnsi="ＭＳ ゴシック" w:cs="ＭＳ ゴシック" w:hint="eastAsia"/>
          <w:lang w:eastAsia="ja-JP"/>
        </w:rPr>
        <w:t>大気中</w:t>
      </w:r>
      <w:r>
        <w:rPr>
          <w:lang w:eastAsia="ja-JP"/>
        </w:rPr>
        <w:t xml:space="preserve"> </w:t>
      </w:r>
      <w:r>
        <w:rPr>
          <w:rFonts w:ascii="ＭＳ ゴシック" w:eastAsia="ＭＳ ゴシック" w:hAnsi="ＭＳ ゴシック" w:cs="ＭＳ ゴシック" w:hint="eastAsia"/>
          <w:lang w:eastAsia="ja-JP"/>
        </w:rPr>
        <w:t>に戻らないことを企業が知っている場合、企業は報告書においてそのことを開示し、正当性を示</w:t>
      </w:r>
      <w:r w:rsidR="00E360F8">
        <w:rPr>
          <w:rFonts w:ascii="ＭＳ ゴシック" w:eastAsia="ＭＳ ゴシック" w:hAnsi="ＭＳ ゴシック" w:cs="ＭＳ ゴシック" w:hint="eastAsia"/>
          <w:lang w:eastAsia="ja-JP"/>
        </w:rPr>
        <w:t>さなければなりません</w:t>
      </w:r>
      <w:r>
        <w:rPr>
          <w:rFonts w:ascii="ＭＳ ゴシック" w:eastAsia="ＭＳ ゴシック" w:hAnsi="ＭＳ ゴシック" w:cs="ＭＳ ゴシック" w:hint="eastAsia"/>
          <w:lang w:eastAsia="ja-JP"/>
        </w:rPr>
        <w:t>。</w:t>
      </w:r>
      <w:r>
        <w:rPr>
          <w:lang w:eastAsia="ja-JP"/>
        </w:rPr>
        <w:t xml:space="preserve"> </w:t>
      </w:r>
      <w:r>
        <w:rPr>
          <w:rFonts w:ascii="ＭＳ ゴシック" w:eastAsia="ＭＳ ゴシック" w:hAnsi="ＭＳ ゴシック" w:cs="ＭＳ ゴシック" w:hint="eastAsia"/>
          <w:lang w:eastAsia="ja-JP"/>
        </w:rPr>
        <w:t>例えば、リグニンは木材の炭素系成分であり、嫌気性条件下では分解され</w:t>
      </w:r>
      <w:r w:rsidR="00E360F8">
        <w:rPr>
          <w:rFonts w:ascii="ＭＳ ゴシック" w:eastAsia="ＭＳ ゴシック" w:hAnsi="ＭＳ ゴシック" w:cs="ＭＳ ゴシック" w:hint="eastAsia"/>
          <w:lang w:eastAsia="ja-JP"/>
        </w:rPr>
        <w:t>ません</w:t>
      </w:r>
      <w:r>
        <w:rPr>
          <w:rFonts w:ascii="ＭＳ ゴシック" w:eastAsia="ＭＳ ゴシック" w:hAnsi="ＭＳ ゴシック" w:cs="ＭＳ ゴシック" w:hint="eastAsia"/>
          <w:lang w:eastAsia="ja-JP"/>
        </w:rPr>
        <w:t>。</w:t>
      </w:r>
      <w:hyperlink w:anchor="_Endnotes_3" w:history="1">
        <w:r w:rsidR="00217FB1">
          <w:rPr>
            <w:rStyle w:val="ac"/>
            <w:rFonts w:asciiTheme="minorEastAsia" w:eastAsiaTheme="minorEastAsia" w:hAnsiTheme="minorEastAsia" w:hint="eastAsia"/>
            <w:vertAlign w:val="superscript"/>
            <w:lang w:eastAsia="ja-JP"/>
          </w:rPr>
          <w:t>５</w:t>
        </w:r>
      </w:hyperlink>
      <w:r w:rsidR="00E360F8">
        <w:rPr>
          <w:rFonts w:asciiTheme="minorEastAsia" w:eastAsiaTheme="minorEastAsia" w:hAnsiTheme="minorEastAsia" w:hint="eastAsia"/>
          <w:lang w:eastAsia="ja-JP"/>
        </w:rPr>
        <w:t xml:space="preserve"> </w:t>
      </w:r>
    </w:p>
    <w:p w14:paraId="76A3AEF3" w14:textId="08A4A501" w:rsidR="0055291C" w:rsidRDefault="00754D60" w:rsidP="00551C21">
      <w:pPr>
        <w:pStyle w:val="a3"/>
        <w:spacing w:before="2" w:line="312" w:lineRule="auto"/>
        <w:ind w:left="709" w:right="773" w:firstLineChars="100" w:firstLine="190"/>
        <w:rPr>
          <w:lang w:eastAsia="ja-JP"/>
        </w:rPr>
      </w:pPr>
      <w:r>
        <w:rPr>
          <w:rFonts w:ascii="ＭＳ ゴシック" w:eastAsia="ＭＳ ゴシック" w:hAnsi="ＭＳ ゴシック" w:cs="ＭＳ ゴシック" w:hint="eastAsia"/>
          <w:lang w:eastAsia="ja-JP"/>
        </w:rPr>
        <w:t>企業は、耐用年数の短縮によって製品に炭素が蓄積されることを想定しては</w:t>
      </w:r>
      <w:r w:rsidR="00E360F8">
        <w:rPr>
          <w:rFonts w:ascii="ＭＳ ゴシック" w:eastAsia="ＭＳ ゴシック" w:hAnsi="ＭＳ ゴシック" w:cs="ＭＳ ゴシック" w:hint="eastAsia"/>
          <w:lang w:eastAsia="ja-JP"/>
        </w:rPr>
        <w:t>いけません</w:t>
      </w:r>
      <w:r>
        <w:rPr>
          <w:rFonts w:ascii="ＭＳ ゴシック" w:eastAsia="ＭＳ ゴシック" w:hAnsi="ＭＳ ゴシック" w:cs="ＭＳ ゴシック" w:hint="eastAsia"/>
          <w:lang w:eastAsia="ja-JP"/>
        </w:rPr>
        <w:t>。廃棄物処理の結果、</w:t>
      </w:r>
      <w:r>
        <w:rPr>
          <w:lang w:eastAsia="ja-JP"/>
        </w:rPr>
        <w:t xml:space="preserve"> </w:t>
      </w:r>
      <w:r>
        <w:rPr>
          <w:rFonts w:ascii="ＭＳ ゴシック" w:eastAsia="ＭＳ ゴシック" w:hAnsi="ＭＳ ゴシック" w:cs="ＭＳ ゴシック" w:hint="eastAsia"/>
          <w:lang w:eastAsia="ja-JP"/>
        </w:rPr>
        <w:t>炭素が無期限に蓄積されることを知るべきで</w:t>
      </w:r>
      <w:r w:rsidR="00E360F8">
        <w:rPr>
          <w:rFonts w:ascii="ＭＳ ゴシック" w:eastAsia="ＭＳ ゴシック" w:hAnsi="ＭＳ ゴシック" w:cs="ＭＳ ゴシック" w:hint="eastAsia"/>
          <w:lang w:eastAsia="ja-JP"/>
        </w:rPr>
        <w:t>す</w:t>
      </w:r>
      <w:r>
        <w:rPr>
          <w:rFonts w:ascii="ＭＳ ゴシック" w:eastAsia="ＭＳ ゴシック" w:hAnsi="ＭＳ ゴシック" w:cs="ＭＳ ゴシック" w:hint="eastAsia"/>
          <w:lang w:eastAsia="ja-JP"/>
        </w:rPr>
        <w:t>。例えば、企業で</w:t>
      </w:r>
      <w:r w:rsidR="00E360F8">
        <w:rPr>
          <w:rFonts w:ascii="ＭＳ ゴシック" w:eastAsia="ＭＳ ゴシック" w:hAnsi="ＭＳ ゴシック" w:cs="ＭＳ ゴシック" w:hint="eastAsia"/>
          <w:lang w:eastAsia="ja-JP"/>
        </w:rPr>
        <w:t>は</w:t>
      </w:r>
      <w:r>
        <w:rPr>
          <w:rFonts w:ascii="ＭＳ ゴシック" w:eastAsia="ＭＳ ゴシック" w:hAnsi="ＭＳ ゴシック" w:cs="ＭＳ ゴシック" w:hint="eastAsia"/>
          <w:lang w:eastAsia="ja-JP"/>
        </w:rPr>
        <w:t>、</w:t>
      </w:r>
      <w:r>
        <w:rPr>
          <w:lang w:eastAsia="ja-JP"/>
        </w:rPr>
        <w:t>10</w:t>
      </w:r>
      <w:r>
        <w:rPr>
          <w:rFonts w:ascii="ＭＳ ゴシック" w:eastAsia="ＭＳ ゴシック" w:hAnsi="ＭＳ ゴシック" w:cs="ＭＳ ゴシック" w:hint="eastAsia"/>
          <w:lang w:eastAsia="ja-JP"/>
        </w:rPr>
        <w:t>年で好気的に分解する製品に</w:t>
      </w:r>
      <w:r>
        <w:rPr>
          <w:lang w:eastAsia="ja-JP"/>
        </w:rPr>
        <w:t>5</w:t>
      </w:r>
      <w:r>
        <w:rPr>
          <w:rFonts w:ascii="ＭＳ ゴシック" w:eastAsia="ＭＳ ゴシック" w:hAnsi="ＭＳ ゴシック" w:cs="ＭＳ ゴシック" w:hint="eastAsia"/>
          <w:lang w:eastAsia="ja-JP"/>
        </w:rPr>
        <w:t>年という使用期限を割り当てることはできません。</w:t>
      </w:r>
    </w:p>
    <w:p w14:paraId="007BA521" w14:textId="6CD4ABB9" w:rsidR="0055291C" w:rsidRPr="00AD40B4" w:rsidRDefault="00AD40B4">
      <w:pPr>
        <w:pStyle w:val="7"/>
        <w:numPr>
          <w:ilvl w:val="2"/>
          <w:numId w:val="51"/>
        </w:numPr>
        <w:tabs>
          <w:tab w:val="left" w:pos="1082"/>
          <w:tab w:val="left" w:pos="1083"/>
        </w:tabs>
        <w:spacing w:before="129"/>
        <w:ind w:left="1082" w:right="773" w:hanging="721"/>
        <w:jc w:val="left"/>
        <w:rPr>
          <w:color w:val="00ACA1"/>
          <w:lang w:eastAsia="ja-JP"/>
        </w:rPr>
      </w:pPr>
      <w:r w:rsidRPr="00AD40B4">
        <w:rPr>
          <w:rFonts w:ascii="ＭＳ 明朝" w:eastAsia="ＭＳ 明朝" w:hAnsi="ＭＳ 明朝" w:cs="ＭＳ 明朝" w:hint="eastAsia"/>
          <w:color w:val="00ACA1"/>
          <w:lang w:eastAsia="ja-JP"/>
        </w:rPr>
        <w:t>生産から出荷までの排出</w:t>
      </w:r>
    </w:p>
    <w:p w14:paraId="5435E18A" w14:textId="09A2E060" w:rsidR="0055291C" w:rsidRDefault="00A375AB" w:rsidP="00551C21">
      <w:pPr>
        <w:pStyle w:val="a3"/>
        <w:spacing w:before="3" w:line="312" w:lineRule="auto"/>
        <w:ind w:left="851" w:right="773" w:firstLineChars="100" w:firstLine="190"/>
        <w:rPr>
          <w:lang w:eastAsia="ja-JP"/>
        </w:rPr>
      </w:pPr>
      <w:r>
        <w:rPr>
          <w:rFonts w:ascii="ＭＳ ゴシック" w:eastAsia="ＭＳ ゴシック" w:hAnsi="ＭＳ ゴシック" w:cs="ＭＳ ゴシック" w:hint="eastAsia"/>
          <w:lang w:eastAsia="ja-JP"/>
        </w:rPr>
        <w:t>中間製品には、中間製品を製造する企業が、その中間製品から作られる最終製品の使用プロフィールを知っている場合と、中間製品が多くの異なる最終製品に使用されるため、様々な使用プロフィールが考えられる場合の</w:t>
      </w:r>
      <w:r>
        <w:rPr>
          <w:lang w:eastAsia="ja-JP"/>
        </w:rPr>
        <w:t>2</w:t>
      </w:r>
      <w:r>
        <w:rPr>
          <w:rFonts w:ascii="ＭＳ ゴシック" w:eastAsia="ＭＳ ゴシック" w:hAnsi="ＭＳ ゴシック" w:cs="ＭＳ ゴシック" w:hint="eastAsia"/>
          <w:lang w:eastAsia="ja-JP"/>
        </w:rPr>
        <w:t>種類があります。</w:t>
      </w:r>
      <w:r>
        <w:rPr>
          <w:lang w:eastAsia="ja-JP"/>
        </w:rPr>
        <w:t xml:space="preserve"> </w:t>
      </w:r>
      <w:r>
        <w:rPr>
          <w:rFonts w:ascii="ＭＳ ゴシック" w:eastAsia="ＭＳ ゴシック" w:hAnsi="ＭＳ ゴシック" w:cs="ＭＳ ゴシック" w:hint="eastAsia"/>
          <w:lang w:eastAsia="ja-JP"/>
        </w:rPr>
        <w:t>中間製品の分析単位と同様に（</w:t>
      </w:r>
      <w:r>
        <w:rPr>
          <w:lang w:eastAsia="ja-JP"/>
        </w:rPr>
        <w:t>6</w:t>
      </w:r>
      <w:r>
        <w:rPr>
          <w:rFonts w:ascii="ＭＳ ゴシック" w:eastAsia="ＭＳ ゴシック" w:hAnsi="ＭＳ ゴシック" w:cs="ＭＳ ゴシック" w:hint="eastAsia"/>
          <w:lang w:eastAsia="ja-JP"/>
        </w:rPr>
        <w:t>章参照）、境界の条件は、最終製品の使用プロファイル（機能など）を知っているかどうかに依存します。</w:t>
      </w:r>
    </w:p>
    <w:p w14:paraId="37AD8562" w14:textId="51E63C50" w:rsidR="0055291C" w:rsidRDefault="00A375AB" w:rsidP="00551C21">
      <w:pPr>
        <w:pStyle w:val="a3"/>
        <w:spacing w:before="1" w:line="312" w:lineRule="auto"/>
        <w:ind w:left="851" w:right="773" w:firstLineChars="100" w:firstLine="190"/>
        <w:rPr>
          <w:lang w:eastAsia="ja-JP"/>
        </w:rPr>
      </w:pPr>
      <w:r>
        <w:rPr>
          <w:rFonts w:ascii="ＭＳ ゴシック" w:eastAsia="ＭＳ ゴシック" w:hAnsi="ＭＳ ゴシック" w:cs="ＭＳ ゴシック" w:hint="eastAsia"/>
          <w:lang w:eastAsia="ja-JP"/>
        </w:rPr>
        <w:t>使用プロファイルがわかっている場合、企業は、中間製品のライフサイクル（ゆりかごから墓場まで）の完全なGHG算出を実施する必要があります。これにより、企業は流通、小売、使用、廃棄の段階を含めることでより多くの削減機会を得ることができ、ステークホルダーは製品のライフサイクルの全体像を把握することができます。このための革新的な方法は、</w:t>
      </w:r>
      <w:r>
        <w:rPr>
          <w:lang w:eastAsia="ja-JP"/>
        </w:rPr>
        <w:t xml:space="preserve"> </w:t>
      </w:r>
      <w:r>
        <w:rPr>
          <w:rFonts w:ascii="ＭＳ ゴシック" w:eastAsia="ＭＳ ゴシック" w:hAnsi="ＭＳ ゴシック" w:cs="ＭＳ ゴシック" w:hint="eastAsia"/>
          <w:lang w:eastAsia="ja-JP"/>
        </w:rPr>
        <w:t>最終製品の生産者と協力することです。彼らが持つ最終生産、使用、廃棄に関する一次データと専門知識を利用することで、</w:t>
      </w:r>
      <w:r w:rsidR="00932801">
        <w:rPr>
          <w:rFonts w:ascii="ＭＳ ゴシック" w:eastAsia="ＭＳ ゴシック" w:hAnsi="ＭＳ ゴシック" w:cs="ＭＳ ゴシック" w:hint="eastAsia"/>
          <w:lang w:eastAsia="ja-JP"/>
        </w:rPr>
        <w:t>報告書</w:t>
      </w:r>
      <w:r>
        <w:rPr>
          <w:rFonts w:ascii="ＭＳ ゴシック" w:eastAsia="ＭＳ ゴシック" w:hAnsi="ＭＳ ゴシック" w:cs="ＭＳ ゴシック" w:hint="eastAsia"/>
          <w:lang w:eastAsia="ja-JP"/>
        </w:rPr>
        <w:t>の完全性と精度を向上させることができます。</w:t>
      </w:r>
    </w:p>
    <w:p w14:paraId="3DE6635C" w14:textId="77777777" w:rsidR="00290DCE" w:rsidRDefault="00551C21" w:rsidP="00551C21">
      <w:pPr>
        <w:spacing w:line="312" w:lineRule="auto"/>
        <w:ind w:leftChars="386" w:left="849" w:rightChars="480" w:right="1056" w:firstLineChars="100" w:firstLine="190"/>
        <w:rPr>
          <w:rFonts w:ascii="ＭＳ ゴシック" w:eastAsia="ＭＳ ゴシック" w:hAnsi="ＭＳ ゴシック" w:cs="ＭＳ ゴシック"/>
          <w:color w:val="545456"/>
          <w:sz w:val="19"/>
          <w:szCs w:val="19"/>
          <w:lang w:eastAsia="ja-JP"/>
        </w:rPr>
      </w:pPr>
      <w:r w:rsidRPr="00551C21">
        <w:rPr>
          <w:rFonts w:ascii="ＭＳ ゴシック" w:eastAsia="ＭＳ ゴシック" w:hAnsi="ＭＳ ゴシック" w:cs="ＭＳ ゴシック" w:hint="eastAsia"/>
          <w:color w:val="545456"/>
          <w:sz w:val="19"/>
          <w:szCs w:val="19"/>
          <w:lang w:eastAsia="ja-JP"/>
        </w:rPr>
        <w:t>使用プロファイルが不明な場合でも、企業は、代表的または平均的な使用プロファイルを選択することで、ゆりかごから墓場までのインベントリを実行することができます。あるいは、生産から出荷まで</w:t>
      </w:r>
    </w:p>
    <w:p w14:paraId="1702BCD0" w14:textId="0E057E16" w:rsidR="0055291C" w:rsidRPr="00551C21" w:rsidRDefault="0055291C" w:rsidP="00551C21">
      <w:pPr>
        <w:spacing w:line="312" w:lineRule="auto"/>
        <w:ind w:leftChars="386" w:left="849" w:rightChars="480" w:right="1056" w:firstLineChars="100" w:firstLine="190"/>
        <w:rPr>
          <w:color w:val="545456"/>
          <w:sz w:val="19"/>
          <w:szCs w:val="19"/>
          <w:lang w:eastAsia="ja-JP"/>
        </w:rPr>
        <w:sectPr w:rsidR="0055291C" w:rsidRPr="00551C21">
          <w:type w:val="continuous"/>
          <w:pgSz w:w="12240" w:h="15840"/>
          <w:pgMar w:top="740" w:right="0" w:bottom="280" w:left="0" w:header="0" w:footer="859" w:gutter="0"/>
          <w:cols w:num="2" w:space="720" w:equalWidth="0">
            <w:col w:w="5898" w:space="40"/>
            <w:col w:w="6302"/>
          </w:cols>
        </w:sectPr>
      </w:pPr>
    </w:p>
    <w:p w14:paraId="5F123920" w14:textId="77777777" w:rsidR="0055291C" w:rsidRDefault="0055291C">
      <w:pPr>
        <w:pStyle w:val="a3"/>
        <w:rPr>
          <w:sz w:val="20"/>
          <w:lang w:eastAsia="ja-JP"/>
        </w:rPr>
      </w:pPr>
    </w:p>
    <w:p w14:paraId="592657FD" w14:textId="77777777" w:rsidR="0055291C" w:rsidRDefault="0055291C">
      <w:pPr>
        <w:pStyle w:val="a3"/>
        <w:rPr>
          <w:sz w:val="20"/>
          <w:lang w:eastAsia="ja-JP"/>
        </w:rPr>
      </w:pPr>
    </w:p>
    <w:p w14:paraId="2F0A7D2C" w14:textId="77777777" w:rsidR="0055291C" w:rsidRDefault="0055291C">
      <w:pPr>
        <w:pStyle w:val="a3"/>
        <w:rPr>
          <w:sz w:val="20"/>
          <w:lang w:eastAsia="ja-JP"/>
        </w:rPr>
      </w:pPr>
    </w:p>
    <w:p w14:paraId="4070C8EA" w14:textId="77777777" w:rsidR="0055291C" w:rsidRDefault="0055291C">
      <w:pPr>
        <w:pStyle w:val="a3"/>
        <w:spacing w:before="4"/>
        <w:rPr>
          <w:sz w:val="24"/>
          <w:lang w:eastAsia="ja-JP"/>
        </w:rPr>
      </w:pPr>
    </w:p>
    <w:p w14:paraId="41D8A13C" w14:textId="77777777" w:rsidR="0055291C" w:rsidRDefault="00000000">
      <w:pPr>
        <w:spacing w:before="1"/>
        <w:ind w:right="1121"/>
        <w:jc w:val="right"/>
        <w:rPr>
          <w:rFonts w:ascii="Arial"/>
          <w:i/>
          <w:sz w:val="19"/>
          <w:lang w:eastAsia="ja-JP"/>
        </w:rPr>
      </w:pPr>
      <w:r>
        <w:pict w14:anchorId="15CC2ED1">
          <v:shape id="docshape772" o:spid="_x0000_s3037" style="position:absolute;left:0;text-align:left;margin-left:580.75pt;margin-top:-47.75pt;width:31.3pt;height:285.85pt;z-index:251586048;mso-position-horizontal-relative:page" coordorigin="11615,-955" coordsize="626,5717" path="m12240,-955r-625,l11615,4535r3,131l11643,4733r67,25l11842,4761r398,l12240,-955xe" fillcolor="#00aca1" stroked="f">
            <v:path arrowok="t"/>
            <w10:wrap anchorx="page"/>
          </v:shape>
        </w:pict>
      </w:r>
      <w:r w:rsidR="00F23C61">
        <w:rPr>
          <w:rFonts w:ascii="Arial"/>
          <w:b/>
          <w:i/>
          <w:color w:val="7F3F98"/>
          <w:sz w:val="19"/>
          <w:lang w:eastAsia="ja-JP"/>
        </w:rPr>
        <w:t>CHAPTER</w:t>
      </w:r>
      <w:r w:rsidR="00F23C61">
        <w:rPr>
          <w:rFonts w:ascii="Arial"/>
          <w:b/>
          <w:i/>
          <w:color w:val="7F3F98"/>
          <w:spacing w:val="9"/>
          <w:sz w:val="19"/>
          <w:lang w:eastAsia="ja-JP"/>
        </w:rPr>
        <w:t xml:space="preserve"> </w:t>
      </w:r>
      <w:r w:rsidR="00F23C61">
        <w:rPr>
          <w:rFonts w:ascii="Arial"/>
          <w:b/>
          <w:i/>
          <w:color w:val="7F3F98"/>
          <w:sz w:val="19"/>
          <w:lang w:eastAsia="ja-JP"/>
        </w:rPr>
        <w:t>07</w:t>
      </w:r>
      <w:r w:rsidR="00F23C61">
        <w:rPr>
          <w:rFonts w:ascii="Arial"/>
          <w:b/>
          <w:i/>
          <w:color w:val="7F3F98"/>
          <w:spacing w:val="10"/>
          <w:sz w:val="19"/>
          <w:lang w:eastAsia="ja-JP"/>
        </w:rPr>
        <w:t xml:space="preserve"> </w:t>
      </w:r>
      <w:r w:rsidR="00F23C61">
        <w:rPr>
          <w:rFonts w:ascii="Arial"/>
          <w:i/>
          <w:color w:val="545456"/>
          <w:sz w:val="19"/>
          <w:lang w:eastAsia="ja-JP"/>
        </w:rPr>
        <w:t>Boundary</w:t>
      </w:r>
      <w:r w:rsidR="00F23C61">
        <w:rPr>
          <w:rFonts w:ascii="Arial"/>
          <w:i/>
          <w:color w:val="545456"/>
          <w:spacing w:val="7"/>
          <w:sz w:val="19"/>
          <w:lang w:eastAsia="ja-JP"/>
        </w:rPr>
        <w:t xml:space="preserve"> </w:t>
      </w:r>
      <w:r w:rsidR="00F23C61">
        <w:rPr>
          <w:rFonts w:ascii="Arial"/>
          <w:i/>
          <w:color w:val="545456"/>
          <w:sz w:val="19"/>
          <w:lang w:eastAsia="ja-JP"/>
        </w:rPr>
        <w:t>Setting</w:t>
      </w:r>
    </w:p>
    <w:p w14:paraId="2EAE47AD" w14:textId="77777777" w:rsidR="0055291C" w:rsidRDefault="0055291C">
      <w:pPr>
        <w:pStyle w:val="a3"/>
        <w:rPr>
          <w:rFonts w:ascii="Arial"/>
          <w:i/>
          <w:sz w:val="20"/>
          <w:lang w:eastAsia="ja-JP"/>
        </w:rPr>
      </w:pPr>
    </w:p>
    <w:p w14:paraId="6F007942" w14:textId="77777777" w:rsidR="0055291C" w:rsidRDefault="0055291C">
      <w:pPr>
        <w:pStyle w:val="a3"/>
        <w:spacing w:before="4"/>
        <w:rPr>
          <w:rFonts w:ascii="Arial"/>
          <w:i/>
          <w:sz w:val="21"/>
          <w:lang w:eastAsia="ja-JP"/>
        </w:rPr>
      </w:pPr>
    </w:p>
    <w:p w14:paraId="0038C8C6" w14:textId="77777777" w:rsidR="0055291C" w:rsidRDefault="0055291C">
      <w:pPr>
        <w:rPr>
          <w:rFonts w:ascii="Arial"/>
          <w:sz w:val="21"/>
          <w:lang w:eastAsia="ja-JP"/>
        </w:rPr>
        <w:sectPr w:rsidR="0055291C">
          <w:headerReference w:type="default" r:id="rId171"/>
          <w:pgSz w:w="12240" w:h="15840"/>
          <w:pgMar w:top="0" w:right="0" w:bottom="1040" w:left="0" w:header="0" w:footer="859" w:gutter="0"/>
          <w:cols w:space="720"/>
        </w:sectPr>
      </w:pPr>
    </w:p>
    <w:p w14:paraId="13E371F1" w14:textId="6055DE69" w:rsidR="0055291C" w:rsidRPr="004F6019" w:rsidRDefault="00290DCE" w:rsidP="004F6019">
      <w:pPr>
        <w:spacing w:line="312" w:lineRule="auto"/>
        <w:ind w:leftChars="386" w:left="849" w:rightChars="296" w:right="651" w:firstLineChars="100" w:firstLine="190"/>
        <w:rPr>
          <w:rFonts w:eastAsiaTheme="minorEastAsia"/>
          <w:lang w:eastAsia="ja-JP"/>
        </w:rPr>
      </w:pPr>
      <w:r w:rsidRPr="00551C21">
        <w:rPr>
          <w:rFonts w:ascii="ＭＳ ゴシック" w:eastAsia="ＭＳ ゴシック" w:hAnsi="ＭＳ ゴシック" w:cs="ＭＳ ゴシック" w:hint="eastAsia"/>
          <w:color w:val="545456"/>
          <w:sz w:val="19"/>
          <w:szCs w:val="19"/>
          <w:lang w:eastAsia="ja-JP"/>
        </w:rPr>
        <w:t>の</w:t>
      </w:r>
      <w:r>
        <w:rPr>
          <w:rFonts w:ascii="ＭＳ ゴシック" w:eastAsia="ＭＳ ゴシック" w:hAnsi="ＭＳ ゴシック" w:cs="ＭＳ ゴシック" w:hint="eastAsia"/>
          <w:color w:val="545456"/>
          <w:sz w:val="19"/>
          <w:szCs w:val="19"/>
          <w:lang w:eastAsia="ja-JP"/>
        </w:rPr>
        <w:t>算出</w:t>
      </w:r>
      <w:r w:rsidRPr="00551C21">
        <w:rPr>
          <w:rFonts w:ascii="ＭＳ ゴシック" w:eastAsia="ＭＳ ゴシック" w:hAnsi="ＭＳ ゴシック" w:cs="ＭＳ ゴシック" w:hint="eastAsia"/>
          <w:color w:val="545456"/>
          <w:sz w:val="19"/>
          <w:szCs w:val="19"/>
          <w:lang w:eastAsia="ja-JP"/>
        </w:rPr>
        <w:t>を実施することもできます。生産から出荷までの算出を実施する場合、特に、中間製品の川下の顧客が、最終製品のゆりかごから墓場までの在庫を計算するために中間製品の生産から出荷までのデータを使用したい場合、透明性が重要となります。</w:t>
      </w:r>
      <w:r w:rsidRPr="00551C21">
        <w:rPr>
          <w:rFonts w:ascii="ＭＳ ゴシック" w:eastAsia="ＭＳ ゴシック" w:hAnsi="ＭＳ ゴシック" w:cs="ＭＳ ゴシック" w:hint="eastAsia"/>
          <w:sz w:val="19"/>
          <w:szCs w:val="19"/>
          <w:lang w:eastAsia="ja-JP"/>
        </w:rPr>
        <w:t>前述の通り、企業は</w:t>
      </w:r>
      <w:r>
        <w:rPr>
          <w:rFonts w:ascii="ＭＳ ゴシック" w:eastAsia="ＭＳ ゴシック" w:hAnsi="ＭＳ ゴシック" w:cs="ＭＳ ゴシック" w:hint="eastAsia"/>
          <w:sz w:val="19"/>
          <w:szCs w:val="19"/>
          <w:lang w:eastAsia="ja-JP"/>
        </w:rPr>
        <w:t>生産から出荷</w:t>
      </w:r>
      <w:r w:rsidRPr="00551C21">
        <w:rPr>
          <w:rFonts w:ascii="ＭＳ ゴシック" w:eastAsia="ＭＳ ゴシック" w:hAnsi="ＭＳ ゴシック" w:cs="ＭＳ ゴシック" w:hint="eastAsia"/>
          <w:sz w:val="19"/>
          <w:szCs w:val="19"/>
          <w:lang w:eastAsia="ja-JP"/>
        </w:rPr>
        <w:t>までの境界線を使用する場合、</w:t>
      </w:r>
      <w:r>
        <w:rPr>
          <w:rFonts w:ascii="ＭＳ ゴシック" w:eastAsia="ＭＳ ゴシック" w:hAnsi="ＭＳ ゴシック" w:cs="ＭＳ ゴシック" w:hint="eastAsia"/>
          <w:sz w:val="19"/>
          <w:szCs w:val="19"/>
          <w:lang w:eastAsia="ja-JP"/>
        </w:rPr>
        <w:t>報告書</w:t>
      </w:r>
      <w:r w:rsidR="00455073" w:rsidRPr="00551C21">
        <w:rPr>
          <w:rFonts w:ascii="ＭＳ ゴシック" w:eastAsia="ＭＳ ゴシック" w:hAnsi="ＭＳ ゴシック" w:cs="ＭＳ ゴシック" w:hint="eastAsia"/>
          <w:sz w:val="19"/>
          <w:szCs w:val="19"/>
          <w:lang w:eastAsia="ja-JP"/>
        </w:rPr>
        <w:t>で明確に開示し、正当化することが求められてい</w:t>
      </w:r>
      <w:r w:rsidR="00455073">
        <w:rPr>
          <w:rFonts w:ascii="ＭＳ ゴシック" w:eastAsia="ＭＳ ゴシック" w:hAnsi="ＭＳ ゴシック" w:cs="ＭＳ ゴシック" w:hint="eastAsia"/>
          <w:sz w:val="19"/>
          <w:szCs w:val="19"/>
          <w:lang w:eastAsia="ja-JP"/>
        </w:rPr>
        <w:t>ます</w:t>
      </w:r>
      <w:r w:rsidR="00455073" w:rsidRPr="00551C21">
        <w:rPr>
          <w:rFonts w:ascii="ＭＳ ゴシック" w:eastAsia="ＭＳ ゴシック" w:hAnsi="ＭＳ ゴシック" w:cs="ＭＳ ゴシック" w:hint="eastAsia"/>
          <w:sz w:val="19"/>
          <w:szCs w:val="19"/>
          <w:lang w:eastAsia="ja-JP"/>
        </w:rPr>
        <w:t>。</w:t>
      </w:r>
      <w:r w:rsidR="00455073" w:rsidRPr="00551C21">
        <w:rPr>
          <w:sz w:val="19"/>
          <w:szCs w:val="19"/>
          <w:lang w:eastAsia="ja-JP"/>
        </w:rPr>
        <w:t xml:space="preserve"> </w:t>
      </w:r>
      <w:r w:rsidR="00455073" w:rsidRPr="00551C21">
        <w:rPr>
          <w:rFonts w:ascii="ＭＳ ゴシック" w:eastAsia="ＭＳ ゴシック" w:hAnsi="ＭＳ ゴシック" w:cs="ＭＳ ゴシック" w:hint="eastAsia"/>
          <w:sz w:val="19"/>
          <w:szCs w:val="19"/>
          <w:lang w:eastAsia="ja-JP"/>
        </w:rPr>
        <w:t>例えば、</w:t>
      </w:r>
      <w:r w:rsidR="00455073" w:rsidRPr="00EC296C">
        <w:rPr>
          <w:rFonts w:ascii="ＭＳ ゴシック" w:eastAsia="ＭＳ ゴシック" w:hAnsi="ＭＳ ゴシック" w:cs="ＭＳ ゴシック" w:hint="eastAsia"/>
          <w:sz w:val="19"/>
          <w:szCs w:val="19"/>
          <w:lang w:eastAsia="ja-JP"/>
        </w:rPr>
        <w:t>最終製品の使用プロファイルの情報不足</w:t>
      </w:r>
      <w:r w:rsidR="00455073">
        <w:rPr>
          <w:rFonts w:ascii="ＭＳ ゴシック" w:eastAsia="ＭＳ ゴシック" w:hAnsi="ＭＳ ゴシック" w:cs="ＭＳ ゴシック" w:hint="eastAsia"/>
          <w:sz w:val="19"/>
          <w:szCs w:val="19"/>
          <w:lang w:eastAsia="ja-JP"/>
        </w:rPr>
        <w:t>は</w:t>
      </w:r>
      <w:r w:rsidR="00455073" w:rsidRPr="00551C21">
        <w:rPr>
          <w:rFonts w:ascii="ＭＳ ゴシック" w:eastAsia="ＭＳ ゴシック" w:hAnsi="ＭＳ ゴシック" w:cs="ＭＳ ゴシック" w:hint="eastAsia"/>
          <w:sz w:val="19"/>
          <w:szCs w:val="19"/>
          <w:lang w:eastAsia="ja-JP"/>
        </w:rPr>
        <w:t>適切な正当化の理由と</w:t>
      </w:r>
      <w:r w:rsidR="00455073">
        <w:rPr>
          <w:rFonts w:ascii="ＭＳ ゴシック" w:eastAsia="ＭＳ ゴシック" w:hAnsi="ＭＳ ゴシック" w:cs="ＭＳ ゴシック" w:hint="eastAsia"/>
          <w:sz w:val="19"/>
          <w:szCs w:val="19"/>
          <w:lang w:eastAsia="ja-JP"/>
        </w:rPr>
        <w:t>い</w:t>
      </w:r>
      <w:r w:rsidR="004F6019">
        <w:rPr>
          <w:rFonts w:ascii="ＭＳ ゴシック" w:eastAsia="ＭＳ ゴシック" w:hAnsi="ＭＳ ゴシック" w:cs="ＭＳ ゴシック" w:hint="eastAsia"/>
          <w:sz w:val="19"/>
          <w:szCs w:val="19"/>
          <w:lang w:eastAsia="ja-JP"/>
        </w:rPr>
        <w:t>えます。</w:t>
      </w:r>
      <w:r w:rsidR="004F6019" w:rsidRPr="00EC296C">
        <w:rPr>
          <w:rFonts w:ascii="ＭＳ ゴシック" w:eastAsia="ＭＳ ゴシック" w:hAnsi="ＭＳ ゴシック" w:cs="ＭＳ ゴシック" w:hint="eastAsia"/>
          <w:sz w:val="19"/>
          <w:szCs w:val="19"/>
          <w:lang w:eastAsia="ja-JP"/>
        </w:rPr>
        <w:t>ゆりかごから墓場までではなく、生産から出荷までの算出を実施したという事実は、プロセスマップとライフサイクルステージの説明で明確にする必要があり</w:t>
      </w:r>
      <w:r w:rsidR="004F6019">
        <w:rPr>
          <w:rFonts w:ascii="ＭＳ ゴシック" w:eastAsia="ＭＳ ゴシック" w:hAnsi="ＭＳ ゴシック" w:cs="ＭＳ ゴシック" w:hint="eastAsia"/>
          <w:sz w:val="19"/>
          <w:szCs w:val="19"/>
          <w:lang w:eastAsia="ja-JP"/>
        </w:rPr>
        <w:t>ます。</w:t>
      </w:r>
    </w:p>
    <w:p w14:paraId="116EC89D" w14:textId="0158FD35" w:rsidR="0055291C" w:rsidRDefault="004F6019" w:rsidP="004F6019">
      <w:pPr>
        <w:ind w:leftChars="386" w:left="849" w:rightChars="251" w:right="552" w:firstLineChars="100" w:firstLine="190"/>
        <w:rPr>
          <w:lang w:eastAsia="ja-JP"/>
        </w:rPr>
      </w:pPr>
      <w:bookmarkStart w:id="7" w:name="_Endnotes_3"/>
      <w:bookmarkEnd w:id="7"/>
      <w:r w:rsidRPr="004F6019">
        <w:rPr>
          <w:rFonts w:ascii="ＭＳ ゴシック" w:eastAsia="ＭＳ ゴシック" w:hAnsi="ＭＳ ゴシック" w:cs="ＭＳ ゴシック" w:hint="eastAsia"/>
          <w:sz w:val="19"/>
          <w:szCs w:val="19"/>
          <w:lang w:eastAsia="ja-JP"/>
        </w:rPr>
        <w:t>本規格に準拠して実施される</w:t>
      </w:r>
      <w:r>
        <w:rPr>
          <w:rFonts w:ascii="ＭＳ ゴシック" w:eastAsia="ＭＳ ゴシック" w:hAnsi="ＭＳ ゴシック" w:cs="ＭＳ ゴシック" w:hint="eastAsia"/>
          <w:sz w:val="19"/>
          <w:szCs w:val="19"/>
          <w:lang w:eastAsia="ja-JP"/>
        </w:rPr>
        <w:t>生産から出荷まで</w:t>
      </w:r>
      <w:r w:rsidRPr="004F6019">
        <w:rPr>
          <w:rFonts w:ascii="ＭＳ ゴシック" w:eastAsia="ＭＳ ゴシック" w:hAnsi="ＭＳ ゴシック" w:cs="ＭＳ ゴシック" w:hint="eastAsia"/>
          <w:sz w:val="19"/>
          <w:szCs w:val="19"/>
          <w:lang w:eastAsia="ja-JP"/>
        </w:rPr>
        <w:t>の</w:t>
      </w:r>
      <w:r>
        <w:rPr>
          <w:rFonts w:ascii="ＭＳ ゴシック" w:eastAsia="ＭＳ ゴシック" w:hAnsi="ＭＳ ゴシック" w:cs="ＭＳ ゴシック" w:hint="eastAsia"/>
          <w:sz w:val="19"/>
          <w:szCs w:val="19"/>
          <w:lang w:eastAsia="ja-JP"/>
        </w:rPr>
        <w:t>算出</w:t>
      </w:r>
      <w:r w:rsidRPr="004F6019">
        <w:rPr>
          <w:rFonts w:ascii="ＭＳ ゴシック" w:eastAsia="ＭＳ ゴシック" w:hAnsi="ＭＳ ゴシック" w:cs="ＭＳ ゴシック" w:hint="eastAsia"/>
          <w:sz w:val="19"/>
          <w:szCs w:val="19"/>
          <w:lang w:eastAsia="ja-JP"/>
        </w:rPr>
        <w:t>には、最終製品の使用段階と最終製品段階は含</w:t>
      </w:r>
      <w:r w:rsidRPr="004F6019">
        <w:rPr>
          <w:rFonts w:ascii="ＭＳ ゴシック" w:eastAsia="ＭＳ ゴシック" w:hAnsi="ＭＳ ゴシック"/>
          <w:sz w:val="19"/>
          <w:szCs w:val="19"/>
          <w:lang w:eastAsia="ja-JP"/>
        </w:rPr>
        <w:t xml:space="preserve"> </w:t>
      </w:r>
      <w:r w:rsidRPr="004F6019">
        <w:rPr>
          <w:rFonts w:ascii="ＭＳ ゴシック" w:eastAsia="ＭＳ ゴシック" w:hAnsi="ＭＳ ゴシック" w:cs="ＭＳ ゴシック" w:hint="eastAsia"/>
          <w:sz w:val="19"/>
          <w:szCs w:val="19"/>
          <w:lang w:eastAsia="ja-JP"/>
        </w:rPr>
        <w:t>まれ</w:t>
      </w:r>
      <w:r>
        <w:rPr>
          <w:rFonts w:ascii="ＭＳ ゴシック" w:eastAsia="ＭＳ ゴシック" w:hAnsi="ＭＳ ゴシック" w:cs="ＭＳ ゴシック" w:hint="eastAsia"/>
          <w:sz w:val="19"/>
          <w:szCs w:val="19"/>
          <w:lang w:eastAsia="ja-JP"/>
        </w:rPr>
        <w:t>ていません</w:t>
      </w:r>
      <w:r w:rsidRPr="004F6019">
        <w:rPr>
          <w:rFonts w:ascii="ＭＳ ゴシック" w:eastAsia="ＭＳ ゴシック" w:hAnsi="ＭＳ ゴシック" w:cs="ＭＳ ゴシック" w:hint="eastAsia"/>
          <w:sz w:val="19"/>
          <w:szCs w:val="19"/>
          <w:lang w:eastAsia="ja-JP"/>
        </w:rPr>
        <w:t>。これは、ライフサイクル手法の継続的な性質を保ち、チェリーピ</w:t>
      </w:r>
      <w:r>
        <w:rPr>
          <w:rFonts w:ascii="ＭＳ ゴシック" w:eastAsia="ＭＳ ゴシック" w:hAnsi="ＭＳ ゴシック" w:cs="ＭＳ ゴシック" w:hint="eastAsia"/>
          <w:sz w:val="19"/>
          <w:szCs w:val="19"/>
          <w:lang w:eastAsia="ja-JP"/>
        </w:rPr>
        <w:t>ッキング</w:t>
      </w:r>
      <w:r w:rsidRPr="004F6019">
        <w:rPr>
          <w:rFonts w:ascii="ＭＳ ゴシック" w:eastAsia="ＭＳ ゴシック" w:hAnsi="ＭＳ ゴシック" w:cs="ＭＳ ゴシック" w:hint="eastAsia"/>
          <w:sz w:val="19"/>
          <w:szCs w:val="19"/>
          <w:lang w:eastAsia="ja-JP"/>
        </w:rPr>
        <w:t>（</w:t>
      </w:r>
      <w:r w:rsidRPr="004F6019">
        <w:rPr>
          <w:rFonts w:ascii="ＭＳ ゴシック" w:eastAsia="ＭＳ ゴシック" w:hAnsi="ＭＳ ゴシック"/>
          <w:sz w:val="19"/>
          <w:szCs w:val="19"/>
          <w:lang w:eastAsia="ja-JP"/>
        </w:rPr>
        <w:t>GHG</w:t>
      </w:r>
      <w:r w:rsidRPr="004F6019">
        <w:rPr>
          <w:rFonts w:ascii="ＭＳ ゴシック" w:eastAsia="ＭＳ ゴシック" w:hAnsi="ＭＳ ゴシック" w:cs="ＭＳ ゴシック" w:hint="eastAsia"/>
          <w:sz w:val="19"/>
          <w:szCs w:val="19"/>
          <w:lang w:eastAsia="ja-JP"/>
        </w:rPr>
        <w:t>排出量の多い使用段階を省略し、最終製品段階を含めるなど）を避けるためで</w:t>
      </w:r>
      <w:r>
        <w:rPr>
          <w:rFonts w:ascii="ＭＳ ゴシック" w:eastAsia="ＭＳ ゴシック" w:hAnsi="ＭＳ ゴシック" w:cs="ＭＳ ゴシック" w:hint="eastAsia"/>
          <w:sz w:val="19"/>
          <w:szCs w:val="19"/>
          <w:lang w:eastAsia="ja-JP"/>
        </w:rPr>
        <w:t>す</w:t>
      </w:r>
      <w:r w:rsidRPr="004F6019">
        <w:rPr>
          <w:rFonts w:ascii="ＭＳ ゴシック" w:eastAsia="ＭＳ ゴシック" w:hAnsi="ＭＳ ゴシック" w:cs="ＭＳ ゴシック" w:hint="eastAsia"/>
          <w:sz w:val="19"/>
          <w:szCs w:val="19"/>
          <w:lang w:eastAsia="ja-JP"/>
        </w:rPr>
        <w:t>。場合によっては、中間製品を生産している会社が、リサイクル率や期間など</w:t>
      </w:r>
      <w:r w:rsidRPr="004F6019">
        <w:rPr>
          <w:rFonts w:ascii="ＭＳ ゴシック" w:eastAsia="ＭＳ ゴシック" w:hAnsi="ＭＳ ゴシック"/>
          <w:sz w:val="19"/>
          <w:szCs w:val="19"/>
          <w:lang w:eastAsia="ja-JP"/>
        </w:rPr>
        <w:t xml:space="preserve"> </w:t>
      </w:r>
      <w:r w:rsidRPr="004F6019">
        <w:rPr>
          <w:rFonts w:ascii="ＭＳ ゴシック" w:eastAsia="ＭＳ ゴシック" w:hAnsi="ＭＳ ゴシック" w:cs="ＭＳ ゴシック" w:hint="eastAsia"/>
          <w:sz w:val="19"/>
          <w:szCs w:val="19"/>
          <w:lang w:eastAsia="ja-JP"/>
        </w:rPr>
        <w:t>、川下の顧客の</w:t>
      </w:r>
      <w:r w:rsidR="00795C43">
        <w:rPr>
          <w:rFonts w:ascii="ＭＳ ゴシック" w:eastAsia="ＭＳ ゴシック" w:hAnsi="ＭＳ ゴシック" w:cs="ＭＳ ゴシック" w:hint="eastAsia"/>
          <w:sz w:val="19"/>
          <w:szCs w:val="19"/>
          <w:lang w:eastAsia="ja-JP"/>
        </w:rPr>
        <w:t>排出量</w:t>
      </w:r>
      <w:r w:rsidRPr="004F6019">
        <w:rPr>
          <w:rFonts w:ascii="ＭＳ ゴシック" w:eastAsia="ＭＳ ゴシック" w:hAnsi="ＭＳ ゴシック" w:cs="ＭＳ ゴシック" w:hint="eastAsia"/>
          <w:sz w:val="19"/>
          <w:szCs w:val="19"/>
          <w:lang w:eastAsia="ja-JP"/>
        </w:rPr>
        <w:t>を改善するような使用済みプロセスに関する情報を持っていることがあ</w:t>
      </w:r>
      <w:r w:rsidR="00795C43">
        <w:rPr>
          <w:rFonts w:ascii="ＭＳ ゴシック" w:eastAsia="ＭＳ ゴシック" w:hAnsi="ＭＳ ゴシック" w:cs="ＭＳ ゴシック" w:hint="eastAsia"/>
          <w:sz w:val="19"/>
          <w:szCs w:val="19"/>
          <w:lang w:eastAsia="ja-JP"/>
        </w:rPr>
        <w:t>ります</w:t>
      </w:r>
      <w:r w:rsidRPr="004F6019">
        <w:rPr>
          <w:rFonts w:ascii="ＭＳ ゴシック" w:eastAsia="ＭＳ ゴシック" w:hAnsi="ＭＳ ゴシック" w:cs="ＭＳ ゴシック" w:hint="eastAsia"/>
          <w:sz w:val="19"/>
          <w:szCs w:val="19"/>
          <w:lang w:eastAsia="ja-JP"/>
        </w:rPr>
        <w:t>。企業は、</w:t>
      </w:r>
      <w:r w:rsidR="00795C43">
        <w:rPr>
          <w:rFonts w:ascii="ＭＳ ゴシック" w:eastAsia="ＭＳ ゴシック" w:hAnsi="ＭＳ ゴシック" w:cs="ＭＳ ゴシック" w:hint="eastAsia"/>
          <w:sz w:val="19"/>
          <w:szCs w:val="19"/>
          <w:lang w:eastAsia="ja-JP"/>
        </w:rPr>
        <w:t>算出</w:t>
      </w:r>
      <w:r w:rsidRPr="004F6019">
        <w:rPr>
          <w:rFonts w:ascii="ＭＳ ゴシック" w:eastAsia="ＭＳ ゴシック" w:hAnsi="ＭＳ ゴシック" w:cs="ＭＳ ゴシック" w:hint="eastAsia"/>
          <w:sz w:val="19"/>
          <w:szCs w:val="19"/>
          <w:lang w:eastAsia="ja-JP"/>
        </w:rPr>
        <w:t>結果（例：分析単位あたりの</w:t>
      </w:r>
      <w:r w:rsidRPr="004F6019">
        <w:rPr>
          <w:rFonts w:ascii="ＭＳ ゴシック" w:eastAsia="ＭＳ ゴシック" w:hAnsi="ＭＳ ゴシック"/>
          <w:sz w:val="19"/>
          <w:szCs w:val="19"/>
          <w:lang w:eastAsia="ja-JP"/>
        </w:rPr>
        <w:t xml:space="preserve">CO2 </w:t>
      </w:r>
      <w:r w:rsidRPr="004F6019">
        <w:rPr>
          <w:rFonts w:ascii="ＭＳ ゴシック" w:eastAsia="ＭＳ ゴシック" w:hAnsi="ＭＳ ゴシック" w:cs="ＭＳ ゴシック" w:hint="eastAsia"/>
          <w:sz w:val="19"/>
          <w:szCs w:val="19"/>
          <w:lang w:eastAsia="ja-JP"/>
        </w:rPr>
        <w:t>相当量</w:t>
      </w:r>
      <w:r w:rsidRPr="004F6019">
        <w:rPr>
          <w:rFonts w:ascii="ＭＳ ゴシック" w:eastAsia="ＭＳ ゴシック" w:hAnsi="ＭＳ ゴシック"/>
          <w:sz w:val="19"/>
          <w:szCs w:val="19"/>
          <w:lang w:eastAsia="ja-JP"/>
        </w:rPr>
        <w:t>[CO</w:t>
      </w:r>
      <w:r w:rsidRPr="00795C43">
        <w:rPr>
          <w:rFonts w:ascii="ＭＳ ゴシック" w:eastAsia="ＭＳ ゴシック" w:hAnsi="ＭＳ ゴシック"/>
          <w:sz w:val="19"/>
          <w:szCs w:val="19"/>
          <w:vertAlign w:val="subscript"/>
          <w:lang w:eastAsia="ja-JP"/>
        </w:rPr>
        <w:t>2</w:t>
      </w:r>
      <w:r w:rsidRPr="004F6019">
        <w:rPr>
          <w:rFonts w:ascii="ＭＳ ゴシック" w:eastAsia="ＭＳ ゴシック" w:hAnsi="ＭＳ ゴシック"/>
          <w:sz w:val="19"/>
          <w:szCs w:val="19"/>
          <w:lang w:eastAsia="ja-JP"/>
        </w:rPr>
        <w:t>e]</w:t>
      </w:r>
      <w:r w:rsidRPr="004F6019">
        <w:rPr>
          <w:rFonts w:ascii="ＭＳ ゴシック" w:eastAsia="ＭＳ ゴシック" w:hAnsi="ＭＳ ゴシック" w:cs="ＭＳ ゴシック" w:hint="eastAsia"/>
          <w:sz w:val="19"/>
          <w:szCs w:val="19"/>
          <w:lang w:eastAsia="ja-JP"/>
        </w:rPr>
        <w:t>の合計）や工程表から明確に分離されている限</w:t>
      </w:r>
      <w:r w:rsidRPr="004F6019">
        <w:rPr>
          <w:rFonts w:ascii="ＭＳ ゴシック" w:eastAsia="ＭＳ ゴシック" w:hAnsi="ＭＳ ゴシック"/>
          <w:sz w:val="19"/>
          <w:szCs w:val="19"/>
          <w:lang w:eastAsia="ja-JP"/>
        </w:rPr>
        <w:t xml:space="preserve"> </w:t>
      </w:r>
      <w:r w:rsidRPr="004F6019">
        <w:rPr>
          <w:rFonts w:ascii="ＭＳ ゴシック" w:eastAsia="ＭＳ ゴシック" w:hAnsi="ＭＳ ゴシック" w:cs="ＭＳ ゴシック" w:hint="eastAsia"/>
          <w:sz w:val="19"/>
          <w:szCs w:val="19"/>
          <w:lang w:eastAsia="ja-JP"/>
        </w:rPr>
        <w:t>り、</w:t>
      </w:r>
      <w:r w:rsidR="00795C43">
        <w:rPr>
          <w:rFonts w:ascii="ＭＳ ゴシック" w:eastAsia="ＭＳ ゴシック" w:hAnsi="ＭＳ ゴシック" w:cs="ＭＳ ゴシック" w:hint="eastAsia"/>
          <w:sz w:val="19"/>
          <w:szCs w:val="19"/>
          <w:lang w:eastAsia="ja-JP"/>
        </w:rPr>
        <w:t>生産から出荷</w:t>
      </w:r>
      <w:r w:rsidRPr="004F6019">
        <w:rPr>
          <w:rFonts w:ascii="ＭＳ ゴシック" w:eastAsia="ＭＳ ゴシック" w:hAnsi="ＭＳ ゴシック" w:cs="ＭＳ ゴシック" w:hint="eastAsia"/>
          <w:sz w:val="19"/>
          <w:szCs w:val="19"/>
          <w:lang w:eastAsia="ja-JP"/>
        </w:rPr>
        <w:t>までの</w:t>
      </w:r>
      <w:r w:rsidR="00795C43">
        <w:rPr>
          <w:rFonts w:ascii="ＭＳ ゴシック" w:eastAsia="ＭＳ ゴシック" w:hAnsi="ＭＳ ゴシック" w:cs="ＭＳ ゴシック" w:hint="eastAsia"/>
          <w:sz w:val="19"/>
          <w:szCs w:val="19"/>
          <w:lang w:eastAsia="ja-JP"/>
        </w:rPr>
        <w:t>排出量の</w:t>
      </w:r>
      <w:r w:rsidRPr="004F6019">
        <w:rPr>
          <w:rFonts w:ascii="ＭＳ ゴシック" w:eastAsia="ＭＳ ゴシック" w:hAnsi="ＭＳ ゴシック" w:cs="ＭＳ ゴシック" w:hint="eastAsia"/>
          <w:sz w:val="19"/>
          <w:szCs w:val="19"/>
          <w:lang w:eastAsia="ja-JP"/>
        </w:rPr>
        <w:t>報告書に使用終了段階に関する追加情報を含めることができ</w:t>
      </w:r>
      <w:r w:rsidR="00795C43">
        <w:rPr>
          <w:rFonts w:ascii="ＭＳ ゴシック" w:eastAsia="ＭＳ ゴシック" w:hAnsi="ＭＳ ゴシック" w:cs="ＭＳ ゴシック" w:hint="eastAsia"/>
          <w:sz w:val="19"/>
          <w:szCs w:val="19"/>
          <w:lang w:eastAsia="ja-JP"/>
        </w:rPr>
        <w:t>ます</w:t>
      </w:r>
      <w:r w:rsidRPr="004F6019">
        <w:rPr>
          <w:rFonts w:ascii="ＭＳ ゴシック" w:eastAsia="ＭＳ ゴシック" w:hAnsi="ＭＳ ゴシック" w:cs="ＭＳ ゴシック" w:hint="eastAsia"/>
          <w:sz w:val="19"/>
          <w:szCs w:val="19"/>
          <w:lang w:eastAsia="ja-JP"/>
        </w:rPr>
        <w:t>。</w:t>
      </w:r>
      <w:r w:rsidR="00F23C61">
        <w:rPr>
          <w:lang w:eastAsia="ja-JP"/>
        </w:rPr>
        <w:br w:type="column"/>
      </w:r>
      <w:r w:rsidR="00795C43" w:rsidRPr="00795C43">
        <w:rPr>
          <w:rFonts w:ascii="ＭＳ ゴシック" w:eastAsia="ＭＳ ゴシック" w:hAnsi="ＭＳ ゴシック" w:cs="ＭＳ ゴシック" w:hint="eastAsia"/>
          <w:color w:val="00ACA1"/>
          <w:lang w:eastAsia="ja-JP"/>
        </w:rPr>
        <w:t>訳注</w:t>
      </w:r>
    </w:p>
    <w:p w14:paraId="6212FB16" w14:textId="03816207" w:rsidR="0055291C" w:rsidRDefault="00000000">
      <w:pPr>
        <w:pStyle w:val="a5"/>
        <w:numPr>
          <w:ilvl w:val="0"/>
          <w:numId w:val="81"/>
        </w:numPr>
        <w:tabs>
          <w:tab w:val="left" w:pos="509"/>
        </w:tabs>
        <w:spacing w:before="61" w:line="345" w:lineRule="auto"/>
        <w:ind w:right="1138"/>
        <w:rPr>
          <w:sz w:val="16"/>
          <w:lang w:eastAsia="ja-JP"/>
        </w:rPr>
      </w:pPr>
      <w:r>
        <w:pict w14:anchorId="552CBF86">
          <v:shape id="docshape773" o:spid="_x0000_s3036" type="#_x0000_t202" style="position:absolute;left:0;text-align:left;margin-left:585.65pt;margin-top:33.8pt;width:17.7pt;height:119.1pt;z-index:251587072;mso-position-horizontal-relative:page" filled="f" stroked="f">
            <v:textbox style="layout-flow:vertical;mso-layout-flow-alt:bottom-to-top;mso-next-textbox:#docshape773" inset="0,0,0,0">
              <w:txbxContent>
                <w:p w14:paraId="51721D12"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v:shape>
        </w:pict>
      </w:r>
      <w:r w:rsidR="007A6BBE" w:rsidRPr="007A6BBE">
        <w:rPr>
          <w:rFonts w:ascii="ＭＳ ゴシック" w:eastAsia="ＭＳ ゴシック" w:hAnsi="ＭＳ ゴシック" w:cs="ＭＳ ゴシック" w:hint="eastAsia"/>
          <w:color w:val="545456"/>
          <w:sz w:val="16"/>
          <w:lang w:eastAsia="ja-JP"/>
        </w:rPr>
        <w:t>これは、バイオマス燃焼や石灰化など、転換された土地の整備に使用される作業のみを指します。農業や林業によるバイオマス燃焼や肥料散布も、土地利用変化による影響とは別に、帰属プロセスとして報告書に含まれます。</w:t>
      </w:r>
    </w:p>
    <w:p w14:paraId="0D3762D9" w14:textId="684A2326" w:rsidR="0055291C" w:rsidRDefault="002360E5">
      <w:pPr>
        <w:pStyle w:val="a5"/>
        <w:numPr>
          <w:ilvl w:val="0"/>
          <w:numId w:val="81"/>
        </w:numPr>
        <w:tabs>
          <w:tab w:val="left" w:pos="509"/>
        </w:tabs>
        <w:spacing w:line="345" w:lineRule="auto"/>
        <w:ind w:right="1269"/>
        <w:rPr>
          <w:sz w:val="16"/>
          <w:lang w:eastAsia="ja-JP"/>
        </w:rPr>
      </w:pPr>
      <w:r w:rsidRPr="002360E5">
        <w:rPr>
          <w:rFonts w:ascii="ＭＳ ゴシック" w:eastAsia="ＭＳ ゴシック" w:hAnsi="ＭＳ ゴシック" w:cs="ＭＳ ゴシック" w:hint="eastAsia"/>
          <w:color w:val="545456"/>
          <w:sz w:val="16"/>
          <w:lang w:eastAsia="ja-JP"/>
        </w:rPr>
        <w:t>間接的土地利用は、調査対象製品への帰属的投入物を生産するために使用される直接的土地（例：調査対象製品である牛肉の帰属的投入物である、動物飼料を生産するための土地）を指すものではありません。</w:t>
      </w:r>
    </w:p>
    <w:p w14:paraId="6A0C314D" w14:textId="70CC5347" w:rsidR="00A87353" w:rsidRPr="00A87353" w:rsidRDefault="00A87353">
      <w:pPr>
        <w:pStyle w:val="a5"/>
        <w:numPr>
          <w:ilvl w:val="0"/>
          <w:numId w:val="81"/>
        </w:numPr>
        <w:tabs>
          <w:tab w:val="left" w:pos="509"/>
        </w:tabs>
        <w:spacing w:line="345" w:lineRule="auto"/>
        <w:ind w:right="1186"/>
        <w:rPr>
          <w:sz w:val="16"/>
          <w:lang w:eastAsia="ja-JP"/>
        </w:rPr>
      </w:pPr>
      <w:r w:rsidRPr="00A87353">
        <w:rPr>
          <w:rFonts w:ascii="ＭＳ ゴシック" w:eastAsia="ＭＳ ゴシック" w:hAnsi="ＭＳ ゴシック" w:cs="ＭＳ ゴシック" w:hint="eastAsia"/>
          <w:color w:val="545456"/>
          <w:sz w:val="16"/>
          <w:lang w:eastAsia="ja-JP"/>
        </w:rPr>
        <w:t>運用と保守による部品交換のような材料投入は、使用段階または材料取得段階に該当する場合があります。その工程は使用段階で発生しますが、データ収集の際には、材料取得段階で製品のライフサイクルにおけるその材料投入に関連する全ての排出を含めることが最も容易でしょう。例えば、ある製品が耐用年数中に</w:t>
      </w:r>
      <w:r w:rsidRPr="00A87353">
        <w:rPr>
          <w:color w:val="545456"/>
          <w:sz w:val="16"/>
          <w:lang w:eastAsia="ja-JP"/>
        </w:rPr>
        <w:t>2</w:t>
      </w:r>
      <w:r w:rsidRPr="00A87353">
        <w:rPr>
          <w:rFonts w:ascii="ＭＳ ゴシック" w:eastAsia="ＭＳ ゴシック" w:hAnsi="ＭＳ ゴシック" w:cs="ＭＳ ゴシック" w:hint="eastAsia"/>
          <w:color w:val="545456"/>
          <w:sz w:val="16"/>
          <w:lang w:eastAsia="ja-JP"/>
        </w:rPr>
        <w:t>つのタイミングベルトを必要とする場合、企業は、材料入手時に</w:t>
      </w:r>
      <w:r w:rsidRPr="00A87353">
        <w:rPr>
          <w:color w:val="545456"/>
          <w:sz w:val="16"/>
          <w:lang w:eastAsia="ja-JP"/>
        </w:rPr>
        <w:t>1</w:t>
      </w:r>
      <w:r w:rsidRPr="00A87353">
        <w:rPr>
          <w:rFonts w:ascii="ＭＳ ゴシック" w:eastAsia="ＭＳ ゴシック" w:hAnsi="ＭＳ ゴシック" w:cs="ＭＳ ゴシック" w:hint="eastAsia"/>
          <w:color w:val="545456"/>
          <w:sz w:val="16"/>
          <w:lang w:eastAsia="ja-JP"/>
        </w:rPr>
        <w:t>つ、使用時に</w:t>
      </w:r>
      <w:r w:rsidRPr="00A87353">
        <w:rPr>
          <w:color w:val="545456"/>
          <w:sz w:val="16"/>
          <w:lang w:eastAsia="ja-JP"/>
        </w:rPr>
        <w:t>1</w:t>
      </w:r>
      <w:r w:rsidRPr="00A87353">
        <w:rPr>
          <w:rFonts w:ascii="ＭＳ ゴシック" w:eastAsia="ＭＳ ゴシック" w:hAnsi="ＭＳ ゴシック" w:cs="ＭＳ ゴシック" w:hint="eastAsia"/>
          <w:color w:val="545456"/>
          <w:sz w:val="16"/>
          <w:lang w:eastAsia="ja-JP"/>
        </w:rPr>
        <w:t>つ、または材料入手時に両方を想定することができます。報告書で明示されている限り、どれを用いても構いません。</w:t>
      </w:r>
    </w:p>
    <w:p w14:paraId="22D5E1AE" w14:textId="62257909" w:rsidR="0055291C" w:rsidRDefault="00C01846">
      <w:pPr>
        <w:pStyle w:val="a5"/>
        <w:numPr>
          <w:ilvl w:val="0"/>
          <w:numId w:val="81"/>
        </w:numPr>
        <w:tabs>
          <w:tab w:val="left" w:pos="509"/>
        </w:tabs>
        <w:spacing w:line="345" w:lineRule="auto"/>
        <w:ind w:right="1186"/>
        <w:rPr>
          <w:sz w:val="16"/>
          <w:lang w:eastAsia="ja-JP"/>
        </w:rPr>
      </w:pPr>
      <w:r w:rsidRPr="00C01846">
        <w:rPr>
          <w:rFonts w:ascii="ＭＳ ゴシック" w:eastAsia="ＭＳ ゴシック" w:hAnsi="ＭＳ ゴシック" w:cs="ＭＳ ゴシック" w:hint="eastAsia"/>
          <w:color w:val="545456"/>
          <w:spacing w:val="-1"/>
          <w:sz w:val="16"/>
          <w:lang w:eastAsia="ja-JP"/>
        </w:rPr>
        <w:t>企業は、算出全体を通じて一貫して行われる限り、プロセス、ライフサイクルステージ、または排出レベルに基づいて重要性を決定することができます。</w:t>
      </w:r>
    </w:p>
    <w:p w14:paraId="5C5AC9B3" w14:textId="3DD0A4B0" w:rsidR="0055291C" w:rsidRPr="00E360F8" w:rsidRDefault="00E360F8">
      <w:pPr>
        <w:pStyle w:val="a5"/>
        <w:numPr>
          <w:ilvl w:val="0"/>
          <w:numId w:val="81"/>
        </w:numPr>
        <w:tabs>
          <w:tab w:val="left" w:pos="509"/>
        </w:tabs>
        <w:spacing w:line="345" w:lineRule="auto"/>
        <w:ind w:right="1198"/>
        <w:rPr>
          <w:sz w:val="16"/>
          <w:szCs w:val="16"/>
          <w:lang w:eastAsia="ja-JP"/>
        </w:rPr>
        <w:sectPr w:rsidR="0055291C" w:rsidRPr="00E360F8">
          <w:type w:val="continuous"/>
          <w:pgSz w:w="12240" w:h="15840"/>
          <w:pgMar w:top="740" w:right="0" w:bottom="280" w:left="0" w:header="0" w:footer="859" w:gutter="0"/>
          <w:cols w:num="2" w:space="720" w:equalWidth="0">
            <w:col w:w="5940" w:space="40"/>
            <w:col w:w="6260"/>
          </w:cols>
        </w:sectPr>
      </w:pPr>
      <w:r w:rsidRPr="00E360F8">
        <w:rPr>
          <w:rFonts w:ascii="ＭＳ ゴシック" w:eastAsia="ＭＳ ゴシック" w:hAnsi="ＭＳ ゴシック" w:cs="ＭＳ ゴシック" w:hint="eastAsia"/>
          <w:sz w:val="16"/>
          <w:szCs w:val="16"/>
          <w:lang w:eastAsia="ja-JP"/>
        </w:rPr>
        <w:t>嫌気性条件下で廃棄物を処理することは、酸素が制限された状</w:t>
      </w:r>
      <w:r w:rsidRPr="00E360F8">
        <w:rPr>
          <w:sz w:val="16"/>
          <w:szCs w:val="16"/>
          <w:lang w:eastAsia="ja-JP"/>
        </w:rPr>
        <w:t xml:space="preserve"> </w:t>
      </w:r>
      <w:r w:rsidRPr="00E360F8">
        <w:rPr>
          <w:rFonts w:ascii="ＭＳ ゴシック" w:eastAsia="ＭＳ ゴシック" w:hAnsi="ＭＳ ゴシック" w:cs="ＭＳ ゴシック" w:hint="eastAsia"/>
          <w:sz w:val="16"/>
          <w:szCs w:val="16"/>
          <w:lang w:eastAsia="ja-JP"/>
        </w:rPr>
        <w:t>態で廃棄物を分解することを意味します。これは、酸素が廃棄</w:t>
      </w:r>
      <w:r w:rsidRPr="00E360F8">
        <w:rPr>
          <w:sz w:val="16"/>
          <w:szCs w:val="16"/>
          <w:lang w:eastAsia="ja-JP"/>
        </w:rPr>
        <w:t xml:space="preserve"> </w:t>
      </w:r>
      <w:r w:rsidRPr="00E360F8">
        <w:rPr>
          <w:rFonts w:ascii="ＭＳ ゴシック" w:eastAsia="ＭＳ ゴシック" w:hAnsi="ＭＳ ゴシック" w:cs="ＭＳ ゴシック" w:hint="eastAsia"/>
          <w:sz w:val="16"/>
          <w:szCs w:val="16"/>
          <w:lang w:eastAsia="ja-JP"/>
        </w:rPr>
        <w:t>物に浸透しない埋立地で起こるのが一般的です。</w:t>
      </w:r>
    </w:p>
    <w:p w14:paraId="21F8BDEF" w14:textId="77777777" w:rsidR="0055291C" w:rsidRDefault="0055291C">
      <w:pPr>
        <w:pStyle w:val="a3"/>
        <w:spacing w:before="10"/>
        <w:rPr>
          <w:sz w:val="28"/>
          <w:lang w:eastAsia="ja-JP"/>
        </w:rPr>
      </w:pPr>
    </w:p>
    <w:p w14:paraId="5E9B4580" w14:textId="77777777" w:rsidR="0055291C" w:rsidRDefault="00F23C61">
      <w:pPr>
        <w:pStyle w:val="a3"/>
        <w:ind w:left="1160"/>
        <w:rPr>
          <w:sz w:val="20"/>
        </w:rPr>
      </w:pPr>
      <w:r>
        <w:rPr>
          <w:noProof/>
          <w:sz w:val="20"/>
        </w:rPr>
        <w:drawing>
          <wp:inline distT="0" distB="0" distL="0" distR="0" wp14:anchorId="30BC48FA" wp14:editId="438A5859">
            <wp:extent cx="6258513" cy="3338988"/>
            <wp:effectExtent l="0" t="0" r="0" b="0"/>
            <wp:docPr id="19"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77.jpeg"/>
                    <pic:cNvPicPr/>
                  </pic:nvPicPr>
                  <pic:blipFill>
                    <a:blip r:embed="rId172" cstate="print"/>
                    <a:stretch>
                      <a:fillRect/>
                    </a:stretch>
                  </pic:blipFill>
                  <pic:spPr>
                    <a:xfrm>
                      <a:off x="0" y="0"/>
                      <a:ext cx="6258513" cy="3338988"/>
                    </a:xfrm>
                    <a:prstGeom prst="rect">
                      <a:avLst/>
                    </a:prstGeom>
                  </pic:spPr>
                </pic:pic>
              </a:graphicData>
            </a:graphic>
          </wp:inline>
        </w:drawing>
      </w:r>
    </w:p>
    <w:p w14:paraId="05C62AE0" w14:textId="77777777" w:rsidR="0055291C" w:rsidRDefault="0055291C">
      <w:pPr>
        <w:rPr>
          <w:sz w:val="20"/>
        </w:rPr>
        <w:sectPr w:rsidR="0055291C">
          <w:type w:val="continuous"/>
          <w:pgSz w:w="12240" w:h="15840"/>
          <w:pgMar w:top="740" w:right="0" w:bottom="280" w:left="0" w:header="0" w:footer="859" w:gutter="0"/>
          <w:cols w:space="720"/>
        </w:sectPr>
      </w:pPr>
    </w:p>
    <w:p w14:paraId="1E679204" w14:textId="3ABC0FC9" w:rsidR="0055291C" w:rsidRDefault="00000000" w:rsidP="00795C43">
      <w:pPr>
        <w:pStyle w:val="1"/>
        <w:spacing w:before="206" w:line="180" w:lineRule="auto"/>
        <w:ind w:right="1892"/>
        <w:rPr>
          <w:lang w:eastAsia="ja-JP"/>
        </w:rPr>
      </w:pPr>
      <w:r>
        <w:lastRenderedPageBreak/>
        <w:pict w14:anchorId="71BF97C3">
          <v:group id="docshapegroup774" o:spid="_x0000_s3032" style="position:absolute;left:0;text-align:left;margin-left:0;margin-top:0;width:612pt;height:11in;z-index:-251575808;mso-position-horizontal-relative:page;mso-position-vertical-relative:page" coordsize="12240,15840">
            <v:shape id="docshape775" o:spid="_x0000_s3035" type="#_x0000_t75" style="position:absolute;width:12240;height:15840">
              <v:imagedata r:id="rId173" o:title=""/>
            </v:shape>
            <v:rect id="docshape776" o:spid="_x0000_s3034" style="position:absolute;width:12240;height:2015" fillcolor="#f3f4f4" stroked="f">
              <v:fill opacity="45875f"/>
            </v:rect>
            <v:shape id="docshape777" o:spid="_x0000_s3033" style="position:absolute;width:2133;height:2015" coordsize="2133,2015" path="m2132,l,,,2014r1892,l2031,2011r71,-27l2129,1913r3,-139l2132,xe" fillcolor="#00aca1" stroked="f">
              <v:path arrowok="t"/>
            </v:shape>
            <w10:wrap anchorx="page" anchory="page"/>
          </v:group>
        </w:pict>
      </w:r>
      <w:r>
        <w:pict w14:anchorId="5E2E0415">
          <v:shape id="docshape778" o:spid="_x0000_s3031" type="#_x0000_t202" style="position:absolute;left:0;text-align:left;margin-left:56.4pt;margin-top:13.85pt;width:36.4pt;height:35.9pt;z-index:251588096;mso-position-horizontal-relative:page" filled="f" stroked="f">
            <v:textbox style="mso-next-textbox:#docshape778" inset="0,0,0,0">
              <w:txbxContent>
                <w:p w14:paraId="12490A66" w14:textId="77777777" w:rsidR="0055291C" w:rsidRDefault="00F23C61">
                  <w:pPr>
                    <w:spacing w:line="717" w:lineRule="exact"/>
                    <w:rPr>
                      <w:rFonts w:ascii="Arial"/>
                      <w:b/>
                      <w:i/>
                      <w:sz w:val="64"/>
                    </w:rPr>
                  </w:pPr>
                  <w:r>
                    <w:rPr>
                      <w:rFonts w:ascii="Arial"/>
                      <w:b/>
                      <w:i/>
                      <w:color w:val="F3F4F4"/>
                      <w:sz w:val="64"/>
                    </w:rPr>
                    <w:t>08</w:t>
                  </w:r>
                </w:p>
              </w:txbxContent>
            </v:textbox>
            <w10:wrap anchorx="page"/>
          </v:shape>
        </w:pict>
      </w:r>
      <w:r w:rsidR="00795C43">
        <w:rPr>
          <w:rFonts w:ascii="ＭＳ 明朝" w:eastAsia="ＭＳ 明朝" w:hAnsi="ＭＳ 明朝" w:cs="ＭＳ 明朝" w:hint="eastAsia"/>
          <w:lang w:eastAsia="ja-JP"/>
        </w:rPr>
        <w:t>データ収集とデータ</w:t>
      </w:r>
      <w:r w:rsidR="00570DAA">
        <w:rPr>
          <w:rFonts w:ascii="ＭＳ 明朝" w:eastAsia="ＭＳ 明朝" w:hAnsi="ＭＳ 明朝" w:cs="ＭＳ 明朝" w:hint="eastAsia"/>
          <w:lang w:eastAsia="ja-JP"/>
        </w:rPr>
        <w:t>品</w:t>
      </w:r>
      <w:r w:rsidR="00795C43">
        <w:rPr>
          <w:rFonts w:ascii="ＭＳ 明朝" w:eastAsia="ＭＳ 明朝" w:hAnsi="ＭＳ 明朝" w:cs="ＭＳ 明朝" w:hint="eastAsia"/>
          <w:lang w:eastAsia="ja-JP"/>
        </w:rPr>
        <w:t>質の評価</w:t>
      </w:r>
    </w:p>
    <w:p w14:paraId="0659779A" w14:textId="77777777" w:rsidR="0055291C" w:rsidRDefault="0055291C">
      <w:pPr>
        <w:spacing w:line="180" w:lineRule="auto"/>
        <w:rPr>
          <w:lang w:eastAsia="ja-JP"/>
        </w:rPr>
        <w:sectPr w:rsidR="0055291C">
          <w:headerReference w:type="even" r:id="rId174"/>
          <w:footerReference w:type="even" r:id="rId175"/>
          <w:pgSz w:w="12240" w:h="15840"/>
          <w:pgMar w:top="820" w:right="0" w:bottom="280" w:left="0" w:header="0" w:footer="0" w:gutter="0"/>
          <w:cols w:space="720"/>
        </w:sectPr>
      </w:pPr>
    </w:p>
    <w:p w14:paraId="314E01BF" w14:textId="77777777" w:rsidR="0055291C" w:rsidRDefault="0055291C">
      <w:pPr>
        <w:pStyle w:val="a3"/>
        <w:rPr>
          <w:rFonts w:ascii="Arial"/>
          <w:b/>
          <w:i/>
          <w:sz w:val="20"/>
          <w:lang w:eastAsia="ja-JP"/>
        </w:rPr>
      </w:pPr>
    </w:p>
    <w:p w14:paraId="18A5DC13" w14:textId="77777777" w:rsidR="0055291C" w:rsidRDefault="0055291C">
      <w:pPr>
        <w:pStyle w:val="a3"/>
        <w:rPr>
          <w:rFonts w:ascii="Arial"/>
          <w:b/>
          <w:i/>
          <w:sz w:val="20"/>
          <w:lang w:eastAsia="ja-JP"/>
        </w:rPr>
      </w:pPr>
    </w:p>
    <w:p w14:paraId="2DF876A8" w14:textId="77777777" w:rsidR="0055291C" w:rsidRDefault="0055291C">
      <w:pPr>
        <w:pStyle w:val="a3"/>
        <w:rPr>
          <w:rFonts w:ascii="Arial"/>
          <w:b/>
          <w:i/>
          <w:sz w:val="20"/>
          <w:lang w:eastAsia="ja-JP"/>
        </w:rPr>
      </w:pPr>
    </w:p>
    <w:p w14:paraId="2FECD5E3" w14:textId="77777777" w:rsidR="0055291C" w:rsidRDefault="0055291C">
      <w:pPr>
        <w:pStyle w:val="a3"/>
        <w:rPr>
          <w:rFonts w:ascii="Arial"/>
          <w:b/>
          <w:i/>
          <w:sz w:val="20"/>
          <w:lang w:eastAsia="ja-JP"/>
        </w:rPr>
      </w:pPr>
    </w:p>
    <w:p w14:paraId="2BD62A8D" w14:textId="77777777" w:rsidR="0055291C" w:rsidRDefault="0055291C">
      <w:pPr>
        <w:pStyle w:val="a3"/>
        <w:rPr>
          <w:rFonts w:ascii="Arial"/>
          <w:b/>
          <w:i/>
          <w:sz w:val="20"/>
          <w:lang w:eastAsia="ja-JP"/>
        </w:rPr>
      </w:pPr>
    </w:p>
    <w:p w14:paraId="522B28D5" w14:textId="77777777" w:rsidR="0055291C" w:rsidRDefault="0055291C">
      <w:pPr>
        <w:pStyle w:val="a3"/>
        <w:rPr>
          <w:rFonts w:ascii="Arial"/>
          <w:b/>
          <w:i/>
          <w:sz w:val="20"/>
          <w:lang w:eastAsia="ja-JP"/>
        </w:rPr>
      </w:pPr>
    </w:p>
    <w:p w14:paraId="5CCA4367" w14:textId="77777777" w:rsidR="0055291C" w:rsidRDefault="0055291C">
      <w:pPr>
        <w:pStyle w:val="a3"/>
        <w:rPr>
          <w:rFonts w:ascii="Arial"/>
          <w:b/>
          <w:i/>
          <w:sz w:val="20"/>
          <w:lang w:eastAsia="ja-JP"/>
        </w:rPr>
      </w:pPr>
    </w:p>
    <w:p w14:paraId="56889FF5" w14:textId="77777777" w:rsidR="0055291C" w:rsidRDefault="0055291C">
      <w:pPr>
        <w:pStyle w:val="a3"/>
        <w:rPr>
          <w:rFonts w:ascii="Arial"/>
          <w:b/>
          <w:i/>
          <w:sz w:val="20"/>
          <w:lang w:eastAsia="ja-JP"/>
        </w:rPr>
      </w:pPr>
    </w:p>
    <w:p w14:paraId="526D562A" w14:textId="77777777" w:rsidR="0055291C" w:rsidRDefault="0055291C">
      <w:pPr>
        <w:pStyle w:val="a3"/>
        <w:rPr>
          <w:rFonts w:ascii="Arial"/>
          <w:b/>
          <w:i/>
          <w:sz w:val="20"/>
          <w:lang w:eastAsia="ja-JP"/>
        </w:rPr>
      </w:pPr>
    </w:p>
    <w:p w14:paraId="478F7322" w14:textId="77777777" w:rsidR="0055291C" w:rsidRDefault="0055291C">
      <w:pPr>
        <w:pStyle w:val="a3"/>
        <w:rPr>
          <w:rFonts w:ascii="Arial"/>
          <w:b/>
          <w:i/>
          <w:sz w:val="20"/>
          <w:lang w:eastAsia="ja-JP"/>
        </w:rPr>
      </w:pPr>
    </w:p>
    <w:p w14:paraId="6540AC14" w14:textId="77777777" w:rsidR="0055291C" w:rsidRDefault="0055291C">
      <w:pPr>
        <w:pStyle w:val="a3"/>
        <w:rPr>
          <w:rFonts w:ascii="Arial"/>
          <w:b/>
          <w:i/>
          <w:sz w:val="20"/>
          <w:lang w:eastAsia="ja-JP"/>
        </w:rPr>
      </w:pPr>
    </w:p>
    <w:p w14:paraId="7D16551A" w14:textId="77777777" w:rsidR="0055291C" w:rsidRDefault="0055291C">
      <w:pPr>
        <w:pStyle w:val="a3"/>
        <w:rPr>
          <w:rFonts w:ascii="Arial"/>
          <w:b/>
          <w:i/>
          <w:sz w:val="20"/>
          <w:lang w:eastAsia="ja-JP"/>
        </w:rPr>
      </w:pPr>
    </w:p>
    <w:p w14:paraId="5CCBBE7B" w14:textId="77777777" w:rsidR="0055291C" w:rsidRDefault="0055291C">
      <w:pPr>
        <w:pStyle w:val="a3"/>
        <w:rPr>
          <w:rFonts w:ascii="Arial"/>
          <w:b/>
          <w:i/>
          <w:sz w:val="20"/>
          <w:lang w:eastAsia="ja-JP"/>
        </w:rPr>
      </w:pPr>
    </w:p>
    <w:p w14:paraId="0F574E3A" w14:textId="77777777" w:rsidR="0055291C" w:rsidRDefault="0055291C">
      <w:pPr>
        <w:pStyle w:val="a3"/>
        <w:rPr>
          <w:rFonts w:ascii="Arial"/>
          <w:b/>
          <w:i/>
          <w:sz w:val="20"/>
          <w:lang w:eastAsia="ja-JP"/>
        </w:rPr>
      </w:pPr>
    </w:p>
    <w:p w14:paraId="2360BCDF" w14:textId="77777777" w:rsidR="0055291C" w:rsidRDefault="0055291C">
      <w:pPr>
        <w:pStyle w:val="a3"/>
        <w:rPr>
          <w:rFonts w:ascii="Arial"/>
          <w:b/>
          <w:i/>
          <w:sz w:val="20"/>
          <w:lang w:eastAsia="ja-JP"/>
        </w:rPr>
      </w:pPr>
    </w:p>
    <w:p w14:paraId="513A7A85" w14:textId="77777777" w:rsidR="0055291C" w:rsidRDefault="0055291C">
      <w:pPr>
        <w:pStyle w:val="a3"/>
        <w:rPr>
          <w:rFonts w:ascii="Arial"/>
          <w:b/>
          <w:i/>
          <w:sz w:val="20"/>
          <w:lang w:eastAsia="ja-JP"/>
        </w:rPr>
      </w:pPr>
    </w:p>
    <w:p w14:paraId="4B7B3368" w14:textId="77777777" w:rsidR="0055291C" w:rsidRDefault="0055291C">
      <w:pPr>
        <w:pStyle w:val="a3"/>
        <w:rPr>
          <w:rFonts w:ascii="Arial"/>
          <w:b/>
          <w:i/>
          <w:sz w:val="20"/>
          <w:lang w:eastAsia="ja-JP"/>
        </w:rPr>
      </w:pPr>
    </w:p>
    <w:p w14:paraId="506FF69F" w14:textId="77777777" w:rsidR="0055291C" w:rsidRDefault="0055291C">
      <w:pPr>
        <w:pStyle w:val="a3"/>
        <w:rPr>
          <w:rFonts w:ascii="Arial"/>
          <w:b/>
          <w:i/>
          <w:sz w:val="20"/>
          <w:lang w:eastAsia="ja-JP"/>
        </w:rPr>
      </w:pPr>
    </w:p>
    <w:p w14:paraId="7255036E" w14:textId="77777777" w:rsidR="0055291C" w:rsidRDefault="0055291C">
      <w:pPr>
        <w:pStyle w:val="a3"/>
        <w:rPr>
          <w:rFonts w:ascii="Arial"/>
          <w:b/>
          <w:i/>
          <w:sz w:val="20"/>
          <w:lang w:eastAsia="ja-JP"/>
        </w:rPr>
      </w:pPr>
    </w:p>
    <w:p w14:paraId="427192B7" w14:textId="77777777" w:rsidR="0055291C" w:rsidRDefault="0055291C">
      <w:pPr>
        <w:pStyle w:val="a3"/>
        <w:rPr>
          <w:rFonts w:ascii="Arial"/>
          <w:b/>
          <w:i/>
          <w:sz w:val="20"/>
          <w:lang w:eastAsia="ja-JP"/>
        </w:rPr>
      </w:pPr>
    </w:p>
    <w:p w14:paraId="1A1644C8" w14:textId="77777777" w:rsidR="0055291C" w:rsidRDefault="0055291C">
      <w:pPr>
        <w:pStyle w:val="a3"/>
        <w:rPr>
          <w:rFonts w:ascii="Arial"/>
          <w:b/>
          <w:i/>
          <w:sz w:val="20"/>
          <w:lang w:eastAsia="ja-JP"/>
        </w:rPr>
      </w:pPr>
    </w:p>
    <w:p w14:paraId="63597F60" w14:textId="77777777" w:rsidR="0055291C" w:rsidRDefault="0055291C">
      <w:pPr>
        <w:pStyle w:val="a3"/>
        <w:rPr>
          <w:rFonts w:ascii="Arial"/>
          <w:b/>
          <w:i/>
          <w:sz w:val="20"/>
          <w:lang w:eastAsia="ja-JP"/>
        </w:rPr>
      </w:pPr>
    </w:p>
    <w:p w14:paraId="7B787417" w14:textId="77777777" w:rsidR="0055291C" w:rsidRDefault="0055291C">
      <w:pPr>
        <w:pStyle w:val="a3"/>
        <w:rPr>
          <w:rFonts w:ascii="Arial"/>
          <w:b/>
          <w:i/>
          <w:sz w:val="20"/>
          <w:lang w:eastAsia="ja-JP"/>
        </w:rPr>
      </w:pPr>
    </w:p>
    <w:p w14:paraId="570A9DF9" w14:textId="77777777" w:rsidR="0055291C" w:rsidRDefault="0055291C">
      <w:pPr>
        <w:pStyle w:val="a3"/>
        <w:rPr>
          <w:rFonts w:ascii="Arial"/>
          <w:b/>
          <w:i/>
          <w:sz w:val="20"/>
          <w:lang w:eastAsia="ja-JP"/>
        </w:rPr>
      </w:pPr>
    </w:p>
    <w:p w14:paraId="4D5B50F8" w14:textId="77777777" w:rsidR="0055291C" w:rsidRDefault="0055291C">
      <w:pPr>
        <w:pStyle w:val="a3"/>
        <w:spacing w:before="6"/>
        <w:rPr>
          <w:rFonts w:ascii="Arial"/>
          <w:b/>
          <w:i/>
          <w:sz w:val="16"/>
          <w:lang w:eastAsia="ja-JP"/>
        </w:rPr>
      </w:pPr>
    </w:p>
    <w:p w14:paraId="433E0911" w14:textId="51CAD48D" w:rsidR="0055291C" w:rsidRPr="0048361A" w:rsidRDefault="00000000">
      <w:pPr>
        <w:pStyle w:val="a5"/>
        <w:numPr>
          <w:ilvl w:val="1"/>
          <w:numId w:val="47"/>
        </w:numPr>
        <w:tabs>
          <w:tab w:val="left" w:pos="1853"/>
          <w:tab w:val="left" w:pos="1854"/>
        </w:tabs>
        <w:spacing w:before="99"/>
        <w:ind w:hanging="721"/>
        <w:rPr>
          <w:rFonts w:ascii="Arial"/>
          <w:b/>
          <w:i/>
          <w:color w:val="00ACA1"/>
          <w:sz w:val="24"/>
        </w:rPr>
      </w:pPr>
      <w:r>
        <w:rPr>
          <w:color w:val="00ACA1"/>
        </w:rPr>
        <w:pict w14:anchorId="265F775E">
          <v:group id="docshapegroup781" o:spid="_x0000_s3027" style="position:absolute;left:0;text-align:left;margin-left:253.7pt;margin-top:-285.75pt;width:358.55pt;height:382.95pt;z-index:-251574784;mso-position-horizontal-relative:page" coordorigin="5074,-5715" coordsize="7171,7659">
            <v:shape id="docshape782" o:spid="_x0000_s3030" style="position:absolute;left:11614;top:-5710;width:626;height:5717" coordorigin="11615,-5710" coordsize="626,5717" path="m12240,-5710r-625,l11615,-220r3,131l11643,-22r67,25l11842,6r398,l12240,-5710xe" fillcolor="#00aca1" stroked="f">
              <v:path arrowok="t"/>
            </v:shape>
            <v:shape id="docshape783" o:spid="_x0000_s3029" style="position:absolute;left:5079;top:-5710;width:7161;height:7649" coordorigin="5079,-5710" coordsize="7161,7649" o:spt="100" adj="0,,0" path="m6524,-5710r-36,32l6436,-5628r-51,49l5945,-5073r-301,460l5472,-4279r-55,128l8039,-4355r1645,189l10536,-3855r244,164l10738,-3755r-44,-64l10650,-3883r-46,-64l10558,-4010r-48,-64l10462,-4137r-50,-62l10362,-4261r-52,-62l10258,-4385r-52,-61l10152,-4507r-54,-60l10044,-4627r-55,-59l9933,-4745r-56,-58l9821,-4861r-56,-57l9708,-4975r-57,-56l9595,-5086r-57,-55l8910,-5703r-9,-7m8810,-5710r1022,862l10860,-3566r380,816l11295,-2464r16,-75l11327,-2614r14,-76l11354,-2767r13,-78l11378,-2923r11,-78l11398,-3080r9,-79l11415,-3239r8,-80l11429,-3399r6,-80l11440,-3560r4,-80l11448,-3720r3,-81l11453,-3881r1,-80l11456,-4041r,-79l11456,-4199r-1,-79l11454,-4357r-42,-835l11360,-5710t-49,l11452,-3944r-191,1625l10946,-1477r-166,241l10845,-1278r65,-43l10975,-1365r64,-45l11103,-1456r64,-47l11231,-1551r63,-49l11358,-1650r62,-50l11483,-1752r62,-52l11606,-1857r61,-53l11728,-1964r60,-54l11847,-2073r59,-55l11965,-2183r58,-56l12080,-2295r56,-56l12192,-2407r48,-49m12240,-2509r-289,334l10653,-1159r-826,375l9538,-729r75,16l9690,-698r77,14l9845,-671r78,12l10002,-647r80,10l10162,-627r80,9l10323,-610r81,7l10485,-597r81,6l10647,-586r81,4l10810,-578r81,3l10972,-573r81,1l11134,-570r81,l11295,-570r80,-1l11454,-572r786,-38m11244,1605r81,-34l11405,1535r78,-36l11560,1461r75,-39l11708,1383r73,-41l11851,1301r70,-43l11988,1215r67,-44l12120,1126r63,-45l12240,1038t,-1707l11038,-575,9392,-764r-852,-311l8296,-1239r42,65l8382,-1110r44,63l8472,-983r46,64l8566,-856r49,63l8664,-731r51,62l8766,-607r52,62l8871,-484r53,61l8978,-363r55,60l9088,-244r55,59l9199,-126r56,57l9312,-11r56,56l9425,101r57,55l9539,211r627,562l10712,1214r386,288l11244,1605t-3411,-2l7915,1636r81,31l8078,1695r81,27l8239,1748r80,23l8399,1793r80,20l8558,1831r79,17l8715,1863r78,14l8870,1889r76,11l9022,1909r76,8l9173,1924r74,5l9321,1933r72,3l9466,1938r71,1l10211,1888r541,-115l11113,1657r131,-52l9243,-82,8215,-1365r-380,-815l7781,-2466r-17,75l7749,-2316r-14,77l7721,-2162r-12,77l7697,-2007r-10,78l7677,-1850r-9,80l7660,-1691r-7,80l7646,-1531r-5,80l7636,-1370r-5,80l7628,-1210r-3,81l7622,-1049r-1,80l7620,-889r-1,79l7619,-730r1,79l7621,-573r42,836l7735,956r68,472l7833,1603m5418,-780r34,81l5488,-621r37,77l5563,-468r39,74l5642,-321r42,71l5726,-181r43,69l5813,-46r44,66l5903,84r46,62l5996,207r47,60l6091,326r48,57l6188,438r49,55l6286,546r50,52l6386,648r513,434l7364,1379r338,170l7833,1603,7626,-986r190,-1625l8132,-3454r165,-240l8232,-3652r-65,42l8103,-3566r-65,46l7974,-3474r-64,47l7846,-3379r-63,49l7720,-3280r-63,50l7595,-3178r-62,52l7472,-3073r-61,53l7350,-2966r-60,54l7230,-2857r-59,55l7113,-2747r-58,56l6998,-2635r-57,56l6885,-2523r-55,56l6261,-1846r-447,540l5522,-924r-104,144m5417,-4151r-33,81l5353,-3989r-29,80l5297,-3829r-25,80l5248,-3670r-22,79l5206,-3512r-18,78l5171,-3356r-16,77l5142,-3202r-13,77l5119,-3050r-10,76l5101,-2900r-7,74l5089,-2752r-4,72l5082,-2608r-2,72l5079,-2466r52,666l5247,-1265r117,356l5418,-780,7125,-2755,8424,-3771r826,-376l9539,-4201r-76,-16l9387,-4232r-78,-14l9232,-4259r-79,-12l9074,-4283r-79,-10l8915,-4303r-81,-9l8754,-4319r-81,-8l8592,-4333r-81,-6l8429,-4344r-81,-4l8267,-4351r-82,-3l8104,-4357r-81,-1l7942,-4359r-80,-1l7781,-4360r-79,1l7622,-4358r-846,41l6074,-4246r-479,66l5417,-4151e" filled="f" strokecolor="#d9dadc" strokeweight=".5pt">
              <v:stroke joinstyle="round"/>
              <v:formulas/>
              <v:path arrowok="t" o:connecttype="segments"/>
            </v:shape>
            <v:shape id="docshape784" o:spid="_x0000_s3028" style="position:absolute;left:11614;top:-5710;width:626;height:5717" coordorigin="11615,-5710" coordsize="626,5717" path="m12240,-5710r-625,l11615,-220r3,131l11643,-22r67,25l11842,6r398,l12240,-5710xe" fillcolor="#7f3f98" stroked="f">
              <v:path arrowok="t"/>
            </v:shape>
            <w10:wrap anchorx="page"/>
          </v:group>
        </w:pict>
      </w:r>
      <w:r>
        <w:rPr>
          <w:color w:val="00ACA1"/>
        </w:rPr>
        <w:pict w14:anchorId="37730D8B">
          <v:shape id="docshape785" o:spid="_x0000_s3026" type="#_x0000_t202" style="position:absolute;left:0;text-align:left;margin-left:585.65pt;margin-top:-211.85pt;width:17.7pt;height:180.55pt;z-index:251589120;mso-position-horizontal-relative:page" filled="f" stroked="f">
            <v:textbox style="layout-flow:vertical;mso-layout-flow-alt:bottom-to-top;mso-next-textbox:#docshape785" inset="0,0,0,0">
              <w:txbxContent>
                <w:p w14:paraId="598B57C9" w14:textId="77777777" w:rsidR="0055291C" w:rsidRDefault="00F23C61">
                  <w:pPr>
                    <w:spacing w:before="18"/>
                    <w:ind w:left="20"/>
                    <w:rPr>
                      <w:rFonts w:ascii="Arial"/>
                      <w:b/>
                      <w:i/>
                      <w:sz w:val="28"/>
                    </w:rPr>
                  </w:pPr>
                  <w:r>
                    <w:rPr>
                      <w:rFonts w:ascii="Arial"/>
                      <w:b/>
                      <w:i/>
                      <w:color w:val="F3F4F4"/>
                      <w:spacing w:val="-159"/>
                      <w:w w:val="92"/>
                      <w:sz w:val="28"/>
                    </w:rPr>
                    <w:t>g</w:t>
                  </w:r>
                  <w:r>
                    <w:rPr>
                      <w:rFonts w:ascii="Arial"/>
                      <w:b/>
                      <w:i/>
                      <w:color w:val="F3F4F4"/>
                      <w:w w:val="109"/>
                      <w:sz w:val="28"/>
                    </w:rPr>
                    <w:t>r</w:t>
                  </w:r>
                  <w:r>
                    <w:rPr>
                      <w:rFonts w:ascii="Arial"/>
                      <w:b/>
                      <w:i/>
                      <w:color w:val="F3F4F4"/>
                      <w:sz w:val="28"/>
                    </w:rPr>
                    <w:t xml:space="preserve"> </w:t>
                  </w:r>
                  <w:r>
                    <w:rPr>
                      <w:rFonts w:ascii="Arial"/>
                      <w:b/>
                      <w:i/>
                      <w:color w:val="F3F4F4"/>
                      <w:spacing w:val="6"/>
                      <w:sz w:val="28"/>
                    </w:rPr>
                    <w:t xml:space="preserve"> </w:t>
                  </w:r>
                  <w:proofErr w:type="spellStart"/>
                  <w:r>
                    <w:rPr>
                      <w:rFonts w:ascii="Arial"/>
                      <w:b/>
                      <w:i/>
                      <w:color w:val="F3F4F4"/>
                      <w:spacing w:val="-104"/>
                      <w:w w:val="95"/>
                      <w:sz w:val="28"/>
                    </w:rPr>
                    <w:t>e</w:t>
                  </w:r>
                  <w:r>
                    <w:rPr>
                      <w:rFonts w:ascii="Arial"/>
                      <w:b/>
                      <w:i/>
                      <w:color w:val="F3F4F4"/>
                      <w:w w:val="95"/>
                      <w:sz w:val="28"/>
                    </w:rPr>
                    <w:t>u</w:t>
                  </w:r>
                  <w:proofErr w:type="spellEnd"/>
                  <w:r>
                    <w:rPr>
                      <w:rFonts w:ascii="Arial"/>
                      <w:b/>
                      <w:i/>
                      <w:color w:val="F3F4F4"/>
                      <w:spacing w:val="30"/>
                      <w:sz w:val="28"/>
                    </w:rPr>
                    <w:t xml:space="preserve"> </w:t>
                  </w:r>
                  <w:r>
                    <w:rPr>
                      <w:rFonts w:ascii="Arial"/>
                      <w:b/>
                      <w:i/>
                      <w:color w:val="F3F4F4"/>
                      <w:spacing w:val="-102"/>
                      <w:w w:val="93"/>
                      <w:sz w:val="28"/>
                    </w:rPr>
                    <w:t>q</w:t>
                  </w:r>
                  <w:r>
                    <w:rPr>
                      <w:rFonts w:ascii="Arial"/>
                      <w:b/>
                      <w:i/>
                      <w:color w:val="F3F4F4"/>
                      <w:w w:val="101"/>
                      <w:sz w:val="28"/>
                    </w:rPr>
                    <w:t>i</w:t>
                  </w:r>
                  <w:r>
                    <w:rPr>
                      <w:rFonts w:ascii="Arial"/>
                      <w:b/>
                      <w:i/>
                      <w:color w:val="F3F4F4"/>
                      <w:sz w:val="28"/>
                    </w:rPr>
                    <w:t xml:space="preserve"> </w:t>
                  </w:r>
                  <w:r>
                    <w:rPr>
                      <w:rFonts w:ascii="Arial"/>
                      <w:b/>
                      <w:i/>
                      <w:color w:val="F3F4F4"/>
                      <w:spacing w:val="12"/>
                      <w:sz w:val="28"/>
                    </w:rPr>
                    <w:t xml:space="preserve"> </w:t>
                  </w:r>
                  <w:r>
                    <w:rPr>
                      <w:rFonts w:ascii="Arial"/>
                      <w:b/>
                      <w:i/>
                      <w:color w:val="F3F4F4"/>
                      <w:spacing w:val="-144"/>
                      <w:w w:val="96"/>
                      <w:sz w:val="28"/>
                    </w:rPr>
                    <w:t>d</w:t>
                  </w:r>
                  <w:r>
                    <w:rPr>
                      <w:rFonts w:ascii="Arial"/>
                      <w:b/>
                      <w:i/>
                      <w:color w:val="F3F4F4"/>
                      <w:w w:val="95"/>
                      <w:sz w:val="28"/>
                    </w:rPr>
                    <w:t>u</w:t>
                  </w:r>
                  <w:r>
                    <w:rPr>
                      <w:rFonts w:ascii="Arial"/>
                      <w:b/>
                      <w:i/>
                      <w:color w:val="F3F4F4"/>
                      <w:sz w:val="28"/>
                    </w:rPr>
                    <w:t xml:space="preserve"> </w:t>
                  </w:r>
                  <w:r>
                    <w:rPr>
                      <w:rFonts w:ascii="Arial"/>
                      <w:b/>
                      <w:i/>
                      <w:color w:val="F3F4F4"/>
                      <w:spacing w:val="-7"/>
                      <w:sz w:val="28"/>
                    </w:rPr>
                    <w:t xml:space="preserve"> </w:t>
                  </w:r>
                  <w:r>
                    <w:rPr>
                      <w:rFonts w:ascii="Arial"/>
                      <w:b/>
                      <w:i/>
                      <w:color w:val="F3F4F4"/>
                      <w:spacing w:val="-146"/>
                      <w:w w:val="105"/>
                      <w:sz w:val="28"/>
                    </w:rPr>
                    <w:t>a</w:t>
                  </w:r>
                  <w:r>
                    <w:rPr>
                      <w:rFonts w:ascii="Arial"/>
                      <w:b/>
                      <w:i/>
                      <w:color w:val="F3F4F4"/>
                      <w:w w:val="101"/>
                      <w:sz w:val="28"/>
                    </w:rPr>
                    <w:t>i</w:t>
                  </w:r>
                  <w:r>
                    <w:rPr>
                      <w:rFonts w:ascii="Arial"/>
                      <w:b/>
                      <w:i/>
                      <w:color w:val="F3F4F4"/>
                      <w:sz w:val="28"/>
                    </w:rPr>
                    <w:t xml:space="preserve"> </w:t>
                  </w:r>
                  <w:r>
                    <w:rPr>
                      <w:rFonts w:ascii="Arial"/>
                      <w:b/>
                      <w:i/>
                      <w:color w:val="F3F4F4"/>
                      <w:spacing w:val="12"/>
                      <w:sz w:val="28"/>
                    </w:rPr>
                    <w:t xml:space="preserve"> </w:t>
                  </w:r>
                  <w:proofErr w:type="spellStart"/>
                  <w:r>
                    <w:rPr>
                      <w:rFonts w:ascii="Arial"/>
                      <w:b/>
                      <w:i/>
                      <w:color w:val="F3F4F4"/>
                      <w:spacing w:val="-54"/>
                      <w:w w:val="109"/>
                      <w:sz w:val="28"/>
                    </w:rPr>
                    <w:t>r</w:t>
                  </w:r>
                  <w:r>
                    <w:rPr>
                      <w:rFonts w:ascii="Arial"/>
                      <w:b/>
                      <w:i/>
                      <w:color w:val="F3F4F4"/>
                      <w:w w:val="92"/>
                      <w:sz w:val="28"/>
                    </w:rPr>
                    <w:t>n</w:t>
                  </w:r>
                  <w:proofErr w:type="spellEnd"/>
                  <w:r>
                    <w:rPr>
                      <w:rFonts w:ascii="Arial"/>
                      <w:b/>
                      <w:i/>
                      <w:color w:val="F3F4F4"/>
                      <w:spacing w:val="-21"/>
                      <w:sz w:val="28"/>
                    </w:rPr>
                    <w:t xml:space="preserve"> </w:t>
                  </w:r>
                  <w:proofErr w:type="spellStart"/>
                  <w:r>
                    <w:rPr>
                      <w:rFonts w:ascii="Arial"/>
                      <w:b/>
                      <w:i/>
                      <w:color w:val="F3F4F4"/>
                      <w:spacing w:val="-38"/>
                      <w:w w:val="95"/>
                      <w:sz w:val="28"/>
                    </w:rPr>
                    <w:t>e</w:t>
                  </w:r>
                  <w:r>
                    <w:rPr>
                      <w:rFonts w:ascii="Arial"/>
                      <w:b/>
                      <w:i/>
                      <w:color w:val="F3F4F4"/>
                      <w:w w:val="86"/>
                      <w:sz w:val="28"/>
                    </w:rPr>
                    <w:t>c</w:t>
                  </w:r>
                  <w:proofErr w:type="spellEnd"/>
                  <w:r>
                    <w:rPr>
                      <w:rFonts w:ascii="Arial"/>
                      <w:b/>
                      <w:i/>
                      <w:color w:val="F3F4F4"/>
                      <w:spacing w:val="-7"/>
                      <w:sz w:val="28"/>
                    </w:rPr>
                    <w:t xml:space="preserve"> </w:t>
                  </w:r>
                  <w:r>
                    <w:rPr>
                      <w:rFonts w:ascii="Arial"/>
                      <w:b/>
                      <w:i/>
                      <w:color w:val="F3F4F4"/>
                      <w:spacing w:val="-147"/>
                      <w:w w:val="95"/>
                      <w:sz w:val="28"/>
                    </w:rPr>
                    <w:t>m</w:t>
                  </w:r>
                  <w:r>
                    <w:rPr>
                      <w:rFonts w:ascii="Arial"/>
                      <w:b/>
                      <w:i/>
                      <w:color w:val="F3F4F4"/>
                      <w:w w:val="95"/>
                      <w:sz w:val="28"/>
                    </w:rPr>
                    <w:t>e</w:t>
                  </w:r>
                  <w:r>
                    <w:rPr>
                      <w:rFonts w:ascii="Arial"/>
                      <w:b/>
                      <w:i/>
                      <w:color w:val="F3F4F4"/>
                      <w:sz w:val="28"/>
                    </w:rPr>
                    <w:t xml:space="preserve"> </w:t>
                  </w:r>
                  <w:r>
                    <w:rPr>
                      <w:rFonts w:ascii="Arial"/>
                      <w:b/>
                      <w:i/>
                      <w:color w:val="F3F4F4"/>
                      <w:spacing w:val="10"/>
                      <w:sz w:val="28"/>
                    </w:rPr>
                    <w:t xml:space="preserve"> </w:t>
                  </w:r>
                  <w:r>
                    <w:rPr>
                      <w:rFonts w:ascii="Arial"/>
                      <w:b/>
                      <w:i/>
                      <w:color w:val="F3F4F4"/>
                      <w:w w:val="95"/>
                      <w:sz w:val="28"/>
                    </w:rPr>
                    <w:t>e</w:t>
                  </w:r>
                  <w:r>
                    <w:rPr>
                      <w:rFonts w:ascii="Arial"/>
                      <w:b/>
                      <w:i/>
                      <w:color w:val="F3F4F4"/>
                      <w:sz w:val="28"/>
                    </w:rPr>
                    <w:t xml:space="preserve"> </w:t>
                  </w:r>
                  <w:r>
                    <w:rPr>
                      <w:rFonts w:ascii="Arial"/>
                      <w:b/>
                      <w:i/>
                      <w:color w:val="F3F4F4"/>
                      <w:spacing w:val="12"/>
                      <w:sz w:val="28"/>
                    </w:rPr>
                    <w:t xml:space="preserve"> </w:t>
                  </w:r>
                  <w:r>
                    <w:rPr>
                      <w:rFonts w:ascii="Arial"/>
                      <w:b/>
                      <w:i/>
                      <w:color w:val="F3F4F4"/>
                      <w:w w:val="92"/>
                      <w:sz w:val="28"/>
                    </w:rPr>
                    <w:t>n</w:t>
                  </w:r>
                  <w:r>
                    <w:rPr>
                      <w:rFonts w:ascii="Arial"/>
                      <w:b/>
                      <w:i/>
                      <w:color w:val="F3F4F4"/>
                      <w:sz w:val="28"/>
                    </w:rPr>
                    <w:t xml:space="preserve"> </w:t>
                  </w:r>
                  <w:r>
                    <w:rPr>
                      <w:rFonts w:ascii="Arial"/>
                      <w:b/>
                      <w:i/>
                      <w:color w:val="F3F4F4"/>
                      <w:spacing w:val="12"/>
                      <w:sz w:val="28"/>
                    </w:rPr>
                    <w:t xml:space="preserve"> </w:t>
                  </w:r>
                  <w:r>
                    <w:rPr>
                      <w:rFonts w:ascii="Arial"/>
                      <w:b/>
                      <w:i/>
                      <w:color w:val="F3F4F4"/>
                      <w:w w:val="124"/>
                      <w:sz w:val="28"/>
                    </w:rPr>
                    <w:t>t</w:t>
                  </w:r>
                  <w:r>
                    <w:rPr>
                      <w:rFonts w:ascii="Arial"/>
                      <w:b/>
                      <w:i/>
                      <w:color w:val="F3F4F4"/>
                      <w:sz w:val="28"/>
                    </w:rPr>
                    <w:t xml:space="preserve"> </w:t>
                  </w:r>
                  <w:r>
                    <w:rPr>
                      <w:rFonts w:ascii="Arial"/>
                      <w:b/>
                      <w:i/>
                      <w:color w:val="F3F4F4"/>
                      <w:spacing w:val="12"/>
                      <w:sz w:val="28"/>
                    </w:rPr>
                    <w:t xml:space="preserve"> </w:t>
                  </w:r>
                  <w:r>
                    <w:rPr>
                      <w:rFonts w:ascii="Arial"/>
                      <w:b/>
                      <w:i/>
                      <w:color w:val="F3F4F4"/>
                      <w:w w:val="86"/>
                      <w:sz w:val="28"/>
                    </w:rPr>
                    <w:t>s</w:t>
                  </w:r>
                </w:p>
              </w:txbxContent>
            </v:textbox>
            <w10:wrap anchorx="page"/>
          </v:shape>
        </w:pict>
      </w:r>
      <w:r>
        <w:rPr>
          <w:color w:val="00ACA1"/>
        </w:rPr>
        <w:pict w14:anchorId="53DB5068">
          <v:shape id="docshape786" o:spid="_x0000_s3025" type="#_x0000_t202" style="position:absolute;left:0;text-align:left;margin-left:50.8pt;margin-top:11.55pt;width:51pt;height:81.4pt;z-index:-251573760;mso-position-horizontal-relative:page" filled="f" stroked="f">
            <v:textbox style="mso-next-textbox:#docshape786" inset="0,0,0,0">
              <w:txbxContent>
                <w:p w14:paraId="70BDB648" w14:textId="77777777" w:rsidR="0055291C" w:rsidRDefault="00F23C61">
                  <w:pPr>
                    <w:spacing w:line="1628" w:lineRule="exact"/>
                    <w:rPr>
                      <w:rFonts w:ascii="Arial"/>
                      <w:b/>
                      <w:i/>
                      <w:sz w:val="145"/>
                    </w:rPr>
                  </w:pPr>
                  <w:r>
                    <w:rPr>
                      <w:rFonts w:ascii="Arial"/>
                      <w:b/>
                      <w:i/>
                      <w:color w:val="00ACA1"/>
                      <w:w w:val="97"/>
                      <w:sz w:val="145"/>
                    </w:rPr>
                    <w:t>D</w:t>
                  </w:r>
                </w:p>
              </w:txbxContent>
            </v:textbox>
            <w10:wrap anchorx="page"/>
          </v:shape>
        </w:pict>
      </w:r>
      <w:r w:rsidR="0048361A" w:rsidRPr="0048361A">
        <w:rPr>
          <w:rFonts w:ascii="ＭＳ ゴシック" w:eastAsia="ＭＳ ゴシック" w:hAnsi="ＭＳ ゴシック" w:cs="ＭＳ ゴシック" w:hint="eastAsia"/>
          <w:b/>
          <w:i/>
          <w:color w:val="00ACA1"/>
          <w:sz w:val="24"/>
          <w:lang w:eastAsia="ja-JP"/>
        </w:rPr>
        <w:t>はじめに</w:t>
      </w:r>
    </w:p>
    <w:p w14:paraId="0AB8AC62" w14:textId="67D2E980" w:rsidR="0055291C" w:rsidRDefault="0048361A">
      <w:pPr>
        <w:spacing w:before="1" w:line="364" w:lineRule="auto"/>
        <w:ind w:left="1133" w:right="1074" w:firstLine="1105"/>
        <w:rPr>
          <w:rFonts w:ascii="Arial"/>
          <w:b/>
          <w:i/>
          <w:sz w:val="24"/>
          <w:lang w:eastAsia="ja-JP"/>
        </w:rPr>
      </w:pPr>
      <w:r>
        <w:rPr>
          <w:rFonts w:ascii="ＭＳ ゴシック" w:eastAsia="ＭＳ ゴシック" w:hAnsi="ＭＳ ゴシック" w:cs="ＭＳ ゴシック" w:hint="eastAsia"/>
          <w:lang w:eastAsia="ja-JP"/>
        </w:rPr>
        <w:t>製品の</w:t>
      </w:r>
      <w:r>
        <w:rPr>
          <w:lang w:eastAsia="ja-JP"/>
        </w:rPr>
        <w:t>GHG</w:t>
      </w:r>
      <w:r>
        <w:rPr>
          <w:rFonts w:ascii="ＭＳ ゴシック" w:eastAsia="ＭＳ ゴシック" w:hAnsi="ＭＳ ゴシック" w:cs="ＭＳ ゴシック" w:hint="eastAsia"/>
          <w:lang w:eastAsia="ja-JP"/>
        </w:rPr>
        <w:t>算出を実施する際、データの収集は最もリソースを割くステップになります。また、データは報告書全体の質に大きな影響を与える可能性があります。</w:t>
      </w:r>
      <w:r>
        <w:rPr>
          <w:lang w:eastAsia="ja-JP"/>
        </w:rPr>
        <w:t xml:space="preserve"> </w:t>
      </w:r>
      <w:r>
        <w:rPr>
          <w:rFonts w:ascii="ＭＳ ゴシック" w:eastAsia="ＭＳ ゴシック" w:hAnsi="ＭＳ ゴシック" w:cs="ＭＳ ゴシック" w:hint="eastAsia"/>
          <w:lang w:eastAsia="ja-JP"/>
        </w:rPr>
        <w:t>この章では、企業が算出データの収集と品質評価を成功させるための要件とガイダンスを提供します。</w:t>
      </w:r>
    </w:p>
    <w:p w14:paraId="69B9E9DD" w14:textId="77777777" w:rsidR="0055291C" w:rsidRDefault="0055291C">
      <w:pPr>
        <w:pStyle w:val="a3"/>
        <w:spacing w:before="7"/>
        <w:rPr>
          <w:rFonts w:ascii="Arial"/>
          <w:b/>
          <w:i/>
          <w:sz w:val="36"/>
          <w:lang w:eastAsia="ja-JP"/>
        </w:rPr>
      </w:pPr>
    </w:p>
    <w:p w14:paraId="1C4DC151" w14:textId="0D154982" w:rsidR="0055291C" w:rsidRDefault="0048361A">
      <w:pPr>
        <w:pStyle w:val="a5"/>
        <w:numPr>
          <w:ilvl w:val="1"/>
          <w:numId w:val="47"/>
        </w:numPr>
        <w:tabs>
          <w:tab w:val="left" w:pos="1853"/>
          <w:tab w:val="left" w:pos="1854"/>
        </w:tabs>
        <w:ind w:hanging="721"/>
        <w:rPr>
          <w:rFonts w:ascii="Arial"/>
          <w:b/>
          <w:i/>
          <w:sz w:val="24"/>
        </w:rPr>
      </w:pPr>
      <w:r>
        <w:rPr>
          <w:rFonts w:ascii="ＭＳ ゴシック" w:eastAsia="ＭＳ ゴシック" w:hAnsi="ＭＳ ゴシック" w:cs="ＭＳ ゴシック" w:hint="eastAsia"/>
          <w:b/>
          <w:i/>
          <w:color w:val="00ACA1"/>
          <w:sz w:val="24"/>
          <w:lang w:eastAsia="ja-JP"/>
        </w:rPr>
        <w:t>要求事項</w:t>
      </w:r>
    </w:p>
    <w:p w14:paraId="6DFE07D4" w14:textId="73DA30D0" w:rsidR="0055291C" w:rsidRDefault="0055291C">
      <w:pPr>
        <w:pStyle w:val="a3"/>
        <w:spacing w:before="2"/>
        <w:rPr>
          <w:rFonts w:ascii="Arial"/>
          <w:b/>
          <w:i/>
          <w:sz w:val="20"/>
        </w:rPr>
      </w:pPr>
    </w:p>
    <w:p w14:paraId="457F5430" w14:textId="5DF1C730" w:rsidR="0055291C" w:rsidRDefault="0048361A">
      <w:pPr>
        <w:pStyle w:val="a3"/>
        <w:spacing w:before="102" w:line="312" w:lineRule="auto"/>
        <w:ind w:left="6288" w:right="1174"/>
        <w:rPr>
          <w:lang w:eastAsia="ja-JP"/>
        </w:rPr>
      </w:pPr>
      <w:r w:rsidRPr="00BA0839">
        <w:rPr>
          <w:noProof/>
        </w:rPr>
        <mc:AlternateContent>
          <mc:Choice Requires="wps">
            <w:drawing>
              <wp:anchor distT="0" distB="0" distL="114300" distR="114300" simplePos="0" relativeHeight="251475456" behindDoc="0" locked="0" layoutInCell="1" allowOverlap="1" wp14:anchorId="4F495686" wp14:editId="3A388ECB">
                <wp:simplePos x="0" y="0"/>
                <wp:positionH relativeFrom="column">
                  <wp:posOffset>632460</wp:posOffset>
                </wp:positionH>
                <wp:positionV relativeFrom="paragraph">
                  <wp:posOffset>106045</wp:posOffset>
                </wp:positionV>
                <wp:extent cx="3168650" cy="928370"/>
                <wp:effectExtent l="0" t="0" r="0" b="5080"/>
                <wp:wrapSquare wrapText="bothSides"/>
                <wp:docPr id="88" name="四角形: 角を丸くする 88"/>
                <wp:cNvGraphicFramePr/>
                <a:graphic xmlns:a="http://schemas.openxmlformats.org/drawingml/2006/main">
                  <a:graphicData uri="http://schemas.microsoft.com/office/word/2010/wordprocessingShape">
                    <wps:wsp>
                      <wps:cNvSpPr/>
                      <wps:spPr>
                        <a:xfrm>
                          <a:off x="0" y="0"/>
                          <a:ext cx="3168650" cy="928370"/>
                        </a:xfrm>
                        <a:prstGeom prst="roundRect">
                          <a:avLst/>
                        </a:prstGeom>
                        <a:solidFill>
                          <a:srgbClr val="70029C">
                            <a:alpha val="25098"/>
                          </a:srgbClr>
                        </a:solidFill>
                        <a:ln w="25400" cap="flat" cmpd="sng" algn="ctr">
                          <a:noFill/>
                          <a:prstDash val="solid"/>
                        </a:ln>
                        <a:effectLst/>
                      </wps:spPr>
                      <wps:txbx>
                        <w:txbxContent>
                          <w:p w14:paraId="48E04AFC" w14:textId="77777777" w:rsidR="0048361A" w:rsidRPr="00AF2AC9" w:rsidRDefault="0048361A" w:rsidP="0048361A">
                            <w:pPr>
                              <w:widowControl/>
                              <w:autoSpaceDE/>
                              <w:autoSpaceDN/>
                              <w:jc w:val="both"/>
                              <w:rPr>
                                <w:rFonts w:asciiTheme="minorEastAsia" w:hAnsiTheme="minorEastAsia"/>
                                <w:b/>
                                <w:bCs/>
                                <w:i/>
                                <w:iCs/>
                                <w:color w:val="000000" w:themeColor="text1"/>
                                <w:sz w:val="19"/>
                                <w:szCs w:val="19"/>
                                <w:lang w:eastAsia="ja-JP"/>
                              </w:rPr>
                            </w:pPr>
                            <w:r w:rsidRPr="00AF2AC9">
                              <w:rPr>
                                <w:rFonts w:ascii="ＭＳ ゴシック" w:eastAsia="ＭＳ ゴシック" w:hAnsi="ＭＳ ゴシック" w:cs="ＭＳ ゴシック" w:hint="eastAsia"/>
                                <w:b/>
                                <w:bCs/>
                                <w:i/>
                                <w:iCs/>
                                <w:color w:val="000000" w:themeColor="text1"/>
                                <w:sz w:val="19"/>
                                <w:szCs w:val="19"/>
                                <w:lang w:eastAsia="ja-JP"/>
                              </w:rPr>
                              <w:t>企業は、報告書の算定範囲に含まれるすべての工程のデータを収集しなくてはならない。</w:t>
                            </w:r>
                          </w:p>
                          <w:p w14:paraId="2AF3B339" w14:textId="32092978" w:rsidR="0048361A" w:rsidRPr="00AF2AC9" w:rsidRDefault="0048361A" w:rsidP="0048361A">
                            <w:pPr>
                              <w:widowControl/>
                              <w:autoSpaceDE/>
                              <w:autoSpaceDN/>
                              <w:jc w:val="both"/>
                              <w:rPr>
                                <w:rFonts w:asciiTheme="minorEastAsia" w:hAnsiTheme="minorEastAsia"/>
                                <w:b/>
                                <w:bCs/>
                                <w:i/>
                                <w:iCs/>
                                <w:color w:val="000000" w:themeColor="text1"/>
                                <w:sz w:val="19"/>
                                <w:szCs w:val="19"/>
                                <w:lang w:eastAsia="ja-JP"/>
                              </w:rPr>
                            </w:pPr>
                            <w:r w:rsidRPr="00AF2AC9">
                              <w:rPr>
                                <w:rFonts w:ascii="ＭＳ ゴシック" w:eastAsia="ＭＳ ゴシック" w:hAnsi="ＭＳ ゴシック" w:cs="ＭＳ ゴシック" w:hint="eastAsia"/>
                                <w:b/>
                                <w:bCs/>
                                <w:i/>
                                <w:iCs/>
                                <w:color w:val="000000" w:themeColor="text1"/>
                                <w:sz w:val="19"/>
                                <w:szCs w:val="19"/>
                                <w:lang w:eastAsia="ja-JP"/>
                              </w:rPr>
                              <w:t>企業は、自社の所有または管理下にあるすべての工程の一次データを収集しなければならない。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495686" id="四角形: 角を丸くする 88" o:spid="_x0000_s1068" style="position:absolute;left:0;text-align:left;margin-left:49.8pt;margin-top:8.35pt;width:249.5pt;height:73.1pt;z-index:2514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" fillcolor="#70029c" stroked="f" strokeweight="2pt">
                <v:fill opacity="16448f"/>
                <v:textbox>
                  <w:txbxContent>
                    <w:p w14:paraId="48E04AFC" w14:textId="77777777" w:rsidR="0048361A" w:rsidRPr="00AF2AC9" w:rsidRDefault="0048361A" w:rsidP="0048361A">
                      <w:pPr>
                        <w:widowControl/>
                        <w:autoSpaceDE/>
                        <w:autoSpaceDN/>
                        <w:jc w:val="both"/>
                        <w:rPr>
                          <w:rFonts w:asciiTheme="minorEastAsia" w:hAnsiTheme="minorEastAsia"/>
                          <w:b/>
                          <w:bCs/>
                          <w:i/>
                          <w:iCs/>
                          <w:color w:val="000000" w:themeColor="text1"/>
                          <w:sz w:val="19"/>
                          <w:szCs w:val="19"/>
                          <w:lang w:eastAsia="ja-JP"/>
                        </w:rPr>
                      </w:pPr>
                      <w:r w:rsidRPr="00AF2AC9">
                        <w:rPr>
                          <w:rFonts w:ascii="ＭＳ ゴシック" w:eastAsia="ＭＳ ゴシック" w:hAnsi="ＭＳ ゴシック" w:cs="ＭＳ ゴシック" w:hint="eastAsia"/>
                          <w:b/>
                          <w:bCs/>
                          <w:i/>
                          <w:iCs/>
                          <w:color w:val="000000" w:themeColor="text1"/>
                          <w:sz w:val="19"/>
                          <w:szCs w:val="19"/>
                          <w:lang w:eastAsia="ja-JP"/>
                        </w:rPr>
                        <w:t>企業は、報告書の算定範囲に含まれるすべての工程のデータを収集しなくてはならない。</w:t>
                      </w:r>
                    </w:p>
                    <w:p w14:paraId="2AF3B339" w14:textId="32092978" w:rsidR="0048361A" w:rsidRPr="00AF2AC9" w:rsidRDefault="0048361A" w:rsidP="0048361A">
                      <w:pPr>
                        <w:widowControl/>
                        <w:autoSpaceDE/>
                        <w:autoSpaceDN/>
                        <w:jc w:val="both"/>
                        <w:rPr>
                          <w:rFonts w:asciiTheme="minorEastAsia" w:hAnsiTheme="minorEastAsia"/>
                          <w:b/>
                          <w:bCs/>
                          <w:i/>
                          <w:iCs/>
                          <w:color w:val="000000" w:themeColor="text1"/>
                          <w:sz w:val="19"/>
                          <w:szCs w:val="19"/>
                          <w:lang w:eastAsia="ja-JP"/>
                        </w:rPr>
                      </w:pPr>
                      <w:r w:rsidRPr="00AF2AC9">
                        <w:rPr>
                          <w:rFonts w:ascii="ＭＳ ゴシック" w:eastAsia="ＭＳ ゴシック" w:hAnsi="ＭＳ ゴシック" w:cs="ＭＳ ゴシック" w:hint="eastAsia"/>
                          <w:b/>
                          <w:bCs/>
                          <w:i/>
                          <w:iCs/>
                          <w:color w:val="000000" w:themeColor="text1"/>
                          <w:sz w:val="19"/>
                          <w:szCs w:val="19"/>
                          <w:lang w:eastAsia="ja-JP"/>
                        </w:rPr>
                        <w:t>企業は、自社の所有または管理下にあるすべての工程の一次データを収集しなければならない。</w:t>
                      </w:r>
                    </w:p>
                  </w:txbxContent>
                </v:textbox>
                <w10:wrap type="square"/>
              </v:roundrect>
            </w:pict>
          </mc:Fallback>
        </mc:AlternateContent>
      </w:r>
      <w:r w:rsidR="00687265">
        <w:rPr>
          <w:rFonts w:ascii="ＭＳ ゴシック" w:eastAsia="ＭＳ ゴシック" w:hAnsi="ＭＳ ゴシック" w:cs="ＭＳ ゴシック" w:hint="eastAsia"/>
          <w:lang w:eastAsia="ja-JP"/>
        </w:rPr>
        <w:t>割当されたデータは、他の一次データの要件を満た</w:t>
      </w:r>
      <w:r w:rsidR="00687265">
        <w:rPr>
          <w:lang w:eastAsia="ja-JP"/>
        </w:rPr>
        <w:t xml:space="preserve"> </w:t>
      </w:r>
      <w:r w:rsidR="00687265">
        <w:rPr>
          <w:rFonts w:ascii="ＭＳ ゴシック" w:eastAsia="ＭＳ ゴシック" w:hAnsi="ＭＳ ゴシック" w:cs="ＭＳ ゴシック" w:hint="eastAsia"/>
          <w:lang w:eastAsia="ja-JP"/>
        </w:rPr>
        <w:t>している限り、一次データとみなされます。</w:t>
      </w:r>
    </w:p>
    <w:p w14:paraId="40CD9F29" w14:textId="5A0CB25C" w:rsidR="0055291C" w:rsidRDefault="0055291C">
      <w:pPr>
        <w:pStyle w:val="a3"/>
        <w:rPr>
          <w:sz w:val="20"/>
          <w:lang w:eastAsia="ja-JP"/>
        </w:rPr>
      </w:pPr>
    </w:p>
    <w:p w14:paraId="2B5FCD0D" w14:textId="1F735993" w:rsidR="0055291C" w:rsidRDefault="00687265">
      <w:pPr>
        <w:pStyle w:val="a3"/>
        <w:rPr>
          <w:sz w:val="20"/>
          <w:lang w:eastAsia="ja-JP"/>
        </w:rPr>
      </w:pPr>
      <w:r w:rsidRPr="00BA0839">
        <w:rPr>
          <w:noProof/>
        </w:rPr>
        <mc:AlternateContent>
          <mc:Choice Requires="wps">
            <w:drawing>
              <wp:anchor distT="0" distB="0" distL="114300" distR="114300" simplePos="0" relativeHeight="251476480" behindDoc="0" locked="0" layoutInCell="1" allowOverlap="1" wp14:anchorId="5197C3B7" wp14:editId="26CAC6E8">
                <wp:simplePos x="0" y="0"/>
                <wp:positionH relativeFrom="column">
                  <wp:posOffset>4044315</wp:posOffset>
                </wp:positionH>
                <wp:positionV relativeFrom="paragraph">
                  <wp:posOffset>46355</wp:posOffset>
                </wp:positionV>
                <wp:extent cx="3168650" cy="752475"/>
                <wp:effectExtent l="0" t="0" r="0" b="9525"/>
                <wp:wrapSquare wrapText="bothSides"/>
                <wp:docPr id="92" name="四角形: 角を丸くする 92"/>
                <wp:cNvGraphicFramePr/>
                <a:graphic xmlns:a="http://schemas.openxmlformats.org/drawingml/2006/main">
                  <a:graphicData uri="http://schemas.microsoft.com/office/word/2010/wordprocessingShape">
                    <wps:wsp>
                      <wps:cNvSpPr/>
                      <wps:spPr>
                        <a:xfrm>
                          <a:off x="0" y="0"/>
                          <a:ext cx="3168650" cy="752475"/>
                        </a:xfrm>
                        <a:prstGeom prst="roundRect">
                          <a:avLst/>
                        </a:prstGeom>
                        <a:solidFill>
                          <a:srgbClr val="70029C">
                            <a:alpha val="25098"/>
                          </a:srgbClr>
                        </a:solidFill>
                        <a:ln w="25400" cap="flat" cmpd="sng" algn="ctr">
                          <a:noFill/>
                          <a:prstDash val="solid"/>
                        </a:ln>
                        <a:effectLst/>
                      </wps:spPr>
                      <wps:txbx>
                        <w:txbxContent>
                          <w:p w14:paraId="4301A7B5" w14:textId="6D3953E5" w:rsidR="00687265" w:rsidRPr="00687265" w:rsidRDefault="00687265" w:rsidP="00687265">
                            <w:pPr>
                              <w:widowControl/>
                              <w:autoSpaceDE/>
                              <w:autoSpaceDN/>
                              <w:jc w:val="both"/>
                              <w:rPr>
                                <w:rFonts w:asciiTheme="minorEastAsia" w:hAnsiTheme="minorEastAsia"/>
                                <w:b/>
                                <w:bCs/>
                                <w:i/>
                                <w:iCs/>
                                <w:color w:val="000000" w:themeColor="text1"/>
                                <w:sz w:val="19"/>
                                <w:szCs w:val="19"/>
                                <w:lang w:eastAsia="ja-JP"/>
                              </w:rPr>
                            </w:pPr>
                            <w:r w:rsidRPr="00687265">
                              <w:rPr>
                                <w:rFonts w:ascii="ＭＳ ゴシック" w:eastAsia="ＭＳ ゴシック" w:hAnsi="ＭＳ ゴシック" w:cs="ＭＳ ゴシック" w:hint="eastAsia"/>
                                <w:b/>
                                <w:bCs/>
                                <w:i/>
                                <w:iCs/>
                                <w:color w:val="000000" w:themeColor="text1"/>
                                <w:sz w:val="19"/>
                                <w:szCs w:val="19"/>
                                <w:lang w:eastAsia="ja-JP"/>
                              </w:rPr>
                              <w:t>データ収集の過程で企業は、活動データ、排出係数、直接排出データの品質を、データ品質指標を用いて評価しなくてはならない。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97C3B7" id="四角形: 角を丸くする 92" o:spid="_x0000_s1069" style="position:absolute;margin-left:318.45pt;margin-top:3.65pt;width:249.5pt;height:59.25pt;z-index:2514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" fillcolor="#70029c" stroked="f" strokeweight="2pt">
                <v:fill opacity="16448f"/>
                <v:textbox>
                  <w:txbxContent>
                    <w:p w14:paraId="4301A7B5" w14:textId="6D3953E5" w:rsidR="00687265" w:rsidRPr="00687265" w:rsidRDefault="00687265" w:rsidP="00687265">
                      <w:pPr>
                        <w:widowControl/>
                        <w:autoSpaceDE/>
                        <w:autoSpaceDN/>
                        <w:jc w:val="both"/>
                        <w:rPr>
                          <w:rFonts w:asciiTheme="minorEastAsia" w:hAnsiTheme="minorEastAsia"/>
                          <w:b/>
                          <w:bCs/>
                          <w:i/>
                          <w:iCs/>
                          <w:color w:val="000000" w:themeColor="text1"/>
                          <w:sz w:val="19"/>
                          <w:szCs w:val="19"/>
                          <w:lang w:eastAsia="ja-JP"/>
                        </w:rPr>
                      </w:pPr>
                      <w:r w:rsidRPr="00687265">
                        <w:rPr>
                          <w:rFonts w:ascii="ＭＳ ゴシック" w:eastAsia="ＭＳ ゴシック" w:hAnsi="ＭＳ ゴシック" w:cs="ＭＳ ゴシック" w:hint="eastAsia"/>
                          <w:b/>
                          <w:bCs/>
                          <w:i/>
                          <w:iCs/>
                          <w:color w:val="000000" w:themeColor="text1"/>
                          <w:sz w:val="19"/>
                          <w:szCs w:val="19"/>
                          <w:lang w:eastAsia="ja-JP"/>
                        </w:rPr>
                        <w:t>データ収集の過程で企業は、活動データ、排出係数、直接排出データの品質を、データ品質指標を用いて評価しなくてはならない。</w:t>
                      </w:r>
                    </w:p>
                  </w:txbxContent>
                </v:textbox>
                <w10:wrap type="square"/>
              </v:roundrect>
            </w:pict>
          </mc:Fallback>
        </mc:AlternateContent>
      </w:r>
    </w:p>
    <w:p w14:paraId="154A2772" w14:textId="3EE93C15" w:rsidR="0055291C" w:rsidRDefault="0055291C">
      <w:pPr>
        <w:pStyle w:val="a3"/>
        <w:rPr>
          <w:sz w:val="20"/>
          <w:lang w:eastAsia="ja-JP"/>
        </w:rPr>
      </w:pPr>
    </w:p>
    <w:p w14:paraId="58D7EAF9" w14:textId="77777777" w:rsidR="0055291C" w:rsidRDefault="0055291C">
      <w:pPr>
        <w:pStyle w:val="a3"/>
        <w:rPr>
          <w:sz w:val="20"/>
          <w:lang w:eastAsia="ja-JP"/>
        </w:rPr>
      </w:pPr>
    </w:p>
    <w:p w14:paraId="6E5E32E3" w14:textId="77777777" w:rsidR="0055291C" w:rsidRDefault="0055291C">
      <w:pPr>
        <w:pStyle w:val="a3"/>
        <w:spacing w:before="4"/>
        <w:rPr>
          <w:sz w:val="22"/>
          <w:lang w:eastAsia="ja-JP"/>
        </w:rPr>
      </w:pPr>
    </w:p>
    <w:p w14:paraId="2ED325E7" w14:textId="77777777" w:rsidR="0055291C" w:rsidRDefault="0055291C">
      <w:pPr>
        <w:rPr>
          <w:lang w:eastAsia="ja-JP"/>
        </w:rPr>
        <w:sectPr w:rsidR="0055291C">
          <w:headerReference w:type="default" r:id="rId176"/>
          <w:footerReference w:type="even" r:id="rId177"/>
          <w:footerReference w:type="default" r:id="rId178"/>
          <w:pgSz w:w="12240" w:h="15840"/>
          <w:pgMar w:top="0" w:right="0" w:bottom="1040" w:left="0" w:header="0" w:footer="859" w:gutter="0"/>
          <w:pgNumType w:start="47"/>
          <w:cols w:space="720"/>
        </w:sectPr>
      </w:pPr>
    </w:p>
    <w:p w14:paraId="125FE927" w14:textId="4D530B66" w:rsidR="0055291C" w:rsidRDefault="00687265" w:rsidP="00687265">
      <w:pPr>
        <w:ind w:leftChars="386" w:left="849" w:firstLineChars="100" w:firstLine="190"/>
        <w:rPr>
          <w:sz w:val="20"/>
          <w:lang w:eastAsia="ja-JP"/>
        </w:rPr>
      </w:pPr>
      <w:r w:rsidRPr="00687265">
        <w:rPr>
          <w:rFonts w:ascii="ＭＳ ゴシック" w:eastAsia="ＭＳ ゴシック" w:hAnsi="ＭＳ ゴシック" w:cs="ＭＳ ゴシック" w:hint="eastAsia"/>
          <w:color w:val="545456"/>
          <w:sz w:val="19"/>
          <w:szCs w:val="19"/>
          <w:lang w:eastAsia="ja-JP"/>
        </w:rPr>
        <w:t>一次データとは、調査対象製品のライフサイクルにおける特定の工程から収集されたデータのことです。一次データは、工程活動データ（</w:t>
      </w:r>
      <w:r w:rsidRPr="00687265">
        <w:rPr>
          <w:color w:val="545456"/>
          <w:sz w:val="19"/>
          <w:szCs w:val="19"/>
          <w:lang w:eastAsia="ja-JP"/>
        </w:rPr>
        <w:t>GHG</w:t>
      </w:r>
      <w:r w:rsidRPr="00687265">
        <w:rPr>
          <w:rFonts w:ascii="ＭＳ ゴシック" w:eastAsia="ＭＳ ゴシック" w:hAnsi="ＭＳ ゴシック" w:cs="ＭＳ ゴシック" w:hint="eastAsia"/>
          <w:color w:val="545456"/>
          <w:sz w:val="19"/>
          <w:szCs w:val="19"/>
          <w:lang w:eastAsia="ja-JP"/>
        </w:rPr>
        <w:t>排出または除去をもたらす工程の物理的尺度）、特定のサイトからの直接排出データ（直接モニタリング、化学量論、マスバランス、</w:t>
      </w:r>
      <w:r w:rsidRPr="00687265">
        <w:rPr>
          <w:color w:val="545456"/>
          <w:sz w:val="19"/>
          <w:szCs w:val="19"/>
          <w:lang w:eastAsia="ja-JP"/>
        </w:rPr>
        <w:t xml:space="preserve"> </w:t>
      </w:r>
      <w:r w:rsidRPr="00687265">
        <w:rPr>
          <w:rFonts w:ascii="ＭＳ ゴシック" w:eastAsia="ＭＳ ゴシック" w:hAnsi="ＭＳ ゴシック" w:cs="ＭＳ ゴシック" w:hint="eastAsia"/>
          <w:color w:val="545456"/>
          <w:sz w:val="19"/>
          <w:szCs w:val="19"/>
          <w:lang w:eastAsia="ja-JP"/>
        </w:rPr>
        <w:t>または同様の方法によって決定）、あるいは特定の工程を含む全てのサイトにわたって平均化されたデータである場合があります。製品のライフサイクル内のプロセスに特化した結果であれば、一次データは測定またはモデル化することができます。ここで重要なことは、調査対象製品の基準流量（完成品の質量など）をプロセスデータとして使用することは、一次データとはみなされないということです。</w:t>
      </w:r>
      <w:r w:rsidR="00F23C61">
        <w:rPr>
          <w:lang w:eastAsia="ja-JP"/>
        </w:rPr>
        <w:br w:type="column"/>
      </w:r>
    </w:p>
    <w:p w14:paraId="04802748" w14:textId="77777777" w:rsidR="0055291C" w:rsidRDefault="0055291C">
      <w:pPr>
        <w:pStyle w:val="a3"/>
        <w:rPr>
          <w:sz w:val="20"/>
          <w:lang w:eastAsia="ja-JP"/>
        </w:rPr>
      </w:pPr>
    </w:p>
    <w:p w14:paraId="436FABC7" w14:textId="77777777" w:rsidR="0055291C" w:rsidRDefault="0055291C">
      <w:pPr>
        <w:pStyle w:val="a3"/>
        <w:rPr>
          <w:sz w:val="20"/>
          <w:lang w:eastAsia="ja-JP"/>
        </w:rPr>
      </w:pPr>
    </w:p>
    <w:p w14:paraId="2E1DDB18" w14:textId="77777777" w:rsidR="0055291C" w:rsidRDefault="0055291C">
      <w:pPr>
        <w:pStyle w:val="a3"/>
        <w:spacing w:before="3"/>
        <w:rPr>
          <w:sz w:val="23"/>
          <w:lang w:eastAsia="ja-JP"/>
        </w:rPr>
      </w:pPr>
    </w:p>
    <w:p w14:paraId="4A6AED7A" w14:textId="5D058066" w:rsidR="0055291C" w:rsidRDefault="00687265" w:rsidP="00B427F9">
      <w:pPr>
        <w:pStyle w:val="a3"/>
        <w:spacing w:line="312" w:lineRule="auto"/>
        <w:ind w:left="315" w:right="1191" w:firstLineChars="100" w:firstLine="190"/>
        <w:rPr>
          <w:lang w:eastAsia="ja-JP"/>
        </w:rPr>
      </w:pPr>
      <w:r>
        <w:rPr>
          <w:rFonts w:ascii="ＭＳ ゴシック" w:eastAsia="ＭＳ ゴシック" w:hAnsi="ＭＳ ゴシック" w:cs="ＭＳ ゴシック" w:hint="eastAsia"/>
          <w:lang w:eastAsia="ja-JP"/>
        </w:rPr>
        <w:t>活動データとは、</w:t>
      </w:r>
      <w:r>
        <w:rPr>
          <w:lang w:eastAsia="ja-JP"/>
        </w:rPr>
        <w:t>GHG</w:t>
      </w:r>
      <w:r>
        <w:rPr>
          <w:rFonts w:ascii="ＭＳ ゴシック" w:eastAsia="ＭＳ ゴシック" w:hAnsi="ＭＳ ゴシック" w:cs="ＭＳ ゴシック" w:hint="eastAsia"/>
          <w:lang w:eastAsia="ja-JP"/>
        </w:rPr>
        <w:t>の排出または除去をもたらす活動のレベルを定量的に測定したものです。排出係数は、活動データ単位あたりの</w:t>
      </w:r>
      <w:r>
        <w:rPr>
          <w:lang w:eastAsia="ja-JP"/>
        </w:rPr>
        <w:t>GHG</w:t>
      </w:r>
      <w:r>
        <w:rPr>
          <w:rFonts w:ascii="ＭＳ ゴシック" w:eastAsia="ＭＳ ゴシック" w:hAnsi="ＭＳ ゴシック" w:cs="ＭＳ ゴシック" w:hint="eastAsia"/>
          <w:lang w:eastAsia="ja-JP"/>
        </w:rPr>
        <w:t>排出量です。直接排出データは、直接モニタリング、化学量論、マスバランス、あるいは類似の方法によって決定された、工程から排出される（あるいは大気から吸収される除去）データで</w:t>
      </w:r>
      <w:r w:rsidR="00B427F9">
        <w:rPr>
          <w:rFonts w:ascii="ＭＳ ゴシック" w:eastAsia="ＭＳ ゴシック" w:hAnsi="ＭＳ ゴシック" w:cs="ＭＳ ゴシック" w:hint="eastAsia"/>
          <w:lang w:eastAsia="ja-JP"/>
        </w:rPr>
        <w:t>す</w:t>
      </w:r>
      <w:r>
        <w:rPr>
          <w:rFonts w:ascii="ＭＳ ゴシック" w:eastAsia="ＭＳ ゴシック" w:hAnsi="ＭＳ ゴシック" w:cs="ＭＳ ゴシック" w:hint="eastAsia"/>
          <w:lang w:eastAsia="ja-JP"/>
        </w:rPr>
        <w:t>（データの種類の詳細については</w:t>
      </w:r>
      <w:r>
        <w:rPr>
          <w:lang w:eastAsia="ja-JP"/>
        </w:rPr>
        <w:t>8.3.4</w:t>
      </w:r>
      <w:r>
        <w:rPr>
          <w:rFonts w:ascii="ＭＳ ゴシック" w:eastAsia="ＭＳ ゴシック" w:hAnsi="ＭＳ ゴシック" w:cs="ＭＳ ゴシック" w:hint="eastAsia"/>
          <w:lang w:eastAsia="ja-JP"/>
        </w:rPr>
        <w:t>を参照</w:t>
      </w:r>
      <w:r w:rsidR="00B427F9">
        <w:rPr>
          <w:rFonts w:ascii="ＭＳ ゴシック" w:eastAsia="ＭＳ ゴシック" w:hAnsi="ＭＳ ゴシック" w:cs="ＭＳ ゴシック" w:hint="eastAsia"/>
          <w:lang w:eastAsia="ja-JP"/>
        </w:rPr>
        <w:t>してください</w:t>
      </w:r>
      <w:r>
        <w:rPr>
          <w:rFonts w:ascii="ＭＳ ゴシック" w:eastAsia="ＭＳ ゴシック" w:hAnsi="ＭＳ ゴシック" w:cs="ＭＳ ゴシック" w:hint="eastAsia"/>
          <w:lang w:eastAsia="ja-JP"/>
        </w:rPr>
        <w:t>）</w:t>
      </w:r>
      <w:r w:rsidR="00B427F9">
        <w:rPr>
          <w:rFonts w:ascii="ＭＳ ゴシック" w:eastAsia="ＭＳ ゴシック" w:hAnsi="ＭＳ ゴシック" w:cs="ＭＳ ゴシック" w:hint="eastAsia"/>
          <w:color w:val="545456"/>
          <w:lang w:eastAsia="ja-JP"/>
        </w:rPr>
        <w:t>。</w:t>
      </w:r>
    </w:p>
    <w:p w14:paraId="03253F49"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933" w:space="40"/>
            <w:col w:w="6267"/>
          </w:cols>
        </w:sectPr>
      </w:pPr>
    </w:p>
    <w:p w14:paraId="46F97E74" w14:textId="20A18FD8" w:rsidR="0055291C" w:rsidRDefault="00000000">
      <w:pPr>
        <w:pStyle w:val="a3"/>
        <w:rPr>
          <w:sz w:val="20"/>
        </w:rPr>
      </w:pPr>
      <w:r>
        <w:rPr>
          <w:sz w:val="20"/>
        </w:rPr>
      </w:r>
      <w:r>
        <w:rPr>
          <w:sz w:val="20"/>
        </w:rPr>
        <w:pict w14:anchorId="1685D700">
          <v:group id="docshapegroup793" o:spid="_x0000_s3016" style="width:297pt;height:31.8pt;mso-position-horizontal-relative:char;mso-position-vertical-relative:line" coordsize="5940,636">
            <v:shape id="docshape794" o:spid="_x0000_s3018" style="position:absolute;width:5940;height:636" coordsize="5940,636" path="m5940,l,,,635r5713,l5844,632r68,-25l5936,539r4,-131l5940,xe" fillcolor="#7f3f98" stroked="f">
              <v:path arrowok="t"/>
            </v:shape>
            <v:shape id="docshape795" o:spid="_x0000_s3017" type="#_x0000_t202" style="position:absolute;width:5940;height:636" filled="f" stroked="f">
              <v:textbox style="mso-next-textbox:#docshape795" inset="0,0,0,0">
                <w:txbxContent>
                  <w:p w14:paraId="7821FC17" w14:textId="77777777" w:rsidR="0055291C" w:rsidRDefault="00F23C61">
                    <w:pPr>
                      <w:spacing w:before="219"/>
                      <w:ind w:left="1133"/>
                      <w:rPr>
                        <w:rFonts w:ascii="Arial"/>
                        <w:b/>
                        <w:i/>
                        <w:sz w:val="28"/>
                      </w:rPr>
                    </w:pPr>
                    <w:r>
                      <w:rPr>
                        <w:rFonts w:ascii="Arial"/>
                        <w:b/>
                        <w:i/>
                        <w:color w:val="F3F4F4"/>
                        <w:sz w:val="28"/>
                      </w:rPr>
                      <w:t>r</w:t>
                    </w:r>
                    <w:r>
                      <w:rPr>
                        <w:rFonts w:ascii="Arial"/>
                        <w:b/>
                        <w:i/>
                        <w:color w:val="F3F4F4"/>
                        <w:spacing w:val="3"/>
                        <w:sz w:val="28"/>
                      </w:rPr>
                      <w:t xml:space="preserve"> </w:t>
                    </w:r>
                    <w:r>
                      <w:rPr>
                        <w:rFonts w:ascii="Arial"/>
                        <w:b/>
                        <w:i/>
                        <w:color w:val="F3F4F4"/>
                        <w:sz w:val="28"/>
                      </w:rPr>
                      <w:t>e</w:t>
                    </w:r>
                    <w:r>
                      <w:rPr>
                        <w:rFonts w:ascii="Arial"/>
                        <w:b/>
                        <w:i/>
                        <w:color w:val="F3F4F4"/>
                        <w:spacing w:val="9"/>
                        <w:sz w:val="28"/>
                      </w:rPr>
                      <w:t xml:space="preserve"> </w:t>
                    </w:r>
                    <w:r>
                      <w:rPr>
                        <w:rFonts w:ascii="Arial"/>
                        <w:b/>
                        <w:i/>
                        <w:color w:val="F3F4F4"/>
                        <w:sz w:val="28"/>
                      </w:rPr>
                      <w:t>q</w:t>
                    </w:r>
                    <w:r>
                      <w:rPr>
                        <w:rFonts w:ascii="Arial"/>
                        <w:b/>
                        <w:i/>
                        <w:color w:val="F3F4F4"/>
                        <w:spacing w:val="86"/>
                        <w:sz w:val="28"/>
                      </w:rPr>
                      <w:t xml:space="preserve"> </w:t>
                    </w:r>
                    <w:r>
                      <w:rPr>
                        <w:rFonts w:ascii="Arial"/>
                        <w:b/>
                        <w:i/>
                        <w:color w:val="F3F4F4"/>
                        <w:sz w:val="28"/>
                      </w:rPr>
                      <w:t>u</w:t>
                    </w:r>
                    <w:r>
                      <w:rPr>
                        <w:rFonts w:ascii="Arial"/>
                        <w:b/>
                        <w:i/>
                        <w:color w:val="F3F4F4"/>
                        <w:spacing w:val="87"/>
                        <w:sz w:val="28"/>
                      </w:rPr>
                      <w:t xml:space="preserve"> </w:t>
                    </w:r>
                    <w:proofErr w:type="spellStart"/>
                    <w:r>
                      <w:rPr>
                        <w:rFonts w:ascii="Arial"/>
                        <w:b/>
                        <w:i/>
                        <w:color w:val="F3F4F4"/>
                        <w:sz w:val="28"/>
                      </w:rPr>
                      <w:t>i</w:t>
                    </w:r>
                    <w:proofErr w:type="spellEnd"/>
                    <w:r>
                      <w:rPr>
                        <w:rFonts w:ascii="Arial"/>
                        <w:b/>
                        <w:i/>
                        <w:color w:val="F3F4F4"/>
                        <w:spacing w:val="86"/>
                        <w:sz w:val="28"/>
                      </w:rPr>
                      <w:t xml:space="preserve"> </w:t>
                    </w:r>
                    <w:r>
                      <w:rPr>
                        <w:rFonts w:ascii="Arial"/>
                        <w:b/>
                        <w:i/>
                        <w:color w:val="F3F4F4"/>
                        <w:sz w:val="28"/>
                      </w:rPr>
                      <w:t>r</w:t>
                    </w:r>
                    <w:r>
                      <w:rPr>
                        <w:rFonts w:ascii="Arial"/>
                        <w:b/>
                        <w:i/>
                        <w:color w:val="F3F4F4"/>
                        <w:spacing w:val="80"/>
                        <w:sz w:val="28"/>
                      </w:rPr>
                      <w:t xml:space="preserve"> </w:t>
                    </w:r>
                    <w:r>
                      <w:rPr>
                        <w:rFonts w:ascii="Arial"/>
                        <w:b/>
                        <w:i/>
                        <w:color w:val="F3F4F4"/>
                        <w:sz w:val="28"/>
                      </w:rPr>
                      <w:t>e</w:t>
                    </w:r>
                    <w:r>
                      <w:rPr>
                        <w:rFonts w:ascii="Arial"/>
                        <w:b/>
                        <w:i/>
                        <w:color w:val="F3F4F4"/>
                        <w:spacing w:val="87"/>
                        <w:sz w:val="28"/>
                      </w:rPr>
                      <w:t xml:space="preserve"> </w:t>
                    </w:r>
                    <w:r>
                      <w:rPr>
                        <w:rFonts w:ascii="Arial"/>
                        <w:b/>
                        <w:i/>
                        <w:color w:val="F3F4F4"/>
                        <w:sz w:val="28"/>
                      </w:rPr>
                      <w:t>m</w:t>
                    </w:r>
                    <w:r>
                      <w:rPr>
                        <w:rFonts w:ascii="Arial"/>
                        <w:b/>
                        <w:i/>
                        <w:color w:val="F3F4F4"/>
                        <w:spacing w:val="86"/>
                        <w:sz w:val="28"/>
                      </w:rPr>
                      <w:t xml:space="preserve"> </w:t>
                    </w:r>
                    <w:r>
                      <w:rPr>
                        <w:rFonts w:ascii="Arial"/>
                        <w:b/>
                        <w:i/>
                        <w:color w:val="F3F4F4"/>
                        <w:sz w:val="28"/>
                      </w:rPr>
                      <w:t>e</w:t>
                    </w:r>
                    <w:r>
                      <w:rPr>
                        <w:rFonts w:ascii="Arial"/>
                        <w:b/>
                        <w:i/>
                        <w:color w:val="F3F4F4"/>
                        <w:spacing w:val="87"/>
                        <w:sz w:val="28"/>
                      </w:rPr>
                      <w:t xml:space="preserve"> </w:t>
                    </w:r>
                    <w:r>
                      <w:rPr>
                        <w:rFonts w:ascii="Arial"/>
                        <w:b/>
                        <w:i/>
                        <w:color w:val="F3F4F4"/>
                        <w:sz w:val="28"/>
                      </w:rPr>
                      <w:t>n</w:t>
                    </w:r>
                    <w:r>
                      <w:rPr>
                        <w:rFonts w:ascii="Arial"/>
                        <w:b/>
                        <w:i/>
                        <w:color w:val="F3F4F4"/>
                        <w:spacing w:val="85"/>
                        <w:sz w:val="28"/>
                      </w:rPr>
                      <w:t xml:space="preserve"> </w:t>
                    </w:r>
                    <w:r>
                      <w:rPr>
                        <w:rFonts w:ascii="Arial"/>
                        <w:b/>
                        <w:i/>
                        <w:color w:val="F3F4F4"/>
                        <w:sz w:val="28"/>
                      </w:rPr>
                      <w:t>t</w:t>
                    </w:r>
                    <w:r>
                      <w:rPr>
                        <w:rFonts w:ascii="Arial"/>
                        <w:b/>
                        <w:i/>
                        <w:color w:val="F3F4F4"/>
                        <w:spacing w:val="87"/>
                        <w:sz w:val="28"/>
                      </w:rPr>
                      <w:t xml:space="preserve"> </w:t>
                    </w:r>
                    <w:r>
                      <w:rPr>
                        <w:rFonts w:ascii="Arial"/>
                        <w:b/>
                        <w:i/>
                        <w:color w:val="F3F4F4"/>
                        <w:sz w:val="28"/>
                      </w:rPr>
                      <w:t>s</w:t>
                    </w:r>
                  </w:p>
                </w:txbxContent>
              </v:textbox>
            </v:shape>
            <w10:anchorlock/>
          </v:group>
        </w:pict>
      </w:r>
    </w:p>
    <w:p w14:paraId="6C75050D" w14:textId="77777777" w:rsidR="0055291C" w:rsidRDefault="0055291C">
      <w:pPr>
        <w:pStyle w:val="a3"/>
        <w:rPr>
          <w:sz w:val="20"/>
        </w:rPr>
      </w:pPr>
    </w:p>
    <w:p w14:paraId="604FBD8E" w14:textId="77777777" w:rsidR="0055291C" w:rsidRDefault="0055291C">
      <w:pPr>
        <w:pStyle w:val="a3"/>
        <w:rPr>
          <w:sz w:val="20"/>
        </w:rPr>
      </w:pPr>
    </w:p>
    <w:p w14:paraId="6E27D7E9" w14:textId="77777777" w:rsidR="0055291C" w:rsidRDefault="0055291C">
      <w:pPr>
        <w:pStyle w:val="a3"/>
        <w:rPr>
          <w:sz w:val="20"/>
        </w:rPr>
      </w:pPr>
    </w:p>
    <w:p w14:paraId="0992F1FF" w14:textId="77777777" w:rsidR="0055291C" w:rsidRDefault="0055291C">
      <w:pPr>
        <w:pStyle w:val="a3"/>
        <w:spacing w:before="10"/>
        <w:rPr>
          <w:sz w:val="29"/>
        </w:rPr>
      </w:pPr>
    </w:p>
    <w:p w14:paraId="655A69EC" w14:textId="77777777" w:rsidR="0055291C" w:rsidRDefault="0055291C">
      <w:pPr>
        <w:rPr>
          <w:sz w:val="29"/>
        </w:rPr>
        <w:sectPr w:rsidR="0055291C">
          <w:headerReference w:type="even" r:id="rId179"/>
          <w:pgSz w:w="12240" w:h="15840"/>
          <w:pgMar w:top="0" w:right="0" w:bottom="1040" w:left="0" w:header="0" w:footer="859" w:gutter="0"/>
          <w:cols w:space="720"/>
        </w:sectPr>
      </w:pPr>
    </w:p>
    <w:p w14:paraId="589E7BF8" w14:textId="6A3DD564" w:rsidR="0055291C" w:rsidRDefault="00F23C61">
      <w:pPr>
        <w:pStyle w:val="6"/>
        <w:ind w:left="1131"/>
        <w:rPr>
          <w:lang w:eastAsia="ja-JP"/>
        </w:rPr>
      </w:pPr>
      <w:r>
        <w:rPr>
          <w:color w:val="00ACA1"/>
          <w:spacing w:val="-1"/>
          <w:lang w:eastAsia="ja-JP"/>
        </w:rPr>
        <w:t>Box</w:t>
      </w:r>
      <w:r>
        <w:rPr>
          <w:color w:val="00ACA1"/>
          <w:spacing w:val="-13"/>
          <w:lang w:eastAsia="ja-JP"/>
        </w:rPr>
        <w:t xml:space="preserve"> </w:t>
      </w:r>
      <w:r>
        <w:rPr>
          <w:color w:val="00ACA1"/>
          <w:spacing w:val="-1"/>
          <w:lang w:eastAsia="ja-JP"/>
        </w:rPr>
        <w:t>[8.1]</w:t>
      </w:r>
      <w:r>
        <w:rPr>
          <w:color w:val="00ACA1"/>
          <w:spacing w:val="-13"/>
          <w:lang w:eastAsia="ja-JP"/>
        </w:rPr>
        <w:t xml:space="preserve"> </w:t>
      </w:r>
      <w:r w:rsidR="004457A4">
        <w:rPr>
          <w:rFonts w:ascii="ＭＳ 明朝" w:eastAsia="ＭＳ 明朝" w:hAnsi="ＭＳ 明朝" w:cs="ＭＳ 明朝" w:hint="eastAsia"/>
          <w:color w:val="545456"/>
          <w:spacing w:val="-1"/>
          <w:lang w:eastAsia="ja-JP"/>
        </w:rPr>
        <w:t>所有(</w:t>
      </w:r>
      <w:r w:rsidR="004457A4">
        <w:rPr>
          <w:rFonts w:ascii="ＭＳ 明朝" w:eastAsia="ＭＳ 明朝" w:hAnsi="ＭＳ 明朝" w:cs="ＭＳ 明朝"/>
          <w:color w:val="545456"/>
          <w:spacing w:val="-1"/>
          <w:lang w:eastAsia="ja-JP"/>
        </w:rPr>
        <w:t>ownership)</w:t>
      </w:r>
      <w:r w:rsidR="004457A4">
        <w:rPr>
          <w:rFonts w:ascii="ＭＳ 明朝" w:eastAsia="ＭＳ 明朝" w:hAnsi="ＭＳ 明朝" w:cs="ＭＳ 明朝" w:hint="eastAsia"/>
          <w:color w:val="545456"/>
          <w:spacing w:val="-1"/>
          <w:lang w:eastAsia="ja-JP"/>
        </w:rPr>
        <w:t>と支配(</w:t>
      </w:r>
      <w:r w:rsidR="004457A4">
        <w:rPr>
          <w:rFonts w:ascii="ＭＳ 明朝" w:eastAsia="ＭＳ 明朝" w:hAnsi="ＭＳ 明朝" w:cs="ＭＳ 明朝"/>
          <w:color w:val="545456"/>
          <w:spacing w:val="-1"/>
          <w:lang w:eastAsia="ja-JP"/>
        </w:rPr>
        <w:t>control)</w:t>
      </w:r>
      <w:r w:rsidR="004457A4">
        <w:rPr>
          <w:rFonts w:ascii="ＭＳ 明朝" w:eastAsia="ＭＳ 明朝" w:hAnsi="ＭＳ 明朝" w:cs="ＭＳ 明朝" w:hint="eastAsia"/>
          <w:color w:val="545456"/>
          <w:spacing w:val="-1"/>
          <w:lang w:eastAsia="ja-JP"/>
        </w:rPr>
        <w:t>の定義</w:t>
      </w:r>
    </w:p>
    <w:p w14:paraId="3B1C82A0" w14:textId="73D47159" w:rsidR="008161E0" w:rsidRDefault="00000000" w:rsidP="008161E0">
      <w:pPr>
        <w:pStyle w:val="a3"/>
        <w:spacing w:before="111" w:line="312" w:lineRule="auto"/>
        <w:ind w:left="1055" w:right="1189" w:firstLineChars="100" w:firstLine="190"/>
        <w:rPr>
          <w:lang w:eastAsia="ja-JP"/>
        </w:rPr>
      </w:pPr>
      <w:r>
        <w:pict w14:anchorId="2795CE41">
          <v:group id="docshapegroup796" o:spid="_x0000_s3013" style="position:absolute;left:0;text-align:left;margin-left:55.9pt;margin-top:7.3pt;width:241.1pt;height:452.5pt;z-index:251590144;mso-position-horizontal-relative:page" coordorigin="1080,-79" coordsize="4822,8995">
            <v:shape id="docshape797" o:spid="_x0000_s3015" style="position:absolute;left:1080;top:-80;width:4822;height:8995" coordorigin="1080,-79" coordsize="4822,8995" path="m5675,-79r-4368,l1176,-76r-68,25l1084,16r-4,132l1080,8688r4,131l1108,8887r68,25l1307,8915r4368,l5806,8912r67,-25l5898,8819r4,-131l5902,148,5898,16r-25,-67l5806,-76r-131,-3xe" fillcolor="#e4f3f1" stroked="f">
              <v:path arrowok="t"/>
            </v:shape>
            <v:shape id="docshape798" o:spid="_x0000_s3014" type="#_x0000_t202" style="position:absolute;left:1080;top:-80;width:4822;height:8995" filled="f" stroked="f">
              <v:textbox style="mso-next-textbox:#docshape798" inset="0,0,0,0">
                <w:txbxContent>
                  <w:p w14:paraId="4D4FB674" w14:textId="77777777" w:rsidR="0055291C" w:rsidRDefault="0055291C">
                    <w:pPr>
                      <w:spacing w:before="2"/>
                      <w:rPr>
                        <w:sz w:val="20"/>
                      </w:rPr>
                    </w:pPr>
                  </w:p>
                  <w:p w14:paraId="06176200" w14:textId="4B5A9EE4" w:rsidR="004457A4" w:rsidRPr="004457A4" w:rsidRDefault="004457A4" w:rsidP="004457A4">
                    <w:pPr>
                      <w:spacing w:line="326" w:lineRule="auto"/>
                      <w:ind w:left="226" w:right="230"/>
                      <w:rPr>
                        <w:rFonts w:ascii="Arial"/>
                        <w:i/>
                        <w:sz w:val="19"/>
                        <w:szCs w:val="19"/>
                        <w:lang w:eastAsia="ja-JP"/>
                      </w:rPr>
                    </w:pPr>
                    <w:r w:rsidRPr="004457A4">
                      <w:rPr>
                        <w:rFonts w:ascii="ＭＳ ゴシック" w:eastAsia="ＭＳ ゴシック" w:hAnsi="ＭＳ ゴシック" w:cs="ＭＳ ゴシック" w:hint="eastAsia"/>
                        <w:sz w:val="19"/>
                        <w:szCs w:val="19"/>
                        <w:lang w:eastAsia="ja-JP"/>
                      </w:rPr>
                      <w:t>企業がプロセスを</w:t>
                    </w:r>
                    <w:r>
                      <w:rPr>
                        <w:rFonts w:ascii="ＭＳ ゴシック" w:eastAsia="ＭＳ ゴシック" w:hAnsi="ＭＳ ゴシック" w:cs="ＭＳ ゴシック" w:hint="eastAsia"/>
                        <w:sz w:val="19"/>
                        <w:szCs w:val="19"/>
                        <w:lang w:eastAsia="ja-JP"/>
                      </w:rPr>
                      <w:t>「</w:t>
                    </w:r>
                    <w:r w:rsidRPr="004457A4">
                      <w:rPr>
                        <w:rFonts w:ascii="ＭＳ ゴシック" w:eastAsia="ＭＳ ゴシック" w:hAnsi="ＭＳ ゴシック" w:cs="ＭＳ ゴシック" w:hint="eastAsia"/>
                        <w:sz w:val="19"/>
                        <w:szCs w:val="19"/>
                        <w:lang w:eastAsia="ja-JP"/>
                      </w:rPr>
                      <w:t>所有</w:t>
                    </w:r>
                    <w:r>
                      <w:rPr>
                        <w:rFonts w:ascii="ＭＳ ゴシック" w:eastAsia="ＭＳ ゴシック" w:hAnsi="ＭＳ ゴシック" w:cs="ＭＳ ゴシック" w:hint="eastAsia"/>
                        <w:sz w:val="19"/>
                        <w:szCs w:val="19"/>
                        <w:lang w:eastAsia="ja-JP"/>
                      </w:rPr>
                      <w:t>」</w:t>
                    </w:r>
                    <w:r w:rsidRPr="004457A4">
                      <w:rPr>
                        <w:rFonts w:ascii="ＭＳ ゴシック" w:eastAsia="ＭＳ ゴシック" w:hAnsi="ＭＳ ゴシック" w:cs="ＭＳ ゴシック" w:hint="eastAsia"/>
                        <w:sz w:val="19"/>
                        <w:szCs w:val="19"/>
                        <w:lang w:eastAsia="ja-JP"/>
                      </w:rPr>
                      <w:t>または</w:t>
                    </w:r>
                    <w:r>
                      <w:rPr>
                        <w:rFonts w:ascii="ＭＳ ゴシック" w:eastAsia="ＭＳ ゴシック" w:hAnsi="ＭＳ ゴシック" w:cs="ＭＳ ゴシック" w:hint="eastAsia"/>
                        <w:sz w:val="19"/>
                        <w:szCs w:val="19"/>
                        <w:lang w:eastAsia="ja-JP"/>
                      </w:rPr>
                      <w:t>「</w:t>
                    </w:r>
                    <w:r w:rsidRPr="004457A4">
                      <w:rPr>
                        <w:rFonts w:ascii="ＭＳ ゴシック" w:eastAsia="ＭＳ ゴシック" w:hAnsi="ＭＳ ゴシック" w:cs="ＭＳ ゴシック" w:hint="eastAsia"/>
                        <w:sz w:val="19"/>
                        <w:szCs w:val="19"/>
                        <w:lang w:eastAsia="ja-JP"/>
                      </w:rPr>
                      <w:t>管理</w:t>
                    </w:r>
                    <w:r>
                      <w:rPr>
                        <w:rFonts w:ascii="ＭＳ ゴシック" w:eastAsia="ＭＳ ゴシック" w:hAnsi="ＭＳ ゴシック" w:cs="ＭＳ ゴシック" w:hint="eastAsia"/>
                        <w:sz w:val="19"/>
                        <w:szCs w:val="19"/>
                        <w:lang w:eastAsia="ja-JP"/>
                      </w:rPr>
                      <w:t>」</w:t>
                    </w:r>
                    <w:r w:rsidRPr="004457A4">
                      <w:rPr>
                        <w:rFonts w:ascii="ＭＳ ゴシック" w:eastAsia="ＭＳ ゴシック" w:hAnsi="ＭＳ ゴシック" w:cs="ＭＳ ゴシック" w:hint="eastAsia"/>
                        <w:sz w:val="19"/>
                        <w:szCs w:val="19"/>
                        <w:lang w:eastAsia="ja-JP"/>
                      </w:rPr>
                      <w:t>しているのは、そのプロセスが業務上または財務上の支配下にある場合</w:t>
                    </w:r>
                    <w:r>
                      <w:rPr>
                        <w:rFonts w:ascii="ＭＳ ゴシック" w:eastAsia="ＭＳ ゴシック" w:hAnsi="ＭＳ ゴシック" w:cs="ＭＳ ゴシック" w:hint="eastAsia"/>
                        <w:sz w:val="19"/>
                        <w:szCs w:val="19"/>
                        <w:lang w:eastAsia="ja-JP"/>
                      </w:rPr>
                      <w:t>となります</w:t>
                    </w:r>
                    <w:r w:rsidRPr="004457A4">
                      <w:rPr>
                        <w:rFonts w:ascii="ＭＳ ゴシック" w:eastAsia="ＭＳ ゴシック" w:hAnsi="ＭＳ ゴシック" w:cs="ＭＳ ゴシック" w:hint="eastAsia"/>
                        <w:sz w:val="19"/>
                        <w:szCs w:val="19"/>
                        <w:lang w:eastAsia="ja-JP"/>
                      </w:rPr>
                      <w:t>。</w:t>
                    </w:r>
                    <w:r w:rsidRPr="004457A4">
                      <w:rPr>
                        <w:sz w:val="19"/>
                        <w:szCs w:val="19"/>
                        <w:lang w:eastAsia="ja-JP"/>
                      </w:rPr>
                      <w:t>GHG</w:t>
                    </w:r>
                    <w:r w:rsidRPr="004457A4">
                      <w:rPr>
                        <w:rFonts w:ascii="ＭＳ ゴシック" w:eastAsia="ＭＳ ゴシック" w:hAnsi="ＭＳ ゴシック" w:cs="ＭＳ ゴシック" w:hint="eastAsia"/>
                        <w:sz w:val="19"/>
                        <w:szCs w:val="19"/>
                        <w:lang w:eastAsia="ja-JP"/>
                      </w:rPr>
                      <w:t>プロトコル企業</w:t>
                    </w:r>
                    <w:r w:rsidR="00DA47C0">
                      <w:rPr>
                        <w:rFonts w:ascii="ＭＳ ゴシック" w:eastAsia="ＭＳ ゴシック" w:hAnsi="ＭＳ ゴシック" w:cs="ＭＳ ゴシック" w:hint="eastAsia"/>
                        <w:sz w:val="19"/>
                        <w:szCs w:val="19"/>
                        <w:lang w:eastAsia="ja-JP"/>
                      </w:rPr>
                      <w:t>算出</w:t>
                    </w:r>
                    <w:r w:rsidRPr="004457A4">
                      <w:rPr>
                        <w:rFonts w:ascii="ＭＳ ゴシック" w:eastAsia="ＭＳ ゴシック" w:hAnsi="ＭＳ ゴシック" w:cs="ＭＳ ゴシック" w:hint="eastAsia"/>
                        <w:sz w:val="19"/>
                        <w:szCs w:val="19"/>
                        <w:lang w:eastAsia="ja-JP"/>
                      </w:rPr>
                      <w:t>報告基準</w:t>
                    </w:r>
                    <w:r w:rsidRPr="004457A4">
                      <w:rPr>
                        <w:sz w:val="19"/>
                        <w:szCs w:val="19"/>
                        <w:lang w:eastAsia="ja-JP"/>
                      </w:rPr>
                      <w:t xml:space="preserve"> </w:t>
                    </w:r>
                    <w:r>
                      <w:rPr>
                        <w:rFonts w:ascii="ＭＳ ゴシック" w:eastAsia="ＭＳ ゴシック" w:hAnsi="ＭＳ ゴシック" w:cs="ＭＳ ゴシック" w:hint="eastAsia"/>
                        <w:sz w:val="19"/>
                        <w:szCs w:val="19"/>
                        <w:lang w:eastAsia="ja-JP"/>
                      </w:rPr>
                      <w:t>で</w:t>
                    </w:r>
                    <w:r w:rsidRPr="004457A4">
                      <w:rPr>
                        <w:rFonts w:ascii="ＭＳ ゴシック" w:eastAsia="ＭＳ ゴシック" w:hAnsi="ＭＳ ゴシック" w:cs="ＭＳ ゴシック" w:hint="eastAsia"/>
                        <w:sz w:val="19"/>
                        <w:szCs w:val="19"/>
                        <w:lang w:eastAsia="ja-JP"/>
                      </w:rPr>
                      <w:t>は、「財務統制」と「業務統制」という</w:t>
                    </w:r>
                    <w:r w:rsidRPr="004457A4">
                      <w:rPr>
                        <w:sz w:val="19"/>
                        <w:szCs w:val="19"/>
                        <w:lang w:eastAsia="ja-JP"/>
                      </w:rPr>
                      <w:t>2</w:t>
                    </w:r>
                    <w:r w:rsidRPr="004457A4">
                      <w:rPr>
                        <w:rFonts w:ascii="ＭＳ ゴシック" w:eastAsia="ＭＳ ゴシック" w:hAnsi="ＭＳ ゴシック" w:cs="ＭＳ ゴシック" w:hint="eastAsia"/>
                        <w:sz w:val="19"/>
                        <w:szCs w:val="19"/>
                        <w:lang w:eastAsia="ja-JP"/>
                      </w:rPr>
                      <w:t>種類の統制を定義しています。</w:t>
                    </w:r>
                    <w:r w:rsidRPr="004457A4">
                      <w:rPr>
                        <w:sz w:val="19"/>
                        <w:szCs w:val="19"/>
                        <w:lang w:eastAsia="ja-JP"/>
                      </w:rPr>
                      <w:t xml:space="preserve"> </w:t>
                    </w:r>
                    <w:r w:rsidRPr="004457A4">
                      <w:rPr>
                        <w:rFonts w:ascii="ＭＳ ゴシック" w:eastAsia="ＭＳ ゴシック" w:hAnsi="ＭＳ ゴシック" w:cs="ＭＳ ゴシック" w:hint="eastAsia"/>
                        <w:sz w:val="19"/>
                        <w:szCs w:val="19"/>
                        <w:lang w:eastAsia="ja-JP"/>
                      </w:rPr>
                      <w:t>企業</w:t>
                    </w:r>
                    <w:r>
                      <w:rPr>
                        <w:rFonts w:ascii="ＭＳ ゴシック" w:eastAsia="ＭＳ ゴシック" w:hAnsi="ＭＳ ゴシック" w:cs="ＭＳ ゴシック" w:hint="eastAsia"/>
                        <w:sz w:val="19"/>
                        <w:szCs w:val="19"/>
                        <w:lang w:eastAsia="ja-JP"/>
                      </w:rPr>
                      <w:t>が</w:t>
                    </w:r>
                    <w:r w:rsidRPr="004457A4">
                      <w:rPr>
                        <w:rFonts w:ascii="ＭＳ ゴシック" w:eastAsia="ＭＳ ゴシック" w:hAnsi="ＭＳ ゴシック" w:cs="ＭＳ ゴシック" w:hint="eastAsia"/>
                        <w:sz w:val="19"/>
                        <w:szCs w:val="19"/>
                        <w:lang w:eastAsia="ja-JP"/>
                      </w:rPr>
                      <w:t>プロセスに対して財務的支配力を有するのは、その活動から経済的利益を得るという観点から、プロセスの財務および運営方針を指示する能力を有する場合で</w:t>
                    </w:r>
                    <w:r>
                      <w:rPr>
                        <w:rFonts w:ascii="ＭＳ ゴシック" w:eastAsia="ＭＳ ゴシック" w:hAnsi="ＭＳ ゴシック" w:cs="ＭＳ ゴシック" w:hint="eastAsia"/>
                        <w:sz w:val="19"/>
                        <w:szCs w:val="19"/>
                        <w:lang w:eastAsia="ja-JP"/>
                      </w:rPr>
                      <w:t>す</w:t>
                    </w:r>
                    <w:r w:rsidRPr="004457A4">
                      <w:rPr>
                        <w:rFonts w:ascii="ＭＳ ゴシック" w:eastAsia="ＭＳ ゴシック" w:hAnsi="ＭＳ ゴシック" w:cs="ＭＳ ゴシック" w:hint="eastAsia"/>
                        <w:sz w:val="19"/>
                        <w:szCs w:val="19"/>
                        <w:lang w:eastAsia="ja-JP"/>
                      </w:rPr>
                      <w:t>。例えば、通常、企業が業務から得られる利益の大部分を得る権利を有している場合、財務的支配が存在することになります</w:t>
                    </w:r>
                    <w:r w:rsidRPr="004457A4">
                      <w:rPr>
                        <w:sz w:val="19"/>
                        <w:szCs w:val="19"/>
                        <w:lang w:eastAsia="ja-JP"/>
                      </w:rPr>
                      <w:t xml:space="preserve"> </w:t>
                    </w:r>
                    <w:r w:rsidRPr="004457A4">
                      <w:rPr>
                        <w:rFonts w:ascii="ＭＳ ゴシック" w:eastAsia="ＭＳ ゴシック" w:hAnsi="ＭＳ ゴシック" w:cs="ＭＳ ゴシック" w:hint="eastAsia"/>
                        <w:sz w:val="19"/>
                        <w:szCs w:val="19"/>
                        <w:lang w:eastAsia="ja-JP"/>
                      </w:rPr>
                      <w:t>。同様に、</w:t>
                    </w:r>
                    <w:r w:rsidRPr="004457A4">
                      <w:rPr>
                        <w:sz w:val="19"/>
                        <w:szCs w:val="19"/>
                        <w:lang w:eastAsia="ja-JP"/>
                      </w:rPr>
                      <w:t xml:space="preserve"> </w:t>
                    </w:r>
                    <w:r w:rsidRPr="004457A4">
                      <w:rPr>
                        <w:rFonts w:ascii="ＭＳ ゴシック" w:eastAsia="ＭＳ ゴシック" w:hAnsi="ＭＳ ゴシック" w:cs="ＭＳ ゴシック" w:hint="eastAsia"/>
                        <w:sz w:val="19"/>
                        <w:szCs w:val="19"/>
                        <w:lang w:eastAsia="ja-JP"/>
                      </w:rPr>
                      <w:t>企業が事業資産の所有に伴うリスクと経済的便益の大部分を保有している場合も、プロ</w:t>
                    </w:r>
                    <w:r w:rsidRPr="004457A4">
                      <w:rPr>
                        <w:sz w:val="19"/>
                        <w:szCs w:val="19"/>
                        <w:lang w:eastAsia="ja-JP"/>
                      </w:rPr>
                      <w:t xml:space="preserve"> </w:t>
                    </w:r>
                    <w:r w:rsidRPr="004457A4">
                      <w:rPr>
                        <w:rFonts w:ascii="ＭＳ ゴシック" w:eastAsia="ＭＳ ゴシック" w:hAnsi="ＭＳ ゴシック" w:cs="ＭＳ ゴシック" w:hint="eastAsia"/>
                        <w:sz w:val="19"/>
                        <w:szCs w:val="19"/>
                        <w:lang w:eastAsia="ja-JP"/>
                      </w:rPr>
                      <w:t>セスを財務的に支配しているとみなされます。</w:t>
                    </w:r>
                    <w:r w:rsidRPr="004457A4">
                      <w:rPr>
                        <w:sz w:val="19"/>
                        <w:szCs w:val="19"/>
                        <w:lang w:eastAsia="ja-JP"/>
                      </w:rPr>
                      <w:t xml:space="preserve"> </w:t>
                    </w:r>
                    <w:r w:rsidRPr="004457A4">
                      <w:rPr>
                        <w:rFonts w:ascii="ＭＳ ゴシック" w:eastAsia="ＭＳ ゴシック" w:hAnsi="ＭＳ ゴシック" w:cs="ＭＳ ゴシック" w:hint="eastAsia"/>
                        <w:sz w:val="19"/>
                        <w:szCs w:val="19"/>
                        <w:lang w:eastAsia="ja-JP"/>
                      </w:rPr>
                      <w:t>会社またはその子会社が、あるプロセスに対して</w:t>
                    </w:r>
                    <w:r w:rsidRPr="004457A4">
                      <w:rPr>
                        <w:sz w:val="19"/>
                        <w:szCs w:val="19"/>
                        <w:lang w:eastAsia="ja-JP"/>
                      </w:rPr>
                      <w:t xml:space="preserve"> </w:t>
                    </w:r>
                    <w:r w:rsidRPr="004457A4">
                      <w:rPr>
                        <w:rFonts w:ascii="ＭＳ ゴシック" w:eastAsia="ＭＳ ゴシック" w:hAnsi="ＭＳ ゴシック" w:cs="ＭＳ ゴシック" w:hint="eastAsia"/>
                        <w:sz w:val="19"/>
                        <w:szCs w:val="19"/>
                        <w:lang w:eastAsia="ja-JP"/>
                      </w:rPr>
                      <w:t>、その運営方針を導入し実施する全権限を持つ場合、</w:t>
                    </w:r>
                    <w:r w:rsidRPr="004457A4">
                      <w:rPr>
                        <w:sz w:val="19"/>
                        <w:szCs w:val="19"/>
                        <w:lang w:eastAsia="ja-JP"/>
                      </w:rPr>
                      <w:t xml:space="preserve"> </w:t>
                    </w:r>
                    <w:r w:rsidRPr="004457A4">
                      <w:rPr>
                        <w:rFonts w:ascii="ＭＳ ゴシック" w:eastAsia="ＭＳ ゴシック" w:hAnsi="ＭＳ ゴシック" w:cs="ＭＳ ゴシック" w:hint="eastAsia"/>
                        <w:sz w:val="19"/>
                        <w:szCs w:val="19"/>
                        <w:lang w:eastAsia="ja-JP"/>
                      </w:rPr>
                      <w:t>そのプロセスに対する運営支配権を持</w:t>
                    </w:r>
                    <w:r>
                      <w:rPr>
                        <w:rFonts w:ascii="ＭＳ ゴシック" w:eastAsia="ＭＳ ゴシック" w:hAnsi="ＭＳ ゴシック" w:cs="ＭＳ ゴシック" w:hint="eastAsia"/>
                        <w:sz w:val="19"/>
                        <w:szCs w:val="19"/>
                        <w:lang w:eastAsia="ja-JP"/>
                      </w:rPr>
                      <w:t>ちます</w:t>
                    </w:r>
                    <w:r w:rsidRPr="004457A4">
                      <w:rPr>
                        <w:rFonts w:ascii="ＭＳ ゴシック" w:eastAsia="ＭＳ ゴシック" w:hAnsi="ＭＳ ゴシック" w:cs="ＭＳ ゴシック" w:hint="eastAsia"/>
                        <w:sz w:val="19"/>
                        <w:szCs w:val="19"/>
                        <w:lang w:eastAsia="ja-JP"/>
                      </w:rPr>
                      <w:t>。</w:t>
                    </w:r>
                    <w:r>
                      <w:rPr>
                        <w:rFonts w:ascii="ＭＳ ゴシック" w:eastAsia="ＭＳ ゴシック" w:hAnsi="ＭＳ ゴシック" w:cs="ＭＳ ゴシック" w:hint="eastAsia"/>
                        <w:sz w:val="19"/>
                        <w:szCs w:val="19"/>
                        <w:lang w:eastAsia="ja-JP"/>
                      </w:rPr>
                      <w:t>こ</w:t>
                    </w:r>
                    <w:r w:rsidRPr="004457A4">
                      <w:rPr>
                        <w:rFonts w:ascii="ＭＳ ゴシック" w:eastAsia="ＭＳ ゴシック" w:hAnsi="ＭＳ ゴシック" w:cs="ＭＳ ゴシック" w:hint="eastAsia"/>
                        <w:sz w:val="19"/>
                        <w:szCs w:val="19"/>
                        <w:lang w:eastAsia="ja-JP"/>
                      </w:rPr>
                      <w:t>の基準は、</w:t>
                    </w:r>
                    <w:r w:rsidR="00EC607F" w:rsidRPr="004457A4">
                      <w:rPr>
                        <w:rFonts w:ascii="ＭＳ ゴシック" w:eastAsia="ＭＳ ゴシック" w:hAnsi="ＭＳ ゴシック" w:cs="ＭＳ ゴシック" w:hint="eastAsia"/>
                        <w:sz w:val="19"/>
                        <w:szCs w:val="19"/>
                        <w:lang w:eastAsia="ja-JP"/>
                      </w:rPr>
                      <w:t>運営ライセンスを保有する施設から</w:t>
                    </w:r>
                    <w:r w:rsidRPr="004457A4">
                      <w:rPr>
                        <w:rFonts w:ascii="ＭＳ ゴシック" w:eastAsia="ＭＳ ゴシック" w:hAnsi="ＭＳ ゴシック" w:cs="ＭＳ ゴシック" w:hint="eastAsia"/>
                        <w:sz w:val="19"/>
                        <w:szCs w:val="19"/>
                        <w:lang w:eastAsia="ja-JP"/>
                      </w:rPr>
                      <w:t>排出量を報告している多くの企業の現在の</w:t>
                    </w:r>
                    <w:r w:rsidR="00DA47C0">
                      <w:rPr>
                        <w:rFonts w:ascii="ＭＳ ゴシック" w:eastAsia="ＭＳ ゴシック" w:hAnsi="ＭＳ ゴシック" w:cs="ＭＳ ゴシック" w:hint="eastAsia"/>
                        <w:sz w:val="19"/>
                        <w:szCs w:val="19"/>
                        <w:lang w:eastAsia="ja-JP"/>
                      </w:rPr>
                      <w:t>算出</w:t>
                    </w:r>
                    <w:r w:rsidRPr="004457A4">
                      <w:rPr>
                        <w:rFonts w:ascii="ＭＳ ゴシック" w:eastAsia="ＭＳ ゴシック" w:hAnsi="ＭＳ ゴシック" w:cs="ＭＳ ゴシック" w:hint="eastAsia"/>
                        <w:sz w:val="19"/>
                        <w:szCs w:val="19"/>
                        <w:lang w:eastAsia="ja-JP"/>
                      </w:rPr>
                      <w:t>・報告慣行と一致してい</w:t>
                    </w:r>
                    <w:r>
                      <w:rPr>
                        <w:rFonts w:ascii="ＭＳ ゴシック" w:eastAsia="ＭＳ ゴシック" w:hAnsi="ＭＳ ゴシック" w:cs="ＭＳ ゴシック" w:hint="eastAsia"/>
                        <w:sz w:val="19"/>
                        <w:szCs w:val="19"/>
                        <w:lang w:eastAsia="ja-JP"/>
                      </w:rPr>
                      <w:t>ます</w:t>
                    </w:r>
                    <w:r w:rsidRPr="004457A4">
                      <w:rPr>
                        <w:rFonts w:ascii="ＭＳ ゴシック" w:eastAsia="ＭＳ ゴシック" w:hAnsi="ＭＳ ゴシック" w:cs="ＭＳ ゴシック" w:hint="eastAsia"/>
                        <w:sz w:val="19"/>
                        <w:szCs w:val="19"/>
                        <w:lang w:eastAsia="ja-JP"/>
                      </w:rPr>
                      <w:t>。</w:t>
                    </w:r>
                    <w:r w:rsidR="00EC607F">
                      <w:rPr>
                        <w:rFonts w:ascii="ＭＳ ゴシック" w:eastAsia="ＭＳ ゴシック" w:hAnsi="ＭＳ ゴシック" w:cs="ＭＳ ゴシック" w:hint="eastAsia"/>
                        <w:sz w:val="19"/>
                        <w:szCs w:val="19"/>
                        <w:lang w:eastAsia="ja-JP"/>
                      </w:rPr>
                      <w:t>企業</w:t>
                    </w:r>
                    <w:r w:rsidRPr="004457A4">
                      <w:rPr>
                        <w:rFonts w:ascii="ＭＳ ゴシック" w:eastAsia="ＭＳ ゴシック" w:hAnsi="ＭＳ ゴシック" w:cs="ＭＳ ゴシック" w:hint="eastAsia"/>
                        <w:sz w:val="19"/>
                        <w:szCs w:val="19"/>
                        <w:lang w:eastAsia="ja-JP"/>
                      </w:rPr>
                      <w:t>または</w:t>
                    </w:r>
                    <w:r w:rsidR="00EC607F">
                      <w:rPr>
                        <w:rFonts w:ascii="ＭＳ ゴシック" w:eastAsia="ＭＳ ゴシック" w:hAnsi="ＭＳ ゴシック" w:cs="ＭＳ ゴシック" w:hint="eastAsia"/>
                        <w:sz w:val="19"/>
                        <w:szCs w:val="19"/>
                        <w:lang w:eastAsia="ja-JP"/>
                      </w:rPr>
                      <w:t>その</w:t>
                    </w:r>
                    <w:r w:rsidRPr="004457A4">
                      <w:rPr>
                        <w:rFonts w:ascii="ＭＳ ゴシック" w:eastAsia="ＭＳ ゴシック" w:hAnsi="ＭＳ ゴシック" w:cs="ＭＳ ゴシック" w:hint="eastAsia"/>
                        <w:sz w:val="19"/>
                        <w:szCs w:val="19"/>
                        <w:lang w:eastAsia="ja-JP"/>
                      </w:rPr>
                      <w:t>子会社が施設の運営者である場合</w:t>
                    </w:r>
                    <w:r w:rsidRPr="004457A4">
                      <w:rPr>
                        <w:sz w:val="19"/>
                        <w:szCs w:val="19"/>
                        <w:lang w:eastAsia="ja-JP"/>
                      </w:rPr>
                      <w:t xml:space="preserve"> </w:t>
                    </w:r>
                    <w:r w:rsidRPr="004457A4">
                      <w:rPr>
                        <w:rFonts w:ascii="ＭＳ ゴシック" w:eastAsia="ＭＳ ゴシック" w:hAnsi="ＭＳ ゴシック" w:cs="ＭＳ ゴシック" w:hint="eastAsia"/>
                        <w:sz w:val="19"/>
                        <w:szCs w:val="19"/>
                        <w:lang w:eastAsia="ja-JP"/>
                      </w:rPr>
                      <w:t>、ごく稀な状況を除き、運営方針を導入・実施する全権限を有し、運営管理を行うことが想定されます。</w:t>
                    </w:r>
                    <w:r w:rsidRPr="004457A4">
                      <w:rPr>
                        <w:sz w:val="19"/>
                        <w:szCs w:val="19"/>
                        <w:lang w:eastAsia="ja-JP"/>
                      </w:rPr>
                      <w:t xml:space="preserve"> </w:t>
                    </w:r>
                    <w:r w:rsidRPr="004457A4">
                      <w:rPr>
                        <w:rFonts w:ascii="ＭＳ ゴシック" w:eastAsia="ＭＳ ゴシック" w:hAnsi="ＭＳ ゴシック" w:cs="ＭＳ ゴシック" w:hint="eastAsia"/>
                        <w:sz w:val="19"/>
                        <w:szCs w:val="19"/>
                        <w:lang w:eastAsia="ja-JP"/>
                      </w:rPr>
                      <w:t>所有権と支配力に関する詳細は、</w:t>
                    </w:r>
                    <w:r w:rsidRPr="004457A4">
                      <w:rPr>
                        <w:sz w:val="19"/>
                        <w:szCs w:val="19"/>
                        <w:lang w:eastAsia="ja-JP"/>
                      </w:rPr>
                      <w:t>GHG</w:t>
                    </w:r>
                    <w:r w:rsidRPr="004457A4">
                      <w:rPr>
                        <w:rFonts w:ascii="ＭＳ ゴシック" w:eastAsia="ＭＳ ゴシック" w:hAnsi="ＭＳ ゴシック" w:cs="ＭＳ ゴシック" w:hint="eastAsia"/>
                        <w:sz w:val="19"/>
                        <w:szCs w:val="19"/>
                        <w:lang w:eastAsia="ja-JP"/>
                      </w:rPr>
                      <w:t>プロトコル企業</w:t>
                    </w:r>
                    <w:r w:rsidR="00DA47C0">
                      <w:rPr>
                        <w:rFonts w:ascii="ＭＳ ゴシック" w:eastAsia="ＭＳ ゴシック" w:hAnsi="ＭＳ ゴシック" w:cs="ＭＳ ゴシック" w:hint="eastAsia"/>
                        <w:sz w:val="19"/>
                        <w:szCs w:val="19"/>
                        <w:lang w:eastAsia="ja-JP"/>
                      </w:rPr>
                      <w:t>算出</w:t>
                    </w:r>
                    <w:r w:rsidRPr="004457A4">
                      <w:rPr>
                        <w:rFonts w:ascii="ＭＳ ゴシック" w:eastAsia="ＭＳ ゴシック" w:hAnsi="ＭＳ ゴシック" w:cs="ＭＳ ゴシック" w:hint="eastAsia"/>
                        <w:sz w:val="19"/>
                        <w:szCs w:val="19"/>
                        <w:lang w:eastAsia="ja-JP"/>
                      </w:rPr>
                      <w:t>報告基準第</w:t>
                    </w:r>
                    <w:r w:rsidRPr="004457A4">
                      <w:rPr>
                        <w:sz w:val="19"/>
                        <w:szCs w:val="19"/>
                        <w:lang w:eastAsia="ja-JP"/>
                      </w:rPr>
                      <w:t>3</w:t>
                    </w:r>
                    <w:r w:rsidRPr="004457A4">
                      <w:rPr>
                        <w:rFonts w:ascii="ＭＳ ゴシック" w:eastAsia="ＭＳ ゴシック" w:hAnsi="ＭＳ ゴシック" w:cs="ＭＳ ゴシック" w:hint="eastAsia"/>
                        <w:sz w:val="19"/>
                        <w:szCs w:val="19"/>
                        <w:lang w:eastAsia="ja-JP"/>
                      </w:rPr>
                      <w:t>章を参照してください。</w:t>
                    </w:r>
                  </w:p>
                  <w:p w14:paraId="4D696D3D" w14:textId="6130513E" w:rsidR="0055291C" w:rsidRPr="004457A4" w:rsidRDefault="0055291C">
                    <w:pPr>
                      <w:spacing w:before="146" w:line="326" w:lineRule="auto"/>
                      <w:ind w:left="226" w:right="634"/>
                      <w:jc w:val="both"/>
                      <w:rPr>
                        <w:rFonts w:ascii="Arial"/>
                        <w:i/>
                        <w:sz w:val="19"/>
                        <w:szCs w:val="19"/>
                        <w:lang w:eastAsia="ja-JP"/>
                      </w:rPr>
                    </w:pPr>
                  </w:p>
                </w:txbxContent>
              </v:textbox>
            </v:shape>
            <w10:wrap anchorx="page"/>
          </v:group>
        </w:pict>
      </w:r>
      <w:r w:rsidR="00F23C61">
        <w:rPr>
          <w:lang w:eastAsia="ja-JP"/>
        </w:rPr>
        <w:br w:type="column"/>
      </w:r>
      <w:r w:rsidR="008161E0">
        <w:rPr>
          <w:rFonts w:ascii="ＭＳ ゴシック" w:eastAsia="ＭＳ ゴシック" w:hAnsi="ＭＳ ゴシック" w:cs="ＭＳ ゴシック" w:hint="eastAsia"/>
          <w:lang w:eastAsia="ja-JP"/>
        </w:rPr>
        <w:t>この規格では、データ品質を評価する際に使用する</w:t>
      </w:r>
      <w:r w:rsidR="008161E0">
        <w:rPr>
          <w:lang w:eastAsia="ja-JP"/>
        </w:rPr>
        <w:t>5</w:t>
      </w:r>
      <w:r w:rsidR="008161E0">
        <w:rPr>
          <w:rFonts w:ascii="ＭＳ ゴシック" w:eastAsia="ＭＳ ゴシック" w:hAnsi="ＭＳ ゴシック" w:cs="ＭＳ ゴシック" w:hint="eastAsia"/>
          <w:lang w:eastAsia="ja-JP"/>
        </w:rPr>
        <w:t>つ</w:t>
      </w:r>
      <w:r w:rsidR="008161E0">
        <w:rPr>
          <w:lang w:eastAsia="ja-JP"/>
        </w:rPr>
        <w:t xml:space="preserve"> </w:t>
      </w:r>
      <w:r w:rsidR="008161E0">
        <w:rPr>
          <w:rFonts w:ascii="ＭＳ ゴシック" w:eastAsia="ＭＳ ゴシック" w:hAnsi="ＭＳ ゴシック" w:cs="ＭＳ ゴシック" w:hint="eastAsia"/>
          <w:lang w:eastAsia="ja-JP"/>
        </w:rPr>
        <w:t>のデータ品質指標を定義しています。それらは</w:t>
      </w:r>
      <w:r w:rsidR="008161E0">
        <w:rPr>
          <w:lang w:eastAsia="ja-JP"/>
        </w:rPr>
        <w:t xml:space="preserve"> </w:t>
      </w:r>
    </w:p>
    <w:p w14:paraId="54E31620" w14:textId="0BA1002E" w:rsidR="008161E0" w:rsidRPr="008161E0" w:rsidRDefault="008161E0">
      <w:pPr>
        <w:pStyle w:val="a3"/>
        <w:numPr>
          <w:ilvl w:val="0"/>
          <w:numId w:val="70"/>
        </w:numPr>
        <w:spacing w:before="111" w:line="312" w:lineRule="auto"/>
        <w:ind w:right="1189"/>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技術的代表性：データにプロセスで使用された実際の技術がどの程度反映されているかの度合い</w:t>
      </w:r>
    </w:p>
    <w:p w14:paraId="6368A114" w14:textId="7EB87FDB" w:rsidR="008161E0" w:rsidRDefault="008161E0">
      <w:pPr>
        <w:pStyle w:val="a3"/>
        <w:numPr>
          <w:ilvl w:val="0"/>
          <w:numId w:val="70"/>
        </w:numPr>
        <w:spacing w:before="111" w:line="312" w:lineRule="auto"/>
        <w:ind w:right="1189"/>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地理的代表性：報告書の境界内のプロセスの実際の地理的位置（例：国またはサイト）をデータが</w:t>
      </w:r>
      <w:r>
        <w:rPr>
          <w:lang w:eastAsia="ja-JP"/>
        </w:rPr>
        <w:t xml:space="preserve"> </w:t>
      </w:r>
      <w:r>
        <w:rPr>
          <w:rFonts w:ascii="ＭＳ ゴシック" w:eastAsia="ＭＳ ゴシック" w:hAnsi="ＭＳ ゴシック" w:cs="ＭＳ ゴシック" w:hint="eastAsia"/>
          <w:lang w:eastAsia="ja-JP"/>
        </w:rPr>
        <w:t>どの程度反映しているかの度合い</w:t>
      </w:r>
    </w:p>
    <w:p w14:paraId="2C6AE2C2" w14:textId="3C14FE5D" w:rsidR="008161E0" w:rsidRPr="008161E0" w:rsidRDefault="008161E0">
      <w:pPr>
        <w:pStyle w:val="a3"/>
        <w:numPr>
          <w:ilvl w:val="0"/>
          <w:numId w:val="70"/>
        </w:numPr>
        <w:spacing w:before="111" w:line="312" w:lineRule="auto"/>
        <w:ind w:right="1189"/>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時間的代表性：データがプロセスの実際の時間（年など）または年齢をどの程度反映しているかの度合い</w:t>
      </w:r>
    </w:p>
    <w:p w14:paraId="3A5BBE4F" w14:textId="6C8113B0" w:rsidR="008161E0" w:rsidRDefault="008161E0">
      <w:pPr>
        <w:pStyle w:val="a3"/>
        <w:numPr>
          <w:ilvl w:val="0"/>
          <w:numId w:val="70"/>
        </w:numPr>
        <w:spacing w:before="111" w:line="312" w:lineRule="auto"/>
        <w:ind w:right="1189"/>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完全性：データがプロセスサイトを統計的に代表</w:t>
      </w:r>
      <w:r>
        <w:rPr>
          <w:lang w:eastAsia="ja-JP"/>
        </w:rPr>
        <w:t xml:space="preserve"> </w:t>
      </w:r>
      <w:r>
        <w:rPr>
          <w:rFonts w:ascii="ＭＳ ゴシック" w:eastAsia="ＭＳ ゴシック" w:hAnsi="ＭＳ ゴシック" w:cs="ＭＳ ゴシック" w:hint="eastAsia"/>
          <w:lang w:eastAsia="ja-JP"/>
        </w:rPr>
        <w:t>している度合い</w:t>
      </w:r>
    </w:p>
    <w:p w14:paraId="0D1CFD79" w14:textId="1074F6E0" w:rsidR="008161E0" w:rsidRDefault="008161E0">
      <w:pPr>
        <w:pStyle w:val="a3"/>
        <w:numPr>
          <w:ilvl w:val="0"/>
          <w:numId w:val="70"/>
        </w:numPr>
        <w:spacing w:before="111" w:line="312" w:lineRule="auto"/>
        <w:ind w:right="1189"/>
        <w:rPr>
          <w:lang w:eastAsia="ja-JP"/>
        </w:rPr>
      </w:pPr>
      <w:r>
        <w:rPr>
          <w:rFonts w:ascii="ＭＳ ゴシック" w:eastAsia="ＭＳ ゴシック" w:hAnsi="ＭＳ ゴシック" w:cs="ＭＳ ゴシック" w:hint="eastAsia"/>
          <w:lang w:eastAsia="ja-JP"/>
        </w:rPr>
        <w:t>信頼性：データを得るために使用した情報源、データ収集方法、検証手順がどの程度信頼できるかの度合い</w:t>
      </w:r>
      <w:r>
        <w:rPr>
          <w:lang w:eastAsia="ja-JP"/>
        </w:rPr>
        <w:t xml:space="preserve"> </w:t>
      </w:r>
    </w:p>
    <w:p w14:paraId="23E6222A" w14:textId="0E66A549" w:rsidR="0055291C" w:rsidRDefault="008161E0" w:rsidP="008161E0">
      <w:pPr>
        <w:pStyle w:val="a3"/>
        <w:spacing w:before="111" w:line="312" w:lineRule="auto"/>
        <w:ind w:left="1133" w:right="1189" w:firstLineChars="100" w:firstLine="190"/>
        <w:rPr>
          <w:lang w:eastAsia="ja-JP"/>
        </w:rPr>
        <w:sectPr w:rsidR="0055291C">
          <w:type w:val="continuous"/>
          <w:pgSz w:w="12240" w:h="15840"/>
          <w:pgMar w:top="740" w:right="0" w:bottom="280" w:left="0" w:header="0" w:footer="859" w:gutter="0"/>
          <w:cols w:num="2" w:space="720" w:equalWidth="0">
            <w:col w:w="5167" w:space="40"/>
            <w:col w:w="7033"/>
          </w:cols>
        </w:sectPr>
      </w:pPr>
      <w:r>
        <w:rPr>
          <w:rFonts w:ascii="ＭＳ ゴシック" w:eastAsia="ＭＳ ゴシック" w:hAnsi="ＭＳ ゴシック" w:cs="ＭＳ ゴシック" w:hint="eastAsia"/>
          <w:lang w:eastAsia="ja-JP"/>
        </w:rPr>
        <w:t>データ収集中にデータ品質を評価することで、収集完</w:t>
      </w:r>
      <w:r>
        <w:rPr>
          <w:lang w:eastAsia="ja-JP"/>
        </w:rPr>
        <w:t xml:space="preserve"> </w:t>
      </w:r>
      <w:r>
        <w:rPr>
          <w:rFonts w:ascii="ＭＳ ゴシック" w:eastAsia="ＭＳ ゴシック" w:hAnsi="ＭＳ ゴシック" w:cs="ＭＳ ゴシック" w:hint="eastAsia"/>
          <w:lang w:eastAsia="ja-JP"/>
        </w:rPr>
        <w:t>了後にデータ品質を評価する場合よりも効率的にデータ品質を改善することができます。</w:t>
      </w:r>
    </w:p>
    <w:p w14:paraId="4EB97BA6" w14:textId="002651A3" w:rsidR="0055291C" w:rsidRDefault="0055291C">
      <w:pPr>
        <w:pStyle w:val="a3"/>
        <w:spacing w:before="8"/>
        <w:rPr>
          <w:sz w:val="23"/>
          <w:lang w:eastAsia="ja-JP"/>
        </w:rPr>
      </w:pPr>
    </w:p>
    <w:p w14:paraId="3CC979B4" w14:textId="4CC1A0A4" w:rsidR="0055291C" w:rsidRDefault="008161E0">
      <w:pPr>
        <w:pStyle w:val="a3"/>
        <w:ind w:left="6246"/>
        <w:rPr>
          <w:sz w:val="20"/>
          <w:lang w:eastAsia="ja-JP"/>
        </w:rPr>
      </w:pPr>
      <w:r w:rsidRPr="00BA0839">
        <w:rPr>
          <w:noProof/>
        </w:rPr>
        <mc:AlternateContent>
          <mc:Choice Requires="wps">
            <w:drawing>
              <wp:anchor distT="0" distB="0" distL="114300" distR="114300" simplePos="0" relativeHeight="251477504" behindDoc="0" locked="0" layoutInCell="1" allowOverlap="1" wp14:anchorId="6EC69F1B" wp14:editId="4C3D7EDC">
                <wp:simplePos x="0" y="0"/>
                <wp:positionH relativeFrom="column">
                  <wp:posOffset>3980815</wp:posOffset>
                </wp:positionH>
                <wp:positionV relativeFrom="paragraph">
                  <wp:posOffset>48260</wp:posOffset>
                </wp:positionV>
                <wp:extent cx="3168650" cy="850900"/>
                <wp:effectExtent l="0" t="0" r="0" b="6350"/>
                <wp:wrapSquare wrapText="bothSides"/>
                <wp:docPr id="93" name="四角形: 角を丸くする 93"/>
                <wp:cNvGraphicFramePr/>
                <a:graphic xmlns:a="http://schemas.openxmlformats.org/drawingml/2006/main">
                  <a:graphicData uri="http://schemas.microsoft.com/office/word/2010/wordprocessingShape">
                    <wps:wsp>
                      <wps:cNvSpPr/>
                      <wps:spPr>
                        <a:xfrm>
                          <a:off x="0" y="0"/>
                          <a:ext cx="3168650" cy="850900"/>
                        </a:xfrm>
                        <a:prstGeom prst="roundRect">
                          <a:avLst/>
                        </a:prstGeom>
                        <a:solidFill>
                          <a:srgbClr val="70029C">
                            <a:alpha val="25098"/>
                          </a:srgbClr>
                        </a:solidFill>
                        <a:ln w="25400" cap="flat" cmpd="sng" algn="ctr">
                          <a:noFill/>
                          <a:prstDash val="solid"/>
                        </a:ln>
                        <a:effectLst/>
                      </wps:spPr>
                      <wps:txbx>
                        <w:txbxContent>
                          <w:p w14:paraId="410AA388" w14:textId="118149BC" w:rsidR="008161E0" w:rsidRPr="008161E0" w:rsidRDefault="008161E0" w:rsidP="008161E0">
                            <w:pPr>
                              <w:widowControl/>
                              <w:autoSpaceDE/>
                              <w:autoSpaceDN/>
                              <w:jc w:val="both"/>
                              <w:rPr>
                                <w:rFonts w:asciiTheme="minorEastAsia" w:hAnsiTheme="minorEastAsia"/>
                                <w:b/>
                                <w:bCs/>
                                <w:i/>
                                <w:iCs/>
                                <w:color w:val="000000" w:themeColor="text1"/>
                                <w:sz w:val="19"/>
                                <w:szCs w:val="19"/>
                                <w:lang w:eastAsia="ja-JP"/>
                              </w:rPr>
                            </w:pPr>
                            <w:r w:rsidRPr="008161E0">
                              <w:rPr>
                                <w:rFonts w:ascii="ＭＳ ゴシック" w:eastAsia="ＭＳ ゴシック" w:hAnsi="ＭＳ ゴシック" w:cs="ＭＳ ゴシック" w:hint="eastAsia"/>
                                <w:b/>
                                <w:bCs/>
                                <w:i/>
                                <w:iCs/>
                                <w:color w:val="000000" w:themeColor="text1"/>
                                <w:sz w:val="19"/>
                                <w:szCs w:val="19"/>
                                <w:lang w:eastAsia="ja-JP"/>
                              </w:rPr>
                              <w:t>いくつかの重要な工程について企業は、データソース、データ品質、およびデータ品質を改善するために取られた努力について文書報告をしなくてはならない。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C69F1B" id="四角形: 角を丸くする 93" o:spid="_x0000_s1070" style="position:absolute;left:0;text-align:left;margin-left:313.45pt;margin-top:3.8pt;width:249.5pt;height:67pt;z-index:2514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" fillcolor="#70029c" stroked="f" strokeweight="2pt">
                <v:fill opacity="16448f"/>
                <v:textbox>
                  <w:txbxContent>
                    <w:p w14:paraId="410AA388" w14:textId="118149BC" w:rsidR="008161E0" w:rsidRPr="008161E0" w:rsidRDefault="008161E0" w:rsidP="008161E0">
                      <w:pPr>
                        <w:widowControl/>
                        <w:autoSpaceDE/>
                        <w:autoSpaceDN/>
                        <w:jc w:val="both"/>
                        <w:rPr>
                          <w:rFonts w:asciiTheme="minorEastAsia" w:hAnsiTheme="minorEastAsia"/>
                          <w:b/>
                          <w:bCs/>
                          <w:i/>
                          <w:iCs/>
                          <w:color w:val="000000" w:themeColor="text1"/>
                          <w:sz w:val="19"/>
                          <w:szCs w:val="19"/>
                          <w:lang w:eastAsia="ja-JP"/>
                        </w:rPr>
                      </w:pPr>
                      <w:r w:rsidRPr="008161E0">
                        <w:rPr>
                          <w:rFonts w:ascii="ＭＳ ゴシック" w:eastAsia="ＭＳ ゴシック" w:hAnsi="ＭＳ ゴシック" w:cs="ＭＳ ゴシック" w:hint="eastAsia"/>
                          <w:b/>
                          <w:bCs/>
                          <w:i/>
                          <w:iCs/>
                          <w:color w:val="000000" w:themeColor="text1"/>
                          <w:sz w:val="19"/>
                          <w:szCs w:val="19"/>
                          <w:lang w:eastAsia="ja-JP"/>
                        </w:rPr>
                        <w:t>いくつかの重要な工程について企業は、データソース、データ品質、およびデータ品質を改善するために取られた努力について文書報告をしなくてはならない。</w:t>
                      </w:r>
                    </w:p>
                  </w:txbxContent>
                </v:textbox>
                <w10:wrap type="square"/>
              </v:roundrect>
            </w:pict>
          </mc:Fallback>
        </mc:AlternateContent>
      </w:r>
    </w:p>
    <w:p w14:paraId="184EC589" w14:textId="77777777" w:rsidR="0055291C" w:rsidRDefault="0055291C">
      <w:pPr>
        <w:pStyle w:val="a3"/>
        <w:spacing w:before="6"/>
        <w:rPr>
          <w:sz w:val="7"/>
          <w:lang w:eastAsia="ja-JP"/>
        </w:rPr>
      </w:pPr>
    </w:p>
    <w:p w14:paraId="20FCD5C3" w14:textId="127DF931" w:rsidR="0055291C" w:rsidRDefault="0055291C">
      <w:pPr>
        <w:pStyle w:val="a3"/>
        <w:spacing w:before="6"/>
        <w:rPr>
          <w:sz w:val="20"/>
          <w:lang w:eastAsia="ja-JP"/>
        </w:rPr>
      </w:pPr>
    </w:p>
    <w:p w14:paraId="1EA16E23" w14:textId="384CAFBC" w:rsidR="007D495F" w:rsidRDefault="007D495F" w:rsidP="007D495F">
      <w:pPr>
        <w:pStyle w:val="a3"/>
        <w:spacing w:before="1" w:line="312" w:lineRule="auto"/>
        <w:ind w:left="6261" w:right="1525" w:firstLineChars="100" w:firstLine="190"/>
        <w:rPr>
          <w:color w:val="545456"/>
          <w:lang w:eastAsia="ja-JP"/>
        </w:rPr>
      </w:pPr>
      <w:r>
        <w:rPr>
          <w:rFonts w:ascii="ＭＳ ゴシック" w:eastAsia="ＭＳ ゴシック" w:hAnsi="ＭＳ ゴシック" w:cs="ＭＳ ゴシック" w:hint="eastAsia"/>
          <w:lang w:eastAsia="ja-JP"/>
        </w:rPr>
        <w:t>企業は、データソース、品質に関する懸念、品質</w:t>
      </w:r>
      <w:r>
        <w:rPr>
          <w:lang w:eastAsia="ja-JP"/>
        </w:rPr>
        <w:t xml:space="preserve"> </w:t>
      </w:r>
      <w:r>
        <w:rPr>
          <w:rFonts w:ascii="ＭＳ ゴシック" w:eastAsia="ＭＳ ゴシック" w:hAnsi="ＭＳ ゴシック" w:cs="ＭＳ ゴシック" w:hint="eastAsia"/>
          <w:lang w:eastAsia="ja-JP"/>
        </w:rPr>
        <w:t>改善の取り組みを報告するために、どのプロセスが重要であるかを判断する必要があります。</w:t>
      </w:r>
      <w:r>
        <w:rPr>
          <w:lang w:eastAsia="ja-JP"/>
        </w:rPr>
        <w:t xml:space="preserve"> </w:t>
      </w:r>
      <w:r>
        <w:rPr>
          <w:rFonts w:ascii="ＭＳ ゴシック" w:eastAsia="ＭＳ ゴシック" w:hAnsi="ＭＳ ゴシック" w:cs="ＭＳ ゴシック" w:hint="eastAsia"/>
          <w:lang w:eastAsia="ja-JP"/>
        </w:rPr>
        <w:t>例えば、ライフサイクル内の総排出量に対して相当量の</w:t>
      </w:r>
      <w:r>
        <w:rPr>
          <w:lang w:eastAsia="ja-JP"/>
        </w:rPr>
        <w:t>GHG</w:t>
      </w:r>
      <w:r>
        <w:rPr>
          <w:rFonts w:ascii="ＭＳ ゴシック" w:eastAsia="ＭＳ ゴシック" w:hAnsi="ＭＳ ゴシック" w:cs="ＭＳ ゴシック" w:hint="eastAsia"/>
          <w:lang w:eastAsia="ja-JP"/>
        </w:rPr>
        <w:t>排出に寄与する工程は、重要といえます。以下のスクリーニングステップに含まれる基準は、重要な工程を特定するのに有用です。重要な工程のデータソース、品質、改善努力に関する報告の例については、ガイダンスのセクションを参照してください。</w:t>
      </w:r>
    </w:p>
    <w:p w14:paraId="69773A94" w14:textId="1DB333A5" w:rsidR="0055291C" w:rsidRPr="007D495F" w:rsidRDefault="0055291C" w:rsidP="007D495F">
      <w:pPr>
        <w:pStyle w:val="a3"/>
        <w:spacing w:before="1" w:line="312" w:lineRule="auto"/>
        <w:ind w:left="6261" w:right="1330"/>
        <w:rPr>
          <w:lang w:eastAsia="ja-JP"/>
        </w:rPr>
        <w:sectPr w:rsidR="0055291C" w:rsidRPr="007D495F">
          <w:type w:val="continuous"/>
          <w:pgSz w:w="12240" w:h="15840"/>
          <w:pgMar w:top="740" w:right="0" w:bottom="280" w:left="0" w:header="0" w:footer="859" w:gutter="0"/>
          <w:cols w:space="720"/>
        </w:sectPr>
      </w:pPr>
    </w:p>
    <w:p w14:paraId="1E0F3EFF" w14:textId="77777777" w:rsidR="0055291C" w:rsidRDefault="0055291C">
      <w:pPr>
        <w:pStyle w:val="a3"/>
        <w:rPr>
          <w:sz w:val="20"/>
          <w:lang w:eastAsia="ja-JP"/>
        </w:rPr>
      </w:pPr>
    </w:p>
    <w:p w14:paraId="49F08072" w14:textId="77777777" w:rsidR="0055291C" w:rsidRDefault="0055291C">
      <w:pPr>
        <w:pStyle w:val="a3"/>
        <w:rPr>
          <w:sz w:val="20"/>
          <w:lang w:eastAsia="ja-JP"/>
        </w:rPr>
      </w:pPr>
    </w:p>
    <w:p w14:paraId="2A7C7E04" w14:textId="77777777" w:rsidR="0055291C" w:rsidRDefault="0055291C">
      <w:pPr>
        <w:pStyle w:val="a3"/>
        <w:rPr>
          <w:sz w:val="20"/>
          <w:lang w:eastAsia="ja-JP"/>
        </w:rPr>
      </w:pPr>
    </w:p>
    <w:p w14:paraId="04FB28D0" w14:textId="77777777" w:rsidR="0055291C" w:rsidRDefault="0055291C">
      <w:pPr>
        <w:pStyle w:val="a3"/>
        <w:spacing w:before="4"/>
        <w:rPr>
          <w:sz w:val="24"/>
          <w:lang w:eastAsia="ja-JP"/>
        </w:rPr>
      </w:pPr>
    </w:p>
    <w:p w14:paraId="3259605F" w14:textId="77777777" w:rsidR="0055291C" w:rsidRDefault="00000000">
      <w:pPr>
        <w:spacing w:before="1"/>
        <w:ind w:left="6108"/>
        <w:rPr>
          <w:rFonts w:ascii="Arial"/>
          <w:i/>
          <w:sz w:val="19"/>
        </w:rPr>
      </w:pPr>
      <w:r>
        <w:pict w14:anchorId="0212A361">
          <v:shape id="docshape804" o:spid="_x0000_s3009" style="position:absolute;left:0;text-align:left;margin-left:580.75pt;margin-top:-47.75pt;width:31.3pt;height:285.85pt;z-index:251591168;mso-position-horizontal-relative:page" coordorigin="11615,-955" coordsize="626,5717" path="m12240,-955r-625,l11615,4535r3,131l11643,4733r67,25l11842,4761r398,l12240,-955xe" fillcolor="#00aca1" stroked="f">
            <v:path arrowok="t"/>
            <w10:wrap anchorx="page"/>
          </v:shape>
        </w:pict>
      </w:r>
      <w:r w:rsidR="00F23C61">
        <w:rPr>
          <w:rFonts w:ascii="Arial"/>
          <w:b/>
          <w:i/>
          <w:color w:val="7F3F98"/>
          <w:sz w:val="19"/>
        </w:rPr>
        <w:t>CHAPTER</w:t>
      </w:r>
      <w:r w:rsidR="00F23C61">
        <w:rPr>
          <w:rFonts w:ascii="Arial"/>
          <w:b/>
          <w:i/>
          <w:color w:val="7F3F98"/>
          <w:spacing w:val="9"/>
          <w:sz w:val="19"/>
        </w:rPr>
        <w:t xml:space="preserve"> </w:t>
      </w:r>
      <w:r w:rsidR="00F23C61">
        <w:rPr>
          <w:rFonts w:ascii="Arial"/>
          <w:b/>
          <w:i/>
          <w:color w:val="7F3F98"/>
          <w:sz w:val="19"/>
        </w:rPr>
        <w:t>08</w:t>
      </w:r>
      <w:r w:rsidR="00F23C61">
        <w:rPr>
          <w:rFonts w:ascii="Arial"/>
          <w:b/>
          <w:i/>
          <w:color w:val="7F3F98"/>
          <w:spacing w:val="10"/>
          <w:sz w:val="19"/>
        </w:rPr>
        <w:t xml:space="preserve"> </w:t>
      </w:r>
      <w:r w:rsidR="00F23C61">
        <w:rPr>
          <w:rFonts w:ascii="Arial"/>
          <w:i/>
          <w:color w:val="545456"/>
          <w:sz w:val="19"/>
        </w:rPr>
        <w:t>Collecting</w:t>
      </w:r>
      <w:r w:rsidR="00F23C61">
        <w:rPr>
          <w:rFonts w:ascii="Arial"/>
          <w:i/>
          <w:color w:val="545456"/>
          <w:spacing w:val="8"/>
          <w:sz w:val="19"/>
        </w:rPr>
        <w:t xml:space="preserve"> </w:t>
      </w:r>
      <w:r w:rsidR="00F23C61">
        <w:rPr>
          <w:rFonts w:ascii="Arial"/>
          <w:i/>
          <w:color w:val="545456"/>
          <w:sz w:val="19"/>
        </w:rPr>
        <w:t>Data</w:t>
      </w:r>
      <w:r w:rsidR="00F23C61">
        <w:rPr>
          <w:rFonts w:ascii="Arial"/>
          <w:i/>
          <w:color w:val="545456"/>
          <w:spacing w:val="7"/>
          <w:sz w:val="19"/>
        </w:rPr>
        <w:t xml:space="preserve"> </w:t>
      </w:r>
      <w:r w:rsidR="00F23C61">
        <w:rPr>
          <w:rFonts w:ascii="Arial"/>
          <w:i/>
          <w:color w:val="545456"/>
          <w:sz w:val="19"/>
        </w:rPr>
        <w:t>and</w:t>
      </w:r>
      <w:r w:rsidR="00F23C61">
        <w:rPr>
          <w:rFonts w:ascii="Arial"/>
          <w:i/>
          <w:color w:val="545456"/>
          <w:spacing w:val="8"/>
          <w:sz w:val="19"/>
        </w:rPr>
        <w:t xml:space="preserve"> </w:t>
      </w:r>
      <w:r w:rsidR="00F23C61">
        <w:rPr>
          <w:rFonts w:ascii="Arial"/>
          <w:i/>
          <w:color w:val="545456"/>
          <w:sz w:val="19"/>
        </w:rPr>
        <w:t>Assessing</w:t>
      </w:r>
      <w:r w:rsidR="00F23C61">
        <w:rPr>
          <w:rFonts w:ascii="Arial"/>
          <w:i/>
          <w:color w:val="545456"/>
          <w:spacing w:val="7"/>
          <w:sz w:val="19"/>
        </w:rPr>
        <w:t xml:space="preserve"> </w:t>
      </w:r>
      <w:r w:rsidR="00F23C61">
        <w:rPr>
          <w:rFonts w:ascii="Arial"/>
          <w:i/>
          <w:color w:val="545456"/>
          <w:sz w:val="19"/>
        </w:rPr>
        <w:t>Data</w:t>
      </w:r>
      <w:r w:rsidR="00F23C61">
        <w:rPr>
          <w:rFonts w:ascii="Arial"/>
          <w:i/>
          <w:color w:val="545456"/>
          <w:spacing w:val="8"/>
          <w:sz w:val="19"/>
        </w:rPr>
        <w:t xml:space="preserve"> </w:t>
      </w:r>
      <w:r w:rsidR="00F23C61">
        <w:rPr>
          <w:rFonts w:ascii="Arial"/>
          <w:i/>
          <w:color w:val="545456"/>
          <w:sz w:val="19"/>
        </w:rPr>
        <w:t>Quality</w:t>
      </w:r>
    </w:p>
    <w:p w14:paraId="29D2E7D1" w14:textId="77777777" w:rsidR="0055291C" w:rsidRDefault="0055291C">
      <w:pPr>
        <w:pStyle w:val="a3"/>
        <w:rPr>
          <w:rFonts w:ascii="Arial"/>
          <w:i/>
          <w:sz w:val="20"/>
        </w:rPr>
      </w:pPr>
    </w:p>
    <w:p w14:paraId="1B140575" w14:textId="77777777" w:rsidR="0055291C" w:rsidRDefault="0055291C">
      <w:pPr>
        <w:pStyle w:val="a3"/>
        <w:spacing w:before="4"/>
        <w:rPr>
          <w:rFonts w:ascii="Arial"/>
          <w:i/>
          <w:sz w:val="21"/>
        </w:rPr>
      </w:pPr>
    </w:p>
    <w:p w14:paraId="6A222CBF" w14:textId="77777777" w:rsidR="0055291C" w:rsidRDefault="0055291C">
      <w:pPr>
        <w:rPr>
          <w:rFonts w:ascii="Arial"/>
          <w:sz w:val="21"/>
        </w:rPr>
        <w:sectPr w:rsidR="0055291C">
          <w:headerReference w:type="default" r:id="rId180"/>
          <w:footerReference w:type="even" r:id="rId181"/>
          <w:footerReference w:type="default" r:id="rId182"/>
          <w:pgSz w:w="12240" w:h="15840"/>
          <w:pgMar w:top="0" w:right="0" w:bottom="1040" w:left="0" w:header="0" w:footer="859" w:gutter="0"/>
          <w:pgNumType w:start="49"/>
          <w:cols w:space="720"/>
        </w:sectPr>
      </w:pPr>
    </w:p>
    <w:p w14:paraId="3C1B9406" w14:textId="2461B00B" w:rsidR="0055291C" w:rsidRDefault="00EC607F">
      <w:pPr>
        <w:pStyle w:val="3"/>
        <w:numPr>
          <w:ilvl w:val="1"/>
          <w:numId w:val="47"/>
        </w:numPr>
        <w:tabs>
          <w:tab w:val="left" w:pos="1853"/>
          <w:tab w:val="left" w:pos="1854"/>
        </w:tabs>
        <w:ind w:hanging="721"/>
      </w:pPr>
      <w:r>
        <w:rPr>
          <w:rFonts w:ascii="ＭＳ 明朝" w:eastAsia="ＭＳ 明朝" w:hAnsi="ＭＳ 明朝" w:cs="ＭＳ 明朝" w:hint="eastAsia"/>
          <w:color w:val="00ACA1"/>
          <w:lang w:eastAsia="ja-JP"/>
        </w:rPr>
        <w:t>ガイダンス</w:t>
      </w:r>
    </w:p>
    <w:p w14:paraId="090A6E98" w14:textId="5A170873" w:rsidR="0055291C" w:rsidRDefault="00EC607F">
      <w:pPr>
        <w:pStyle w:val="a3"/>
        <w:spacing w:before="54" w:line="312" w:lineRule="auto"/>
        <w:ind w:left="1133" w:right="-10"/>
        <w:rPr>
          <w:lang w:eastAsia="ja-JP"/>
        </w:rPr>
      </w:pPr>
      <w:r>
        <w:rPr>
          <w:rFonts w:ascii="ＭＳ ゴシック" w:eastAsia="ＭＳ ゴシック" w:hAnsi="ＭＳ ゴシック" w:cs="ＭＳ ゴシック" w:hint="eastAsia"/>
          <w:lang w:eastAsia="ja-JP"/>
        </w:rPr>
        <w:t>企業は、データを収集し、データの品質を評価する際に、以下のステップを踏む必要があります。</w:t>
      </w:r>
    </w:p>
    <w:p w14:paraId="70416A79" w14:textId="6C0844AD" w:rsidR="0055291C" w:rsidRDefault="00F23C61">
      <w:pPr>
        <w:pStyle w:val="a3"/>
        <w:spacing w:before="128" w:line="309" w:lineRule="auto"/>
        <w:ind w:left="1853" w:right="-10" w:hanging="720"/>
        <w:rPr>
          <w:lang w:eastAsia="ja-JP"/>
        </w:rPr>
      </w:pPr>
      <w:r>
        <w:rPr>
          <w:rFonts w:ascii="Arial"/>
          <w:b/>
          <w:color w:val="00ACA1"/>
          <w:sz w:val="20"/>
          <w:lang w:eastAsia="ja-JP"/>
        </w:rPr>
        <w:t>Step</w:t>
      </w:r>
      <w:r>
        <w:rPr>
          <w:rFonts w:ascii="Arial"/>
          <w:b/>
          <w:color w:val="00ACA1"/>
          <w:spacing w:val="-6"/>
          <w:sz w:val="20"/>
          <w:lang w:eastAsia="ja-JP"/>
        </w:rPr>
        <w:t xml:space="preserve"> </w:t>
      </w:r>
      <w:r>
        <w:rPr>
          <w:rFonts w:ascii="Arial"/>
          <w:b/>
          <w:color w:val="00ACA1"/>
          <w:sz w:val="20"/>
          <w:lang w:eastAsia="ja-JP"/>
        </w:rPr>
        <w:t>1.</w:t>
      </w:r>
      <w:r>
        <w:rPr>
          <w:rFonts w:ascii="Arial"/>
          <w:b/>
          <w:color w:val="00ACA1"/>
          <w:spacing w:val="29"/>
          <w:sz w:val="20"/>
          <w:lang w:eastAsia="ja-JP"/>
        </w:rPr>
        <w:t xml:space="preserve"> </w:t>
      </w:r>
      <w:r w:rsidR="00EC607F">
        <w:rPr>
          <w:rFonts w:ascii="ＭＳ ゴシック" w:eastAsia="ＭＳ ゴシック" w:hAnsi="ＭＳ ゴシック" w:cs="ＭＳ ゴシック" w:hint="eastAsia"/>
          <w:lang w:eastAsia="ja-JP"/>
        </w:rPr>
        <w:t>データ管理計画を作成し、データ収集と評価のプロセスを完了した時点で文書化する</w:t>
      </w:r>
    </w:p>
    <w:p w14:paraId="189E9913" w14:textId="275A2E11" w:rsidR="0055291C" w:rsidRDefault="00F23C61">
      <w:pPr>
        <w:pStyle w:val="a3"/>
        <w:spacing w:before="129" w:line="304" w:lineRule="auto"/>
        <w:ind w:left="1853" w:right="168" w:hanging="720"/>
        <w:rPr>
          <w:lang w:eastAsia="ja-JP"/>
        </w:rPr>
      </w:pPr>
      <w:r>
        <w:rPr>
          <w:rFonts w:ascii="Arial" w:hAnsi="Arial"/>
          <w:b/>
          <w:color w:val="00ACA1"/>
          <w:sz w:val="20"/>
          <w:lang w:eastAsia="ja-JP"/>
        </w:rPr>
        <w:t>Step</w:t>
      </w:r>
      <w:r>
        <w:rPr>
          <w:rFonts w:ascii="Arial" w:hAnsi="Arial"/>
          <w:b/>
          <w:color w:val="00ACA1"/>
          <w:spacing w:val="-9"/>
          <w:sz w:val="20"/>
          <w:lang w:eastAsia="ja-JP"/>
        </w:rPr>
        <w:t xml:space="preserve"> </w:t>
      </w:r>
      <w:r>
        <w:rPr>
          <w:rFonts w:ascii="Arial" w:hAnsi="Arial"/>
          <w:b/>
          <w:color w:val="00ACA1"/>
          <w:sz w:val="20"/>
          <w:lang w:eastAsia="ja-JP"/>
        </w:rPr>
        <w:t>2.</w:t>
      </w:r>
      <w:r>
        <w:rPr>
          <w:rFonts w:ascii="Arial" w:hAnsi="Arial"/>
          <w:b/>
          <w:color w:val="00ACA1"/>
          <w:spacing w:val="22"/>
          <w:sz w:val="20"/>
          <w:lang w:eastAsia="ja-JP"/>
        </w:rPr>
        <w:t xml:space="preserve"> </w:t>
      </w:r>
      <w:r w:rsidR="00EC607F">
        <w:rPr>
          <w:rFonts w:ascii="ＭＳ ゴシック" w:eastAsia="ＭＳ ゴシック" w:hAnsi="ＭＳ ゴシック" w:cs="ＭＳ ゴシック" w:hint="eastAsia"/>
          <w:lang w:eastAsia="ja-JP"/>
        </w:rPr>
        <w:t>製品の工程表を使用して、すべてのデータニーズを特定する</w:t>
      </w:r>
      <w:r w:rsidR="00EC607F">
        <w:rPr>
          <w:lang w:eastAsia="ja-JP"/>
        </w:rPr>
        <w:t xml:space="preserve"> </w:t>
      </w:r>
    </w:p>
    <w:p w14:paraId="17631DC9" w14:textId="2F7A9FEC" w:rsidR="0055291C" w:rsidRDefault="00F23C61">
      <w:pPr>
        <w:pStyle w:val="a3"/>
        <w:spacing w:before="134" w:line="304" w:lineRule="auto"/>
        <w:ind w:left="1853" w:right="920" w:hanging="720"/>
        <w:rPr>
          <w:lang w:eastAsia="ja-JP"/>
        </w:rPr>
      </w:pPr>
      <w:r>
        <w:rPr>
          <w:rFonts w:ascii="Arial"/>
          <w:b/>
          <w:color w:val="00ACA1"/>
          <w:sz w:val="20"/>
          <w:lang w:eastAsia="ja-JP"/>
        </w:rPr>
        <w:t>Step</w:t>
      </w:r>
      <w:r>
        <w:rPr>
          <w:rFonts w:ascii="Arial"/>
          <w:b/>
          <w:color w:val="00ACA1"/>
          <w:spacing w:val="-11"/>
          <w:sz w:val="20"/>
          <w:lang w:eastAsia="ja-JP"/>
        </w:rPr>
        <w:t xml:space="preserve"> </w:t>
      </w:r>
      <w:r>
        <w:rPr>
          <w:rFonts w:ascii="Arial"/>
          <w:b/>
          <w:color w:val="00ACA1"/>
          <w:sz w:val="20"/>
          <w:lang w:eastAsia="ja-JP"/>
        </w:rPr>
        <w:t>3.</w:t>
      </w:r>
      <w:r>
        <w:rPr>
          <w:rFonts w:ascii="Arial"/>
          <w:b/>
          <w:color w:val="00ACA1"/>
          <w:spacing w:val="18"/>
          <w:sz w:val="20"/>
          <w:lang w:eastAsia="ja-JP"/>
        </w:rPr>
        <w:t xml:space="preserve"> </w:t>
      </w:r>
      <w:r w:rsidR="00EC607F">
        <w:rPr>
          <w:rFonts w:ascii="ＭＳ ゴシック" w:eastAsia="ＭＳ ゴシック" w:hAnsi="ＭＳ ゴシック" w:cs="ＭＳ ゴシック" w:hint="eastAsia"/>
          <w:lang w:eastAsia="ja-JP"/>
        </w:rPr>
        <w:t>データ収集の焦点を絞るためのスクリーニングを実施する</w:t>
      </w:r>
    </w:p>
    <w:p w14:paraId="507A5E1E" w14:textId="74ECB4F2" w:rsidR="0055291C" w:rsidRDefault="00F23C61">
      <w:pPr>
        <w:spacing w:before="135"/>
        <w:ind w:left="1133"/>
        <w:rPr>
          <w:sz w:val="19"/>
          <w:lang w:eastAsia="ja-JP"/>
        </w:rPr>
      </w:pPr>
      <w:r>
        <w:rPr>
          <w:rFonts w:ascii="Arial"/>
          <w:b/>
          <w:color w:val="00ACA1"/>
          <w:sz w:val="20"/>
          <w:lang w:eastAsia="ja-JP"/>
        </w:rPr>
        <w:t>Step</w:t>
      </w:r>
      <w:r>
        <w:rPr>
          <w:rFonts w:ascii="Arial"/>
          <w:b/>
          <w:color w:val="00ACA1"/>
          <w:spacing w:val="-4"/>
          <w:sz w:val="20"/>
          <w:lang w:eastAsia="ja-JP"/>
        </w:rPr>
        <w:t xml:space="preserve"> </w:t>
      </w:r>
      <w:r>
        <w:rPr>
          <w:rFonts w:ascii="Arial"/>
          <w:b/>
          <w:color w:val="00ACA1"/>
          <w:sz w:val="20"/>
          <w:lang w:eastAsia="ja-JP"/>
        </w:rPr>
        <w:t>4.</w:t>
      </w:r>
      <w:r w:rsidR="00EC607F" w:rsidRPr="00EC607F">
        <w:rPr>
          <w:lang w:eastAsia="ja-JP"/>
        </w:rPr>
        <w:t xml:space="preserve"> </w:t>
      </w:r>
      <w:r w:rsidR="00EC607F" w:rsidRPr="00EC607F">
        <w:rPr>
          <w:rFonts w:ascii="ＭＳ ゴシック" w:eastAsia="ＭＳ ゴシック" w:hAnsi="ＭＳ ゴシック" w:cs="ＭＳ ゴシック" w:hint="eastAsia"/>
          <w:sz w:val="19"/>
          <w:szCs w:val="19"/>
          <w:lang w:eastAsia="ja-JP"/>
        </w:rPr>
        <w:t>データの種類を特定する</w:t>
      </w:r>
    </w:p>
    <w:p w14:paraId="01798449" w14:textId="20C1069E" w:rsidR="0055291C" w:rsidRDefault="00F23C61">
      <w:pPr>
        <w:pStyle w:val="a3"/>
        <w:spacing w:before="190" w:line="304" w:lineRule="auto"/>
        <w:ind w:left="1853" w:right="168" w:hanging="720"/>
        <w:rPr>
          <w:lang w:eastAsia="ja-JP"/>
        </w:rPr>
      </w:pPr>
      <w:r>
        <w:rPr>
          <w:rFonts w:ascii="Arial"/>
          <w:b/>
          <w:color w:val="00ACA1"/>
          <w:sz w:val="20"/>
          <w:lang w:eastAsia="ja-JP"/>
        </w:rPr>
        <w:t>Step</w:t>
      </w:r>
      <w:r>
        <w:rPr>
          <w:rFonts w:ascii="Arial"/>
          <w:b/>
          <w:color w:val="00ACA1"/>
          <w:spacing w:val="-7"/>
          <w:sz w:val="20"/>
          <w:lang w:eastAsia="ja-JP"/>
        </w:rPr>
        <w:t xml:space="preserve"> </w:t>
      </w:r>
      <w:r>
        <w:rPr>
          <w:rFonts w:ascii="Arial"/>
          <w:b/>
          <w:color w:val="00ACA1"/>
          <w:sz w:val="20"/>
          <w:lang w:eastAsia="ja-JP"/>
        </w:rPr>
        <w:t>5.</w:t>
      </w:r>
      <w:r>
        <w:rPr>
          <w:rFonts w:ascii="Arial"/>
          <w:b/>
          <w:color w:val="00ACA1"/>
          <w:spacing w:val="26"/>
          <w:sz w:val="20"/>
          <w:lang w:eastAsia="ja-JP"/>
        </w:rPr>
        <w:t xml:space="preserve"> </w:t>
      </w:r>
      <w:r w:rsidR="00EC607F">
        <w:rPr>
          <w:rFonts w:ascii="ＭＳ ゴシック" w:eastAsia="ＭＳ ゴシック" w:hAnsi="ＭＳ ゴシック" w:cs="ＭＳ ゴシック" w:hint="eastAsia"/>
          <w:lang w:eastAsia="ja-JP"/>
        </w:rPr>
        <w:t>報告企業の所有または管理下にある全プロセ</w:t>
      </w:r>
      <w:r w:rsidR="00EC607F">
        <w:rPr>
          <w:lang w:eastAsia="ja-JP"/>
        </w:rPr>
        <w:t xml:space="preserve"> </w:t>
      </w:r>
      <w:r w:rsidR="00EC607F">
        <w:rPr>
          <w:rFonts w:ascii="ＭＳ ゴシック" w:eastAsia="ＭＳ ゴシック" w:hAnsi="ＭＳ ゴシック" w:cs="ＭＳ ゴシック" w:hint="eastAsia"/>
          <w:lang w:eastAsia="ja-JP"/>
        </w:rPr>
        <w:t>スの一次データを収集する</w:t>
      </w:r>
    </w:p>
    <w:p w14:paraId="2DD4A0C3" w14:textId="23CC0155" w:rsidR="0055291C" w:rsidRDefault="00F23C61">
      <w:pPr>
        <w:pStyle w:val="a3"/>
        <w:spacing w:before="135" w:line="309" w:lineRule="auto"/>
        <w:ind w:left="1853" w:right="52" w:hanging="720"/>
        <w:rPr>
          <w:lang w:eastAsia="ja-JP"/>
        </w:rPr>
      </w:pPr>
      <w:r>
        <w:rPr>
          <w:rFonts w:ascii="Arial"/>
          <w:b/>
          <w:color w:val="00ACA1"/>
          <w:sz w:val="20"/>
          <w:lang w:eastAsia="ja-JP"/>
        </w:rPr>
        <w:t xml:space="preserve">Step 6. </w:t>
      </w:r>
      <w:r w:rsidR="00EC607F">
        <w:rPr>
          <w:rFonts w:ascii="ＭＳ ゴシック" w:eastAsia="ＭＳ ゴシック" w:hAnsi="ＭＳ ゴシック" w:cs="ＭＳ ゴシック" w:hint="eastAsia"/>
          <w:lang w:eastAsia="ja-JP"/>
        </w:rPr>
        <w:t>その他の全ての工程について、一次データまたは二次データを収集する。直接排出データ、</w:t>
      </w:r>
      <w:r w:rsidR="00EC607F">
        <w:rPr>
          <w:lang w:eastAsia="ja-JP"/>
        </w:rPr>
        <w:t xml:space="preserve"> </w:t>
      </w:r>
      <w:r w:rsidR="00EC607F">
        <w:rPr>
          <w:rFonts w:ascii="ＭＳ ゴシック" w:eastAsia="ＭＳ ゴシック" w:hAnsi="ＭＳ ゴシック" w:cs="ＭＳ ゴシック" w:hint="eastAsia"/>
          <w:lang w:eastAsia="ja-JP"/>
        </w:rPr>
        <w:t>活動量データ、排出係数を収集する際に、そのデータの質を評価し、文書化する。</w:t>
      </w:r>
    </w:p>
    <w:p w14:paraId="5128342E" w14:textId="77777777" w:rsidR="0055291C" w:rsidRDefault="00F23C61">
      <w:pPr>
        <w:rPr>
          <w:sz w:val="20"/>
          <w:lang w:eastAsia="ja-JP"/>
        </w:rPr>
      </w:pPr>
      <w:r>
        <w:rPr>
          <w:lang w:eastAsia="ja-JP"/>
        </w:rPr>
        <w:br w:type="column"/>
      </w:r>
    </w:p>
    <w:p w14:paraId="0E6697CD" w14:textId="77777777" w:rsidR="0055291C" w:rsidRDefault="0055291C">
      <w:pPr>
        <w:pStyle w:val="a3"/>
        <w:spacing w:before="9"/>
        <w:rPr>
          <w:sz w:val="16"/>
          <w:lang w:eastAsia="ja-JP"/>
        </w:rPr>
      </w:pPr>
    </w:p>
    <w:p w14:paraId="10DA4F6B" w14:textId="06B4BDC2" w:rsidR="0055291C" w:rsidRDefault="00F23C61">
      <w:pPr>
        <w:pStyle w:val="a3"/>
        <w:spacing w:line="309" w:lineRule="auto"/>
        <w:ind w:left="968" w:right="1282" w:hanging="720"/>
        <w:rPr>
          <w:lang w:eastAsia="ja-JP"/>
        </w:rPr>
      </w:pPr>
      <w:r>
        <w:rPr>
          <w:rFonts w:ascii="Arial"/>
          <w:b/>
          <w:color w:val="00ACA1"/>
          <w:sz w:val="20"/>
          <w:lang w:eastAsia="ja-JP"/>
        </w:rPr>
        <w:t>Step</w:t>
      </w:r>
      <w:r>
        <w:rPr>
          <w:rFonts w:ascii="Arial"/>
          <w:b/>
          <w:color w:val="00ACA1"/>
          <w:spacing w:val="-10"/>
          <w:sz w:val="20"/>
          <w:lang w:eastAsia="ja-JP"/>
        </w:rPr>
        <w:t xml:space="preserve"> </w:t>
      </w:r>
      <w:r>
        <w:rPr>
          <w:rFonts w:ascii="Arial"/>
          <w:b/>
          <w:color w:val="00ACA1"/>
          <w:sz w:val="20"/>
          <w:lang w:eastAsia="ja-JP"/>
        </w:rPr>
        <w:t>7.</w:t>
      </w:r>
      <w:r w:rsidR="00EC607F">
        <w:rPr>
          <w:rFonts w:ascii="ＭＳ ゴシック" w:eastAsia="ＭＳ ゴシック" w:hAnsi="ＭＳ ゴシック" w:cs="ＭＳ ゴシック" w:hint="eastAsia"/>
          <w:lang w:eastAsia="ja-JP"/>
        </w:rPr>
        <w:t>算出結果に大きな影響を与えるプロセスを中心に、データの品質を向上させる</w:t>
      </w:r>
    </w:p>
    <w:p w14:paraId="22257B56" w14:textId="3FA84C06" w:rsidR="0055291C" w:rsidRDefault="00000000">
      <w:pPr>
        <w:pStyle w:val="a3"/>
        <w:spacing w:before="141" w:line="312" w:lineRule="auto"/>
        <w:ind w:left="248" w:right="1359"/>
        <w:rPr>
          <w:lang w:eastAsia="ja-JP"/>
        </w:rPr>
      </w:pPr>
      <w:r>
        <w:pict w14:anchorId="20127032">
          <v:shape id="docshape805" o:spid="_x0000_s3008" type="#_x0000_t202" style="position:absolute;left:0;text-align:left;margin-left:585.65pt;margin-top:-10.8pt;width:17.7pt;height:119.1pt;z-index:251592192;mso-position-horizontal-relative:page" filled="f" stroked="f">
            <v:textbox style="layout-flow:vertical;mso-layout-flow-alt:bottom-to-top;mso-next-textbox:#docshape805" inset="0,0,0,0">
              <w:txbxContent>
                <w:p w14:paraId="02004287"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v:shape>
        </w:pict>
      </w:r>
      <w:r w:rsidR="00EC607F">
        <w:rPr>
          <w:rFonts w:ascii="ＭＳ ゴシック" w:eastAsia="ＭＳ ゴシック" w:hAnsi="ＭＳ ゴシック" w:cs="ＭＳ ゴシック" w:hint="eastAsia"/>
          <w:lang w:eastAsia="ja-JP"/>
        </w:rPr>
        <w:t>次のセクションでは、これらの各ステップを完了する</w:t>
      </w:r>
      <w:r w:rsidR="00EC607F">
        <w:rPr>
          <w:lang w:eastAsia="ja-JP"/>
        </w:rPr>
        <w:t xml:space="preserve"> </w:t>
      </w:r>
      <w:r w:rsidR="00EC607F">
        <w:rPr>
          <w:rFonts w:ascii="ＭＳ ゴシック" w:eastAsia="ＭＳ ゴシック" w:hAnsi="ＭＳ ゴシック" w:cs="ＭＳ ゴシック" w:hint="eastAsia"/>
          <w:lang w:eastAsia="ja-JP"/>
        </w:rPr>
        <w:t>ためのガイダンスを提供します。</w:t>
      </w:r>
    </w:p>
    <w:p w14:paraId="12F96651" w14:textId="2EA0D7F3" w:rsidR="0055291C" w:rsidRDefault="00EC607F">
      <w:pPr>
        <w:pStyle w:val="7"/>
        <w:numPr>
          <w:ilvl w:val="2"/>
          <w:numId w:val="46"/>
        </w:numPr>
        <w:tabs>
          <w:tab w:val="left" w:pos="1016"/>
          <w:tab w:val="left" w:pos="1017"/>
        </w:tabs>
        <w:spacing w:before="128"/>
        <w:ind w:hanging="769"/>
        <w:jc w:val="left"/>
      </w:pPr>
      <w:r>
        <w:rPr>
          <w:rFonts w:ascii="ＭＳ 明朝" w:eastAsia="ＭＳ 明朝" w:hAnsi="ＭＳ 明朝" w:cs="ＭＳ 明朝" w:hint="eastAsia"/>
          <w:color w:val="00B8B1"/>
          <w:lang w:eastAsia="ja-JP"/>
        </w:rPr>
        <w:t>データ管理計画</w:t>
      </w:r>
    </w:p>
    <w:p w14:paraId="41F310C8" w14:textId="163E2401" w:rsidR="0055291C" w:rsidRDefault="00EC607F">
      <w:pPr>
        <w:pStyle w:val="a3"/>
        <w:spacing w:before="3" w:line="312" w:lineRule="auto"/>
        <w:ind w:left="248" w:right="1706"/>
        <w:rPr>
          <w:lang w:eastAsia="ja-JP"/>
        </w:rPr>
      </w:pPr>
      <w:r>
        <w:rPr>
          <w:rFonts w:ascii="ＭＳ ゴシック" w:eastAsia="ＭＳ ゴシック" w:hAnsi="ＭＳ ゴシック" w:cs="ＭＳ ゴシック" w:hint="eastAsia"/>
          <w:lang w:eastAsia="ja-JP"/>
        </w:rPr>
        <w:t>データ管理計画は、企業がデータソース、仮定、データ品質など、データ収集プロセスを整理し、一貫して</w:t>
      </w:r>
      <w:r>
        <w:rPr>
          <w:lang w:eastAsia="ja-JP"/>
        </w:rPr>
        <w:t xml:space="preserve"> </w:t>
      </w:r>
      <w:r>
        <w:rPr>
          <w:rFonts w:ascii="ＭＳ ゴシック" w:eastAsia="ＭＳ ゴシック" w:hAnsi="ＭＳ ゴシック" w:cs="ＭＳ ゴシック" w:hint="eastAsia"/>
          <w:lang w:eastAsia="ja-JP"/>
        </w:rPr>
        <w:t>文書化するためのツールで</w:t>
      </w:r>
      <w:r w:rsidR="00A64054">
        <w:rPr>
          <w:rFonts w:ascii="ＭＳ ゴシック" w:eastAsia="ＭＳ ゴシック" w:hAnsi="ＭＳ ゴシック" w:cs="ＭＳ ゴシック" w:hint="eastAsia"/>
          <w:lang w:eastAsia="ja-JP"/>
        </w:rPr>
        <w:t>す</w:t>
      </w:r>
      <w:r>
        <w:rPr>
          <w:rFonts w:ascii="ＭＳ ゴシック" w:eastAsia="ＭＳ ゴシック" w:hAnsi="ＭＳ ゴシック" w:cs="ＭＳ ゴシック" w:hint="eastAsia"/>
          <w:lang w:eastAsia="ja-JP"/>
        </w:rPr>
        <w:t>。データ収集プロセスを文書化することは、時間の経過とともにデータの質を向上させ、保証の準備をし、製品のライフサイクルの変化を反映して将来の製品</w:t>
      </w:r>
      <w:r w:rsidR="00A64054">
        <w:rPr>
          <w:rFonts w:ascii="ＭＳ ゴシック" w:eastAsia="ＭＳ ゴシック" w:hAnsi="ＭＳ ゴシック" w:cs="ＭＳ ゴシック" w:hint="eastAsia"/>
          <w:lang w:eastAsia="ja-JP"/>
        </w:rPr>
        <w:t>GHG排出</w:t>
      </w:r>
      <w:r>
        <w:rPr>
          <w:rFonts w:ascii="ＭＳ ゴシック" w:eastAsia="ＭＳ ゴシック" w:hAnsi="ＭＳ ゴシック" w:cs="ＭＳ ゴシック" w:hint="eastAsia"/>
          <w:lang w:eastAsia="ja-JP"/>
        </w:rPr>
        <w:t>を改訂するのに有効</w:t>
      </w:r>
      <w:r w:rsidR="00A64054">
        <w:rPr>
          <w:rFonts w:ascii="ＭＳ ゴシック" w:eastAsia="ＭＳ ゴシック" w:hAnsi="ＭＳ ゴシック" w:cs="ＭＳ ゴシック" w:hint="eastAsia"/>
          <w:lang w:eastAsia="ja-JP"/>
        </w:rPr>
        <w:t>となります</w:t>
      </w:r>
      <w:r>
        <w:rPr>
          <w:rFonts w:ascii="ＭＳ ゴシック" w:eastAsia="ＭＳ ゴシック" w:hAnsi="ＭＳ ゴシック" w:cs="ＭＳ ゴシック" w:hint="eastAsia"/>
          <w:lang w:eastAsia="ja-JP"/>
        </w:rPr>
        <w:t>。すべての関連情報が文書化されている</w:t>
      </w:r>
      <w:r w:rsidR="00A64054">
        <w:rPr>
          <w:rFonts w:ascii="ＭＳ ゴシック" w:eastAsia="ＭＳ ゴシック" w:hAnsi="ＭＳ ゴシック" w:cs="ＭＳ ゴシック" w:hint="eastAsia"/>
          <w:lang w:eastAsia="ja-JP"/>
        </w:rPr>
        <w:t>ことを確認するために</w:t>
      </w:r>
      <w:r>
        <w:rPr>
          <w:rFonts w:ascii="ＭＳ ゴシック" w:eastAsia="ＭＳ ゴシック" w:hAnsi="ＭＳ ゴシック" w:cs="ＭＳ ゴシック" w:hint="eastAsia"/>
          <w:lang w:eastAsia="ja-JP"/>
        </w:rPr>
        <w:t>、</w:t>
      </w:r>
      <w:r w:rsidR="00A64054">
        <w:rPr>
          <w:rFonts w:ascii="ＭＳ ゴシック" w:eastAsia="ＭＳ ゴシック" w:hAnsi="ＭＳ ゴシック" w:cs="ＭＳ ゴシック" w:hint="eastAsia"/>
          <w:lang w:eastAsia="ja-JP"/>
        </w:rPr>
        <w:t>算出</w:t>
      </w:r>
      <w:r>
        <w:rPr>
          <w:rFonts w:ascii="ＭＳ ゴシック" w:eastAsia="ＭＳ ゴシック" w:hAnsi="ＭＳ ゴシック" w:cs="ＭＳ ゴシック" w:hint="eastAsia"/>
          <w:lang w:eastAsia="ja-JP"/>
        </w:rPr>
        <w:t>プロセスの早い段階でデータ管理計画を策定する必要があ</w:t>
      </w:r>
      <w:r w:rsidR="00A64054">
        <w:rPr>
          <w:rFonts w:ascii="ＭＳ ゴシック" w:eastAsia="ＭＳ ゴシック" w:hAnsi="ＭＳ ゴシック" w:cs="ＭＳ ゴシック" w:hint="eastAsia"/>
          <w:lang w:eastAsia="ja-JP"/>
        </w:rPr>
        <w:t>ります</w:t>
      </w:r>
      <w:r>
        <w:rPr>
          <w:rFonts w:ascii="ＭＳ ゴシック" w:eastAsia="ＭＳ ゴシック" w:hAnsi="ＭＳ ゴシック" w:cs="ＭＳ ゴシック" w:hint="eastAsia"/>
          <w:lang w:eastAsia="ja-JP"/>
        </w:rPr>
        <w:t>。データ管理計画の作成および実施方法に関する詳細なガイダンスは、付録</w:t>
      </w:r>
      <w:r>
        <w:rPr>
          <w:lang w:eastAsia="ja-JP"/>
        </w:rPr>
        <w:t>C</w:t>
      </w:r>
      <w:r>
        <w:rPr>
          <w:rFonts w:ascii="ＭＳ ゴシック" w:eastAsia="ＭＳ ゴシック" w:hAnsi="ＭＳ ゴシック" w:cs="ＭＳ ゴシック" w:hint="eastAsia"/>
          <w:lang w:eastAsia="ja-JP"/>
        </w:rPr>
        <w:t>に記載されてい</w:t>
      </w:r>
      <w:r w:rsidR="00A64054">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w:t>
      </w:r>
    </w:p>
    <w:p w14:paraId="24D7A066"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973" w:space="40"/>
            <w:col w:w="6227"/>
          </w:cols>
        </w:sectPr>
      </w:pPr>
    </w:p>
    <w:p w14:paraId="7F31376D" w14:textId="77777777" w:rsidR="0055291C" w:rsidRDefault="0055291C">
      <w:pPr>
        <w:pStyle w:val="a3"/>
        <w:rPr>
          <w:sz w:val="20"/>
          <w:lang w:eastAsia="ja-JP"/>
        </w:rPr>
      </w:pPr>
    </w:p>
    <w:p w14:paraId="1E2850A7" w14:textId="77777777" w:rsidR="0055291C" w:rsidRDefault="0055291C">
      <w:pPr>
        <w:pStyle w:val="a3"/>
        <w:spacing w:before="10"/>
        <w:rPr>
          <w:sz w:val="21"/>
          <w:lang w:eastAsia="ja-JP"/>
        </w:rPr>
      </w:pPr>
    </w:p>
    <w:p w14:paraId="0BAADA7B" w14:textId="61106BAB" w:rsidR="0055291C" w:rsidRDefault="00000000">
      <w:pPr>
        <w:pStyle w:val="3"/>
        <w:spacing w:before="0"/>
        <w:ind w:left="1366"/>
        <w:rPr>
          <w:lang w:eastAsia="ja-JP"/>
        </w:rPr>
      </w:pPr>
      <w:r>
        <w:pict w14:anchorId="7E66EB3B">
          <v:group id="docshapegroup806" o:spid="_x0000_s3003" style="position:absolute;left:0;text-align:left;margin-left:54pt;margin-top:-6.55pt;width:506.5pt;height:342pt;z-index:-251572736;mso-position-horizontal-relative:page" coordorigin="1080,-131" coordsize="10130,6840">
            <v:shape id="docshape807" o:spid="_x0000_s3007" style="position:absolute;left:1156;top:342;width:9973;height:6367" coordorigin="1157,342" coordsize="9973,6367" path="m11129,342r-9972,l1157,6482r3,131l1185,6680r67,25l1383,6709r9519,l11033,6705r67,-25l11125,6613r4,-131l11129,342xe" fillcolor="#f3f4f4" stroked="f">
              <v:path arrowok="t"/>
            </v:shape>
            <v:shape id="docshape808" o:spid="_x0000_s3006" style="position:absolute;left:1156;top:-132;width:9973;height:545" coordorigin="1157,-131" coordsize="9973,545" path="m10902,-131r-9519,l1252,-128r-67,25l1160,-36r-3,132l1157,413r9972,l11129,96r-4,-132l11100,-103r-67,-25l10902,-131xe" fillcolor="#00aca1" stroked="f">
              <v:path arrowok="t"/>
            </v:shape>
            <v:line id="_x0000_s3005" style="position:absolute" from="1080,429" to="11209,429" strokecolor="white" strokeweight="3pt"/>
            <v:rect id="docshape809" o:spid="_x0000_s3004" style="position:absolute;left:8280;top:6321;width:2564;height:141" fillcolor="#545456" stroked="f"/>
            <w10:wrap anchorx="page"/>
          </v:group>
        </w:pict>
      </w:r>
      <w:r w:rsidR="00A64054">
        <w:rPr>
          <w:rFonts w:ascii="ＭＳ 明朝" w:eastAsia="ＭＳ 明朝" w:hAnsi="ＭＳ 明朝" w:cs="ＭＳ 明朝" w:hint="eastAsia"/>
          <w:color w:val="F3F4F4"/>
          <w:lang w:eastAsia="ja-JP"/>
        </w:rPr>
        <w:t>ペプシコ社</w:t>
      </w:r>
    </w:p>
    <w:p w14:paraId="348C62EC" w14:textId="77777777" w:rsidR="0055291C" w:rsidRDefault="0055291C">
      <w:pPr>
        <w:pStyle w:val="a3"/>
        <w:spacing w:before="3"/>
        <w:rPr>
          <w:rFonts w:ascii="Arial"/>
          <w:b/>
          <w:i/>
          <w:sz w:val="24"/>
          <w:lang w:eastAsia="ja-JP"/>
        </w:rPr>
      </w:pPr>
    </w:p>
    <w:p w14:paraId="08BBC118" w14:textId="77777777" w:rsidR="0055291C" w:rsidRDefault="0055291C">
      <w:pPr>
        <w:rPr>
          <w:rFonts w:ascii="Arial"/>
          <w:sz w:val="24"/>
          <w:lang w:eastAsia="ja-JP"/>
        </w:rPr>
        <w:sectPr w:rsidR="0055291C">
          <w:type w:val="continuous"/>
          <w:pgSz w:w="12240" w:h="15840"/>
          <w:pgMar w:top="740" w:right="0" w:bottom="280" w:left="0" w:header="0" w:footer="859" w:gutter="0"/>
          <w:cols w:space="720"/>
        </w:sectPr>
      </w:pPr>
    </w:p>
    <w:p w14:paraId="25EB6287" w14:textId="44A97D08" w:rsidR="0055291C" w:rsidRPr="006849DD" w:rsidRDefault="006849DD" w:rsidP="007E180A">
      <w:pPr>
        <w:spacing w:before="102" w:line="328" w:lineRule="auto"/>
        <w:ind w:left="1383" w:firstLineChars="100" w:firstLine="190"/>
        <w:rPr>
          <w:rFonts w:ascii="ＭＳ ゴシック" w:eastAsia="ＭＳ ゴシック" w:hAnsi="ＭＳ ゴシック" w:cs="ＭＳ ゴシック"/>
          <w:sz w:val="19"/>
          <w:szCs w:val="19"/>
          <w:lang w:eastAsia="ja-JP"/>
        </w:rPr>
      </w:pPr>
      <w:r w:rsidRPr="006849DD">
        <w:rPr>
          <w:rFonts w:ascii="ＭＳ ゴシック" w:eastAsia="ＭＳ ゴシック" w:hAnsi="ＭＳ ゴシック" w:cs="ＭＳ ゴシック" w:hint="eastAsia"/>
          <w:sz w:val="19"/>
          <w:szCs w:val="19"/>
          <w:lang w:eastAsia="ja-JP"/>
        </w:rPr>
        <w:t>ペプシコ社（</w:t>
      </w:r>
      <w:r w:rsidR="003040CC" w:rsidRPr="006849DD">
        <w:rPr>
          <w:rFonts w:ascii="ＭＳ ゴシック" w:eastAsia="ＭＳ ゴシック" w:hAnsi="ＭＳ ゴシック"/>
          <w:sz w:val="19"/>
          <w:szCs w:val="19"/>
          <w:lang w:eastAsia="ja-JP"/>
        </w:rPr>
        <w:t>PepsiCo, Inc.</w:t>
      </w:r>
      <w:r w:rsidRPr="006849DD">
        <w:rPr>
          <w:rFonts w:ascii="ＭＳ ゴシック" w:eastAsia="ＭＳ ゴシック" w:hAnsi="ＭＳ ゴシック" w:cs="ＭＳ ゴシック" w:hint="eastAsia"/>
          <w:sz w:val="19"/>
          <w:szCs w:val="19"/>
          <w:lang w:eastAsia="ja-JP"/>
        </w:rPr>
        <w:t>）</w:t>
      </w:r>
      <w:r w:rsidR="003040CC" w:rsidRPr="006849DD">
        <w:rPr>
          <w:rFonts w:ascii="ＭＳ ゴシック" w:eastAsia="ＭＳ ゴシック" w:hAnsi="ＭＳ ゴシック" w:cs="ＭＳ ゴシック" w:hint="eastAsia"/>
          <w:sz w:val="19"/>
          <w:szCs w:val="19"/>
          <w:lang w:eastAsia="ja-JP"/>
        </w:rPr>
        <w:t>は、</w:t>
      </w:r>
      <w:r w:rsidR="003040CC" w:rsidRPr="006849DD">
        <w:rPr>
          <w:rFonts w:ascii="ＭＳ ゴシック" w:eastAsia="ＭＳ ゴシック" w:hAnsi="ＭＳ ゴシック"/>
          <w:sz w:val="19"/>
          <w:szCs w:val="19"/>
          <w:lang w:eastAsia="ja-JP"/>
        </w:rPr>
        <w:t>Pepsi</w:t>
      </w:r>
      <w:r w:rsidR="003040CC" w:rsidRPr="006849DD">
        <w:rPr>
          <w:rFonts w:ascii="ＭＳ ゴシック" w:eastAsia="ＭＳ ゴシック" w:hAnsi="ＭＳ ゴシック" w:cs="ＭＳ ゴシック" w:hint="eastAsia"/>
          <w:sz w:val="19"/>
          <w:szCs w:val="19"/>
          <w:lang w:eastAsia="ja-JP"/>
        </w:rPr>
        <w:t>、</w:t>
      </w:r>
      <w:r w:rsidR="003040CC" w:rsidRPr="006849DD">
        <w:rPr>
          <w:rFonts w:ascii="ＭＳ ゴシック" w:eastAsia="ＭＳ ゴシック" w:hAnsi="ＭＳ ゴシック"/>
          <w:sz w:val="19"/>
          <w:szCs w:val="19"/>
          <w:lang w:eastAsia="ja-JP"/>
        </w:rPr>
        <w:t>Lay's</w:t>
      </w:r>
      <w:r w:rsidR="003040CC" w:rsidRPr="006849DD">
        <w:rPr>
          <w:rFonts w:ascii="ＭＳ ゴシック" w:eastAsia="ＭＳ ゴシック" w:hAnsi="ＭＳ ゴシック" w:cs="ＭＳ ゴシック" w:hint="eastAsia"/>
          <w:sz w:val="19"/>
          <w:szCs w:val="19"/>
          <w:lang w:eastAsia="ja-JP"/>
        </w:rPr>
        <w:t>、</w:t>
      </w:r>
      <w:r w:rsidR="003040CC" w:rsidRPr="006849DD">
        <w:rPr>
          <w:rFonts w:ascii="ＭＳ ゴシック" w:eastAsia="ＭＳ ゴシック" w:hAnsi="ＭＳ ゴシック"/>
          <w:sz w:val="19"/>
          <w:szCs w:val="19"/>
          <w:lang w:eastAsia="ja-JP"/>
        </w:rPr>
        <w:t>Quaker Oats</w:t>
      </w:r>
      <w:r w:rsidR="003040CC" w:rsidRPr="006849DD">
        <w:rPr>
          <w:rFonts w:ascii="ＭＳ ゴシック" w:eastAsia="ＭＳ ゴシック" w:hAnsi="ＭＳ ゴシック" w:cs="ＭＳ ゴシック" w:hint="eastAsia"/>
          <w:sz w:val="19"/>
          <w:szCs w:val="19"/>
          <w:lang w:eastAsia="ja-JP"/>
        </w:rPr>
        <w:t>、</w:t>
      </w:r>
      <w:r w:rsidR="003040CC" w:rsidRPr="006849DD">
        <w:rPr>
          <w:rFonts w:ascii="ＭＳ ゴシック" w:eastAsia="ＭＳ ゴシック" w:hAnsi="ＭＳ ゴシック"/>
          <w:sz w:val="19"/>
          <w:szCs w:val="19"/>
          <w:lang w:eastAsia="ja-JP"/>
        </w:rPr>
        <w:t xml:space="preserve"> Gatorade</w:t>
      </w:r>
      <w:r w:rsidR="003040CC" w:rsidRPr="006849DD">
        <w:rPr>
          <w:rFonts w:ascii="ＭＳ ゴシック" w:eastAsia="ＭＳ ゴシック" w:hAnsi="ＭＳ ゴシック" w:cs="ＭＳ ゴシック" w:hint="eastAsia"/>
          <w:sz w:val="19"/>
          <w:szCs w:val="19"/>
          <w:lang w:eastAsia="ja-JP"/>
        </w:rPr>
        <w:t>、</w:t>
      </w:r>
      <w:r w:rsidR="003040CC" w:rsidRPr="006849DD">
        <w:rPr>
          <w:rFonts w:ascii="ＭＳ ゴシック" w:eastAsia="ＭＳ ゴシック" w:hAnsi="ＭＳ ゴシック"/>
          <w:sz w:val="19"/>
          <w:szCs w:val="19"/>
          <w:lang w:eastAsia="ja-JP"/>
        </w:rPr>
        <w:t xml:space="preserve">Tropicana </w:t>
      </w:r>
      <w:r w:rsidR="003040CC" w:rsidRPr="006849DD">
        <w:rPr>
          <w:rFonts w:ascii="ＭＳ ゴシック" w:eastAsia="ＭＳ ゴシック" w:hAnsi="ＭＳ ゴシック" w:cs="ＭＳ ゴシック" w:hint="eastAsia"/>
          <w:sz w:val="19"/>
          <w:szCs w:val="19"/>
          <w:lang w:eastAsia="ja-JP"/>
        </w:rPr>
        <w:t>などのブランドを有する世界有数</w:t>
      </w:r>
      <w:r w:rsidR="003040CC" w:rsidRPr="006849DD">
        <w:rPr>
          <w:rFonts w:ascii="ＭＳ ゴシック" w:eastAsia="ＭＳ ゴシック" w:hAnsi="ＭＳ ゴシック"/>
          <w:sz w:val="19"/>
          <w:szCs w:val="19"/>
          <w:lang w:eastAsia="ja-JP"/>
        </w:rPr>
        <w:t xml:space="preserve"> </w:t>
      </w:r>
      <w:r w:rsidR="003040CC" w:rsidRPr="006849DD">
        <w:rPr>
          <w:rFonts w:ascii="ＭＳ ゴシック" w:eastAsia="ＭＳ ゴシック" w:hAnsi="ＭＳ ゴシック" w:cs="ＭＳ ゴシック" w:hint="eastAsia"/>
          <w:sz w:val="19"/>
          <w:szCs w:val="19"/>
          <w:lang w:eastAsia="ja-JP"/>
        </w:rPr>
        <w:t>の食品・飲料メーカーです。ペプシコ社はコロンビア大学の協力のもと、飲料業界環境円卓会議が作成したセクターガイダン</w:t>
      </w:r>
      <w:r w:rsidR="003040CC" w:rsidRPr="006849DD">
        <w:rPr>
          <w:rFonts w:ascii="ＭＳ ゴシック" w:eastAsia="ＭＳ ゴシック" w:hAnsi="ＭＳ ゴシック"/>
          <w:sz w:val="19"/>
          <w:szCs w:val="19"/>
          <w:lang w:eastAsia="ja-JP"/>
        </w:rPr>
        <w:t xml:space="preserve"> </w:t>
      </w:r>
      <w:r w:rsidR="003040CC" w:rsidRPr="006849DD">
        <w:rPr>
          <w:rFonts w:ascii="ＭＳ ゴシック" w:eastAsia="ＭＳ ゴシック" w:hAnsi="ＭＳ ゴシック" w:cs="ＭＳ ゴシック" w:hint="eastAsia"/>
          <w:sz w:val="19"/>
          <w:szCs w:val="19"/>
          <w:lang w:eastAsia="ja-JP"/>
        </w:rPr>
        <w:t>スを用いて同社のオレンジジュース</w:t>
      </w:r>
      <w:r w:rsidR="003040CC" w:rsidRPr="006849DD">
        <w:rPr>
          <w:rFonts w:ascii="ＭＳ ゴシック" w:eastAsia="ＭＳ ゴシック" w:hAnsi="ＭＳ ゴシック"/>
          <w:sz w:val="19"/>
          <w:szCs w:val="19"/>
          <w:lang w:eastAsia="ja-JP"/>
        </w:rPr>
        <w:t xml:space="preserve"> Tropicana Pure Premium</w:t>
      </w:r>
      <w:r w:rsidR="003040CC" w:rsidRPr="006849DD">
        <w:rPr>
          <w:rFonts w:ascii="ＭＳ ゴシック" w:eastAsia="ＭＳ ゴシック" w:hAnsi="ＭＳ ゴシック" w:cs="ＭＳ ゴシック" w:hint="eastAsia"/>
          <w:sz w:val="19"/>
          <w:szCs w:val="19"/>
          <w:lang w:eastAsia="ja-JP"/>
        </w:rPr>
        <w:t>ブランドの</w:t>
      </w:r>
      <w:r w:rsidR="003040CC" w:rsidRPr="006849DD">
        <w:rPr>
          <w:rFonts w:ascii="ＭＳ ゴシック" w:eastAsia="ＭＳ ゴシック" w:hAnsi="ＭＳ ゴシック"/>
          <w:sz w:val="19"/>
          <w:szCs w:val="19"/>
          <w:lang w:eastAsia="ja-JP"/>
        </w:rPr>
        <w:t>64</w:t>
      </w:r>
      <w:r w:rsidR="003040CC" w:rsidRPr="006849DD">
        <w:rPr>
          <w:rFonts w:ascii="ＭＳ ゴシック" w:eastAsia="ＭＳ ゴシック" w:hAnsi="ＭＳ ゴシック" w:cs="ＭＳ ゴシック" w:hint="eastAsia"/>
          <w:sz w:val="19"/>
          <w:szCs w:val="19"/>
          <w:lang w:eastAsia="ja-JP"/>
        </w:rPr>
        <w:t>オンス（</w:t>
      </w:r>
      <w:r w:rsidR="003040CC" w:rsidRPr="006849DD">
        <w:rPr>
          <w:rFonts w:ascii="ＭＳ ゴシック" w:eastAsia="ＭＳ ゴシック" w:hAnsi="ＭＳ ゴシック"/>
          <w:sz w:val="19"/>
          <w:szCs w:val="19"/>
          <w:lang w:eastAsia="ja-JP"/>
        </w:rPr>
        <w:t>1.9</w:t>
      </w:r>
      <w:r w:rsidR="003040CC" w:rsidRPr="006849DD">
        <w:rPr>
          <w:rFonts w:ascii="ＭＳ ゴシック" w:eastAsia="ＭＳ ゴシック" w:hAnsi="ＭＳ ゴシック" w:cs="ＭＳ ゴシック" w:hint="eastAsia"/>
          <w:sz w:val="19"/>
          <w:szCs w:val="19"/>
          <w:lang w:eastAsia="ja-JP"/>
        </w:rPr>
        <w:t>リッ</w:t>
      </w:r>
      <w:r w:rsidR="003040CC" w:rsidRPr="006849DD">
        <w:rPr>
          <w:rFonts w:ascii="ＭＳ ゴシック" w:eastAsia="ＭＳ ゴシック" w:hAnsi="ＭＳ ゴシック"/>
          <w:sz w:val="19"/>
          <w:szCs w:val="19"/>
          <w:lang w:eastAsia="ja-JP"/>
        </w:rPr>
        <w:t xml:space="preserve"> </w:t>
      </w:r>
      <w:r w:rsidR="003040CC" w:rsidRPr="006849DD">
        <w:rPr>
          <w:rFonts w:ascii="ＭＳ ゴシック" w:eastAsia="ＭＳ ゴシック" w:hAnsi="ＭＳ ゴシック" w:cs="ＭＳ ゴシック" w:hint="eastAsia"/>
          <w:sz w:val="19"/>
          <w:szCs w:val="19"/>
          <w:lang w:eastAsia="ja-JP"/>
        </w:rPr>
        <w:t>トル）の切妻型カートンからの</w:t>
      </w:r>
      <w:r w:rsidR="003040CC" w:rsidRPr="006849DD">
        <w:rPr>
          <w:rFonts w:ascii="ＭＳ ゴシック" w:eastAsia="ＭＳ ゴシック" w:hAnsi="ＭＳ ゴシック"/>
          <w:sz w:val="19"/>
          <w:szCs w:val="19"/>
          <w:lang w:eastAsia="ja-JP"/>
        </w:rPr>
        <w:t>GHG</w:t>
      </w:r>
      <w:r w:rsidR="003040CC" w:rsidRPr="006849DD">
        <w:rPr>
          <w:rFonts w:ascii="ＭＳ ゴシック" w:eastAsia="ＭＳ ゴシック" w:hAnsi="ＭＳ ゴシック" w:cs="ＭＳ ゴシック" w:hint="eastAsia"/>
          <w:sz w:val="19"/>
          <w:szCs w:val="19"/>
          <w:lang w:eastAsia="ja-JP"/>
        </w:rPr>
        <w:t>排出量を以下の</w:t>
      </w:r>
      <w:r w:rsidR="003040CC" w:rsidRPr="006849DD">
        <w:rPr>
          <w:rFonts w:ascii="ＭＳ ゴシック" w:eastAsia="ＭＳ ゴシック" w:hAnsi="ＭＳ ゴシック"/>
          <w:sz w:val="19"/>
          <w:szCs w:val="19"/>
          <w:lang w:eastAsia="ja-JP"/>
        </w:rPr>
        <w:t>6</w:t>
      </w:r>
      <w:r w:rsidR="003040CC" w:rsidRPr="006849DD">
        <w:rPr>
          <w:rFonts w:ascii="ＭＳ ゴシック" w:eastAsia="ＭＳ ゴシック" w:hAnsi="ＭＳ ゴシック" w:cs="ＭＳ ゴシック" w:hint="eastAsia"/>
          <w:sz w:val="19"/>
          <w:szCs w:val="19"/>
          <w:lang w:eastAsia="ja-JP"/>
        </w:rPr>
        <w:t>ステップのプロセスでインベントリ化しました。</w:t>
      </w:r>
    </w:p>
    <w:p w14:paraId="7D703120" w14:textId="77777777" w:rsidR="0077184C" w:rsidRPr="006849DD" w:rsidRDefault="0077184C" w:rsidP="006849DD">
      <w:pPr>
        <w:spacing w:before="102" w:line="328" w:lineRule="auto"/>
        <w:rPr>
          <w:rFonts w:eastAsiaTheme="minorEastAsia"/>
          <w:sz w:val="19"/>
          <w:szCs w:val="19"/>
          <w:lang w:eastAsia="ja-JP"/>
        </w:rPr>
      </w:pPr>
    </w:p>
    <w:p w14:paraId="522FA058" w14:textId="49A56F67" w:rsidR="0055291C" w:rsidRDefault="003040CC">
      <w:pPr>
        <w:pStyle w:val="a5"/>
        <w:numPr>
          <w:ilvl w:val="3"/>
          <w:numId w:val="46"/>
        </w:numPr>
        <w:tabs>
          <w:tab w:val="left" w:pos="1724"/>
        </w:tabs>
        <w:spacing w:before="126"/>
        <w:rPr>
          <w:sz w:val="18"/>
          <w:lang w:eastAsia="ja-JP"/>
        </w:rPr>
      </w:pPr>
      <w:r>
        <w:rPr>
          <w:rFonts w:ascii="ＭＳ ゴシック" w:eastAsia="ＭＳ ゴシック" w:hAnsi="ＭＳ ゴシック" w:cs="ＭＳ ゴシック" w:hint="eastAsia"/>
          <w:color w:val="545456"/>
          <w:sz w:val="18"/>
          <w:lang w:eastAsia="ja-JP"/>
        </w:rPr>
        <w:t>包括的な資料リストの作成</w:t>
      </w:r>
    </w:p>
    <w:p w14:paraId="08273EDE" w14:textId="5F665962" w:rsidR="0055291C" w:rsidRDefault="003040CC">
      <w:pPr>
        <w:pStyle w:val="a5"/>
        <w:numPr>
          <w:ilvl w:val="3"/>
          <w:numId w:val="46"/>
        </w:numPr>
        <w:tabs>
          <w:tab w:val="left" w:pos="1724"/>
        </w:tabs>
        <w:spacing w:before="50"/>
        <w:rPr>
          <w:sz w:val="18"/>
        </w:rPr>
      </w:pPr>
      <w:r>
        <w:rPr>
          <w:rFonts w:ascii="ＭＳ ゴシック" w:eastAsia="ＭＳ ゴシック" w:hAnsi="ＭＳ ゴシック" w:cs="ＭＳ ゴシック" w:hint="eastAsia"/>
          <w:color w:val="545456"/>
          <w:sz w:val="18"/>
          <w:lang w:eastAsia="ja-JP"/>
        </w:rPr>
        <w:t>工程表の作成</w:t>
      </w:r>
    </w:p>
    <w:p w14:paraId="64A37787" w14:textId="17EB8F75" w:rsidR="0055291C" w:rsidRDefault="003040CC">
      <w:pPr>
        <w:pStyle w:val="a5"/>
        <w:numPr>
          <w:ilvl w:val="3"/>
          <w:numId w:val="46"/>
        </w:numPr>
        <w:tabs>
          <w:tab w:val="left" w:pos="1724"/>
        </w:tabs>
        <w:spacing w:before="50" w:line="216" w:lineRule="exact"/>
        <w:rPr>
          <w:sz w:val="18"/>
        </w:rPr>
      </w:pPr>
      <w:r>
        <w:rPr>
          <w:rFonts w:ascii="ＭＳ ゴシック" w:eastAsia="ＭＳ ゴシック" w:hAnsi="ＭＳ ゴシック" w:cs="ＭＳ ゴシック" w:hint="eastAsia"/>
          <w:sz w:val="18"/>
          <w:lang w:eastAsia="ja-JP"/>
        </w:rPr>
        <w:t>排出量データの収集</w:t>
      </w:r>
    </w:p>
    <w:p w14:paraId="51EF377D" w14:textId="6130A36E" w:rsidR="006849DD" w:rsidRPr="006849DD" w:rsidRDefault="00F23C61" w:rsidP="006849DD">
      <w:pPr>
        <w:spacing w:before="102" w:line="328" w:lineRule="auto"/>
        <w:ind w:left="297" w:right="1408"/>
        <w:rPr>
          <w:rFonts w:ascii="ＭＳ ゴシック" w:eastAsia="ＭＳ ゴシック" w:hAnsi="ＭＳ ゴシック" w:cs="ＭＳ ゴシック"/>
          <w:color w:val="545456"/>
          <w:sz w:val="18"/>
          <w:lang w:eastAsia="ja-JP"/>
        </w:rPr>
      </w:pPr>
      <w:r>
        <w:rPr>
          <w:lang w:eastAsia="ja-JP"/>
        </w:rPr>
        <w:br w:type="column"/>
      </w:r>
      <w:r w:rsidR="0077184C" w:rsidRPr="0077184C">
        <w:rPr>
          <w:rFonts w:ascii="ＭＳ ゴシック" w:eastAsia="ＭＳ ゴシック" w:hAnsi="ＭＳ ゴシック" w:cs="ＭＳ ゴシック" w:hint="eastAsia"/>
          <w:color w:val="545456"/>
          <w:sz w:val="18"/>
          <w:lang w:eastAsia="ja-JP"/>
        </w:rPr>
        <w:t>スクリーニング分析で二次データを収集した結果、ペプシコはオレンジの栽培工程が製品インベントリに大きな排出をもたらすことを発見し</w:t>
      </w:r>
      <w:r w:rsidR="0077184C">
        <w:rPr>
          <w:rFonts w:ascii="ＭＳ ゴシック" w:eastAsia="ＭＳ ゴシック" w:hAnsi="ＭＳ ゴシック" w:cs="ＭＳ ゴシック" w:hint="eastAsia"/>
          <w:color w:val="545456"/>
          <w:sz w:val="18"/>
          <w:lang w:eastAsia="ja-JP"/>
        </w:rPr>
        <w:t>ました</w:t>
      </w:r>
      <w:r w:rsidR="0077184C" w:rsidRPr="0077184C">
        <w:rPr>
          <w:rFonts w:ascii="ＭＳ ゴシック" w:eastAsia="ＭＳ ゴシック" w:hAnsi="ＭＳ ゴシック" w:cs="ＭＳ ゴシック" w:hint="eastAsia"/>
          <w:color w:val="545456"/>
          <w:sz w:val="18"/>
          <w:lang w:eastAsia="ja-JP"/>
        </w:rPr>
        <w:t>。この結果を受けて、ペプシコは、</w:t>
      </w:r>
      <w:r w:rsidR="006849DD">
        <w:rPr>
          <w:rFonts w:ascii="ＭＳ ゴシック" w:eastAsia="ＭＳ ゴシック" w:hAnsi="ＭＳ ゴシック" w:cs="ＭＳ ゴシック" w:hint="eastAsia"/>
          <w:color w:val="545456"/>
          <w:sz w:val="18"/>
          <w:lang w:eastAsia="ja-JP"/>
        </w:rPr>
        <w:t>T</w:t>
      </w:r>
      <w:r w:rsidR="006849DD">
        <w:rPr>
          <w:rFonts w:ascii="ＭＳ ゴシック" w:eastAsia="ＭＳ ゴシック" w:hAnsi="ＭＳ ゴシック" w:cs="ＭＳ ゴシック"/>
          <w:color w:val="545456"/>
          <w:sz w:val="18"/>
          <w:lang w:eastAsia="ja-JP"/>
        </w:rPr>
        <w:t>ropicana</w:t>
      </w:r>
      <w:r w:rsidR="0077184C" w:rsidRPr="0077184C">
        <w:rPr>
          <w:rFonts w:ascii="ＭＳ ゴシック" w:eastAsia="ＭＳ ゴシック" w:hAnsi="ＭＳ ゴシック" w:cs="ＭＳ ゴシック" w:hint="eastAsia"/>
          <w:color w:val="545456"/>
          <w:sz w:val="18"/>
          <w:lang w:eastAsia="ja-JP"/>
        </w:rPr>
        <w:t>に使用されている栽培プロセスに特化した一次データを独自に収集することにしました。データソースを比較したところ、二次データの完成度が低く、肥料、農場での活動、輸送のデータに大きな違いがあったため、ペプシコが一次データを選択したことがさらに</w:t>
      </w:r>
      <w:r w:rsidR="006849DD">
        <w:rPr>
          <w:rFonts w:ascii="ＭＳ ゴシック" w:eastAsia="ＭＳ ゴシック" w:hAnsi="ＭＳ ゴシック" w:cs="ＭＳ ゴシック" w:hint="eastAsia"/>
          <w:color w:val="545456"/>
          <w:sz w:val="18"/>
          <w:lang w:eastAsia="ja-JP"/>
        </w:rPr>
        <w:t>有効だと判断されました</w:t>
      </w:r>
      <w:r w:rsidR="0077184C" w:rsidRPr="0077184C">
        <w:rPr>
          <w:rFonts w:ascii="ＭＳ ゴシック" w:eastAsia="ＭＳ ゴシック" w:hAnsi="ＭＳ ゴシック" w:cs="ＭＳ ゴシック" w:hint="eastAsia"/>
          <w:color w:val="545456"/>
          <w:sz w:val="18"/>
          <w:lang w:eastAsia="ja-JP"/>
        </w:rPr>
        <w:t>。一次データを使用することにより、ペプシコは、肥料の使用と散布を含むオレンジの栽培工程が、農作物の生産</w:t>
      </w:r>
      <w:r w:rsidR="006849DD">
        <w:rPr>
          <w:rFonts w:ascii="ＭＳ ゴシック" w:eastAsia="ＭＳ ゴシック" w:hAnsi="ＭＳ ゴシック" w:cs="ＭＳ ゴシック" w:hint="eastAsia"/>
          <w:color w:val="545456"/>
          <w:sz w:val="18"/>
          <w:lang w:eastAsia="ja-JP"/>
        </w:rPr>
        <w:t>中</w:t>
      </w:r>
      <w:r w:rsidR="0077184C" w:rsidRPr="0077184C">
        <w:rPr>
          <w:rFonts w:ascii="ＭＳ ゴシック" w:eastAsia="ＭＳ ゴシック" w:hAnsi="ＭＳ ゴシック" w:cs="ＭＳ ゴシック" w:hint="eastAsia"/>
          <w:color w:val="545456"/>
          <w:sz w:val="18"/>
          <w:lang w:eastAsia="ja-JP"/>
        </w:rPr>
        <w:t>の排出量の約</w:t>
      </w:r>
      <w:r w:rsidR="0077184C" w:rsidRPr="0077184C">
        <w:rPr>
          <w:color w:val="545456"/>
          <w:sz w:val="18"/>
          <w:lang w:eastAsia="ja-JP"/>
        </w:rPr>
        <w:t>35</w:t>
      </w:r>
      <w:r w:rsidR="0077184C" w:rsidRPr="0077184C">
        <w:rPr>
          <w:rFonts w:ascii="ＭＳ ゴシック" w:eastAsia="ＭＳ ゴシック" w:hAnsi="ＭＳ ゴシック" w:cs="ＭＳ ゴシック" w:hint="eastAsia"/>
          <w:color w:val="545456"/>
          <w:sz w:val="18"/>
          <w:lang w:eastAsia="ja-JP"/>
        </w:rPr>
        <w:t>％を占めていることがわかりました。その結果、ペプシコは現在、オレンジの長期栽培農家の</w:t>
      </w:r>
      <w:r w:rsidR="0077184C" w:rsidRPr="0077184C">
        <w:rPr>
          <w:color w:val="545456"/>
          <w:sz w:val="18"/>
          <w:lang w:eastAsia="ja-JP"/>
        </w:rPr>
        <w:t>1</w:t>
      </w:r>
      <w:r w:rsidR="0077184C" w:rsidRPr="0077184C">
        <w:rPr>
          <w:rFonts w:ascii="ＭＳ ゴシック" w:eastAsia="ＭＳ ゴシック" w:hAnsi="ＭＳ ゴシック" w:cs="ＭＳ ゴシック" w:hint="eastAsia"/>
          <w:color w:val="545456"/>
          <w:sz w:val="18"/>
          <w:lang w:eastAsia="ja-JP"/>
        </w:rPr>
        <w:t>社と協力して、栽培工程で</w:t>
      </w:r>
      <w:r w:rsidR="0077184C" w:rsidRPr="0077184C">
        <w:rPr>
          <w:color w:val="545456"/>
          <w:sz w:val="18"/>
          <w:lang w:eastAsia="ja-JP"/>
        </w:rPr>
        <w:t>2</w:t>
      </w:r>
      <w:r w:rsidR="0077184C" w:rsidRPr="0077184C">
        <w:rPr>
          <w:rFonts w:ascii="ＭＳ ゴシック" w:eastAsia="ＭＳ ゴシック" w:hAnsi="ＭＳ ゴシック" w:cs="ＭＳ ゴシック" w:hint="eastAsia"/>
          <w:color w:val="545456"/>
          <w:sz w:val="18"/>
          <w:lang w:eastAsia="ja-JP"/>
        </w:rPr>
        <w:t>種類の低</w:t>
      </w:r>
      <w:r w:rsidR="0077184C" w:rsidRPr="0077184C">
        <w:rPr>
          <w:color w:val="545456"/>
          <w:sz w:val="18"/>
          <w:lang w:eastAsia="ja-JP"/>
        </w:rPr>
        <w:t>GHG</w:t>
      </w:r>
      <w:r w:rsidR="0077184C" w:rsidRPr="0077184C">
        <w:rPr>
          <w:rFonts w:ascii="ＭＳ ゴシック" w:eastAsia="ＭＳ ゴシック" w:hAnsi="ＭＳ ゴシック" w:cs="ＭＳ ゴシック" w:hint="eastAsia"/>
          <w:color w:val="545456"/>
          <w:sz w:val="18"/>
          <w:lang w:eastAsia="ja-JP"/>
        </w:rPr>
        <w:t>肥料の試験を実施しています。</w:t>
      </w:r>
    </w:p>
    <w:p w14:paraId="5A0C2075" w14:textId="47DD2954" w:rsidR="0077184C" w:rsidRPr="0077184C" w:rsidRDefault="0077184C">
      <w:pPr>
        <w:spacing w:line="280" w:lineRule="atLeast"/>
        <w:rPr>
          <w:rFonts w:eastAsiaTheme="minorEastAsia"/>
          <w:sz w:val="18"/>
          <w:lang w:eastAsia="ja-JP"/>
        </w:rPr>
        <w:sectPr w:rsidR="0077184C" w:rsidRPr="0077184C">
          <w:type w:val="continuous"/>
          <w:pgSz w:w="12240" w:h="15840"/>
          <w:pgMar w:top="740" w:right="0" w:bottom="280" w:left="0" w:header="0" w:footer="859" w:gutter="0"/>
          <w:cols w:num="2" w:space="720" w:equalWidth="0">
            <w:col w:w="5947" w:space="40"/>
            <w:col w:w="6253"/>
          </w:cols>
        </w:sectPr>
      </w:pPr>
    </w:p>
    <w:p w14:paraId="1E45FE39" w14:textId="3F0A9778" w:rsidR="0055291C" w:rsidRDefault="003040CC">
      <w:pPr>
        <w:pStyle w:val="a5"/>
        <w:numPr>
          <w:ilvl w:val="3"/>
          <w:numId w:val="46"/>
        </w:numPr>
        <w:tabs>
          <w:tab w:val="left" w:pos="1724"/>
        </w:tabs>
        <w:spacing w:before="63"/>
        <w:rPr>
          <w:sz w:val="18"/>
          <w:lang w:eastAsia="ja-JP"/>
        </w:rPr>
      </w:pPr>
      <w:r>
        <w:rPr>
          <w:rFonts w:ascii="ＭＳ ゴシック" w:eastAsia="ＭＳ ゴシック" w:hAnsi="ＭＳ ゴシック" w:cs="ＭＳ ゴシック" w:hint="eastAsia"/>
          <w:sz w:val="18"/>
          <w:lang w:eastAsia="ja-JP"/>
        </w:rPr>
        <w:t>スクリーニング分析の実施</w:t>
      </w:r>
    </w:p>
    <w:p w14:paraId="7E36A2C0" w14:textId="36240710" w:rsidR="0055291C" w:rsidRDefault="003040CC">
      <w:pPr>
        <w:pStyle w:val="a5"/>
        <w:numPr>
          <w:ilvl w:val="3"/>
          <w:numId w:val="46"/>
        </w:numPr>
        <w:tabs>
          <w:tab w:val="left" w:pos="1724"/>
        </w:tabs>
        <w:spacing w:before="50" w:line="314" w:lineRule="auto"/>
        <w:ind w:right="255"/>
        <w:rPr>
          <w:sz w:val="18"/>
          <w:lang w:eastAsia="ja-JP"/>
        </w:rPr>
      </w:pPr>
      <w:r>
        <w:rPr>
          <w:rFonts w:ascii="ＭＳ ゴシック" w:eastAsia="ＭＳ ゴシック" w:hAnsi="ＭＳ ゴシック" w:cs="ＭＳ ゴシック" w:hint="eastAsia"/>
          <w:sz w:val="18"/>
          <w:lang w:eastAsia="ja-JP"/>
        </w:rPr>
        <w:t>追加一次データと許容内の二次データを用いたデータギャップの消去</w:t>
      </w:r>
    </w:p>
    <w:p w14:paraId="110E9BFC" w14:textId="2B1B310B" w:rsidR="0055291C" w:rsidRDefault="003040CC">
      <w:pPr>
        <w:pStyle w:val="a5"/>
        <w:numPr>
          <w:ilvl w:val="3"/>
          <w:numId w:val="46"/>
        </w:numPr>
        <w:tabs>
          <w:tab w:val="left" w:pos="1724"/>
        </w:tabs>
        <w:spacing w:line="222" w:lineRule="exact"/>
        <w:rPr>
          <w:sz w:val="18"/>
          <w:lang w:eastAsia="ja-JP"/>
        </w:rPr>
      </w:pPr>
      <w:r>
        <w:rPr>
          <w:rFonts w:ascii="ＭＳ ゴシック" w:eastAsia="ＭＳ ゴシック" w:hAnsi="ＭＳ ゴシック" w:cs="ＭＳ ゴシック" w:hint="eastAsia"/>
          <w:sz w:val="18"/>
          <w:lang w:eastAsia="ja-JP"/>
        </w:rPr>
        <w:t>セクターガイダンスと照らした校正・報告</w:t>
      </w:r>
    </w:p>
    <w:p w14:paraId="7882CC50" w14:textId="77777777" w:rsidR="0055291C" w:rsidRDefault="0055291C">
      <w:pPr>
        <w:pStyle w:val="a3"/>
        <w:spacing w:before="8"/>
        <w:rPr>
          <w:sz w:val="18"/>
          <w:lang w:eastAsia="ja-JP"/>
        </w:rPr>
      </w:pPr>
    </w:p>
    <w:p w14:paraId="5E14452E" w14:textId="3681870C" w:rsidR="0055291C" w:rsidRDefault="00F23C61" w:rsidP="0077184C">
      <w:pPr>
        <w:pStyle w:val="3"/>
        <w:spacing w:before="0" w:line="278" w:lineRule="auto"/>
        <w:ind w:left="415" w:right="1368"/>
        <w:rPr>
          <w:lang w:eastAsia="ja-JP"/>
        </w:rPr>
        <w:sectPr w:rsidR="0055291C">
          <w:type w:val="continuous"/>
          <w:pgSz w:w="12240" w:h="15840"/>
          <w:pgMar w:top="740" w:right="0" w:bottom="280" w:left="0" w:header="0" w:footer="859" w:gutter="0"/>
          <w:cols w:num="3" w:space="720" w:equalWidth="0">
            <w:col w:w="5662" w:space="40"/>
            <w:col w:w="2176" w:space="39"/>
            <w:col w:w="4323"/>
          </w:cols>
        </w:sectPr>
      </w:pPr>
      <w:r>
        <w:rPr>
          <w:b w:val="0"/>
          <w:i w:val="0"/>
          <w:lang w:eastAsia="ja-JP"/>
        </w:rPr>
        <w:br w:type="column"/>
      </w:r>
    </w:p>
    <w:p w14:paraId="4AAEDA7D" w14:textId="77777777" w:rsidR="0055291C" w:rsidRDefault="0055291C">
      <w:pPr>
        <w:pStyle w:val="a3"/>
        <w:rPr>
          <w:rFonts w:ascii="Arial"/>
          <w:b/>
          <w:i/>
          <w:sz w:val="20"/>
          <w:lang w:eastAsia="ja-JP"/>
        </w:rPr>
      </w:pPr>
    </w:p>
    <w:p w14:paraId="3100D304" w14:textId="77777777" w:rsidR="0055291C" w:rsidRDefault="0055291C">
      <w:pPr>
        <w:pStyle w:val="a3"/>
        <w:rPr>
          <w:rFonts w:ascii="Arial"/>
          <w:b/>
          <w:i/>
          <w:sz w:val="20"/>
          <w:lang w:eastAsia="ja-JP"/>
        </w:rPr>
      </w:pPr>
    </w:p>
    <w:p w14:paraId="07ABFF9F" w14:textId="77777777" w:rsidR="0055291C" w:rsidRDefault="0055291C">
      <w:pPr>
        <w:pStyle w:val="a3"/>
        <w:rPr>
          <w:rFonts w:ascii="Arial"/>
          <w:b/>
          <w:i/>
          <w:sz w:val="20"/>
          <w:lang w:eastAsia="ja-JP"/>
        </w:rPr>
      </w:pPr>
    </w:p>
    <w:p w14:paraId="6C7A2EF5" w14:textId="53DFE8A6" w:rsidR="0055291C" w:rsidRDefault="0055291C">
      <w:pPr>
        <w:pStyle w:val="a3"/>
        <w:rPr>
          <w:rFonts w:ascii="Arial"/>
          <w:b/>
          <w:i/>
          <w:sz w:val="20"/>
          <w:lang w:eastAsia="ja-JP"/>
        </w:rPr>
      </w:pPr>
    </w:p>
    <w:p w14:paraId="26684FB0" w14:textId="77777777" w:rsidR="0055291C" w:rsidRDefault="0055291C">
      <w:pPr>
        <w:rPr>
          <w:rFonts w:ascii="Arial"/>
          <w:sz w:val="20"/>
          <w:lang w:eastAsia="ja-JP"/>
        </w:rPr>
        <w:sectPr w:rsidR="0055291C">
          <w:headerReference w:type="even" r:id="rId183"/>
          <w:pgSz w:w="12240" w:h="15840"/>
          <w:pgMar w:top="620" w:right="0" w:bottom="1040" w:left="0" w:header="0" w:footer="859" w:gutter="0"/>
          <w:cols w:space="720"/>
        </w:sectPr>
      </w:pPr>
    </w:p>
    <w:p w14:paraId="0AC5CEF5" w14:textId="0D8A8347" w:rsidR="0055291C" w:rsidRDefault="0055291C">
      <w:pPr>
        <w:pStyle w:val="a3"/>
        <w:spacing w:before="1"/>
        <w:rPr>
          <w:rFonts w:ascii="Arial"/>
          <w:b/>
          <w:i/>
          <w:sz w:val="20"/>
          <w:lang w:eastAsia="ja-JP"/>
        </w:rPr>
      </w:pPr>
    </w:p>
    <w:p w14:paraId="61A1536F" w14:textId="2A006A48" w:rsidR="0055291C" w:rsidRDefault="006849DD">
      <w:pPr>
        <w:pStyle w:val="7"/>
        <w:numPr>
          <w:ilvl w:val="2"/>
          <w:numId w:val="46"/>
        </w:numPr>
        <w:tabs>
          <w:tab w:val="left" w:pos="1853"/>
          <w:tab w:val="left" w:pos="1854"/>
        </w:tabs>
        <w:spacing w:before="0"/>
        <w:ind w:left="1853" w:hanging="721"/>
        <w:jc w:val="left"/>
      </w:pPr>
      <w:r>
        <w:rPr>
          <w:rFonts w:ascii="ＭＳ 明朝" w:eastAsia="ＭＳ 明朝" w:hAnsi="ＭＳ 明朝" w:cs="ＭＳ 明朝" w:hint="eastAsia"/>
          <w:color w:val="00B8B1"/>
          <w:lang w:eastAsia="ja-JP"/>
        </w:rPr>
        <w:t>データニーズの把握</w:t>
      </w:r>
    </w:p>
    <w:p w14:paraId="050ABFA4" w14:textId="77A4B79C" w:rsidR="0055291C" w:rsidRDefault="006849DD" w:rsidP="00F56E16">
      <w:pPr>
        <w:pStyle w:val="a3"/>
        <w:spacing w:before="62" w:line="312" w:lineRule="auto"/>
        <w:ind w:left="851" w:right="448" w:firstLineChars="100" w:firstLine="190"/>
        <w:rPr>
          <w:lang w:eastAsia="ja-JP"/>
        </w:rPr>
      </w:pPr>
      <w:r>
        <w:rPr>
          <w:rFonts w:ascii="ＭＳ ゴシック" w:eastAsia="ＭＳ ゴシック" w:hAnsi="ＭＳ ゴシック" w:cs="ＭＳ ゴシック" w:hint="eastAsia"/>
          <w:lang w:eastAsia="ja-JP"/>
        </w:rPr>
        <w:t>境界設定時、または工程表で特定された帰属プロセス</w:t>
      </w:r>
      <w:r>
        <w:rPr>
          <w:lang w:eastAsia="ja-JP"/>
        </w:rPr>
        <w:t xml:space="preserve"> </w:t>
      </w:r>
      <w:r>
        <w:rPr>
          <w:rFonts w:ascii="ＭＳ ゴシック" w:eastAsia="ＭＳ ゴシック" w:hAnsi="ＭＳ ゴシック" w:cs="ＭＳ ゴシック" w:hint="eastAsia"/>
          <w:lang w:eastAsia="ja-JP"/>
        </w:rPr>
        <w:t>は、収集が必要なデータリストの基礎とな</w:t>
      </w:r>
      <w:r w:rsidR="00F56E16">
        <w:rPr>
          <w:rFonts w:ascii="ＭＳ ゴシック" w:eastAsia="ＭＳ ゴシック" w:hAnsi="ＭＳ ゴシック" w:cs="ＭＳ ゴシック" w:hint="eastAsia"/>
          <w:lang w:eastAsia="ja-JP"/>
        </w:rPr>
        <w:t>ります</w:t>
      </w:r>
      <w:r>
        <w:rPr>
          <w:rFonts w:ascii="ＭＳ ゴシック" w:eastAsia="ＭＳ ゴシック" w:hAnsi="ＭＳ ゴシック" w:cs="ＭＳ ゴシック" w:hint="eastAsia"/>
          <w:lang w:eastAsia="ja-JP"/>
        </w:rPr>
        <w:t>。また、</w:t>
      </w:r>
      <w:r w:rsidR="00F56E16">
        <w:rPr>
          <w:rFonts w:ascii="ＭＳ ゴシック" w:eastAsia="ＭＳ ゴシック" w:hAnsi="ＭＳ ゴシック" w:cs="ＭＳ ゴシック" w:hint="eastAsia"/>
          <w:lang w:eastAsia="ja-JP"/>
        </w:rPr>
        <w:t>データ</w:t>
      </w:r>
      <w:r>
        <w:rPr>
          <w:rFonts w:ascii="ＭＳ ゴシック" w:eastAsia="ＭＳ ゴシック" w:hAnsi="ＭＳ ゴシック" w:cs="ＭＳ ゴシック" w:hint="eastAsia"/>
          <w:lang w:eastAsia="ja-JP"/>
        </w:rPr>
        <w:t>管理計画は、</w:t>
      </w:r>
      <w:r w:rsidR="00F56E16">
        <w:rPr>
          <w:rFonts w:ascii="ＭＳ ゴシック" w:eastAsia="ＭＳ ゴシック" w:hAnsi="ＭＳ ゴシック" w:cs="ＭＳ ゴシック" w:hint="eastAsia"/>
          <w:lang w:eastAsia="ja-JP"/>
        </w:rPr>
        <w:t>工程表</w:t>
      </w:r>
      <w:r>
        <w:rPr>
          <w:rFonts w:ascii="ＭＳ ゴシック" w:eastAsia="ＭＳ ゴシック" w:hAnsi="ＭＳ ゴシック" w:cs="ＭＳ ゴシック" w:hint="eastAsia"/>
          <w:lang w:eastAsia="ja-JP"/>
        </w:rPr>
        <w:t>にすべてのプロセスを含めることが不可能な場合、帰属プロセスを整理するために使用することができ</w:t>
      </w:r>
      <w:r w:rsidR="00F56E16">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w:t>
      </w:r>
    </w:p>
    <w:p w14:paraId="0866A2CA" w14:textId="75502080" w:rsidR="0055291C" w:rsidRDefault="00F56E16">
      <w:pPr>
        <w:pStyle w:val="7"/>
        <w:numPr>
          <w:ilvl w:val="2"/>
          <w:numId w:val="46"/>
        </w:numPr>
        <w:tabs>
          <w:tab w:val="left" w:pos="1853"/>
          <w:tab w:val="left" w:pos="1854"/>
        </w:tabs>
        <w:ind w:left="851" w:firstLine="283"/>
        <w:jc w:val="left"/>
        <w:rPr>
          <w:lang w:eastAsia="ja-JP"/>
        </w:rPr>
      </w:pPr>
      <w:r>
        <w:rPr>
          <w:rFonts w:ascii="ＭＳ 明朝" w:eastAsia="ＭＳ 明朝" w:hAnsi="ＭＳ 明朝" w:cs="ＭＳ 明朝" w:hint="eastAsia"/>
          <w:color w:val="00B8B1"/>
          <w:w w:val="95"/>
          <w:lang w:eastAsia="ja-JP"/>
        </w:rPr>
        <w:t>データのスクリーニング</w:t>
      </w:r>
    </w:p>
    <w:p w14:paraId="17C04879" w14:textId="2670D224" w:rsidR="0055291C" w:rsidRDefault="00F56E16" w:rsidP="00F56E16">
      <w:pPr>
        <w:pStyle w:val="a3"/>
        <w:spacing w:before="1" w:line="312" w:lineRule="auto"/>
        <w:ind w:left="851" w:right="307" w:firstLineChars="100" w:firstLine="190"/>
        <w:rPr>
          <w:lang w:eastAsia="ja-JP"/>
        </w:rPr>
      </w:pPr>
      <w:r>
        <w:rPr>
          <w:rFonts w:ascii="ＭＳ ゴシック" w:eastAsia="ＭＳ ゴシック" w:hAnsi="ＭＳ ゴシック" w:cs="ＭＳ ゴシック" w:hint="eastAsia"/>
          <w:lang w:eastAsia="ja-JP"/>
        </w:rPr>
        <w:t>ライフサイクル全体に対する推定寄与率に基づきプロセスをスクリーニングすることは、企業がデータ収集の労力を集中させるのに役立ちます。このようなスクリーニングは必須ではありませんが、意外な発見があるかもしれませんし、データ収集のリソースをより効果的に配分させることができるかもしれません。</w:t>
      </w:r>
    </w:p>
    <w:p w14:paraId="466E34A1" w14:textId="34C134F6" w:rsidR="0055291C" w:rsidRDefault="00F56E16" w:rsidP="00F56E16">
      <w:pPr>
        <w:pStyle w:val="a3"/>
        <w:spacing w:before="1" w:line="312" w:lineRule="auto"/>
        <w:ind w:left="851" w:right="448" w:firstLineChars="100" w:firstLine="190"/>
        <w:rPr>
          <w:lang w:eastAsia="ja-JP"/>
        </w:rPr>
      </w:pPr>
      <w:r>
        <w:rPr>
          <w:rFonts w:ascii="ＭＳ ゴシック" w:eastAsia="ＭＳ ゴシック" w:hAnsi="ＭＳ ゴシック" w:cs="ＭＳ ゴシック" w:hint="eastAsia"/>
          <w:lang w:eastAsia="ja-JP"/>
        </w:rPr>
        <w:t>スクリーニングを行う最も効果的な方法は、二次</w:t>
      </w:r>
      <w:r w:rsidR="00740354">
        <w:rPr>
          <w:rFonts w:ascii="ＭＳ ゴシック" w:eastAsia="ＭＳ ゴシック" w:hAnsi="ＭＳ ゴシック" w:cs="ＭＳ ゴシック" w:hint="eastAsia"/>
          <w:lang w:eastAsia="ja-JP"/>
        </w:rPr>
        <w:t>データ</w:t>
      </w:r>
      <w:r>
        <w:rPr>
          <w:rFonts w:ascii="ＭＳ ゴシック" w:eastAsia="ＭＳ ゴシック" w:hAnsi="ＭＳ ゴシック" w:cs="ＭＳ ゴシック" w:hint="eastAsia"/>
          <w:lang w:eastAsia="ja-JP"/>
        </w:rPr>
        <w:t>を用いてプロセスおよびプロセス投入物の排出量</w:t>
      </w:r>
      <w:r>
        <w:rPr>
          <w:lang w:eastAsia="ja-JP"/>
        </w:rPr>
        <w:t xml:space="preserve"> </w:t>
      </w:r>
      <w:r>
        <w:rPr>
          <w:rFonts w:ascii="ＭＳ ゴシック" w:eastAsia="ＭＳ ゴシック" w:hAnsi="ＭＳ ゴシック" w:cs="ＭＳ ゴシック" w:hint="eastAsia"/>
          <w:lang w:eastAsia="ja-JP"/>
        </w:rPr>
        <w:t>と除去量を推定し、</w:t>
      </w:r>
      <w:r w:rsidR="00740354">
        <w:rPr>
          <w:rFonts w:ascii="ＭＳ ゴシック" w:eastAsia="ＭＳ ゴシック" w:hAnsi="ＭＳ ゴシック" w:cs="ＭＳ ゴシック" w:hint="eastAsia"/>
          <w:lang w:eastAsia="ja-JP"/>
        </w:rPr>
        <w:t>製品のライフサイクルに対する貢献度が高い順に</w:t>
      </w:r>
      <w:r>
        <w:rPr>
          <w:rFonts w:ascii="ＭＳ ゴシック" w:eastAsia="ＭＳ ゴシック" w:hAnsi="ＭＳ ゴシック" w:cs="ＭＳ ゴシック" w:hint="eastAsia"/>
          <w:lang w:eastAsia="ja-JP"/>
        </w:rPr>
        <w:t>ランク付けすることです。次に、企業はこのリストを使用</w:t>
      </w:r>
      <w:r>
        <w:rPr>
          <w:lang w:eastAsia="ja-JP"/>
        </w:rPr>
        <w:t xml:space="preserve"> </w:t>
      </w:r>
      <w:r>
        <w:rPr>
          <w:rFonts w:ascii="ＭＳ ゴシック" w:eastAsia="ＭＳ ゴシック" w:hAnsi="ＭＳ ゴシック" w:cs="ＭＳ ゴシック" w:hint="eastAsia"/>
          <w:lang w:eastAsia="ja-JP"/>
        </w:rPr>
        <w:t>して、</w:t>
      </w:r>
      <w:r w:rsidR="00740354">
        <w:rPr>
          <w:rFonts w:ascii="ＭＳ ゴシック" w:eastAsia="ＭＳ ゴシック" w:hAnsi="ＭＳ ゴシック" w:cs="ＭＳ ゴシック" w:hint="eastAsia"/>
          <w:lang w:eastAsia="ja-JP"/>
        </w:rPr>
        <w:t>算出</w:t>
      </w:r>
      <w:r>
        <w:rPr>
          <w:rFonts w:ascii="ＭＳ ゴシック" w:eastAsia="ＭＳ ゴシック" w:hAnsi="ＭＳ ゴシック" w:cs="ＭＳ ゴシック" w:hint="eastAsia"/>
          <w:lang w:eastAsia="ja-JP"/>
        </w:rPr>
        <w:t>結果に最も大きな影響を与える</w:t>
      </w:r>
      <w:r>
        <w:rPr>
          <w:lang w:eastAsia="ja-JP"/>
        </w:rPr>
        <w:t xml:space="preserve"> </w:t>
      </w:r>
      <w:r>
        <w:rPr>
          <w:rFonts w:ascii="ＭＳ ゴシック" w:eastAsia="ＭＳ ゴシック" w:hAnsi="ＭＳ ゴシック" w:cs="ＭＳ ゴシック" w:hint="eastAsia"/>
          <w:lang w:eastAsia="ja-JP"/>
        </w:rPr>
        <w:t>工程と工程の入力に関する一次データまたは質の高い二次データの収集の優先順位を決めることができ</w:t>
      </w:r>
      <w:r w:rsidR="00740354">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。企業がスクリーニングの際に排出量と除去</w:t>
      </w:r>
      <w:r>
        <w:rPr>
          <w:rFonts w:ascii="ＭＳ ゴシック" w:eastAsia="ＭＳ ゴシック" w:hAnsi="ＭＳ ゴシック" w:cs="ＭＳ ゴシック" w:hint="eastAsia"/>
          <w:lang w:eastAsia="ja-JP"/>
        </w:rPr>
        <w:t>量の推定を行わないことを選択した場合は、少なくとも、</w:t>
      </w:r>
      <w:r>
        <w:rPr>
          <w:lang w:eastAsia="ja-JP"/>
        </w:rPr>
        <w:t>GHG</w:t>
      </w:r>
      <w:r>
        <w:rPr>
          <w:rFonts w:ascii="ＭＳ ゴシック" w:eastAsia="ＭＳ ゴシック" w:hAnsi="ＭＳ ゴシック" w:cs="ＭＳ ゴシック" w:hint="eastAsia"/>
          <w:lang w:eastAsia="ja-JP"/>
        </w:rPr>
        <w:t>を多量に消費または生産することが知られているエネルギーまたは材料の投入を特定し</w:t>
      </w:r>
      <w:r>
        <w:rPr>
          <w:lang w:eastAsia="ja-JP"/>
        </w:rPr>
        <w:t xml:space="preserve"> </w:t>
      </w:r>
      <w:r>
        <w:rPr>
          <w:rFonts w:ascii="ＭＳ ゴシック" w:eastAsia="ＭＳ ゴシック" w:hAnsi="ＭＳ ゴシック" w:cs="ＭＳ ゴシック" w:hint="eastAsia"/>
          <w:lang w:eastAsia="ja-JP"/>
        </w:rPr>
        <w:t>、データ収集に焦点を当てる必要があります。</w:t>
      </w:r>
    </w:p>
    <w:p w14:paraId="0CE5ED04" w14:textId="485310B8" w:rsidR="0055291C" w:rsidRDefault="00740354" w:rsidP="00EE30EE">
      <w:pPr>
        <w:pStyle w:val="a3"/>
        <w:spacing w:before="141" w:line="312" w:lineRule="auto"/>
        <w:ind w:left="851" w:right="553" w:firstLineChars="100" w:firstLine="190"/>
        <w:rPr>
          <w:lang w:eastAsia="ja-JP"/>
        </w:rPr>
      </w:pPr>
      <w:r>
        <w:rPr>
          <w:rFonts w:ascii="ＭＳ ゴシック" w:eastAsia="ＭＳ ゴシック" w:hAnsi="ＭＳ ゴシック" w:cs="ＭＳ ゴシック" w:hint="eastAsia"/>
          <w:lang w:eastAsia="ja-JP"/>
        </w:rPr>
        <w:t>スクリーニングの過程において、推定される不確実性を評価することも有用です。不確実性の高いデータに基づき、ライフサイクルの総排出量に大きく寄与する工程は、データ収集の優先分野とするべきでしょう。</w:t>
      </w:r>
    </w:p>
    <w:p w14:paraId="6BC274D6" w14:textId="18492955" w:rsidR="0055291C" w:rsidRDefault="001B2AF4" w:rsidP="00EE30EE">
      <w:pPr>
        <w:pStyle w:val="a3"/>
        <w:spacing w:before="142" w:line="312" w:lineRule="auto"/>
        <w:ind w:left="851" w:right="553" w:firstLineChars="100" w:firstLine="190"/>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企業によっては、GHG排出とは関係ない理由でプロセスが関連する場合があります。このような状況下で、企業は、データ収集の優先順位を決定するために、上記の基準に加え、以下の基準を用いるとよいでしょう。</w:t>
      </w:r>
    </w:p>
    <w:p w14:paraId="3BCB8CF6" w14:textId="77777777" w:rsidR="001B2AF4" w:rsidRDefault="001B2AF4" w:rsidP="001B2AF4">
      <w:pPr>
        <w:pStyle w:val="a3"/>
        <w:spacing w:before="142" w:line="312" w:lineRule="auto"/>
        <w:ind w:left="851" w:right="1497" w:firstLineChars="100" w:firstLine="190"/>
        <w:rPr>
          <w:lang w:eastAsia="ja-JP"/>
        </w:rPr>
      </w:pPr>
    </w:p>
    <w:p w14:paraId="574123A4" w14:textId="77777777" w:rsidR="001B2AF4" w:rsidRPr="001B2AF4" w:rsidRDefault="001B2AF4">
      <w:pPr>
        <w:pStyle w:val="a5"/>
        <w:numPr>
          <w:ilvl w:val="0"/>
          <w:numId w:val="57"/>
        </w:numPr>
        <w:tabs>
          <w:tab w:val="left" w:pos="506"/>
        </w:tabs>
        <w:spacing w:line="304" w:lineRule="auto"/>
        <w:ind w:left="851" w:right="836"/>
        <w:rPr>
          <w:sz w:val="19"/>
          <w:szCs w:val="19"/>
          <w:lang w:eastAsia="ja-JP"/>
        </w:rPr>
      </w:pPr>
      <w:r w:rsidRPr="001B2AF4">
        <w:rPr>
          <w:rFonts w:ascii="ＭＳ ゴシック" w:eastAsia="ＭＳ ゴシック" w:hAnsi="ＭＳ ゴシック" w:cs="ＭＳ ゴシック" w:hint="eastAsia"/>
          <w:sz w:val="19"/>
          <w:szCs w:val="19"/>
          <w:lang w:eastAsia="ja-JP"/>
        </w:rPr>
        <w:t>製品のライフサイクルにおける他の工程と比較</w:t>
      </w:r>
      <w:r w:rsidRPr="001B2AF4">
        <w:rPr>
          <w:sz w:val="19"/>
          <w:szCs w:val="19"/>
          <w:lang w:eastAsia="ja-JP"/>
        </w:rPr>
        <w:t xml:space="preserve"> </w:t>
      </w:r>
      <w:r w:rsidRPr="001B2AF4">
        <w:rPr>
          <w:rFonts w:ascii="ＭＳ ゴシック" w:eastAsia="ＭＳ ゴシック" w:hAnsi="ＭＳ ゴシック" w:cs="ＭＳ ゴシック" w:hint="eastAsia"/>
          <w:sz w:val="19"/>
          <w:szCs w:val="19"/>
          <w:lang w:eastAsia="ja-JP"/>
        </w:rPr>
        <w:t>して、費用対効果が大きい工程</w:t>
      </w:r>
    </w:p>
    <w:p w14:paraId="6E923DA7" w14:textId="3B377C82" w:rsidR="001B2AF4" w:rsidRPr="001B2AF4" w:rsidRDefault="001B2AF4">
      <w:pPr>
        <w:pStyle w:val="a5"/>
        <w:numPr>
          <w:ilvl w:val="0"/>
          <w:numId w:val="57"/>
        </w:numPr>
        <w:tabs>
          <w:tab w:val="left" w:pos="506"/>
        </w:tabs>
        <w:spacing w:line="304" w:lineRule="auto"/>
        <w:ind w:left="851" w:right="836"/>
        <w:rPr>
          <w:sz w:val="19"/>
          <w:szCs w:val="19"/>
          <w:lang w:eastAsia="ja-JP"/>
        </w:rPr>
      </w:pPr>
      <w:r w:rsidRPr="001B2AF4">
        <w:rPr>
          <w:rFonts w:ascii="ＭＳ ゴシック" w:eastAsia="ＭＳ ゴシック" w:hAnsi="ＭＳ ゴシック" w:cs="ＭＳ ゴシック" w:hint="eastAsia"/>
          <w:sz w:val="19"/>
          <w:szCs w:val="19"/>
          <w:lang w:eastAsia="ja-JP"/>
        </w:rPr>
        <w:t>会社が取り組む、あるいは影響を及ぼす可能性のある、排出量削減の可能性のあるプロセス</w:t>
      </w:r>
    </w:p>
    <w:p w14:paraId="5A713C21" w14:textId="5AB05C45" w:rsidR="001B2AF4" w:rsidRPr="001B2AF4" w:rsidRDefault="001B2AF4">
      <w:pPr>
        <w:pStyle w:val="a5"/>
        <w:numPr>
          <w:ilvl w:val="0"/>
          <w:numId w:val="57"/>
        </w:numPr>
        <w:tabs>
          <w:tab w:val="left" w:pos="506"/>
        </w:tabs>
        <w:spacing w:line="304" w:lineRule="auto"/>
        <w:ind w:left="851" w:right="836"/>
        <w:rPr>
          <w:sz w:val="19"/>
          <w:szCs w:val="19"/>
          <w:lang w:eastAsia="ja-JP"/>
        </w:rPr>
      </w:pPr>
      <w:r w:rsidRPr="001B2AF4">
        <w:rPr>
          <w:rFonts w:ascii="ＭＳ ゴシック" w:eastAsia="ＭＳ ゴシック" w:hAnsi="ＭＳ ゴシック" w:cs="ＭＳ ゴシック" w:hint="eastAsia"/>
          <w:sz w:val="19"/>
          <w:szCs w:val="19"/>
          <w:lang w:eastAsia="ja-JP"/>
        </w:rPr>
        <w:t>自社のコアビジネスにとって戦略的に重要なサプライヤーが管理しているプロセス</w:t>
      </w:r>
    </w:p>
    <w:p w14:paraId="6B1A1C52" w14:textId="4832EE7C" w:rsidR="0055291C" w:rsidRPr="001B2AF4" w:rsidRDefault="001B2AF4">
      <w:pPr>
        <w:pStyle w:val="a5"/>
        <w:numPr>
          <w:ilvl w:val="0"/>
          <w:numId w:val="57"/>
        </w:numPr>
        <w:tabs>
          <w:tab w:val="left" w:pos="506"/>
        </w:tabs>
        <w:spacing w:line="304" w:lineRule="auto"/>
        <w:ind w:left="851" w:right="836"/>
        <w:rPr>
          <w:sz w:val="19"/>
          <w:szCs w:val="19"/>
          <w:lang w:eastAsia="ja-JP"/>
        </w:rPr>
      </w:pPr>
      <w:r w:rsidRPr="001B2AF4">
        <w:rPr>
          <w:rFonts w:ascii="ＭＳ ゴシック" w:eastAsia="ＭＳ ゴシック" w:hAnsi="ＭＳ ゴシック" w:cs="ＭＳ ゴシック" w:hint="eastAsia"/>
          <w:sz w:val="19"/>
          <w:szCs w:val="19"/>
          <w:lang w:eastAsia="ja-JP"/>
        </w:rPr>
        <w:t>企業または産業部門が開発した追加的な基準を満たすプロセス</w:t>
      </w:r>
    </w:p>
    <w:p w14:paraId="63BD6CEC" w14:textId="77777777" w:rsidR="0055291C" w:rsidRPr="001B2AF4" w:rsidRDefault="0055291C" w:rsidP="001B2AF4">
      <w:pPr>
        <w:spacing w:line="304" w:lineRule="auto"/>
        <w:ind w:left="591"/>
        <w:rPr>
          <w:rFonts w:eastAsiaTheme="minorEastAsia"/>
          <w:sz w:val="19"/>
          <w:lang w:eastAsia="ja-JP"/>
        </w:rPr>
        <w:sectPr w:rsidR="0055291C" w:rsidRPr="001B2AF4">
          <w:type w:val="continuous"/>
          <w:pgSz w:w="12240" w:h="15840"/>
          <w:pgMar w:top="740" w:right="0" w:bottom="280" w:left="0" w:header="0" w:footer="859" w:gutter="0"/>
          <w:cols w:num="2" w:space="720" w:equalWidth="0">
            <w:col w:w="5977" w:space="40"/>
            <w:col w:w="6223"/>
          </w:cols>
        </w:sectPr>
      </w:pPr>
    </w:p>
    <w:p w14:paraId="64F26A46" w14:textId="7319804E" w:rsidR="0055291C" w:rsidRDefault="001B2AF4">
      <w:pPr>
        <w:pStyle w:val="a3"/>
        <w:rPr>
          <w:sz w:val="20"/>
          <w:lang w:eastAsia="ja-JP"/>
        </w:rPr>
      </w:pPr>
      <w:r>
        <w:rPr>
          <w:noProof/>
          <w:sz w:val="20"/>
        </w:rPr>
        <w:drawing>
          <wp:anchor distT="0" distB="0" distL="114300" distR="114300" simplePos="0" relativeHeight="251478528" behindDoc="0" locked="0" layoutInCell="1" allowOverlap="1" wp14:anchorId="655A140D" wp14:editId="6E3889D2">
            <wp:simplePos x="0" y="0"/>
            <wp:positionH relativeFrom="column">
              <wp:posOffset>0</wp:posOffset>
            </wp:positionH>
            <wp:positionV relativeFrom="paragraph">
              <wp:posOffset>176530</wp:posOffset>
            </wp:positionV>
            <wp:extent cx="6254750" cy="3437255"/>
            <wp:effectExtent l="0" t="0" r="0" b="0"/>
            <wp:wrapTopAndBottom/>
            <wp:docPr id="21" name="image79.png" descr="座る, バナナ, 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79.png" descr="座る, バナナ, テーブル が含まれている画像&#10;&#10;自動的に生成された説明"/>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6254750" cy="3437255"/>
                    </a:xfrm>
                    <a:prstGeom prst="rect">
                      <a:avLst/>
                    </a:prstGeom>
                  </pic:spPr>
                </pic:pic>
              </a:graphicData>
            </a:graphic>
            <wp14:sizeRelH relativeFrom="margin">
              <wp14:pctWidth>0</wp14:pctWidth>
            </wp14:sizeRelH>
            <wp14:sizeRelV relativeFrom="margin">
              <wp14:pctHeight>0</wp14:pctHeight>
            </wp14:sizeRelV>
          </wp:anchor>
        </w:drawing>
      </w:r>
    </w:p>
    <w:p w14:paraId="42E3E4F5" w14:textId="77777777" w:rsidR="0055291C" w:rsidRDefault="0055291C">
      <w:pPr>
        <w:rPr>
          <w:sz w:val="20"/>
          <w:lang w:eastAsia="ja-JP"/>
        </w:rPr>
        <w:sectPr w:rsidR="0055291C">
          <w:type w:val="continuous"/>
          <w:pgSz w:w="12240" w:h="15840"/>
          <w:pgMar w:top="740" w:right="0" w:bottom="280" w:left="0" w:header="0" w:footer="859" w:gutter="0"/>
          <w:cols w:space="720"/>
        </w:sectPr>
      </w:pPr>
    </w:p>
    <w:p w14:paraId="3BD36990" w14:textId="77777777" w:rsidR="0055291C" w:rsidRDefault="0055291C">
      <w:pPr>
        <w:pStyle w:val="a3"/>
        <w:rPr>
          <w:sz w:val="20"/>
          <w:lang w:eastAsia="ja-JP"/>
        </w:rPr>
      </w:pPr>
    </w:p>
    <w:p w14:paraId="38859BFE" w14:textId="77777777" w:rsidR="0055291C" w:rsidRDefault="0055291C">
      <w:pPr>
        <w:pStyle w:val="a3"/>
        <w:rPr>
          <w:sz w:val="20"/>
          <w:lang w:eastAsia="ja-JP"/>
        </w:rPr>
      </w:pPr>
    </w:p>
    <w:p w14:paraId="78BE4194" w14:textId="77777777" w:rsidR="0055291C" w:rsidRDefault="0055291C">
      <w:pPr>
        <w:pStyle w:val="a3"/>
        <w:rPr>
          <w:sz w:val="20"/>
          <w:lang w:eastAsia="ja-JP"/>
        </w:rPr>
      </w:pPr>
    </w:p>
    <w:p w14:paraId="35E6B098" w14:textId="77777777" w:rsidR="0055291C" w:rsidRDefault="0055291C">
      <w:pPr>
        <w:pStyle w:val="a3"/>
        <w:spacing w:before="4"/>
        <w:rPr>
          <w:sz w:val="24"/>
          <w:lang w:eastAsia="ja-JP"/>
        </w:rPr>
      </w:pPr>
    </w:p>
    <w:p w14:paraId="6E118B5C" w14:textId="77777777" w:rsidR="0055291C" w:rsidRDefault="00000000">
      <w:pPr>
        <w:spacing w:before="1"/>
        <w:ind w:left="6108"/>
        <w:rPr>
          <w:rFonts w:ascii="Arial"/>
          <w:i/>
          <w:sz w:val="19"/>
        </w:rPr>
      </w:pPr>
      <w:r>
        <w:pict w14:anchorId="3D3FBA10">
          <v:shape id="docshape812" o:spid="_x0000_s3002" style="position:absolute;left:0;text-align:left;margin-left:580.75pt;margin-top:-47.75pt;width:31.3pt;height:285.85pt;z-index:251593216;mso-position-horizontal-relative:page" coordorigin="11615,-955" coordsize="626,5717" path="m12240,-955r-625,l11615,4535r3,131l11643,4733r67,25l11842,4761r398,l12240,-955xe" fillcolor="#00aca1" stroked="f">
            <v:path arrowok="t"/>
            <w10:wrap anchorx="page"/>
          </v:shape>
        </w:pict>
      </w:r>
      <w:r w:rsidR="00F23C61">
        <w:rPr>
          <w:rFonts w:ascii="Arial"/>
          <w:b/>
          <w:i/>
          <w:color w:val="7F3F98"/>
          <w:sz w:val="19"/>
        </w:rPr>
        <w:t>CHAPTER</w:t>
      </w:r>
      <w:r w:rsidR="00F23C61">
        <w:rPr>
          <w:rFonts w:ascii="Arial"/>
          <w:b/>
          <w:i/>
          <w:color w:val="7F3F98"/>
          <w:spacing w:val="9"/>
          <w:sz w:val="19"/>
        </w:rPr>
        <w:t xml:space="preserve"> </w:t>
      </w:r>
      <w:r w:rsidR="00F23C61">
        <w:rPr>
          <w:rFonts w:ascii="Arial"/>
          <w:b/>
          <w:i/>
          <w:color w:val="7F3F98"/>
          <w:sz w:val="19"/>
        </w:rPr>
        <w:t>08</w:t>
      </w:r>
      <w:r w:rsidR="00F23C61">
        <w:rPr>
          <w:rFonts w:ascii="Arial"/>
          <w:b/>
          <w:i/>
          <w:color w:val="7F3F98"/>
          <w:spacing w:val="10"/>
          <w:sz w:val="19"/>
        </w:rPr>
        <w:t xml:space="preserve"> </w:t>
      </w:r>
      <w:r w:rsidR="00F23C61">
        <w:rPr>
          <w:rFonts w:ascii="Arial"/>
          <w:i/>
          <w:color w:val="545456"/>
          <w:sz w:val="19"/>
        </w:rPr>
        <w:t>Collecting</w:t>
      </w:r>
      <w:r w:rsidR="00F23C61">
        <w:rPr>
          <w:rFonts w:ascii="Arial"/>
          <w:i/>
          <w:color w:val="545456"/>
          <w:spacing w:val="8"/>
          <w:sz w:val="19"/>
        </w:rPr>
        <w:t xml:space="preserve"> </w:t>
      </w:r>
      <w:r w:rsidR="00F23C61">
        <w:rPr>
          <w:rFonts w:ascii="Arial"/>
          <w:i/>
          <w:color w:val="545456"/>
          <w:sz w:val="19"/>
        </w:rPr>
        <w:t>Data</w:t>
      </w:r>
      <w:r w:rsidR="00F23C61">
        <w:rPr>
          <w:rFonts w:ascii="Arial"/>
          <w:i/>
          <w:color w:val="545456"/>
          <w:spacing w:val="7"/>
          <w:sz w:val="19"/>
        </w:rPr>
        <w:t xml:space="preserve"> </w:t>
      </w:r>
      <w:r w:rsidR="00F23C61">
        <w:rPr>
          <w:rFonts w:ascii="Arial"/>
          <w:i/>
          <w:color w:val="545456"/>
          <w:sz w:val="19"/>
        </w:rPr>
        <w:t>and</w:t>
      </w:r>
      <w:r w:rsidR="00F23C61">
        <w:rPr>
          <w:rFonts w:ascii="Arial"/>
          <w:i/>
          <w:color w:val="545456"/>
          <w:spacing w:val="8"/>
          <w:sz w:val="19"/>
        </w:rPr>
        <w:t xml:space="preserve"> </w:t>
      </w:r>
      <w:r w:rsidR="00F23C61">
        <w:rPr>
          <w:rFonts w:ascii="Arial"/>
          <w:i/>
          <w:color w:val="545456"/>
          <w:sz w:val="19"/>
        </w:rPr>
        <w:t>Assessing</w:t>
      </w:r>
      <w:r w:rsidR="00F23C61">
        <w:rPr>
          <w:rFonts w:ascii="Arial"/>
          <w:i/>
          <w:color w:val="545456"/>
          <w:spacing w:val="7"/>
          <w:sz w:val="19"/>
        </w:rPr>
        <w:t xml:space="preserve"> </w:t>
      </w:r>
      <w:r w:rsidR="00F23C61">
        <w:rPr>
          <w:rFonts w:ascii="Arial"/>
          <w:i/>
          <w:color w:val="545456"/>
          <w:sz w:val="19"/>
        </w:rPr>
        <w:t>Data</w:t>
      </w:r>
      <w:r w:rsidR="00F23C61">
        <w:rPr>
          <w:rFonts w:ascii="Arial"/>
          <w:i/>
          <w:color w:val="545456"/>
          <w:spacing w:val="8"/>
          <w:sz w:val="19"/>
        </w:rPr>
        <w:t xml:space="preserve"> </w:t>
      </w:r>
      <w:r w:rsidR="00F23C61">
        <w:rPr>
          <w:rFonts w:ascii="Arial"/>
          <w:i/>
          <w:color w:val="545456"/>
          <w:sz w:val="19"/>
        </w:rPr>
        <w:t>Quality</w:t>
      </w:r>
    </w:p>
    <w:p w14:paraId="321C47F3" w14:textId="77777777" w:rsidR="0055291C" w:rsidRDefault="0055291C">
      <w:pPr>
        <w:pStyle w:val="a3"/>
        <w:rPr>
          <w:rFonts w:ascii="Arial"/>
          <w:i/>
          <w:sz w:val="20"/>
        </w:rPr>
      </w:pPr>
    </w:p>
    <w:p w14:paraId="0201151D" w14:textId="77777777" w:rsidR="0055291C" w:rsidRDefault="0055291C">
      <w:pPr>
        <w:pStyle w:val="a3"/>
        <w:spacing w:before="7"/>
        <w:rPr>
          <w:rFonts w:ascii="Arial"/>
          <w:i/>
          <w:sz w:val="24"/>
        </w:rPr>
      </w:pPr>
    </w:p>
    <w:p w14:paraId="7E93B939" w14:textId="77777777" w:rsidR="0055291C" w:rsidRDefault="0055291C">
      <w:pPr>
        <w:rPr>
          <w:rFonts w:ascii="Arial"/>
          <w:sz w:val="24"/>
        </w:rPr>
        <w:sectPr w:rsidR="0055291C">
          <w:headerReference w:type="default" r:id="rId185"/>
          <w:pgSz w:w="12240" w:h="15840"/>
          <w:pgMar w:top="0" w:right="0" w:bottom="1040" w:left="0" w:header="0" w:footer="859" w:gutter="0"/>
          <w:cols w:space="720"/>
        </w:sectPr>
      </w:pPr>
    </w:p>
    <w:p w14:paraId="0435A8B0" w14:textId="012D9336" w:rsidR="0055291C" w:rsidRDefault="006C3C8F">
      <w:pPr>
        <w:pStyle w:val="7"/>
        <w:numPr>
          <w:ilvl w:val="2"/>
          <w:numId w:val="46"/>
        </w:numPr>
        <w:tabs>
          <w:tab w:val="left" w:pos="1853"/>
          <w:tab w:val="left" w:pos="1854"/>
        </w:tabs>
        <w:spacing w:before="99"/>
        <w:ind w:left="1853" w:hanging="721"/>
        <w:jc w:val="left"/>
      </w:pPr>
      <w:r>
        <w:rPr>
          <w:rFonts w:ascii="ＭＳ 明朝" w:eastAsia="ＭＳ 明朝" w:hAnsi="ＭＳ 明朝" w:cs="ＭＳ 明朝" w:hint="eastAsia"/>
          <w:lang w:eastAsia="ja-JP"/>
        </w:rPr>
        <w:t>データ型の識別</w:t>
      </w:r>
    </w:p>
    <w:p w14:paraId="33957A8C" w14:textId="10B31F52" w:rsidR="006C3C8F" w:rsidRPr="006C3C8F" w:rsidRDefault="006C3C8F" w:rsidP="006C3C8F">
      <w:pPr>
        <w:tabs>
          <w:tab w:val="left" w:pos="1463"/>
        </w:tabs>
        <w:spacing w:before="136" w:line="312" w:lineRule="auto"/>
        <w:ind w:leftChars="386" w:left="849" w:right="436" w:firstLineChars="100" w:firstLine="190"/>
        <w:rPr>
          <w:rFonts w:ascii="ＭＳ ゴシック" w:eastAsia="ＭＳ ゴシック" w:hAnsi="ＭＳ ゴシック" w:cs="ＭＳ ゴシック"/>
          <w:sz w:val="19"/>
          <w:szCs w:val="19"/>
          <w:lang w:eastAsia="ja-JP"/>
        </w:rPr>
      </w:pPr>
      <w:r>
        <w:rPr>
          <w:rFonts w:ascii="ＭＳ ゴシック" w:eastAsia="ＭＳ ゴシック" w:hAnsi="ＭＳ ゴシック" w:cs="ＭＳ ゴシック" w:hint="eastAsia"/>
          <w:sz w:val="19"/>
          <w:szCs w:val="19"/>
          <w:lang w:eastAsia="ja-JP"/>
        </w:rPr>
        <w:t>報告書</w:t>
      </w:r>
      <w:r w:rsidRPr="006C3C8F">
        <w:rPr>
          <w:rFonts w:ascii="ＭＳ ゴシック" w:eastAsia="ＭＳ ゴシック" w:hAnsi="ＭＳ ゴシック" w:cs="ＭＳ ゴシック" w:hint="eastAsia"/>
          <w:sz w:val="19"/>
          <w:szCs w:val="19"/>
          <w:lang w:eastAsia="ja-JP"/>
        </w:rPr>
        <w:t>で使用</w:t>
      </w:r>
      <w:r>
        <w:rPr>
          <w:rFonts w:ascii="ＭＳ ゴシック" w:eastAsia="ＭＳ ゴシック" w:hAnsi="ＭＳ ゴシック" w:cs="ＭＳ ゴシック" w:hint="eastAsia"/>
          <w:sz w:val="19"/>
          <w:szCs w:val="19"/>
          <w:lang w:eastAsia="ja-JP"/>
        </w:rPr>
        <w:t>す</w:t>
      </w:r>
      <w:r w:rsidRPr="006C3C8F">
        <w:rPr>
          <w:rFonts w:ascii="ＭＳ ゴシック" w:eastAsia="ＭＳ ゴシック" w:hAnsi="ＭＳ ゴシック" w:cs="ＭＳ ゴシック" w:hint="eastAsia"/>
          <w:sz w:val="19"/>
          <w:szCs w:val="19"/>
          <w:lang w:eastAsia="ja-JP"/>
        </w:rPr>
        <w:t>るデータの種類を特定することで、企業はデータとその品質についてより深く理解することができます。一般的に、データは</w:t>
      </w:r>
      <w:r w:rsidRPr="006C3C8F">
        <w:rPr>
          <w:sz w:val="19"/>
          <w:szCs w:val="19"/>
          <w:lang w:eastAsia="ja-JP"/>
        </w:rPr>
        <w:t>2</w:t>
      </w:r>
      <w:r w:rsidRPr="006C3C8F">
        <w:rPr>
          <w:rFonts w:ascii="ＭＳ ゴシック" w:eastAsia="ＭＳ ゴシック" w:hAnsi="ＭＳ ゴシック" w:cs="ＭＳ ゴシック" w:hint="eastAsia"/>
          <w:sz w:val="19"/>
          <w:szCs w:val="19"/>
          <w:lang w:eastAsia="ja-JP"/>
        </w:rPr>
        <w:t>つの方法のいずれかで収集することができます。</w:t>
      </w:r>
    </w:p>
    <w:p w14:paraId="5D473EFA" w14:textId="03A3315B" w:rsidR="006C3C8F" w:rsidRDefault="006C3C8F">
      <w:pPr>
        <w:pStyle w:val="a5"/>
        <w:numPr>
          <w:ilvl w:val="3"/>
          <w:numId w:val="46"/>
        </w:numPr>
        <w:tabs>
          <w:tab w:val="left" w:pos="1463"/>
        </w:tabs>
        <w:spacing w:before="136" w:line="312" w:lineRule="auto"/>
        <w:ind w:right="436"/>
        <w:rPr>
          <w:sz w:val="19"/>
          <w:szCs w:val="19"/>
          <w:lang w:eastAsia="ja-JP"/>
        </w:rPr>
      </w:pPr>
      <w:r w:rsidRPr="006C3C8F">
        <w:rPr>
          <w:rFonts w:ascii="ＭＳ ゴシック" w:eastAsia="ＭＳ ゴシック" w:hAnsi="ＭＳ ゴシック" w:cs="ＭＳ ゴシック" w:hint="eastAsia"/>
          <w:sz w:val="19"/>
          <w:szCs w:val="19"/>
          <w:lang w:eastAsia="ja-JP"/>
        </w:rPr>
        <w:t>プロセスから放出される排出物の直接測定またはモデル化</w:t>
      </w:r>
      <w:r w:rsidRPr="006C3C8F">
        <w:rPr>
          <w:sz w:val="19"/>
          <w:szCs w:val="19"/>
          <w:lang w:eastAsia="ja-JP"/>
        </w:rPr>
        <w:t xml:space="preserve"> </w:t>
      </w:r>
    </w:p>
    <w:p w14:paraId="423AE0BA" w14:textId="52FD4CA1" w:rsidR="0055291C" w:rsidRPr="006C3C8F" w:rsidRDefault="006C3C8F">
      <w:pPr>
        <w:pStyle w:val="a5"/>
        <w:numPr>
          <w:ilvl w:val="3"/>
          <w:numId w:val="46"/>
        </w:numPr>
        <w:tabs>
          <w:tab w:val="left" w:pos="1463"/>
        </w:tabs>
        <w:spacing w:before="136" w:line="312" w:lineRule="auto"/>
        <w:ind w:right="436"/>
        <w:rPr>
          <w:sz w:val="19"/>
          <w:szCs w:val="19"/>
          <w:lang w:eastAsia="ja-JP"/>
        </w:rPr>
      </w:pPr>
      <w:r w:rsidRPr="006C3C8F">
        <w:rPr>
          <w:rFonts w:ascii="ＭＳ ゴシック" w:eastAsia="ＭＳ ゴシック" w:hAnsi="ＭＳ ゴシック" w:cs="ＭＳ ゴシック" w:hint="eastAsia"/>
          <w:sz w:val="19"/>
          <w:szCs w:val="19"/>
          <w:lang w:eastAsia="ja-JP"/>
        </w:rPr>
        <w:t>プロセスの活動データおよび排出係数を収集</w:t>
      </w:r>
      <w:r w:rsidRPr="006C3C8F">
        <w:rPr>
          <w:sz w:val="19"/>
          <w:szCs w:val="19"/>
          <w:lang w:eastAsia="ja-JP"/>
        </w:rPr>
        <w:t xml:space="preserve"> </w:t>
      </w:r>
      <w:r w:rsidRPr="006C3C8F">
        <w:rPr>
          <w:rFonts w:ascii="ＭＳ ゴシック" w:eastAsia="ＭＳ ゴシック" w:hAnsi="ＭＳ ゴシック" w:cs="ＭＳ ゴシック" w:hint="eastAsia"/>
          <w:sz w:val="19"/>
          <w:szCs w:val="19"/>
          <w:lang w:eastAsia="ja-JP"/>
        </w:rPr>
        <w:t>し、活動データに排出係数を乗じる</w:t>
      </w:r>
    </w:p>
    <w:p w14:paraId="67CC1CC7" w14:textId="016B190C" w:rsidR="0055291C" w:rsidRDefault="006C3C8F" w:rsidP="006C3C8F">
      <w:pPr>
        <w:pStyle w:val="a3"/>
        <w:spacing w:before="140" w:line="312" w:lineRule="auto"/>
        <w:ind w:left="851" w:right="20"/>
        <w:rPr>
          <w:lang w:eastAsia="ja-JP"/>
        </w:rPr>
      </w:pPr>
      <w:r>
        <w:rPr>
          <w:rFonts w:ascii="ＭＳ ゴシック" w:eastAsia="ＭＳ ゴシック" w:hAnsi="ＭＳ ゴシック" w:cs="ＭＳ ゴシック" w:hint="eastAsia"/>
          <w:lang w:eastAsia="ja-JP"/>
        </w:rPr>
        <w:t>インベントリで使用されるデータの出所は、データ管理計画（付録</w:t>
      </w:r>
      <w:r>
        <w:rPr>
          <w:lang w:eastAsia="ja-JP"/>
        </w:rPr>
        <w:t>C</w:t>
      </w:r>
      <w:r>
        <w:rPr>
          <w:rFonts w:ascii="ＭＳ ゴシック" w:eastAsia="ＭＳ ゴシック" w:hAnsi="ＭＳ ゴシック" w:cs="ＭＳ ゴシック" w:hint="eastAsia"/>
          <w:lang w:eastAsia="ja-JP"/>
        </w:rPr>
        <w:t>参照）にて文書化されるべきです。</w:t>
      </w:r>
      <w:r>
        <w:rPr>
          <w:lang w:eastAsia="ja-JP"/>
        </w:rPr>
        <w:t xml:space="preserve"> </w:t>
      </w:r>
      <w:r>
        <w:rPr>
          <w:rFonts w:ascii="ＭＳ ゴシック" w:eastAsia="ＭＳ ゴシック" w:hAnsi="ＭＳ ゴシック" w:cs="ＭＳ ゴシック" w:hint="eastAsia"/>
          <w:lang w:eastAsia="ja-JP"/>
        </w:rPr>
        <w:t>直接排出データ、活動データ（工程、財務）、排出係数</w:t>
      </w:r>
      <w:r>
        <w:rPr>
          <w:lang w:eastAsia="ja-JP"/>
        </w:rPr>
        <w:t xml:space="preserve"> </w:t>
      </w:r>
      <w:r>
        <w:rPr>
          <w:rFonts w:ascii="ＭＳ ゴシック" w:eastAsia="ＭＳ ゴシック" w:hAnsi="ＭＳ ゴシック" w:cs="ＭＳ ゴシック" w:hint="eastAsia"/>
          <w:lang w:eastAsia="ja-JP"/>
        </w:rPr>
        <w:t>は、本基準で定義されるデータの種類です。</w:t>
      </w:r>
    </w:p>
    <w:p w14:paraId="1C78FD00" w14:textId="21B668ED" w:rsidR="0055291C" w:rsidRDefault="006C3C8F">
      <w:pPr>
        <w:spacing w:before="149"/>
        <w:ind w:left="1133"/>
        <w:rPr>
          <w:rFonts w:ascii="Arial"/>
          <w:b/>
          <w:i/>
          <w:sz w:val="18"/>
          <w:lang w:eastAsia="ja-JP"/>
        </w:rPr>
      </w:pPr>
      <w:r>
        <w:rPr>
          <w:rFonts w:ascii="ＭＳ ゴシック" w:eastAsia="ＭＳ ゴシック" w:hAnsi="ＭＳ ゴシック" w:cs="ＭＳ ゴシック" w:hint="eastAsia"/>
          <w:b/>
          <w:i/>
          <w:color w:val="7F3F98"/>
          <w:sz w:val="18"/>
          <w:lang w:eastAsia="ja-JP"/>
        </w:rPr>
        <w:t>直接排出データ</w:t>
      </w:r>
    </w:p>
    <w:p w14:paraId="70A0108F" w14:textId="320452BA" w:rsidR="006C3C8F" w:rsidRPr="006C3C8F" w:rsidRDefault="006C3C8F" w:rsidP="006C3C8F">
      <w:pPr>
        <w:pStyle w:val="a3"/>
        <w:spacing w:before="2"/>
        <w:ind w:left="851" w:firstLineChars="100" w:firstLine="190"/>
        <w:rPr>
          <w:color w:val="545456"/>
          <w:lang w:eastAsia="ja-JP"/>
        </w:rPr>
      </w:pPr>
      <w:r>
        <w:rPr>
          <w:rFonts w:ascii="ＭＳ ゴシック" w:eastAsia="ＭＳ ゴシック" w:hAnsi="ＭＳ ゴシック" w:cs="ＭＳ ゴシック" w:hint="eastAsia"/>
          <w:lang w:eastAsia="ja-JP"/>
        </w:rPr>
        <w:t>直接排出データは、排出物の放出から得られるもので</w:t>
      </w:r>
      <w:r>
        <w:rPr>
          <w:lang w:eastAsia="ja-JP"/>
        </w:rPr>
        <w:t xml:space="preserve"> </w:t>
      </w:r>
      <w:r>
        <w:rPr>
          <w:rFonts w:ascii="ＭＳ ゴシック" w:eastAsia="ＭＳ ゴシック" w:hAnsi="ＭＳ ゴシック" w:cs="ＭＳ ゴシック" w:hint="eastAsia"/>
          <w:lang w:eastAsia="ja-JP"/>
        </w:rPr>
        <w:t>、直接モニタリング、化学量論、マスバランス、または同様の手法により決定されます。</w:t>
      </w:r>
      <w:r>
        <w:rPr>
          <w:lang w:eastAsia="ja-JP"/>
        </w:rPr>
        <w:t xml:space="preserve"> </w:t>
      </w:r>
      <w:r>
        <w:rPr>
          <w:rFonts w:ascii="ＭＳ ゴシック" w:eastAsia="ＭＳ ゴシック" w:hAnsi="ＭＳ ゴシック" w:cs="ＭＳ ゴシック" w:hint="eastAsia"/>
          <w:lang w:eastAsia="ja-JP"/>
        </w:rPr>
        <w:t>直接排出データの例としては、以下のようなものがあります。</w:t>
      </w:r>
    </w:p>
    <w:p w14:paraId="60142806" w14:textId="77777777" w:rsidR="0055291C" w:rsidRDefault="0055291C">
      <w:pPr>
        <w:pStyle w:val="a3"/>
        <w:rPr>
          <w:sz w:val="17"/>
          <w:lang w:eastAsia="ja-JP"/>
        </w:rPr>
      </w:pPr>
    </w:p>
    <w:p w14:paraId="14D1DE02" w14:textId="77777777" w:rsidR="006C3C8F" w:rsidRPr="006C3C8F" w:rsidRDefault="006C3C8F">
      <w:pPr>
        <w:pStyle w:val="a5"/>
        <w:numPr>
          <w:ilvl w:val="0"/>
          <w:numId w:val="71"/>
        </w:numPr>
        <w:spacing w:before="143"/>
        <w:rPr>
          <w:rFonts w:ascii="Arial"/>
          <w:b/>
          <w:i/>
          <w:sz w:val="19"/>
          <w:szCs w:val="19"/>
          <w:lang w:eastAsia="ja-JP"/>
        </w:rPr>
      </w:pPr>
      <w:r w:rsidRPr="006C3C8F">
        <w:rPr>
          <w:rFonts w:ascii="ＭＳ ゴシック" w:eastAsia="ＭＳ ゴシック" w:hAnsi="ＭＳ ゴシック" w:cs="ＭＳ ゴシック" w:hint="eastAsia"/>
          <w:sz w:val="19"/>
          <w:szCs w:val="19"/>
          <w:lang w:eastAsia="ja-JP"/>
        </w:rPr>
        <w:t>連続排出ガス監視システム（</w:t>
      </w:r>
      <w:r w:rsidRPr="006C3C8F">
        <w:rPr>
          <w:sz w:val="19"/>
          <w:szCs w:val="19"/>
          <w:lang w:eastAsia="ja-JP"/>
        </w:rPr>
        <w:t>CEMS</w:t>
      </w:r>
      <w:r w:rsidRPr="006C3C8F">
        <w:rPr>
          <w:rFonts w:ascii="ＭＳ ゴシック" w:eastAsia="ＭＳ ゴシック" w:hAnsi="ＭＳ ゴシック" w:cs="ＭＳ ゴシック" w:hint="eastAsia"/>
          <w:sz w:val="19"/>
          <w:szCs w:val="19"/>
          <w:lang w:eastAsia="ja-JP"/>
        </w:rPr>
        <w:t>）を通じて測定</w:t>
      </w:r>
      <w:r w:rsidRPr="006C3C8F">
        <w:rPr>
          <w:sz w:val="19"/>
          <w:szCs w:val="19"/>
          <w:lang w:eastAsia="ja-JP"/>
        </w:rPr>
        <w:t xml:space="preserve"> </w:t>
      </w:r>
      <w:r w:rsidRPr="006C3C8F">
        <w:rPr>
          <w:rFonts w:ascii="ＭＳ ゴシック" w:eastAsia="ＭＳ ゴシック" w:hAnsi="ＭＳ ゴシック" w:cs="ＭＳ ゴシック" w:hint="eastAsia"/>
          <w:sz w:val="19"/>
          <w:szCs w:val="19"/>
          <w:lang w:eastAsia="ja-JP"/>
        </w:rPr>
        <w:t>された焼却炉からの排出量</w:t>
      </w:r>
    </w:p>
    <w:p w14:paraId="17C8A757" w14:textId="77777777" w:rsidR="006C3C8F" w:rsidRPr="006C3C8F" w:rsidRDefault="006C3C8F">
      <w:pPr>
        <w:pStyle w:val="a5"/>
        <w:numPr>
          <w:ilvl w:val="0"/>
          <w:numId w:val="71"/>
        </w:numPr>
        <w:spacing w:before="143"/>
        <w:rPr>
          <w:rFonts w:ascii="Arial"/>
          <w:b/>
          <w:i/>
          <w:sz w:val="19"/>
          <w:szCs w:val="19"/>
          <w:lang w:eastAsia="ja-JP"/>
        </w:rPr>
      </w:pPr>
      <w:r w:rsidRPr="006C3C8F">
        <w:rPr>
          <w:rFonts w:ascii="ＭＳ ゴシック" w:eastAsia="ＭＳ ゴシック" w:hAnsi="ＭＳ ゴシック" w:cs="ＭＳ ゴシック" w:hint="eastAsia"/>
          <w:sz w:val="19"/>
          <w:szCs w:val="19"/>
          <w:lang w:eastAsia="ja-JP"/>
        </w:rPr>
        <w:t>化学反応の排出量をストキオメトリック方程式</w:t>
      </w:r>
      <w:r w:rsidRPr="006C3C8F">
        <w:rPr>
          <w:sz w:val="19"/>
          <w:szCs w:val="19"/>
          <w:lang w:eastAsia="ja-JP"/>
        </w:rPr>
        <w:t xml:space="preserve"> </w:t>
      </w:r>
      <w:r w:rsidRPr="006C3C8F">
        <w:rPr>
          <w:rFonts w:ascii="ＭＳ ゴシック" w:eastAsia="ＭＳ ゴシック" w:hAnsi="ＭＳ ゴシック" w:cs="ＭＳ ゴシック" w:hint="eastAsia"/>
          <w:sz w:val="19"/>
          <w:szCs w:val="19"/>
          <w:lang w:eastAsia="ja-JP"/>
        </w:rPr>
        <w:t>で平衡させたもの。</w:t>
      </w:r>
    </w:p>
    <w:p w14:paraId="3B4D6789" w14:textId="77777777" w:rsidR="00D74AF8" w:rsidRPr="00D74AF8" w:rsidRDefault="006C3C8F">
      <w:pPr>
        <w:pStyle w:val="a5"/>
        <w:numPr>
          <w:ilvl w:val="0"/>
          <w:numId w:val="71"/>
        </w:numPr>
        <w:spacing w:before="143"/>
        <w:rPr>
          <w:rFonts w:ascii="Arial"/>
          <w:b/>
          <w:i/>
          <w:sz w:val="18"/>
          <w:lang w:eastAsia="ja-JP"/>
        </w:rPr>
      </w:pPr>
      <w:r w:rsidRPr="006C3C8F">
        <w:rPr>
          <w:rFonts w:ascii="ＭＳ ゴシック" w:eastAsia="ＭＳ ゴシック" w:hAnsi="ＭＳ ゴシック" w:cs="ＭＳ ゴシック" w:hint="eastAsia"/>
          <w:sz w:val="19"/>
          <w:szCs w:val="19"/>
          <w:lang w:eastAsia="ja-JP"/>
        </w:rPr>
        <w:t>マスバランス法で決定された冷媒排出量</w:t>
      </w:r>
    </w:p>
    <w:p w14:paraId="3FACCAC0" w14:textId="444495EA" w:rsidR="0055291C" w:rsidRPr="00D74AF8" w:rsidRDefault="00D74AF8" w:rsidP="00D74AF8">
      <w:pPr>
        <w:spacing w:before="143"/>
        <w:ind w:left="1133"/>
        <w:rPr>
          <w:rFonts w:ascii="Arial"/>
          <w:b/>
          <w:i/>
          <w:sz w:val="18"/>
          <w:lang w:eastAsia="ja-JP"/>
        </w:rPr>
      </w:pPr>
      <w:r>
        <w:rPr>
          <w:rFonts w:ascii="ＭＳ ゴシック" w:eastAsia="ＭＳ ゴシック" w:hAnsi="ＭＳ ゴシック" w:cs="ＭＳ ゴシック" w:hint="eastAsia"/>
          <w:b/>
          <w:i/>
          <w:color w:val="7F3F98"/>
          <w:w w:val="105"/>
          <w:sz w:val="18"/>
          <w:lang w:eastAsia="ja-JP"/>
        </w:rPr>
        <w:t>活動データ</w:t>
      </w:r>
    </w:p>
    <w:p w14:paraId="69A6722F" w14:textId="207A4951" w:rsidR="0055291C" w:rsidRDefault="00D74AF8" w:rsidP="00D74AF8">
      <w:pPr>
        <w:pStyle w:val="a3"/>
        <w:spacing w:before="141" w:line="312" w:lineRule="auto"/>
        <w:ind w:left="851" w:right="94"/>
        <w:rPr>
          <w:lang w:eastAsia="ja-JP"/>
        </w:rPr>
      </w:pPr>
      <w:r>
        <w:rPr>
          <w:rFonts w:ascii="ＭＳ ゴシック" w:eastAsia="ＭＳ ゴシック" w:hAnsi="ＭＳ ゴシック" w:cs="ＭＳ ゴシック" w:hint="eastAsia"/>
          <w:lang w:eastAsia="ja-JP"/>
        </w:rPr>
        <w:t>活動データは、</w:t>
      </w:r>
      <w:r>
        <w:rPr>
          <w:lang w:eastAsia="ja-JP"/>
        </w:rPr>
        <w:t>GHG</w:t>
      </w:r>
      <w:r>
        <w:rPr>
          <w:rFonts w:ascii="ＭＳ ゴシック" w:eastAsia="ＭＳ ゴシック" w:hAnsi="ＭＳ ゴシック" w:cs="ＭＳ ゴシック" w:hint="eastAsia"/>
          <w:lang w:eastAsia="ja-JP"/>
        </w:rPr>
        <w:t>排出をもたらす活動のレベルを定量的に測定するものです。活動量データは、測定</w:t>
      </w:r>
      <w:r>
        <w:rPr>
          <w:lang w:eastAsia="ja-JP"/>
        </w:rPr>
        <w:t xml:space="preserve"> </w:t>
      </w:r>
      <w:r>
        <w:rPr>
          <w:rFonts w:ascii="ＭＳ ゴシック" w:eastAsia="ＭＳ ゴシック" w:hAnsi="ＭＳ ゴシック" w:cs="ＭＳ ゴシック" w:hint="eastAsia"/>
          <w:lang w:eastAsia="ja-JP"/>
        </w:rPr>
        <w:t>、モデル化、計算することが可能です。活動データには、</w:t>
      </w:r>
      <w:r w:rsidR="00886CA3">
        <w:rPr>
          <w:rFonts w:ascii="ＭＳ ゴシック" w:eastAsia="ＭＳ ゴシック" w:hAnsi="ＭＳ ゴシック" w:cs="ＭＳ ゴシック" w:hint="eastAsia"/>
          <w:lang w:eastAsia="ja-JP"/>
        </w:rPr>
        <w:t>工程</w:t>
      </w:r>
      <w:r>
        <w:rPr>
          <w:rFonts w:ascii="ＭＳ ゴシック" w:eastAsia="ＭＳ ゴシック" w:hAnsi="ＭＳ ゴシック" w:cs="ＭＳ ゴシック" w:hint="eastAsia"/>
          <w:lang w:eastAsia="ja-JP"/>
        </w:rPr>
        <w:t>活動データと財務活動データの</w:t>
      </w:r>
      <w:r>
        <w:rPr>
          <w:lang w:eastAsia="ja-JP"/>
        </w:rPr>
        <w:t>2</w:t>
      </w:r>
      <w:r>
        <w:rPr>
          <w:rFonts w:ascii="ＭＳ ゴシック" w:eastAsia="ＭＳ ゴシック" w:hAnsi="ＭＳ ゴシック" w:cs="ＭＳ ゴシック" w:hint="eastAsia"/>
          <w:lang w:eastAsia="ja-JP"/>
        </w:rPr>
        <w:t>種類があります。</w:t>
      </w:r>
    </w:p>
    <w:p w14:paraId="31776CBC" w14:textId="2DBFDDAC" w:rsidR="0055291C" w:rsidRDefault="00886CA3">
      <w:pPr>
        <w:spacing w:before="157"/>
        <w:ind w:left="1133"/>
        <w:rPr>
          <w:rFonts w:ascii="Arial"/>
          <w:b/>
          <w:i/>
          <w:sz w:val="17"/>
          <w:lang w:eastAsia="ja-JP"/>
        </w:rPr>
      </w:pPr>
      <w:r>
        <w:rPr>
          <w:rFonts w:ascii="ＭＳ ゴシック" w:eastAsia="ＭＳ ゴシック" w:hAnsi="ＭＳ ゴシック" w:cs="ＭＳ ゴシック" w:hint="eastAsia"/>
          <w:b/>
          <w:i/>
          <w:color w:val="545456"/>
          <w:sz w:val="17"/>
          <w:lang w:eastAsia="ja-JP"/>
        </w:rPr>
        <w:t>工程</w:t>
      </w:r>
      <w:r w:rsidR="00D74AF8">
        <w:rPr>
          <w:rFonts w:ascii="ＭＳ ゴシック" w:eastAsia="ＭＳ ゴシック" w:hAnsi="ＭＳ ゴシック" w:cs="ＭＳ ゴシック" w:hint="eastAsia"/>
          <w:b/>
          <w:i/>
          <w:color w:val="545456"/>
          <w:sz w:val="17"/>
          <w:lang w:eastAsia="ja-JP"/>
        </w:rPr>
        <w:t>活動データ</w:t>
      </w:r>
    </w:p>
    <w:p w14:paraId="25D2E516" w14:textId="2843F2CE" w:rsidR="0055291C" w:rsidRDefault="00886CA3" w:rsidP="00D74AF8">
      <w:pPr>
        <w:pStyle w:val="a3"/>
        <w:spacing w:before="3" w:line="312" w:lineRule="auto"/>
        <w:ind w:left="851" w:right="-4" w:firstLineChars="100" w:firstLine="190"/>
        <w:rPr>
          <w:lang w:eastAsia="ja-JP"/>
        </w:rPr>
      </w:pPr>
      <w:r>
        <w:rPr>
          <w:rFonts w:ascii="ＭＳ ゴシック" w:eastAsia="ＭＳ ゴシック" w:hAnsi="ＭＳ ゴシック" w:cs="ＭＳ ゴシック" w:hint="eastAsia"/>
          <w:lang w:eastAsia="ja-JP"/>
        </w:rPr>
        <w:t>工程</w:t>
      </w:r>
      <w:r w:rsidR="00D74AF8">
        <w:rPr>
          <w:rFonts w:ascii="ＭＳ ゴシック" w:eastAsia="ＭＳ ゴシック" w:hAnsi="ＭＳ ゴシック" w:cs="ＭＳ ゴシック" w:hint="eastAsia"/>
          <w:lang w:eastAsia="ja-JP"/>
        </w:rPr>
        <w:t>活動データは、</w:t>
      </w:r>
      <w:r w:rsidR="00D74AF8">
        <w:rPr>
          <w:lang w:eastAsia="ja-JP"/>
        </w:rPr>
        <w:t>GHG</w:t>
      </w:r>
      <w:r w:rsidR="00D74AF8">
        <w:rPr>
          <w:rFonts w:ascii="ＭＳ ゴシック" w:eastAsia="ＭＳ ゴシック" w:hAnsi="ＭＳ ゴシック" w:cs="ＭＳ ゴシック" w:hint="eastAsia"/>
          <w:lang w:eastAsia="ja-JP"/>
        </w:rPr>
        <w:t>排出または除去につながるプロセスの物理的な測定値です。これらのデータは、製品のライフサイクルにおける</w:t>
      </w:r>
      <w:r w:rsidR="00280524">
        <w:rPr>
          <w:rFonts w:ascii="ＭＳ ゴシック" w:eastAsia="ＭＳ ゴシック" w:hAnsi="ＭＳ ゴシック" w:cs="ＭＳ ゴシック" w:hint="eastAsia"/>
          <w:lang w:eastAsia="ja-JP"/>
        </w:rPr>
        <w:t>物質投入</w:t>
      </w:r>
      <w:r w:rsidR="00D74AF8">
        <w:rPr>
          <w:rFonts w:ascii="ＭＳ ゴシック" w:eastAsia="ＭＳ ゴシック" w:hAnsi="ＭＳ ゴシック" w:cs="ＭＳ ゴシック" w:hint="eastAsia"/>
          <w:lang w:eastAsia="ja-JP"/>
        </w:rPr>
        <w:t>、</w:t>
      </w:r>
      <w:r w:rsidR="00280524">
        <w:rPr>
          <w:rFonts w:ascii="ＭＳ ゴシック" w:eastAsia="ＭＳ ゴシック" w:hAnsi="ＭＳ ゴシック" w:cs="ＭＳ ゴシック" w:hint="eastAsia"/>
          <w:lang w:eastAsia="ja-JP"/>
        </w:rPr>
        <w:t>製作</w:t>
      </w:r>
      <w:r w:rsidR="00D74AF8">
        <w:rPr>
          <w:rFonts w:ascii="ＭＳ ゴシック" w:eastAsia="ＭＳ ゴシック" w:hAnsi="ＭＳ ゴシック" w:cs="ＭＳ ゴシック" w:hint="eastAsia"/>
          <w:lang w:eastAsia="ja-JP"/>
        </w:rPr>
        <w:t>、その他の指標を捉えてい</w:t>
      </w:r>
      <w:r w:rsidR="00280524">
        <w:rPr>
          <w:rFonts w:ascii="ＭＳ ゴシック" w:eastAsia="ＭＳ ゴシック" w:hAnsi="ＭＳ ゴシック" w:cs="ＭＳ ゴシック" w:hint="eastAsia"/>
          <w:lang w:eastAsia="ja-JP"/>
        </w:rPr>
        <w:t>ます</w:t>
      </w:r>
      <w:r w:rsidR="00D74AF8">
        <w:rPr>
          <w:rFonts w:ascii="ＭＳ ゴシック" w:eastAsia="ＭＳ ゴシック" w:hAnsi="ＭＳ ゴシック" w:cs="ＭＳ ゴシック" w:hint="eastAsia"/>
          <w:lang w:eastAsia="ja-JP"/>
        </w:rPr>
        <w:t>。工程活動データは、工程排出係数と組み合わされることにより</w:t>
      </w:r>
      <w:r w:rsidR="00D74AF8">
        <w:rPr>
          <w:lang w:eastAsia="ja-JP"/>
        </w:rPr>
        <w:t xml:space="preserve">GHG </w:t>
      </w:r>
      <w:r w:rsidR="00D74AF8">
        <w:rPr>
          <w:rFonts w:ascii="ＭＳ ゴシック" w:eastAsia="ＭＳ ゴシック" w:hAnsi="ＭＳ ゴシック" w:cs="ＭＳ ゴシック" w:hint="eastAsia"/>
          <w:lang w:eastAsia="ja-JP"/>
        </w:rPr>
        <w:t>排出量の算定に使用され</w:t>
      </w:r>
      <w:r w:rsidR="00280524">
        <w:rPr>
          <w:rFonts w:ascii="ＭＳ ゴシック" w:eastAsia="ＭＳ ゴシック" w:hAnsi="ＭＳ ゴシック" w:cs="ＭＳ ゴシック" w:hint="eastAsia"/>
          <w:lang w:eastAsia="ja-JP"/>
        </w:rPr>
        <w:t>ます</w:t>
      </w:r>
      <w:r w:rsidR="00D74AF8">
        <w:rPr>
          <w:rFonts w:ascii="ＭＳ ゴシック" w:eastAsia="ＭＳ ゴシック" w:hAnsi="ＭＳ ゴシック" w:cs="ＭＳ ゴシック" w:hint="eastAsia"/>
          <w:lang w:eastAsia="ja-JP"/>
        </w:rPr>
        <w:t>。</w:t>
      </w:r>
      <w:r>
        <w:rPr>
          <w:rFonts w:ascii="ＭＳ ゴシック" w:eastAsia="ＭＳ ゴシック" w:hAnsi="ＭＳ ゴシック" w:cs="ＭＳ ゴシック" w:hint="eastAsia"/>
          <w:lang w:eastAsia="ja-JP"/>
        </w:rPr>
        <w:t>工程</w:t>
      </w:r>
      <w:r w:rsidR="00280524">
        <w:rPr>
          <w:rFonts w:ascii="ＭＳ ゴシック" w:eastAsia="ＭＳ ゴシック" w:hAnsi="ＭＳ ゴシック" w:cs="ＭＳ ゴシック" w:hint="eastAsia"/>
          <w:lang w:eastAsia="ja-JP"/>
        </w:rPr>
        <w:t>活動</w:t>
      </w:r>
      <w:r w:rsidR="00D74AF8">
        <w:rPr>
          <w:rFonts w:ascii="ＭＳ ゴシック" w:eastAsia="ＭＳ ゴシック" w:hAnsi="ＭＳ ゴシック" w:cs="ＭＳ ゴシック" w:hint="eastAsia"/>
          <w:lang w:eastAsia="ja-JP"/>
        </w:rPr>
        <w:t>データの例としては、以下のようなものがあ</w:t>
      </w:r>
      <w:r w:rsidR="00280524">
        <w:rPr>
          <w:rFonts w:ascii="ＭＳ ゴシック" w:eastAsia="ＭＳ ゴシック" w:hAnsi="ＭＳ ゴシック" w:cs="ＭＳ ゴシック" w:hint="eastAsia"/>
          <w:lang w:eastAsia="ja-JP"/>
        </w:rPr>
        <w:t>ります。</w:t>
      </w:r>
    </w:p>
    <w:p w14:paraId="26AB46E0" w14:textId="57634190" w:rsidR="0055291C" w:rsidRDefault="00F23C61">
      <w:pPr>
        <w:pStyle w:val="6"/>
        <w:spacing w:line="292" w:lineRule="auto"/>
        <w:ind w:left="1125" w:right="921" w:hanging="866"/>
      </w:pPr>
      <w:r>
        <w:rPr>
          <w:b w:val="0"/>
          <w:lang w:eastAsia="ja-JP"/>
        </w:rPr>
        <w:br w:type="column"/>
      </w:r>
      <w:r>
        <w:rPr>
          <w:color w:val="00ACA1"/>
          <w:w w:val="95"/>
        </w:rPr>
        <w:t>Box</w:t>
      </w:r>
      <w:r>
        <w:rPr>
          <w:color w:val="00ACA1"/>
          <w:spacing w:val="19"/>
          <w:w w:val="95"/>
        </w:rPr>
        <w:t xml:space="preserve"> </w:t>
      </w:r>
      <w:r>
        <w:rPr>
          <w:color w:val="00ACA1"/>
          <w:w w:val="95"/>
        </w:rPr>
        <w:t>[8.2]</w:t>
      </w:r>
      <w:r w:rsidRPr="00A12130">
        <w:rPr>
          <w:color w:val="00ACA1"/>
          <w:spacing w:val="19"/>
          <w:w w:val="95"/>
        </w:rPr>
        <w:t xml:space="preserve"> </w:t>
      </w:r>
      <w:r w:rsidR="00A12130" w:rsidRPr="00A12130">
        <w:rPr>
          <w:rFonts w:asciiTheme="minorEastAsia" w:eastAsiaTheme="minorEastAsia" w:hAnsiTheme="minorEastAsia" w:hint="eastAsia"/>
          <w:color w:val="545456"/>
          <w:w w:val="95"/>
          <w:lang w:eastAsia="ja-JP"/>
        </w:rPr>
        <w:t>EEIO</w:t>
      </w:r>
      <w:r w:rsidR="00A12130" w:rsidRPr="00A12130">
        <w:rPr>
          <w:rFonts w:ascii="ＭＳ 明朝" w:eastAsia="ＭＳ 明朝" w:hAnsi="ＭＳ 明朝" w:cs="ＭＳ 明朝" w:hint="eastAsia"/>
          <w:color w:val="545456"/>
          <w:w w:val="95"/>
          <w:lang w:eastAsia="ja-JP"/>
        </w:rPr>
        <w:t>排出係数の使用</w:t>
      </w:r>
    </w:p>
    <w:p w14:paraId="13CAB69A" w14:textId="77777777" w:rsidR="0055291C" w:rsidRDefault="00000000">
      <w:pPr>
        <w:pStyle w:val="a3"/>
        <w:spacing w:before="3"/>
        <w:rPr>
          <w:rFonts w:ascii="Arial"/>
          <w:b/>
          <w:sz w:val="4"/>
        </w:rPr>
      </w:pPr>
      <w:r>
        <w:pict w14:anchorId="50D1C8F6">
          <v:group id="docshapegroup813" o:spid="_x0000_s2999" style="position:absolute;margin-left:313.1pt;margin-top:3.65pt;width:243pt;height:270.2pt;z-index:-251490816;mso-wrap-distance-left:0;mso-wrap-distance-right:0;mso-position-horizontal-relative:page" coordorigin="6262,73" coordsize="4860,5140">
            <v:shape id="docshape814" o:spid="_x0000_s3001" style="position:absolute;left:6261;top:73;width:4860;height:5140" coordorigin="6262,73" coordsize="4860,5140" path="m10895,73r-4406,l6357,77r-67,25l6265,169r-3,131l6262,4986r3,131l6290,5184r67,25l6489,5213r4406,l11026,5209r67,-25l11118,5117r4,-131l11122,300r-4,-131l11093,102r-67,-25l10895,73xe" fillcolor="#e4f3f1" stroked="f">
              <v:path arrowok="t"/>
            </v:shape>
            <v:shape id="docshape815" o:spid="_x0000_s3000" type="#_x0000_t202" style="position:absolute;left:6261;top:73;width:4860;height:5140" filled="f" stroked="f">
              <v:textbox style="mso-next-textbox:#docshape815" inset="0,0,0,0">
                <w:txbxContent>
                  <w:p w14:paraId="5C3352A7" w14:textId="77777777" w:rsidR="0055291C" w:rsidRDefault="0055291C">
                    <w:pPr>
                      <w:spacing w:before="10"/>
                      <w:rPr>
                        <w:rFonts w:ascii="Arial"/>
                        <w:b/>
                        <w:sz w:val="18"/>
                      </w:rPr>
                    </w:pPr>
                  </w:p>
                  <w:p w14:paraId="0C2ED7F4" w14:textId="69F9EA96" w:rsidR="0055291C" w:rsidRPr="00B018D3" w:rsidRDefault="00B018D3">
                    <w:pPr>
                      <w:spacing w:before="144" w:line="312" w:lineRule="auto"/>
                      <w:ind w:left="181" w:right="259"/>
                      <w:rPr>
                        <w:sz w:val="19"/>
                        <w:szCs w:val="19"/>
                        <w:lang w:eastAsia="ja-JP"/>
                      </w:rPr>
                    </w:pPr>
                    <w:r w:rsidRPr="00B018D3">
                      <w:rPr>
                        <w:rFonts w:ascii="ＭＳ ゴシック" w:eastAsia="ＭＳ ゴシック" w:hAnsi="ＭＳ ゴシック" w:cs="ＭＳ ゴシック" w:hint="eastAsia"/>
                        <w:sz w:val="19"/>
                        <w:szCs w:val="19"/>
                        <w:lang w:eastAsia="ja-JP"/>
                      </w:rPr>
                      <w:t>環境拡張型産業連関</w:t>
                    </w:r>
                    <w:r w:rsidR="00A12130">
                      <w:rPr>
                        <w:rFonts w:ascii="ＭＳ ゴシック" w:eastAsia="ＭＳ ゴシック" w:hAnsi="ＭＳ ゴシック" w:cs="ＭＳ ゴシック" w:hint="eastAsia"/>
                        <w:sz w:val="19"/>
                        <w:szCs w:val="19"/>
                        <w:lang w:eastAsia="ja-JP"/>
                      </w:rPr>
                      <w:t>表</w:t>
                    </w:r>
                    <w:r w:rsidRPr="00B018D3">
                      <w:rPr>
                        <w:rFonts w:ascii="ＭＳ ゴシック" w:eastAsia="ＭＳ ゴシック" w:hAnsi="ＭＳ ゴシック" w:cs="ＭＳ ゴシック" w:hint="eastAsia"/>
                        <w:sz w:val="19"/>
                        <w:szCs w:val="19"/>
                        <w:lang w:eastAsia="ja-JP"/>
                      </w:rPr>
                      <w:t>（</w:t>
                    </w:r>
                    <w:r w:rsidRPr="00B018D3">
                      <w:rPr>
                        <w:sz w:val="19"/>
                        <w:szCs w:val="19"/>
                        <w:lang w:eastAsia="ja-JP"/>
                      </w:rPr>
                      <w:t>EEIO</w:t>
                    </w:r>
                    <w:r w:rsidRPr="00B018D3">
                      <w:rPr>
                        <w:rFonts w:ascii="ＭＳ ゴシック" w:eastAsia="ＭＳ ゴシック" w:hAnsi="ＭＳ ゴシック" w:cs="ＭＳ ゴシック" w:hint="eastAsia"/>
                        <w:sz w:val="19"/>
                        <w:szCs w:val="19"/>
                        <w:lang w:eastAsia="ja-JP"/>
                      </w:rPr>
                      <w:t>）</w:t>
                    </w:r>
                    <w:r w:rsidR="00A12130">
                      <w:rPr>
                        <w:rFonts w:ascii="ＭＳ ゴシック" w:eastAsia="ＭＳ ゴシック" w:hAnsi="ＭＳ ゴシック" w:cs="ＭＳ ゴシック" w:hint="eastAsia"/>
                        <w:sz w:val="19"/>
                        <w:szCs w:val="19"/>
                        <w:lang w:eastAsia="ja-JP"/>
                      </w:rPr>
                      <w:t>モデル</w:t>
                    </w:r>
                    <w:r w:rsidRPr="00B018D3">
                      <w:rPr>
                        <w:rFonts w:ascii="ＭＳ ゴシック" w:eastAsia="ＭＳ ゴシック" w:hAnsi="ＭＳ ゴシック" w:cs="ＭＳ ゴシック" w:hint="eastAsia"/>
                        <w:sz w:val="19"/>
                        <w:szCs w:val="19"/>
                        <w:lang w:eastAsia="ja-JP"/>
                      </w:rPr>
                      <w:t>は、経済内の様々なセクターや製品の生産活動</w:t>
                    </w:r>
                    <w:r w:rsidR="00A12130">
                      <w:rPr>
                        <w:rFonts w:ascii="ＭＳ ゴシック" w:eastAsia="ＭＳ ゴシック" w:hAnsi="ＭＳ ゴシック" w:cs="ＭＳ ゴシック" w:hint="eastAsia"/>
                        <w:sz w:val="19"/>
                        <w:szCs w:val="19"/>
                        <w:lang w:eastAsia="ja-JP"/>
                      </w:rPr>
                      <w:t>、</w:t>
                    </w:r>
                    <w:r w:rsidRPr="00B018D3">
                      <w:rPr>
                        <w:rFonts w:ascii="ＭＳ ゴシック" w:eastAsia="ＭＳ ゴシック" w:hAnsi="ＭＳ ゴシック" w:cs="ＭＳ ゴシック" w:hint="eastAsia"/>
                        <w:sz w:val="19"/>
                        <w:szCs w:val="19"/>
                        <w:lang w:eastAsia="ja-JP"/>
                      </w:rPr>
                      <w:t>上流サプライ</w:t>
                    </w:r>
                    <w:r w:rsidRPr="00B018D3">
                      <w:rPr>
                        <w:sz w:val="19"/>
                        <w:szCs w:val="19"/>
                        <w:lang w:eastAsia="ja-JP"/>
                      </w:rPr>
                      <w:t xml:space="preserve"> </w:t>
                    </w:r>
                    <w:r w:rsidRPr="00B018D3">
                      <w:rPr>
                        <w:rFonts w:ascii="ＭＳ ゴシック" w:eastAsia="ＭＳ ゴシック" w:hAnsi="ＭＳ ゴシック" w:cs="ＭＳ ゴシック" w:hint="eastAsia"/>
                        <w:sz w:val="19"/>
                        <w:szCs w:val="19"/>
                        <w:lang w:eastAsia="ja-JP"/>
                      </w:rPr>
                      <w:t>チェーン活動から生じるエネルギー使用量や</w:t>
                    </w:r>
                    <w:r w:rsidRPr="00B018D3">
                      <w:rPr>
                        <w:sz w:val="19"/>
                        <w:szCs w:val="19"/>
                        <w:lang w:eastAsia="ja-JP"/>
                      </w:rPr>
                      <w:t xml:space="preserve">GHG </w:t>
                    </w:r>
                    <w:r w:rsidRPr="00B018D3">
                      <w:rPr>
                        <w:rFonts w:ascii="ＭＳ ゴシック" w:eastAsia="ＭＳ ゴシック" w:hAnsi="ＭＳ ゴシック" w:cs="ＭＳ ゴシック" w:hint="eastAsia"/>
                        <w:sz w:val="19"/>
                        <w:szCs w:val="19"/>
                        <w:lang w:eastAsia="ja-JP"/>
                      </w:rPr>
                      <w:t>排出量を推計します。その結果得られた</w:t>
                    </w:r>
                    <w:r w:rsidRPr="00B018D3">
                      <w:rPr>
                        <w:sz w:val="19"/>
                        <w:szCs w:val="19"/>
                        <w:lang w:eastAsia="ja-JP"/>
                      </w:rPr>
                      <w:t>EEIO</w:t>
                    </w:r>
                    <w:r w:rsidRPr="00B018D3">
                      <w:rPr>
                        <w:rFonts w:ascii="ＭＳ ゴシック" w:eastAsia="ＭＳ ゴシック" w:hAnsi="ＭＳ ゴシック" w:cs="ＭＳ ゴシック" w:hint="eastAsia"/>
                        <w:sz w:val="19"/>
                        <w:szCs w:val="19"/>
                        <w:lang w:eastAsia="ja-JP"/>
                      </w:rPr>
                      <w:t>排出</w:t>
                    </w:r>
                    <w:r w:rsidRPr="00B018D3">
                      <w:rPr>
                        <w:sz w:val="19"/>
                        <w:szCs w:val="19"/>
                        <w:lang w:eastAsia="ja-JP"/>
                      </w:rPr>
                      <w:t xml:space="preserve"> </w:t>
                    </w:r>
                    <w:r w:rsidRPr="00B018D3">
                      <w:rPr>
                        <w:rFonts w:ascii="ＭＳ ゴシック" w:eastAsia="ＭＳ ゴシック" w:hAnsi="ＭＳ ゴシック" w:cs="ＭＳ ゴシック" w:hint="eastAsia"/>
                        <w:sz w:val="19"/>
                        <w:szCs w:val="19"/>
                        <w:lang w:eastAsia="ja-JP"/>
                      </w:rPr>
                      <w:t>係数は、特定の産業や製品カテゴリーにおける</w:t>
                    </w:r>
                    <w:r w:rsidRPr="00B018D3">
                      <w:rPr>
                        <w:sz w:val="19"/>
                        <w:szCs w:val="19"/>
                        <w:lang w:eastAsia="ja-JP"/>
                      </w:rPr>
                      <w:t xml:space="preserve"> GHG</w:t>
                    </w:r>
                    <w:r w:rsidRPr="00B018D3">
                      <w:rPr>
                        <w:rFonts w:ascii="ＭＳ ゴシック" w:eastAsia="ＭＳ ゴシック" w:hAnsi="ＭＳ ゴシック" w:cs="ＭＳ ゴシック" w:hint="eastAsia"/>
                        <w:sz w:val="19"/>
                        <w:szCs w:val="19"/>
                        <w:lang w:eastAsia="ja-JP"/>
                      </w:rPr>
                      <w:t>排出量の推定に使用することができ</w:t>
                    </w:r>
                    <w:r>
                      <w:rPr>
                        <w:rFonts w:ascii="ＭＳ ゴシック" w:eastAsia="ＭＳ ゴシック" w:hAnsi="ＭＳ ゴシック" w:cs="ＭＳ ゴシック" w:hint="eastAsia"/>
                        <w:sz w:val="19"/>
                        <w:szCs w:val="19"/>
                        <w:lang w:eastAsia="ja-JP"/>
                      </w:rPr>
                      <w:t>ます</w:t>
                    </w:r>
                    <w:r w:rsidRPr="00B018D3">
                      <w:rPr>
                        <w:rFonts w:ascii="ＭＳ ゴシック" w:eastAsia="ＭＳ ゴシック" w:hAnsi="ＭＳ ゴシック" w:cs="ＭＳ ゴシック" w:hint="eastAsia"/>
                        <w:sz w:val="19"/>
                        <w:szCs w:val="19"/>
                        <w:lang w:eastAsia="ja-JP"/>
                      </w:rPr>
                      <w:t>。</w:t>
                    </w:r>
                    <w:r w:rsidRPr="00B018D3">
                      <w:rPr>
                        <w:sz w:val="19"/>
                        <w:szCs w:val="19"/>
                        <w:lang w:eastAsia="ja-JP"/>
                      </w:rPr>
                      <w:t xml:space="preserve"> EEIO</w:t>
                    </w:r>
                    <w:r w:rsidRPr="00B018D3">
                      <w:rPr>
                        <w:rFonts w:ascii="ＭＳ ゴシック" w:eastAsia="ＭＳ ゴシック" w:hAnsi="ＭＳ ゴシック" w:cs="ＭＳ ゴシック" w:hint="eastAsia"/>
                        <w:sz w:val="19"/>
                        <w:szCs w:val="19"/>
                        <w:lang w:eastAsia="ja-JP"/>
                      </w:rPr>
                      <w:t>データは、データ収集の優先順位を決める際</w:t>
                    </w:r>
                    <w:r w:rsidRPr="00B018D3">
                      <w:rPr>
                        <w:sz w:val="19"/>
                        <w:szCs w:val="19"/>
                        <w:lang w:eastAsia="ja-JP"/>
                      </w:rPr>
                      <w:t xml:space="preserve"> </w:t>
                    </w:r>
                    <w:r w:rsidRPr="00B018D3">
                      <w:rPr>
                        <w:rFonts w:ascii="ＭＳ ゴシック" w:eastAsia="ＭＳ ゴシック" w:hAnsi="ＭＳ ゴシック" w:cs="ＭＳ ゴシック" w:hint="eastAsia"/>
                        <w:sz w:val="19"/>
                        <w:szCs w:val="19"/>
                        <w:lang w:eastAsia="ja-JP"/>
                      </w:rPr>
                      <w:t>に、排出源のスクリーニングに特に有用で</w:t>
                    </w:r>
                    <w:r>
                      <w:rPr>
                        <w:rFonts w:ascii="ＭＳ ゴシック" w:eastAsia="ＭＳ ゴシック" w:hAnsi="ＭＳ ゴシック" w:cs="ＭＳ ゴシック" w:hint="eastAsia"/>
                        <w:sz w:val="19"/>
                        <w:szCs w:val="19"/>
                        <w:lang w:eastAsia="ja-JP"/>
                      </w:rPr>
                      <w:t>す</w:t>
                    </w:r>
                    <w:r w:rsidRPr="00B018D3">
                      <w:rPr>
                        <w:rFonts w:ascii="ＭＳ ゴシック" w:eastAsia="ＭＳ ゴシック" w:hAnsi="ＭＳ ゴシック" w:cs="ＭＳ ゴシック" w:hint="eastAsia"/>
                        <w:sz w:val="19"/>
                        <w:szCs w:val="19"/>
                        <w:lang w:eastAsia="ja-JP"/>
                      </w:rPr>
                      <w:t>。</w:t>
                    </w:r>
                    <w:r w:rsidRPr="00B018D3">
                      <w:rPr>
                        <w:sz w:val="19"/>
                        <w:szCs w:val="19"/>
                        <w:lang w:eastAsia="ja-JP"/>
                      </w:rPr>
                      <w:t xml:space="preserve"> EEIO</w:t>
                    </w:r>
                    <w:r w:rsidRPr="00B018D3">
                      <w:rPr>
                        <w:rFonts w:ascii="ＭＳ ゴシック" w:eastAsia="ＭＳ ゴシック" w:hAnsi="ＭＳ ゴシック" w:cs="ＭＳ ゴシック" w:hint="eastAsia"/>
                        <w:sz w:val="19"/>
                        <w:szCs w:val="19"/>
                        <w:lang w:eastAsia="ja-JP"/>
                      </w:rPr>
                      <w:t>モデルは、産業部門間の経済的な流れに基づき</w:t>
                    </w:r>
                    <w:r w:rsidRPr="00B018D3">
                      <w:rPr>
                        <w:sz w:val="19"/>
                        <w:szCs w:val="19"/>
                        <w:lang w:eastAsia="ja-JP"/>
                      </w:rPr>
                      <w:t xml:space="preserve"> </w:t>
                    </w:r>
                    <w:r w:rsidRPr="00B018D3">
                      <w:rPr>
                        <w:rFonts w:ascii="ＭＳ ゴシック" w:eastAsia="ＭＳ ゴシック" w:hAnsi="ＭＳ ゴシック" w:cs="ＭＳ ゴシック" w:hint="eastAsia"/>
                        <w:sz w:val="19"/>
                        <w:szCs w:val="19"/>
                        <w:lang w:eastAsia="ja-JP"/>
                      </w:rPr>
                      <w:t>、国内の</w:t>
                    </w:r>
                    <w:r w:rsidRPr="00B018D3">
                      <w:rPr>
                        <w:sz w:val="19"/>
                        <w:szCs w:val="19"/>
                        <w:lang w:eastAsia="ja-JP"/>
                      </w:rPr>
                      <w:t>GHG</w:t>
                    </w:r>
                    <w:r w:rsidRPr="00B018D3">
                      <w:rPr>
                        <w:rFonts w:ascii="ＭＳ ゴシック" w:eastAsia="ＭＳ ゴシック" w:hAnsi="ＭＳ ゴシック" w:cs="ＭＳ ゴシック" w:hint="eastAsia"/>
                        <w:sz w:val="19"/>
                        <w:szCs w:val="19"/>
                        <w:lang w:eastAsia="ja-JP"/>
                      </w:rPr>
                      <w:t>排出量を完成品のグループに割り当てることで導き出されます。</w:t>
                    </w:r>
                    <w:r w:rsidRPr="00B018D3">
                      <w:rPr>
                        <w:sz w:val="19"/>
                        <w:szCs w:val="19"/>
                        <w:lang w:eastAsia="ja-JP"/>
                      </w:rPr>
                      <w:t>EEIO</w:t>
                    </w:r>
                    <w:r w:rsidRPr="00B018D3">
                      <w:rPr>
                        <w:rFonts w:ascii="ＭＳ ゴシック" w:eastAsia="ＭＳ ゴシック" w:hAnsi="ＭＳ ゴシック" w:cs="ＭＳ ゴシック" w:hint="eastAsia"/>
                        <w:sz w:val="19"/>
                        <w:szCs w:val="19"/>
                        <w:lang w:eastAsia="ja-JP"/>
                      </w:rPr>
                      <w:t>モデルは、対象となるセクターや製品の数、更新の頻度に違いがあります。</w:t>
                    </w:r>
                    <w:r w:rsidRPr="00B018D3">
                      <w:rPr>
                        <w:sz w:val="19"/>
                        <w:szCs w:val="19"/>
                        <w:lang w:eastAsia="ja-JP"/>
                      </w:rPr>
                      <w:t>EEIO</w:t>
                    </w:r>
                    <w:r w:rsidRPr="00B018D3">
                      <w:rPr>
                        <w:rFonts w:ascii="ＭＳ ゴシック" w:eastAsia="ＭＳ ゴシック" w:hAnsi="ＭＳ ゴシック" w:cs="ＭＳ ゴシック" w:hint="eastAsia"/>
                        <w:sz w:val="19"/>
                        <w:szCs w:val="19"/>
                        <w:lang w:eastAsia="ja-JP"/>
                      </w:rPr>
                      <w:t>のデータは包括的であることが多い</w:t>
                    </w:r>
                    <w:r>
                      <w:rPr>
                        <w:rFonts w:ascii="ＭＳ ゴシック" w:eastAsia="ＭＳ ゴシック" w:hAnsi="ＭＳ ゴシック" w:cs="ＭＳ ゴシック" w:hint="eastAsia"/>
                        <w:sz w:val="19"/>
                        <w:szCs w:val="19"/>
                        <w:lang w:eastAsia="ja-JP"/>
                      </w:rPr>
                      <w:t>です</w:t>
                    </w:r>
                    <w:r w:rsidRPr="00B018D3">
                      <w:rPr>
                        <w:rFonts w:ascii="ＭＳ ゴシック" w:eastAsia="ＭＳ ゴシック" w:hAnsi="ＭＳ ゴシック" w:cs="ＭＳ ゴシック" w:hint="eastAsia"/>
                        <w:sz w:val="19"/>
                        <w:szCs w:val="19"/>
                        <w:lang w:eastAsia="ja-JP"/>
                      </w:rPr>
                      <w:t>が、他のデータソースと比較すると粒度は比較的低</w:t>
                    </w:r>
                    <w:r>
                      <w:rPr>
                        <w:rFonts w:ascii="ＭＳ ゴシック" w:eastAsia="ＭＳ ゴシック" w:hAnsi="ＭＳ ゴシック" w:cs="ＭＳ ゴシック" w:hint="eastAsia"/>
                        <w:sz w:val="19"/>
                        <w:szCs w:val="19"/>
                        <w:lang w:eastAsia="ja-JP"/>
                      </w:rPr>
                      <w:t>くなっています</w:t>
                    </w:r>
                    <w:r w:rsidR="00F23C61" w:rsidRPr="00B018D3">
                      <w:rPr>
                        <w:color w:val="545456"/>
                        <w:position w:val="6"/>
                        <w:sz w:val="19"/>
                        <w:szCs w:val="19"/>
                        <w:vertAlign w:val="superscript"/>
                        <w:lang w:eastAsia="ja-JP"/>
                      </w:rPr>
                      <w:t>1</w:t>
                    </w:r>
                    <w:r w:rsidRPr="00B018D3">
                      <w:rPr>
                        <w:rFonts w:ascii="ＭＳ ゴシック" w:eastAsia="ＭＳ ゴシック" w:hAnsi="ＭＳ ゴシック" w:cs="ＭＳ ゴシック" w:hint="eastAsia"/>
                        <w:color w:val="545456"/>
                        <w:position w:val="6"/>
                        <w:sz w:val="19"/>
                        <w:szCs w:val="19"/>
                        <w:lang w:eastAsia="ja-JP"/>
                      </w:rPr>
                      <w:t>。</w:t>
                    </w:r>
                  </w:p>
                </w:txbxContent>
              </v:textbox>
            </v:shape>
            <w10:wrap type="topAndBottom" anchorx="page"/>
          </v:group>
        </w:pict>
      </w:r>
    </w:p>
    <w:p w14:paraId="62CBE066" w14:textId="77777777" w:rsidR="0055291C" w:rsidRDefault="0055291C">
      <w:pPr>
        <w:pStyle w:val="a3"/>
        <w:rPr>
          <w:rFonts w:ascii="Arial"/>
          <w:b/>
          <w:sz w:val="22"/>
        </w:rPr>
      </w:pPr>
    </w:p>
    <w:p w14:paraId="2C23CEED" w14:textId="0E27EA93" w:rsidR="00280524" w:rsidRPr="00280524" w:rsidRDefault="00280524">
      <w:pPr>
        <w:pStyle w:val="a3"/>
        <w:numPr>
          <w:ilvl w:val="0"/>
          <w:numId w:val="72"/>
        </w:numPr>
        <w:ind w:firstLine="431"/>
        <w:rPr>
          <w:sz w:val="22"/>
          <w:lang w:eastAsia="ja-JP"/>
        </w:rPr>
      </w:pPr>
      <w:r>
        <w:rPr>
          <w:rFonts w:ascii="ＭＳ ゴシック" w:eastAsia="ＭＳ ゴシック" w:hAnsi="ＭＳ ゴシック" w:cs="ＭＳ ゴシック" w:hint="eastAsia"/>
          <w:lang w:eastAsia="ja-JP"/>
        </w:rPr>
        <w:t>エネルギー（例：消費したエネルギーのジュール数）</w:t>
      </w:r>
    </w:p>
    <w:p w14:paraId="47840C4D" w14:textId="5EDFCC08" w:rsidR="00280524" w:rsidRPr="00280524" w:rsidRDefault="00280524">
      <w:pPr>
        <w:pStyle w:val="a3"/>
        <w:numPr>
          <w:ilvl w:val="0"/>
          <w:numId w:val="72"/>
        </w:numPr>
        <w:ind w:firstLine="431"/>
        <w:rPr>
          <w:sz w:val="22"/>
          <w:lang w:eastAsia="ja-JP"/>
        </w:rPr>
      </w:pPr>
      <w:r>
        <w:rPr>
          <w:rFonts w:ascii="ＭＳ ゴシック" w:eastAsia="ＭＳ ゴシック" w:hAnsi="ＭＳ ゴシック" w:cs="ＭＳ ゴシック" w:hint="eastAsia"/>
          <w:lang w:eastAsia="ja-JP"/>
        </w:rPr>
        <w:t>質量（例：材料のキログラム数）</w:t>
      </w:r>
    </w:p>
    <w:p w14:paraId="2946401B" w14:textId="0F8B8DBC" w:rsidR="00280524" w:rsidRPr="00280524" w:rsidRDefault="00280524">
      <w:pPr>
        <w:pStyle w:val="a3"/>
        <w:numPr>
          <w:ilvl w:val="0"/>
          <w:numId w:val="72"/>
        </w:numPr>
        <w:ind w:firstLine="431"/>
        <w:rPr>
          <w:sz w:val="22"/>
          <w:lang w:eastAsia="ja-JP"/>
        </w:rPr>
      </w:pPr>
      <w:r>
        <w:rPr>
          <w:rFonts w:ascii="ＭＳ ゴシック" w:eastAsia="ＭＳ ゴシック" w:hAnsi="ＭＳ ゴシック" w:cs="ＭＳ ゴシック" w:hint="eastAsia"/>
          <w:lang w:eastAsia="ja-JP"/>
        </w:rPr>
        <w:t>量（例：使用した化学物質の量）</w:t>
      </w:r>
    </w:p>
    <w:p w14:paraId="76FFCADD" w14:textId="57305A8D" w:rsidR="00280524" w:rsidRPr="00280524" w:rsidRDefault="00280524">
      <w:pPr>
        <w:pStyle w:val="a3"/>
        <w:numPr>
          <w:ilvl w:val="0"/>
          <w:numId w:val="72"/>
        </w:numPr>
        <w:ind w:firstLine="431"/>
        <w:rPr>
          <w:sz w:val="22"/>
          <w:lang w:eastAsia="ja-JP"/>
        </w:rPr>
      </w:pPr>
      <w:r>
        <w:rPr>
          <w:rFonts w:ascii="ＭＳ ゴシック" w:eastAsia="ＭＳ ゴシック" w:hAnsi="ＭＳ ゴシック" w:cs="ＭＳ ゴシック" w:hint="eastAsia"/>
          <w:lang w:eastAsia="ja-JP"/>
        </w:rPr>
        <w:t>面積（例：生産施設の面積）</w:t>
      </w:r>
    </w:p>
    <w:p w14:paraId="4DA88B79" w14:textId="6AC73089" w:rsidR="00280524" w:rsidRPr="00280524" w:rsidRDefault="00280524">
      <w:pPr>
        <w:pStyle w:val="a3"/>
        <w:numPr>
          <w:ilvl w:val="0"/>
          <w:numId w:val="72"/>
        </w:numPr>
        <w:ind w:firstLine="431"/>
        <w:rPr>
          <w:sz w:val="22"/>
          <w:lang w:eastAsia="ja-JP"/>
        </w:rPr>
      </w:pPr>
      <w:r>
        <w:rPr>
          <w:rFonts w:ascii="ＭＳ ゴシック" w:eastAsia="ＭＳ ゴシック" w:hAnsi="ＭＳ ゴシック" w:cs="ＭＳ ゴシック" w:hint="eastAsia"/>
          <w:lang w:eastAsia="ja-JP"/>
        </w:rPr>
        <w:t>距離（例：移動距離キロメートル）</w:t>
      </w:r>
    </w:p>
    <w:p w14:paraId="3D5C1191" w14:textId="258B407B" w:rsidR="0055291C" w:rsidRDefault="00280524">
      <w:pPr>
        <w:pStyle w:val="a3"/>
        <w:numPr>
          <w:ilvl w:val="0"/>
          <w:numId w:val="72"/>
        </w:numPr>
        <w:ind w:firstLine="431"/>
        <w:rPr>
          <w:sz w:val="22"/>
          <w:lang w:eastAsia="ja-JP"/>
        </w:rPr>
      </w:pPr>
      <w:r>
        <w:rPr>
          <w:rFonts w:ascii="ＭＳ ゴシック" w:eastAsia="ＭＳ ゴシック" w:hAnsi="ＭＳ ゴシック" w:cs="ＭＳ ゴシック" w:hint="eastAsia"/>
          <w:lang w:eastAsia="ja-JP"/>
        </w:rPr>
        <w:t>時間（例：営業時間など）</w:t>
      </w:r>
    </w:p>
    <w:p w14:paraId="101AC8A3" w14:textId="77777777" w:rsidR="0055291C" w:rsidRDefault="0055291C">
      <w:pPr>
        <w:pStyle w:val="a3"/>
        <w:rPr>
          <w:sz w:val="22"/>
          <w:lang w:eastAsia="ja-JP"/>
        </w:rPr>
      </w:pPr>
    </w:p>
    <w:p w14:paraId="6E8FCA56" w14:textId="0A9C1264" w:rsidR="0055291C" w:rsidRDefault="00280524">
      <w:pPr>
        <w:ind w:left="255"/>
        <w:rPr>
          <w:rFonts w:ascii="Arial"/>
          <w:b/>
          <w:i/>
          <w:sz w:val="17"/>
          <w:lang w:eastAsia="ja-JP"/>
        </w:rPr>
      </w:pPr>
      <w:r>
        <w:rPr>
          <w:rFonts w:ascii="ＭＳ ゴシック" w:eastAsia="ＭＳ ゴシック" w:hAnsi="ＭＳ ゴシック" w:cs="ＭＳ ゴシック" w:hint="eastAsia"/>
          <w:b/>
          <w:i/>
          <w:color w:val="545456"/>
          <w:sz w:val="17"/>
          <w:lang w:eastAsia="ja-JP"/>
        </w:rPr>
        <w:t>財務活動データ</w:t>
      </w:r>
    </w:p>
    <w:p w14:paraId="1D523D21" w14:textId="14ED2701" w:rsidR="0055291C" w:rsidRDefault="00280524">
      <w:pPr>
        <w:pStyle w:val="a3"/>
        <w:spacing w:before="69" w:line="312" w:lineRule="auto"/>
        <w:ind w:left="255" w:right="1199"/>
        <w:rPr>
          <w:lang w:eastAsia="ja-JP"/>
        </w:rPr>
      </w:pPr>
      <w:r>
        <w:rPr>
          <w:rFonts w:ascii="ＭＳ ゴシック" w:eastAsia="ＭＳ ゴシック" w:hAnsi="ＭＳ ゴシック" w:cs="ＭＳ ゴシック" w:hint="eastAsia"/>
          <w:lang w:eastAsia="ja-JP"/>
        </w:rPr>
        <w:t>財務活動データは、</w:t>
      </w:r>
      <w:r>
        <w:rPr>
          <w:lang w:eastAsia="ja-JP"/>
        </w:rPr>
        <w:t>GHG</w:t>
      </w:r>
      <w:r>
        <w:rPr>
          <w:rFonts w:ascii="ＭＳ ゴシック" w:eastAsia="ＭＳ ゴシック" w:hAnsi="ＭＳ ゴシック" w:cs="ＭＳ ゴシック" w:hint="eastAsia"/>
          <w:lang w:eastAsia="ja-JP"/>
        </w:rPr>
        <w:t>排出をもたらすプロセスの貨</w:t>
      </w:r>
      <w:r>
        <w:rPr>
          <w:lang w:eastAsia="ja-JP"/>
        </w:rPr>
        <w:t xml:space="preserve"> </w:t>
      </w:r>
      <w:r>
        <w:rPr>
          <w:rFonts w:ascii="ＭＳ ゴシック" w:eastAsia="ＭＳ ゴシック" w:hAnsi="ＭＳ ゴシック" w:cs="ＭＳ ゴシック" w:hint="eastAsia"/>
          <w:lang w:eastAsia="ja-JP"/>
        </w:rPr>
        <w:t>幣的尺度です。財務活動データは、財務排出係数（</w:t>
      </w:r>
      <w:r>
        <w:rPr>
          <w:lang w:eastAsia="ja-JP"/>
        </w:rPr>
        <w:t xml:space="preserve"> </w:t>
      </w:r>
      <w:r>
        <w:rPr>
          <w:rFonts w:ascii="ＭＳ ゴシック" w:eastAsia="ＭＳ ゴシック" w:hAnsi="ＭＳ ゴシック" w:cs="ＭＳ ゴシック" w:hint="eastAsia"/>
          <w:lang w:eastAsia="ja-JP"/>
        </w:rPr>
        <w:t>例：環境拡張型産業連関係数）と組み合わされることで、</w:t>
      </w:r>
      <w:r>
        <w:rPr>
          <w:lang w:eastAsia="ja-JP"/>
        </w:rPr>
        <w:t>GHG</w:t>
      </w:r>
      <w:r>
        <w:rPr>
          <w:rFonts w:ascii="ＭＳ ゴシック" w:eastAsia="ＭＳ ゴシック" w:hAnsi="ＭＳ ゴシック" w:cs="ＭＳ ゴシック" w:hint="eastAsia"/>
          <w:lang w:eastAsia="ja-JP"/>
        </w:rPr>
        <w:t>排出量の算定に用いられます。</w:t>
      </w:r>
    </w:p>
    <w:p w14:paraId="76FFE670" w14:textId="0E5B6ABE" w:rsidR="0055291C" w:rsidRDefault="00886CA3">
      <w:pPr>
        <w:pStyle w:val="a3"/>
        <w:spacing w:before="142" w:line="312" w:lineRule="auto"/>
        <w:ind w:left="255" w:right="1175"/>
        <w:rPr>
          <w:lang w:eastAsia="ja-JP"/>
        </w:rPr>
      </w:pPr>
      <w:r>
        <w:rPr>
          <w:rFonts w:ascii="ＭＳ ゴシック" w:eastAsia="ＭＳ ゴシック" w:hAnsi="ＭＳ ゴシック" w:cs="ＭＳ ゴシック" w:hint="eastAsia"/>
          <w:lang w:eastAsia="ja-JP"/>
        </w:rPr>
        <w:t>工程</w:t>
      </w:r>
      <w:r w:rsidR="00280524">
        <w:rPr>
          <w:rFonts w:ascii="ＭＳ ゴシック" w:eastAsia="ＭＳ ゴシック" w:hAnsi="ＭＳ ゴシック" w:cs="ＭＳ ゴシック" w:hint="eastAsia"/>
          <w:lang w:eastAsia="ja-JP"/>
        </w:rPr>
        <w:t>活動データがプロセスの</w:t>
      </w:r>
      <w:r w:rsidR="00546B60">
        <w:rPr>
          <w:rFonts w:ascii="ＭＳ ゴシック" w:eastAsia="ＭＳ ゴシック" w:hAnsi="ＭＳ ゴシック" w:cs="ＭＳ ゴシック" w:hint="eastAsia"/>
          <w:lang w:eastAsia="ja-JP"/>
        </w:rPr>
        <w:t>物質投入</w:t>
      </w:r>
      <w:r w:rsidR="00280524">
        <w:rPr>
          <w:rFonts w:ascii="ＭＳ ゴシック" w:eastAsia="ＭＳ ゴシック" w:hAnsi="ＭＳ ゴシック" w:cs="ＭＳ ゴシック" w:hint="eastAsia"/>
          <w:lang w:eastAsia="ja-JP"/>
        </w:rPr>
        <w:t>、</w:t>
      </w:r>
      <w:r w:rsidR="00546B60">
        <w:rPr>
          <w:rFonts w:ascii="ＭＳ ゴシック" w:eastAsia="ＭＳ ゴシック" w:hAnsi="ＭＳ ゴシック" w:cs="ＭＳ ゴシック" w:hint="eastAsia"/>
          <w:lang w:eastAsia="ja-JP"/>
        </w:rPr>
        <w:t>製作</w:t>
      </w:r>
      <w:r w:rsidR="00280524">
        <w:rPr>
          <w:rFonts w:ascii="ＭＳ ゴシック" w:eastAsia="ＭＳ ゴシック" w:hAnsi="ＭＳ ゴシック" w:cs="ＭＳ ゴシック" w:hint="eastAsia"/>
          <w:lang w:eastAsia="ja-JP"/>
        </w:rPr>
        <w:t>、その他の指標を測定するのに対し、</w:t>
      </w:r>
      <w:r w:rsidR="00280524">
        <w:rPr>
          <w:lang w:eastAsia="ja-JP"/>
        </w:rPr>
        <w:t xml:space="preserve"> </w:t>
      </w:r>
      <w:r w:rsidR="00280524">
        <w:rPr>
          <w:rFonts w:ascii="ＭＳ ゴシック" w:eastAsia="ＭＳ ゴシック" w:hAnsi="ＭＳ ゴシック" w:cs="ＭＳ ゴシック" w:hint="eastAsia"/>
          <w:lang w:eastAsia="ja-JP"/>
        </w:rPr>
        <w:t>財務</w:t>
      </w:r>
      <w:r w:rsidR="00546B60">
        <w:rPr>
          <w:rFonts w:ascii="ＭＳ ゴシック" w:eastAsia="ＭＳ ゴシック" w:hAnsi="ＭＳ ゴシック" w:cs="ＭＳ ゴシック" w:hint="eastAsia"/>
          <w:lang w:eastAsia="ja-JP"/>
        </w:rPr>
        <w:t>活動</w:t>
      </w:r>
      <w:r w:rsidR="00280524">
        <w:rPr>
          <w:rFonts w:ascii="ＭＳ ゴシック" w:eastAsia="ＭＳ ゴシック" w:hAnsi="ＭＳ ゴシック" w:cs="ＭＳ ゴシック" w:hint="eastAsia"/>
          <w:lang w:eastAsia="ja-JP"/>
        </w:rPr>
        <w:t>データはプロセスに関連する財務</w:t>
      </w:r>
      <w:r w:rsidR="00546B60">
        <w:rPr>
          <w:rFonts w:ascii="ＭＳ ゴシック" w:eastAsia="ＭＳ ゴシック" w:hAnsi="ＭＳ ゴシック" w:cs="ＭＳ ゴシック" w:hint="eastAsia"/>
          <w:lang w:eastAsia="ja-JP"/>
        </w:rPr>
        <w:t>取引</w:t>
      </w:r>
      <w:r w:rsidR="00280524">
        <w:rPr>
          <w:rFonts w:ascii="ＭＳ ゴシック" w:eastAsia="ＭＳ ゴシック" w:hAnsi="ＭＳ ゴシック" w:cs="ＭＳ ゴシック" w:hint="eastAsia"/>
          <w:lang w:eastAsia="ja-JP"/>
        </w:rPr>
        <w:t>を測定するもので</w:t>
      </w:r>
      <w:r w:rsidR="00546B60">
        <w:rPr>
          <w:rFonts w:ascii="ＭＳ ゴシック" w:eastAsia="ＭＳ ゴシック" w:hAnsi="ＭＳ ゴシック" w:cs="ＭＳ ゴシック" w:hint="eastAsia"/>
          <w:lang w:eastAsia="ja-JP"/>
        </w:rPr>
        <w:t>す</w:t>
      </w:r>
      <w:r w:rsidR="00280524">
        <w:rPr>
          <w:rFonts w:ascii="ＭＳ ゴシック" w:eastAsia="ＭＳ ゴシック" w:hAnsi="ＭＳ ゴシック" w:cs="ＭＳ ゴシック" w:hint="eastAsia"/>
          <w:lang w:eastAsia="ja-JP"/>
        </w:rPr>
        <w:t>。</w:t>
      </w:r>
    </w:p>
    <w:p w14:paraId="52385384" w14:textId="7AA336CD" w:rsidR="0055291C" w:rsidRDefault="00546B60">
      <w:pPr>
        <w:pStyle w:val="a3"/>
        <w:spacing w:before="142" w:line="312" w:lineRule="auto"/>
        <w:ind w:left="255" w:right="1198"/>
        <w:rPr>
          <w:lang w:eastAsia="ja-JP"/>
        </w:rPr>
      </w:pPr>
      <w:r>
        <w:rPr>
          <w:rFonts w:ascii="ＭＳ ゴシック" w:eastAsia="ＭＳ ゴシック" w:hAnsi="ＭＳ ゴシック" w:cs="ＭＳ ゴシック" w:hint="eastAsia"/>
          <w:lang w:eastAsia="ja-JP"/>
        </w:rPr>
        <w:t>企業が最初にプロセスインプットに関する財務活動</w:t>
      </w:r>
      <w:r w:rsidR="00A12130">
        <w:rPr>
          <w:rFonts w:ascii="ＭＳ ゴシック" w:eastAsia="ＭＳ ゴシック" w:hAnsi="ＭＳ ゴシック" w:cs="ＭＳ ゴシック" w:hint="eastAsia"/>
          <w:lang w:eastAsia="ja-JP"/>
        </w:rPr>
        <w:t>データ</w:t>
      </w:r>
      <w:r>
        <w:rPr>
          <w:rFonts w:ascii="ＭＳ ゴシック" w:eastAsia="ＭＳ ゴシック" w:hAnsi="ＭＳ ゴシック" w:cs="ＭＳ ゴシック" w:hint="eastAsia"/>
          <w:lang w:eastAsia="ja-JP"/>
        </w:rPr>
        <w:t>を収集し、次に変換係数を使用してエネルギーまたは材料の投入量を決定する場合、結果として得られる活動データはプロセスデータとみなされます</w:t>
      </w:r>
      <w:r>
        <w:rPr>
          <w:lang w:eastAsia="ja-JP"/>
        </w:rPr>
        <w:t xml:space="preserve"> </w:t>
      </w:r>
      <w:r>
        <w:rPr>
          <w:rFonts w:ascii="ＭＳ ゴシック" w:eastAsia="ＭＳ ゴシック" w:hAnsi="ＭＳ ゴシック" w:cs="ＭＳ ゴシック" w:hint="eastAsia"/>
          <w:lang w:eastAsia="ja-JP"/>
        </w:rPr>
        <w:t>。例えば</w:t>
      </w:r>
      <w:r>
        <w:rPr>
          <w:rFonts w:ascii="ＭＳ ゴシック" w:eastAsia="ＭＳ ゴシック" w:hAnsi="ＭＳ ゴシック" w:cs="ＭＳ ゴシック" w:hint="eastAsia"/>
          <w:color w:val="545456"/>
          <w:lang w:eastAsia="ja-JP"/>
        </w:rPr>
        <w:t>、</w:t>
      </w:r>
    </w:p>
    <w:p w14:paraId="55E8E078"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962" w:space="40"/>
            <w:col w:w="6238"/>
          </w:cols>
        </w:sectPr>
      </w:pPr>
    </w:p>
    <w:p w14:paraId="61F83C8D" w14:textId="77777777" w:rsidR="0055291C" w:rsidRDefault="0055291C">
      <w:pPr>
        <w:pStyle w:val="a3"/>
        <w:rPr>
          <w:sz w:val="20"/>
          <w:lang w:eastAsia="ja-JP"/>
        </w:rPr>
      </w:pPr>
    </w:p>
    <w:p w14:paraId="0B37C8B7" w14:textId="77777777" w:rsidR="0055291C" w:rsidRDefault="0055291C">
      <w:pPr>
        <w:pStyle w:val="a3"/>
        <w:rPr>
          <w:sz w:val="20"/>
          <w:lang w:eastAsia="ja-JP"/>
        </w:rPr>
      </w:pPr>
    </w:p>
    <w:p w14:paraId="761BBFA3" w14:textId="77777777" w:rsidR="0055291C" w:rsidRDefault="0055291C">
      <w:pPr>
        <w:pStyle w:val="a3"/>
        <w:rPr>
          <w:sz w:val="20"/>
          <w:lang w:eastAsia="ja-JP"/>
        </w:rPr>
      </w:pPr>
    </w:p>
    <w:p w14:paraId="2193C208" w14:textId="77777777" w:rsidR="0055291C" w:rsidRDefault="0055291C">
      <w:pPr>
        <w:pStyle w:val="a3"/>
        <w:rPr>
          <w:sz w:val="20"/>
          <w:lang w:eastAsia="ja-JP"/>
        </w:rPr>
      </w:pPr>
    </w:p>
    <w:p w14:paraId="3C878373" w14:textId="77777777" w:rsidR="0055291C" w:rsidRDefault="0055291C">
      <w:pPr>
        <w:rPr>
          <w:sz w:val="20"/>
          <w:lang w:eastAsia="ja-JP"/>
        </w:rPr>
        <w:sectPr w:rsidR="0055291C">
          <w:headerReference w:type="even" r:id="rId186"/>
          <w:footerReference w:type="even" r:id="rId187"/>
          <w:footerReference w:type="default" r:id="rId188"/>
          <w:pgSz w:w="12240" w:h="15840"/>
          <w:pgMar w:top="620" w:right="0" w:bottom="1040" w:left="0" w:header="0" w:footer="859" w:gutter="0"/>
          <w:pgNumType w:start="52"/>
          <w:cols w:space="720"/>
        </w:sectPr>
      </w:pPr>
    </w:p>
    <w:p w14:paraId="35CAA4C0" w14:textId="77777777" w:rsidR="0055291C" w:rsidRDefault="0055291C">
      <w:pPr>
        <w:pStyle w:val="a3"/>
        <w:spacing w:before="9"/>
        <w:rPr>
          <w:sz w:val="22"/>
          <w:lang w:eastAsia="ja-JP"/>
        </w:rPr>
      </w:pPr>
    </w:p>
    <w:p w14:paraId="2091E226" w14:textId="74772F65" w:rsidR="00546B60" w:rsidRDefault="00546B60" w:rsidP="00546B60">
      <w:pPr>
        <w:pStyle w:val="a3"/>
        <w:spacing w:line="312" w:lineRule="auto"/>
        <w:ind w:left="851" w:right="296"/>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工程で消費される燃料のコストと燃料</w:t>
      </w:r>
      <w:r>
        <w:rPr>
          <w:lang w:eastAsia="ja-JP"/>
        </w:rPr>
        <w:t>1</w:t>
      </w:r>
      <w:r>
        <w:rPr>
          <w:rFonts w:ascii="ＭＳ ゴシック" w:eastAsia="ＭＳ ゴシック" w:hAnsi="ＭＳ ゴシック" w:cs="ＭＳ ゴシック" w:hint="eastAsia"/>
          <w:lang w:eastAsia="ja-JP"/>
        </w:rPr>
        <w:t>リットルあたり</w:t>
      </w:r>
      <w:r>
        <w:rPr>
          <w:lang w:eastAsia="ja-JP"/>
        </w:rPr>
        <w:t xml:space="preserve"> </w:t>
      </w:r>
      <w:r>
        <w:rPr>
          <w:rFonts w:ascii="ＭＳ ゴシック" w:eastAsia="ＭＳ ゴシック" w:hAnsi="ＭＳ ゴシック" w:cs="ＭＳ ゴシック" w:hint="eastAsia"/>
          <w:lang w:eastAsia="ja-JP"/>
        </w:rPr>
        <w:t>のコストを知っている企業であれば、燃料の価格を、そのプロセスで消費された物理的なリットル量に簡単に換算することができます。</w:t>
      </w:r>
    </w:p>
    <w:p w14:paraId="0DEB2566" w14:textId="2A3B088B" w:rsidR="0055291C" w:rsidRDefault="00BD30CF" w:rsidP="00546B60">
      <w:pPr>
        <w:pStyle w:val="a3"/>
        <w:spacing w:line="312" w:lineRule="auto"/>
        <w:ind w:left="851" w:right="296"/>
        <w:rPr>
          <w:rFonts w:ascii="Arial"/>
          <w:b/>
          <w:i/>
          <w:sz w:val="18"/>
          <w:lang w:eastAsia="ja-JP"/>
        </w:rPr>
      </w:pPr>
      <w:r>
        <w:rPr>
          <w:rFonts w:ascii="ＭＳ ゴシック" w:eastAsia="ＭＳ ゴシック" w:hAnsi="ＭＳ ゴシック" w:cs="ＭＳ ゴシック" w:hint="eastAsia"/>
          <w:b/>
          <w:i/>
          <w:color w:val="7F3F98"/>
          <w:w w:val="95"/>
          <w:sz w:val="18"/>
          <w:lang w:eastAsia="ja-JP"/>
        </w:rPr>
        <w:t>排出係数</w:t>
      </w:r>
    </w:p>
    <w:p w14:paraId="51B5F918" w14:textId="77777777" w:rsidR="00E00DB4" w:rsidRDefault="00BD30CF" w:rsidP="00E00DB4">
      <w:pPr>
        <w:pStyle w:val="a3"/>
        <w:spacing w:before="8"/>
        <w:ind w:leftChars="386" w:left="849" w:rightChars="134" w:right="295"/>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排出係数は、活動量データ単位あたりの</w:t>
      </w:r>
      <w:r>
        <w:rPr>
          <w:lang w:eastAsia="ja-JP"/>
        </w:rPr>
        <w:t>GHG</w:t>
      </w:r>
      <w:r>
        <w:rPr>
          <w:rFonts w:ascii="ＭＳ ゴシック" w:eastAsia="ＭＳ ゴシック" w:hAnsi="ＭＳ ゴシック" w:cs="ＭＳ ゴシック" w:hint="eastAsia"/>
          <w:lang w:eastAsia="ja-JP"/>
        </w:rPr>
        <w:t>排出</w:t>
      </w:r>
      <w:r>
        <w:rPr>
          <w:lang w:eastAsia="ja-JP"/>
        </w:rPr>
        <w:t xml:space="preserve"> </w:t>
      </w:r>
      <w:r>
        <w:rPr>
          <w:rFonts w:ascii="ＭＳ ゴシック" w:eastAsia="ＭＳ ゴシック" w:hAnsi="ＭＳ ゴシック" w:cs="ＭＳ ゴシック" w:hint="eastAsia"/>
          <w:lang w:eastAsia="ja-JP"/>
        </w:rPr>
        <w:t>量であり、</w:t>
      </w:r>
      <w:r>
        <w:rPr>
          <w:lang w:eastAsia="ja-JP"/>
        </w:rPr>
        <w:t>GHG</w:t>
      </w:r>
      <w:r>
        <w:rPr>
          <w:rFonts w:ascii="ＭＳ ゴシック" w:eastAsia="ＭＳ ゴシック" w:hAnsi="ＭＳ ゴシック" w:cs="ＭＳ ゴシック" w:hint="eastAsia"/>
          <w:lang w:eastAsia="ja-JP"/>
        </w:rPr>
        <w:t>排出量を計算するために活動量データに乗算されます。排出係数は、</w:t>
      </w:r>
      <w:r>
        <w:rPr>
          <w:lang w:eastAsia="ja-JP"/>
        </w:rPr>
        <w:t>1</w:t>
      </w:r>
      <w:r>
        <w:rPr>
          <w:rFonts w:ascii="ＭＳ ゴシック" w:eastAsia="ＭＳ ゴシック" w:hAnsi="ＭＳ ゴシック" w:cs="ＭＳ ゴシック" w:hint="eastAsia"/>
          <w:lang w:eastAsia="ja-JP"/>
        </w:rPr>
        <w:t>種類の</w:t>
      </w:r>
      <w:r>
        <w:rPr>
          <w:lang w:eastAsia="ja-JP"/>
        </w:rPr>
        <w:t>GHG</w:t>
      </w:r>
      <w:r>
        <w:rPr>
          <w:rFonts w:ascii="ＭＳ ゴシック" w:eastAsia="ＭＳ ゴシック" w:hAnsi="ＭＳ ゴシック" w:cs="ＭＳ ゴシック" w:hint="eastAsia"/>
          <w:lang w:eastAsia="ja-JP"/>
        </w:rPr>
        <w:t>（例えば、</w:t>
      </w:r>
      <w:r>
        <w:rPr>
          <w:lang w:eastAsia="ja-JP"/>
        </w:rPr>
        <w:t>CH4 /</w:t>
      </w:r>
      <w:r>
        <w:rPr>
          <w:rFonts w:ascii="ＭＳ ゴシック" w:eastAsia="ＭＳ ゴシック" w:hAnsi="ＭＳ ゴシック" w:cs="ＭＳ ゴシック" w:hint="eastAsia"/>
          <w:lang w:eastAsia="ja-JP"/>
        </w:rPr>
        <w:t>燃料</w:t>
      </w:r>
      <w:r>
        <w:rPr>
          <w:lang w:eastAsia="ja-JP"/>
        </w:rPr>
        <w:t xml:space="preserve"> 1</w:t>
      </w:r>
      <w:r>
        <w:rPr>
          <w:rFonts w:ascii="ＭＳ ゴシック" w:eastAsia="ＭＳ ゴシック" w:hAnsi="ＭＳ ゴシック" w:cs="ＭＳ ゴシック" w:hint="eastAsia"/>
          <w:lang w:eastAsia="ja-JP"/>
        </w:rPr>
        <w:t>リットル）を対象とすることもあれば、</w:t>
      </w:r>
      <w:r>
        <w:rPr>
          <w:lang w:eastAsia="ja-JP"/>
        </w:rPr>
        <w:t xml:space="preserve">CO2 </w:t>
      </w:r>
      <w:r>
        <w:rPr>
          <w:rFonts w:ascii="ＭＳ ゴシック" w:eastAsia="ＭＳ ゴシック" w:hAnsi="ＭＳ ゴシック" w:cs="ＭＳ ゴシック" w:hint="eastAsia"/>
          <w:lang w:eastAsia="ja-JP"/>
        </w:rPr>
        <w:t>相当（</w:t>
      </w:r>
      <w:r>
        <w:rPr>
          <w:lang w:eastAsia="ja-JP"/>
        </w:rPr>
        <w:t xml:space="preserve"> CO</w:t>
      </w:r>
      <w:r w:rsidRPr="00BD30CF">
        <w:rPr>
          <w:vertAlign w:val="subscript"/>
          <w:lang w:eastAsia="ja-JP"/>
        </w:rPr>
        <w:t>2</w:t>
      </w:r>
      <w:r>
        <w:rPr>
          <w:lang w:eastAsia="ja-JP"/>
        </w:rPr>
        <w:t>e</w:t>
      </w:r>
      <w:r>
        <w:rPr>
          <w:rFonts w:ascii="ＭＳ ゴシック" w:eastAsia="ＭＳ ゴシック" w:hAnsi="ＭＳ ゴシック" w:cs="ＭＳ ゴシック" w:hint="eastAsia"/>
          <w:lang w:eastAsia="ja-JP"/>
        </w:rPr>
        <w:t>）の単位で多くのガスを対象とすることもあります。</w:t>
      </w:r>
      <w:r>
        <w:rPr>
          <w:lang w:eastAsia="ja-JP"/>
        </w:rPr>
        <w:t xml:space="preserve"> </w:t>
      </w:r>
      <w:r>
        <w:rPr>
          <w:rFonts w:ascii="ＭＳ ゴシック" w:eastAsia="ＭＳ ゴシック" w:hAnsi="ＭＳ ゴシック" w:cs="ＭＳ ゴシック" w:hint="eastAsia"/>
          <w:lang w:eastAsia="ja-JP"/>
        </w:rPr>
        <w:t>排出係数は、製品のライフサイクルにおける一つの工程を含むこともできますし、複数の工程を集約して含むことも可能です。製品に起因する全ての上流工程からの排出を含むライフサイクル排出係数は、「生産から出荷までの排出係数」（原文：</w:t>
      </w:r>
      <w:r w:rsidRPr="00BD30CF">
        <w:rPr>
          <w:rFonts w:ascii="ＭＳ ゴシック" w:eastAsia="ＭＳ ゴシック" w:hAnsi="ＭＳ ゴシック"/>
          <w:lang w:eastAsia="ja-JP"/>
        </w:rPr>
        <w:t>cradle-to-gate</w:t>
      </w:r>
      <w:r>
        <w:rPr>
          <w:rFonts w:ascii="ＭＳ ゴシック" w:eastAsia="ＭＳ ゴシック" w:hAnsi="ＭＳ ゴシック"/>
          <w:lang w:eastAsia="ja-JP"/>
        </w:rPr>
        <w:t xml:space="preserve"> </w:t>
      </w:r>
      <w:r w:rsidRPr="00BD30CF">
        <w:rPr>
          <w:rFonts w:ascii="ＭＳ ゴシック" w:eastAsia="ＭＳ ゴシック" w:hAnsi="ＭＳ ゴシック"/>
          <w:lang w:eastAsia="ja-JP"/>
        </w:rPr>
        <w:t>emission factors</w:t>
      </w:r>
      <w:r>
        <w:rPr>
          <w:rFonts w:ascii="ＭＳ ゴシック" w:eastAsia="ＭＳ ゴシック" w:hAnsi="ＭＳ ゴシック" w:hint="eastAsia"/>
          <w:lang w:eastAsia="ja-JP"/>
        </w:rPr>
        <w:t>＝ゆりかごからゲートまで</w:t>
      </w:r>
      <w:r>
        <w:rPr>
          <w:rFonts w:ascii="ＭＳ ゴシック" w:eastAsia="ＭＳ ゴシック" w:hAnsi="ＭＳ ゴシック" w:cs="ＭＳ ゴシック" w:hint="eastAsia"/>
          <w:lang w:eastAsia="ja-JP"/>
        </w:rPr>
        <w:t>）と</w:t>
      </w:r>
      <w:r>
        <w:rPr>
          <w:lang w:eastAsia="ja-JP"/>
        </w:rPr>
        <w:t xml:space="preserve"> </w:t>
      </w:r>
      <w:r>
        <w:rPr>
          <w:rFonts w:ascii="ＭＳ ゴシック" w:eastAsia="ＭＳ ゴシック" w:hAnsi="ＭＳ ゴシック" w:cs="ＭＳ ゴシック" w:hint="eastAsia"/>
          <w:lang w:eastAsia="ja-JP"/>
        </w:rPr>
        <w:t>も呼ばれています。企業は、製品のライフサイクルの全ての工程がデータ収集の過程で確実に考慮されるように、排出係数にどの工程が含まれるかを理解する必要があ</w:t>
      </w:r>
      <w:r w:rsidR="00E34DF1">
        <w:rPr>
          <w:rFonts w:ascii="ＭＳ ゴシック" w:eastAsia="ＭＳ ゴシック" w:hAnsi="ＭＳ ゴシック" w:cs="ＭＳ ゴシック" w:hint="eastAsia"/>
          <w:lang w:eastAsia="ja-JP"/>
        </w:rPr>
        <w:t>ります</w:t>
      </w:r>
      <w:r>
        <w:rPr>
          <w:rFonts w:ascii="ＭＳ ゴシック" w:eastAsia="ＭＳ ゴシック" w:hAnsi="ＭＳ ゴシック" w:cs="ＭＳ ゴシック" w:hint="eastAsia"/>
          <w:lang w:eastAsia="ja-JP"/>
        </w:rPr>
        <w:t>。</w:t>
      </w:r>
    </w:p>
    <w:p w14:paraId="283BD071" w14:textId="77777777" w:rsidR="00E00DB4" w:rsidRDefault="00E00DB4" w:rsidP="00E00DB4">
      <w:pPr>
        <w:pStyle w:val="a3"/>
        <w:spacing w:before="8"/>
        <w:ind w:leftChars="386" w:left="849" w:rightChars="134" w:right="295" w:firstLineChars="100" w:firstLine="190"/>
        <w:rPr>
          <w:rFonts w:ascii="ＭＳ ゴシック" w:eastAsia="ＭＳ ゴシック" w:hAnsi="ＭＳ ゴシック" w:cs="ＭＳ ゴシック"/>
          <w:lang w:eastAsia="ja-JP"/>
        </w:rPr>
      </w:pPr>
    </w:p>
    <w:p w14:paraId="4F316045" w14:textId="77777777" w:rsidR="00E00DB4" w:rsidRDefault="00BD30CF" w:rsidP="00E00DB4">
      <w:pPr>
        <w:pStyle w:val="a3"/>
        <w:spacing w:before="8"/>
        <w:ind w:leftChars="386" w:left="849" w:rightChars="134" w:right="295" w:firstLineChars="100" w:firstLine="190"/>
        <w:rPr>
          <w:rFonts w:ascii="ＭＳ ゴシック" w:eastAsia="ＭＳ ゴシック" w:hAnsi="ＭＳ ゴシック" w:cs="ＭＳ ゴシック"/>
          <w:lang w:eastAsia="ja-JP"/>
        </w:rPr>
      </w:pPr>
      <w:r>
        <w:rPr>
          <w:lang w:eastAsia="ja-JP"/>
        </w:rPr>
        <w:t xml:space="preserve"> </w:t>
      </w:r>
      <w:r>
        <w:rPr>
          <w:rFonts w:ascii="ＭＳ ゴシック" w:eastAsia="ＭＳ ゴシック" w:hAnsi="ＭＳ ゴシック" w:cs="ＭＳ ゴシック" w:hint="eastAsia"/>
          <w:lang w:eastAsia="ja-JP"/>
        </w:rPr>
        <w:t>必要とされる排出係数の種類は、収集した活動データの種類に依存</w:t>
      </w:r>
      <w:r w:rsidR="00E34DF1">
        <w:rPr>
          <w:rFonts w:ascii="ＭＳ ゴシック" w:eastAsia="ＭＳ ゴシック" w:hAnsi="ＭＳ ゴシック" w:cs="ＭＳ ゴシック" w:hint="eastAsia"/>
          <w:lang w:eastAsia="ja-JP"/>
        </w:rPr>
        <w:t>します</w:t>
      </w:r>
      <w:r>
        <w:rPr>
          <w:rFonts w:ascii="ＭＳ ゴシック" w:eastAsia="ＭＳ ゴシック" w:hAnsi="ＭＳ ゴシック" w:cs="ＭＳ ゴシック" w:hint="eastAsia"/>
          <w:lang w:eastAsia="ja-JP"/>
        </w:rPr>
        <w:t>。例えば、ある工程に投入される材料に関</w:t>
      </w:r>
      <w:r w:rsidR="00E34DF1">
        <w:rPr>
          <w:rFonts w:ascii="ＭＳ ゴシック" w:eastAsia="ＭＳ ゴシック" w:hAnsi="ＭＳ ゴシック" w:cs="ＭＳ ゴシック" w:hint="eastAsia"/>
          <w:lang w:eastAsia="ja-JP"/>
        </w:rPr>
        <w:t>す</w:t>
      </w:r>
      <w:r>
        <w:rPr>
          <w:rFonts w:ascii="ＭＳ ゴシック" w:eastAsia="ＭＳ ゴシック" w:hAnsi="ＭＳ ゴシック" w:cs="ＭＳ ゴシック" w:hint="eastAsia"/>
          <w:lang w:eastAsia="ja-JP"/>
        </w:rPr>
        <w:t>る財務活動</w:t>
      </w:r>
      <w:r>
        <w:rPr>
          <w:lang w:eastAsia="ja-JP"/>
        </w:rPr>
        <w:t xml:space="preserve"> </w:t>
      </w:r>
      <w:r>
        <w:rPr>
          <w:rFonts w:ascii="ＭＳ ゴシック" w:eastAsia="ＭＳ ゴシック" w:hAnsi="ＭＳ ゴシック" w:cs="ＭＳ ゴシック" w:hint="eastAsia"/>
          <w:lang w:eastAsia="ja-JP"/>
        </w:rPr>
        <w:t>データを収集した場合、企業は上流工程の排出量を計算する</w:t>
      </w:r>
      <w:r w:rsidR="00E34DF1">
        <w:rPr>
          <w:rFonts w:ascii="ＭＳ ゴシック" w:eastAsia="ＭＳ ゴシック" w:hAnsi="ＭＳ ゴシック" w:cs="ＭＳ ゴシック" w:hint="eastAsia"/>
          <w:lang w:eastAsia="ja-JP"/>
        </w:rPr>
        <w:t>た</w:t>
      </w:r>
      <w:r>
        <w:rPr>
          <w:rFonts w:ascii="ＭＳ ゴシック" w:eastAsia="ＭＳ ゴシック" w:hAnsi="ＭＳ ゴシック" w:cs="ＭＳ ゴシック" w:hint="eastAsia"/>
          <w:lang w:eastAsia="ja-JP"/>
        </w:rPr>
        <w:t>めに</w:t>
      </w:r>
      <w:r>
        <w:rPr>
          <w:lang w:eastAsia="ja-JP"/>
        </w:rPr>
        <w:t>EEIO</w:t>
      </w:r>
      <w:r>
        <w:rPr>
          <w:rFonts w:ascii="ＭＳ ゴシック" w:eastAsia="ＭＳ ゴシック" w:hAnsi="ＭＳ ゴシック" w:cs="ＭＳ ゴシック" w:hint="eastAsia"/>
          <w:lang w:eastAsia="ja-JP"/>
        </w:rPr>
        <w:t>の排出係数を選択することができ</w:t>
      </w:r>
      <w:r w:rsidR="00E34DF1">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。逆に、企業はまず利用可能な排出係数を</w:t>
      </w:r>
      <w:r>
        <w:rPr>
          <w:lang w:eastAsia="ja-JP"/>
        </w:rPr>
        <w:t xml:space="preserve"> </w:t>
      </w:r>
      <w:r>
        <w:rPr>
          <w:rFonts w:ascii="ＭＳ ゴシック" w:eastAsia="ＭＳ ゴシック" w:hAnsi="ＭＳ ゴシック" w:cs="ＭＳ ゴシック" w:hint="eastAsia"/>
          <w:lang w:eastAsia="ja-JP"/>
        </w:rPr>
        <w:t>収集し、その後、どの種類の活動データを収集するかを決定することもでき</w:t>
      </w:r>
      <w:r w:rsidR="00E34DF1">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w:t>
      </w:r>
    </w:p>
    <w:p w14:paraId="2404959B" w14:textId="77777777" w:rsidR="00E00DB4" w:rsidRDefault="00E00DB4" w:rsidP="00E00DB4">
      <w:pPr>
        <w:pStyle w:val="a3"/>
        <w:spacing w:before="8"/>
        <w:ind w:leftChars="386" w:left="849" w:rightChars="134" w:right="295" w:firstLineChars="100" w:firstLine="190"/>
        <w:rPr>
          <w:rFonts w:ascii="ＭＳ ゴシック" w:eastAsia="ＭＳ ゴシック" w:hAnsi="ＭＳ ゴシック" w:cs="ＭＳ ゴシック"/>
          <w:lang w:eastAsia="ja-JP"/>
        </w:rPr>
      </w:pPr>
    </w:p>
    <w:p w14:paraId="40EAD998" w14:textId="62F0AFAF" w:rsidR="00A12130" w:rsidRDefault="00E00DB4" w:rsidP="00E00DB4">
      <w:pPr>
        <w:pStyle w:val="a3"/>
        <w:spacing w:before="8"/>
        <w:ind w:leftChars="386" w:left="849" w:rightChars="134" w:right="295" w:firstLineChars="100" w:firstLine="190"/>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排出係数の出典の例としては、ライフサイクルデータベース、公表されている製品インベントリ報告書、政府機関、業界団体、企業が開発した係数、専門家がレビ</w:t>
      </w:r>
      <w:r>
        <w:rPr>
          <w:lang w:eastAsia="ja-JP"/>
        </w:rPr>
        <w:t xml:space="preserve"> </w:t>
      </w:r>
      <w:r>
        <w:rPr>
          <w:rFonts w:ascii="ＭＳ ゴシック" w:eastAsia="ＭＳ ゴシック" w:hAnsi="ＭＳ ゴシック" w:cs="ＭＳ ゴシック" w:hint="eastAsia"/>
          <w:lang w:eastAsia="ja-JP"/>
        </w:rPr>
        <w:t>ューした文献などがあります。データベースのリストは、</w:t>
      </w:r>
    </w:p>
    <w:p w14:paraId="4B3DE77D" w14:textId="20E680B3" w:rsidR="00A12130" w:rsidRDefault="00A12130" w:rsidP="00A12130">
      <w:pPr>
        <w:pStyle w:val="a3"/>
        <w:spacing w:before="8"/>
        <w:ind w:leftChars="386" w:left="849" w:rightChars="134" w:right="295"/>
        <w:rPr>
          <w:rFonts w:ascii="ＭＳ ゴシック" w:eastAsia="ＭＳ ゴシック" w:hAnsi="ＭＳ ゴシック" w:cs="ＭＳ ゴシック"/>
          <w:lang w:eastAsia="ja-JP"/>
        </w:rPr>
      </w:pPr>
    </w:p>
    <w:p w14:paraId="45E42825" w14:textId="77777777" w:rsidR="00A12130" w:rsidRDefault="00A12130" w:rsidP="00A12130">
      <w:pPr>
        <w:pStyle w:val="a3"/>
        <w:spacing w:before="8"/>
        <w:ind w:leftChars="386" w:left="849" w:rightChars="134" w:right="295"/>
        <w:rPr>
          <w:sz w:val="23"/>
          <w:lang w:eastAsia="ja-JP"/>
        </w:rPr>
      </w:pPr>
    </w:p>
    <w:p w14:paraId="0CAA784F" w14:textId="16D1117D" w:rsidR="00A12130" w:rsidRDefault="00A12130" w:rsidP="00A12130">
      <w:pPr>
        <w:pStyle w:val="6"/>
        <w:spacing w:before="1"/>
        <w:ind w:left="1136"/>
        <w:rPr>
          <w:lang w:eastAsia="ja-JP"/>
        </w:rPr>
      </w:pPr>
      <w:r>
        <w:rPr>
          <w:color w:val="00ACA1"/>
          <w:w w:val="95"/>
          <w:lang w:eastAsia="ja-JP"/>
        </w:rPr>
        <w:t>Box</w:t>
      </w:r>
      <w:r>
        <w:rPr>
          <w:color w:val="00ACA1"/>
          <w:spacing w:val="10"/>
          <w:w w:val="95"/>
          <w:lang w:eastAsia="ja-JP"/>
        </w:rPr>
        <w:t xml:space="preserve"> </w:t>
      </w:r>
      <w:r>
        <w:rPr>
          <w:color w:val="00ACA1"/>
          <w:w w:val="95"/>
          <w:lang w:eastAsia="ja-JP"/>
        </w:rPr>
        <w:t>[8.3]</w:t>
      </w:r>
      <w:r>
        <w:rPr>
          <w:color w:val="00ACA1"/>
          <w:spacing w:val="10"/>
          <w:w w:val="95"/>
          <w:lang w:eastAsia="ja-JP"/>
        </w:rPr>
        <w:t xml:space="preserve"> </w:t>
      </w:r>
      <w:r w:rsidR="00E00DB4">
        <w:rPr>
          <w:rFonts w:ascii="ＭＳ 明朝" w:eastAsia="ＭＳ 明朝" w:hAnsi="ＭＳ 明朝" w:cs="ＭＳ 明朝" w:hint="eastAsia"/>
          <w:color w:val="545456"/>
          <w:w w:val="95"/>
          <w:lang w:eastAsia="ja-JP"/>
        </w:rPr>
        <w:t>電力排出係数の選択</w:t>
      </w:r>
    </w:p>
    <w:p w14:paraId="2A5E9013" w14:textId="395ADF01" w:rsidR="0055291C" w:rsidRPr="00A12130" w:rsidRDefault="00A12130" w:rsidP="00A12130">
      <w:pPr>
        <w:pStyle w:val="a3"/>
        <w:spacing w:before="143" w:line="312" w:lineRule="auto"/>
        <w:ind w:left="851" w:right="721"/>
        <w:rPr>
          <w:rFonts w:ascii="ＭＳ ゴシック" w:eastAsia="ＭＳ ゴシック" w:hAnsi="ＭＳ ゴシック" w:cs="ＭＳ ゴシック"/>
          <w:lang w:eastAsia="ja-JP"/>
        </w:rPr>
      </w:pPr>
      <w:r>
        <w:rPr>
          <w:rFonts w:ascii="ＭＳ ゴシック" w:eastAsia="ＭＳ ゴシック" w:hAnsi="ＭＳ ゴシック" w:cs="ＭＳ ゴシック"/>
          <w:lang w:eastAsia="ja-JP"/>
        </w:rPr>
        <w:br w:type="column"/>
      </w:r>
      <w:r w:rsidR="00F23C61" w:rsidRPr="00A12130">
        <w:rPr>
          <w:color w:val="545456"/>
        </w:rPr>
        <w:t>(</w:t>
      </w:r>
      <w:hyperlink r:id="rId189">
        <w:r w:rsidR="00F23C61" w:rsidRPr="00A12130">
          <w:rPr>
            <w:color w:val="545456"/>
          </w:rPr>
          <w:t>www.ghgprotocol.org</w:t>
        </w:r>
      </w:hyperlink>
      <w:r w:rsidR="00F23C61" w:rsidRPr="00A12130">
        <w:rPr>
          <w:color w:val="545456"/>
        </w:rPr>
        <w:t>)</w:t>
      </w:r>
      <w:r w:rsidR="00E34DF1" w:rsidRPr="00A12130">
        <w:rPr>
          <w:rFonts w:ascii="ＭＳ ゴシック" w:eastAsia="ＭＳ ゴシック" w:hAnsi="ＭＳ ゴシック" w:cs="ＭＳ ゴシック" w:hint="eastAsia"/>
          <w:color w:val="545456"/>
          <w:lang w:eastAsia="ja-JP"/>
        </w:rPr>
        <w:t>で入手できます。</w:t>
      </w:r>
      <w:r w:rsidR="00E34DF1" w:rsidRPr="00A12130">
        <w:rPr>
          <w:rFonts w:ascii="ＭＳ ゴシック" w:eastAsia="ＭＳ ゴシック" w:hAnsi="ＭＳ ゴシック" w:cs="ＭＳ ゴシック" w:hint="eastAsia"/>
          <w:lang w:eastAsia="ja-JP"/>
        </w:rPr>
        <w:t>排出量の計算と算出結果の詳細については、</w:t>
      </w:r>
      <w:r w:rsidR="00E34DF1" w:rsidRPr="00A12130">
        <w:rPr>
          <w:lang w:eastAsia="ja-JP"/>
        </w:rPr>
        <w:t>11</w:t>
      </w:r>
      <w:r w:rsidR="00E34DF1" w:rsidRPr="00A12130">
        <w:rPr>
          <w:rFonts w:ascii="ＭＳ ゴシック" w:eastAsia="ＭＳ ゴシック" w:hAnsi="ＭＳ ゴシック" w:cs="ＭＳ ゴシック" w:hint="eastAsia"/>
          <w:lang w:eastAsia="ja-JP"/>
        </w:rPr>
        <w:t>章を参照してください。</w:t>
      </w:r>
    </w:p>
    <w:p w14:paraId="08C9E5BF" w14:textId="207ECD5F" w:rsidR="0055291C" w:rsidRDefault="00886CA3">
      <w:pPr>
        <w:pStyle w:val="7"/>
        <w:numPr>
          <w:ilvl w:val="2"/>
          <w:numId w:val="46"/>
        </w:numPr>
        <w:tabs>
          <w:tab w:val="left" w:pos="975"/>
          <w:tab w:val="left" w:pos="976"/>
        </w:tabs>
        <w:spacing w:before="129"/>
        <w:ind w:left="975" w:hanging="721"/>
        <w:jc w:val="left"/>
      </w:pPr>
      <w:r>
        <w:rPr>
          <w:rFonts w:ascii="ＭＳ 明朝" w:eastAsia="ＭＳ 明朝" w:hAnsi="ＭＳ 明朝" w:cs="ＭＳ 明朝" w:hint="eastAsia"/>
          <w:color w:val="00B8B1"/>
          <w:lang w:eastAsia="ja-JP"/>
        </w:rPr>
        <w:t>一次データの収集</w:t>
      </w:r>
    </w:p>
    <w:p w14:paraId="02807AD8" w14:textId="39D247D9" w:rsidR="0055291C" w:rsidRDefault="00886CA3" w:rsidP="00E00DB4">
      <w:pPr>
        <w:pStyle w:val="a3"/>
        <w:spacing w:before="141"/>
        <w:ind w:leftChars="386" w:left="849" w:rightChars="320" w:right="704" w:firstLineChars="75" w:firstLine="143"/>
        <w:rPr>
          <w:lang w:eastAsia="ja-JP"/>
        </w:rPr>
      </w:pPr>
      <w:r>
        <w:rPr>
          <w:rFonts w:ascii="ＭＳ ゴシック" w:eastAsia="ＭＳ ゴシック" w:hAnsi="ＭＳ ゴシック" w:cs="ＭＳ ゴシック" w:hint="eastAsia"/>
          <w:lang w:eastAsia="ja-JP"/>
        </w:rPr>
        <w:t>この規格への適合を達成するために、報告企業の所有または管理下にあるすべての工程</w:t>
      </w:r>
      <w:r w:rsidR="007C49B2">
        <w:rPr>
          <w:rFonts w:asciiTheme="minorEastAsia" w:eastAsiaTheme="minorEastAsia" w:hAnsiTheme="minorEastAsia" w:hint="eastAsia"/>
          <w:vertAlign w:val="superscript"/>
          <w:lang w:eastAsia="ja-JP"/>
        </w:rPr>
        <w:t>２</w:t>
      </w:r>
      <w:r>
        <w:rPr>
          <w:rFonts w:ascii="ＭＳ ゴシック" w:eastAsia="ＭＳ ゴシック" w:hAnsi="ＭＳ ゴシック" w:cs="ＭＳ ゴシック" w:hint="eastAsia"/>
          <w:lang w:eastAsia="ja-JP"/>
        </w:rPr>
        <w:t>について、一次データを収集します。一次データとは、調査対象製品のライフサイクルにおける特定の工程からのデータとして定義されます。直接排出データおよび工程活動データは、その定義を満たせば、どちらも一次データとして分類され</w:t>
      </w:r>
      <w:r w:rsidR="00B018D3">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w:t>
      </w:r>
      <w:r>
        <w:rPr>
          <w:lang w:eastAsia="ja-JP"/>
        </w:rPr>
        <w:t xml:space="preserve"> </w:t>
      </w:r>
      <w:r>
        <w:rPr>
          <w:rFonts w:ascii="ＭＳ ゴシック" w:eastAsia="ＭＳ ゴシック" w:hAnsi="ＭＳ ゴシック" w:cs="ＭＳ ゴシック" w:hint="eastAsia"/>
          <w:lang w:eastAsia="ja-JP"/>
        </w:rPr>
        <w:t>一次データの例としては、以下のようなものがあ</w:t>
      </w:r>
      <w:r w:rsidR="00B018D3">
        <w:rPr>
          <w:rFonts w:ascii="ＭＳ ゴシック" w:eastAsia="ＭＳ ゴシック" w:hAnsi="ＭＳ ゴシック" w:cs="ＭＳ ゴシック" w:hint="eastAsia"/>
          <w:lang w:eastAsia="ja-JP"/>
        </w:rPr>
        <w:t>ります</w:t>
      </w:r>
      <w:r>
        <w:rPr>
          <w:rFonts w:ascii="ＭＳ ゴシック" w:eastAsia="ＭＳ ゴシック" w:hAnsi="ＭＳ ゴシック" w:cs="ＭＳ ゴシック" w:hint="eastAsia"/>
          <w:lang w:eastAsia="ja-JP"/>
        </w:rPr>
        <w:t>。</w:t>
      </w:r>
    </w:p>
    <w:p w14:paraId="15F56A17" w14:textId="77777777" w:rsidR="0055291C" w:rsidRDefault="0055291C" w:rsidP="00E00DB4">
      <w:pPr>
        <w:pStyle w:val="a3"/>
        <w:ind w:leftChars="386" w:left="849" w:firstLineChars="75" w:firstLine="128"/>
        <w:rPr>
          <w:sz w:val="17"/>
          <w:lang w:eastAsia="ja-JP"/>
        </w:rPr>
      </w:pPr>
    </w:p>
    <w:p w14:paraId="20443689" w14:textId="4744794C" w:rsidR="00B018D3" w:rsidRPr="00B018D3" w:rsidRDefault="00B018D3">
      <w:pPr>
        <w:pStyle w:val="a5"/>
        <w:numPr>
          <w:ilvl w:val="0"/>
          <w:numId w:val="57"/>
        </w:numPr>
        <w:tabs>
          <w:tab w:val="left" w:pos="516"/>
        </w:tabs>
        <w:spacing w:before="39"/>
        <w:ind w:leftChars="452" w:left="1418" w:rightChars="256" w:right="563" w:hangingChars="223" w:hanging="424"/>
        <w:rPr>
          <w:sz w:val="19"/>
          <w:szCs w:val="19"/>
          <w:lang w:eastAsia="ja-JP"/>
        </w:rPr>
      </w:pPr>
      <w:r w:rsidRPr="00B018D3">
        <w:rPr>
          <w:rFonts w:ascii="ＭＳ ゴシック" w:eastAsia="ＭＳ ゴシック" w:hAnsi="ＭＳ ゴシック" w:cs="ＭＳ ゴシック" w:hint="eastAsia"/>
          <w:sz w:val="19"/>
          <w:szCs w:val="19"/>
          <w:lang w:eastAsia="ja-JP"/>
        </w:rPr>
        <w:t>製品のライフサイクルにおいて、ある工程で消費された燃料のリットル数（特定の事業所、または全生産事業所の平均値）</w:t>
      </w:r>
    </w:p>
    <w:p w14:paraId="634835AC" w14:textId="2A4C00AF" w:rsidR="00B018D3" w:rsidRPr="00B018D3" w:rsidRDefault="00B018D3">
      <w:pPr>
        <w:pStyle w:val="a5"/>
        <w:numPr>
          <w:ilvl w:val="0"/>
          <w:numId w:val="57"/>
        </w:numPr>
        <w:tabs>
          <w:tab w:val="left" w:pos="516"/>
        </w:tabs>
        <w:spacing w:before="39"/>
        <w:ind w:leftChars="452" w:left="1418" w:rightChars="256" w:right="563" w:hangingChars="223" w:hanging="424"/>
        <w:rPr>
          <w:sz w:val="19"/>
          <w:szCs w:val="19"/>
          <w:lang w:eastAsia="ja-JP"/>
        </w:rPr>
      </w:pPr>
      <w:r w:rsidRPr="00B018D3">
        <w:rPr>
          <w:rFonts w:ascii="ＭＳ ゴシック" w:eastAsia="ＭＳ ゴシック" w:hAnsi="ＭＳ ゴシック" w:cs="ＭＳ ゴシック" w:hint="eastAsia"/>
          <w:sz w:val="19"/>
          <w:szCs w:val="19"/>
          <w:lang w:eastAsia="ja-JP"/>
        </w:rPr>
        <w:t>個々の</w:t>
      </w:r>
      <w:r>
        <w:rPr>
          <w:rFonts w:ascii="ＭＳ ゴシック" w:eastAsia="ＭＳ ゴシック" w:hAnsi="ＭＳ ゴシック" w:cs="ＭＳ ゴシック" w:hint="eastAsia"/>
          <w:sz w:val="19"/>
          <w:szCs w:val="19"/>
          <w:lang w:eastAsia="ja-JP"/>
        </w:rPr>
        <w:t>事業所</w:t>
      </w:r>
      <w:r w:rsidRPr="00B018D3">
        <w:rPr>
          <w:rFonts w:ascii="ＭＳ ゴシック" w:eastAsia="ＭＳ ゴシック" w:hAnsi="ＭＳ ゴシック" w:cs="ＭＳ ゴシック" w:hint="eastAsia"/>
          <w:sz w:val="19"/>
          <w:szCs w:val="19"/>
          <w:lang w:eastAsia="ja-JP"/>
        </w:rPr>
        <w:t>または</w:t>
      </w:r>
      <w:r>
        <w:rPr>
          <w:rFonts w:ascii="ＭＳ ゴシック" w:eastAsia="ＭＳ ゴシック" w:hAnsi="ＭＳ ゴシック" w:cs="ＭＳ ゴシック" w:hint="eastAsia"/>
          <w:sz w:val="19"/>
          <w:szCs w:val="19"/>
          <w:lang w:eastAsia="ja-JP"/>
        </w:rPr>
        <w:t>事業所</w:t>
      </w:r>
      <w:r w:rsidRPr="00B018D3">
        <w:rPr>
          <w:rFonts w:ascii="ＭＳ ゴシック" w:eastAsia="ＭＳ ゴシック" w:hAnsi="ＭＳ ゴシック" w:cs="ＭＳ ゴシック" w:hint="eastAsia"/>
          <w:sz w:val="19"/>
          <w:szCs w:val="19"/>
          <w:lang w:eastAsia="ja-JP"/>
        </w:rPr>
        <w:t>間の平均で、プロセスによって消費されたキロワットアワー</w:t>
      </w:r>
    </w:p>
    <w:p w14:paraId="068DC6F6" w14:textId="7334B078" w:rsidR="00B018D3" w:rsidRPr="00B018D3" w:rsidRDefault="00B018D3">
      <w:pPr>
        <w:pStyle w:val="a5"/>
        <w:numPr>
          <w:ilvl w:val="0"/>
          <w:numId w:val="57"/>
        </w:numPr>
        <w:tabs>
          <w:tab w:val="left" w:pos="516"/>
        </w:tabs>
        <w:spacing w:before="39"/>
        <w:ind w:leftChars="386" w:left="849" w:rightChars="256" w:right="563" w:firstLineChars="75" w:firstLine="143"/>
        <w:rPr>
          <w:sz w:val="19"/>
          <w:szCs w:val="19"/>
          <w:lang w:eastAsia="ja-JP"/>
        </w:rPr>
      </w:pPr>
      <w:r w:rsidRPr="00B018D3">
        <w:rPr>
          <w:rFonts w:ascii="ＭＳ ゴシック" w:eastAsia="ＭＳ ゴシック" w:hAnsi="ＭＳ ゴシック" w:cs="ＭＳ ゴシック" w:hint="eastAsia"/>
          <w:sz w:val="19"/>
          <w:szCs w:val="19"/>
          <w:lang w:eastAsia="ja-JP"/>
        </w:rPr>
        <w:t>工程に投入された材料のキログラム数</w:t>
      </w:r>
      <w:r w:rsidRPr="00B018D3">
        <w:rPr>
          <w:sz w:val="19"/>
          <w:szCs w:val="19"/>
          <w:lang w:eastAsia="ja-JP"/>
        </w:rPr>
        <w:t xml:space="preserve"> </w:t>
      </w:r>
    </w:p>
    <w:p w14:paraId="4E1754F6" w14:textId="55D88E86" w:rsidR="0055291C" w:rsidRPr="00B018D3" w:rsidRDefault="00B018D3">
      <w:pPr>
        <w:pStyle w:val="a5"/>
        <w:numPr>
          <w:ilvl w:val="0"/>
          <w:numId w:val="57"/>
        </w:numPr>
        <w:tabs>
          <w:tab w:val="left" w:pos="516"/>
        </w:tabs>
        <w:spacing w:before="39"/>
        <w:ind w:leftChars="386" w:left="849" w:rightChars="256" w:right="563" w:firstLineChars="75" w:firstLine="143"/>
        <w:rPr>
          <w:sz w:val="19"/>
          <w:szCs w:val="19"/>
          <w:lang w:eastAsia="ja-JP"/>
        </w:rPr>
      </w:pPr>
      <w:r w:rsidRPr="00B018D3">
        <w:rPr>
          <w:rFonts w:ascii="ＭＳ ゴシック" w:eastAsia="ＭＳ ゴシック" w:hAnsi="ＭＳ ゴシック" w:cs="ＭＳ ゴシック" w:hint="eastAsia"/>
          <w:sz w:val="19"/>
          <w:szCs w:val="19"/>
          <w:lang w:eastAsia="ja-JP"/>
        </w:rPr>
        <w:t>プロセスの化学反応に伴う</w:t>
      </w:r>
      <w:r w:rsidRPr="00B018D3">
        <w:rPr>
          <w:sz w:val="19"/>
          <w:szCs w:val="19"/>
          <w:lang w:eastAsia="ja-JP"/>
        </w:rPr>
        <w:t>GHG</w:t>
      </w:r>
      <w:r w:rsidRPr="00B018D3">
        <w:rPr>
          <w:rFonts w:ascii="ＭＳ ゴシック" w:eastAsia="ＭＳ ゴシック" w:hAnsi="ＭＳ ゴシック" w:cs="ＭＳ ゴシック" w:hint="eastAsia"/>
          <w:sz w:val="19"/>
          <w:szCs w:val="19"/>
          <w:lang w:eastAsia="ja-JP"/>
        </w:rPr>
        <w:t>排出量</w:t>
      </w:r>
    </w:p>
    <w:p w14:paraId="702348EA" w14:textId="77777777" w:rsidR="0055291C" w:rsidRDefault="0055291C" w:rsidP="00E00DB4">
      <w:pPr>
        <w:pStyle w:val="a3"/>
        <w:spacing w:before="10"/>
        <w:ind w:leftChars="386" w:left="849" w:firstLineChars="75" w:firstLine="128"/>
        <w:rPr>
          <w:sz w:val="17"/>
          <w:lang w:eastAsia="ja-JP"/>
        </w:rPr>
      </w:pPr>
    </w:p>
    <w:p w14:paraId="6E14DC8D" w14:textId="2E00D927" w:rsidR="0055291C" w:rsidRDefault="00AA2652" w:rsidP="009C44A6">
      <w:pPr>
        <w:pStyle w:val="a3"/>
        <w:spacing w:line="312" w:lineRule="auto"/>
        <w:ind w:leftChars="386" w:left="849" w:right="705" w:firstLineChars="75" w:firstLine="143"/>
        <w:jc w:val="both"/>
        <w:rPr>
          <w:sz w:val="20"/>
          <w:lang w:eastAsia="ja-JP"/>
        </w:rPr>
      </w:pPr>
      <w:r>
        <w:rPr>
          <w:rFonts w:ascii="ＭＳ ゴシック" w:eastAsia="ＭＳ ゴシック" w:hAnsi="ＭＳ ゴシック" w:cs="ＭＳ ゴシック" w:hint="eastAsia"/>
          <w:lang w:eastAsia="ja-JP"/>
        </w:rPr>
        <w:t>企業は通常、たとえ活動データが一次データであっても、その活動データに関連する</w:t>
      </w:r>
      <w:r>
        <w:rPr>
          <w:lang w:eastAsia="ja-JP"/>
        </w:rPr>
        <w:t>GHG</w:t>
      </w:r>
      <w:r>
        <w:rPr>
          <w:rFonts w:ascii="ＭＳ ゴシック" w:eastAsia="ＭＳ ゴシック" w:hAnsi="ＭＳ ゴシック" w:cs="ＭＳ ゴシック" w:hint="eastAsia"/>
          <w:lang w:eastAsia="ja-JP"/>
        </w:rPr>
        <w:t>排出量を計算するために使用する排出係数の出所を管理することはできません。</w:t>
      </w:r>
      <w:r w:rsidR="009C44A6">
        <w:rPr>
          <w:rFonts w:ascii="ＭＳ ゴシック" w:eastAsia="ＭＳ ゴシック" w:hAnsi="ＭＳ ゴシック" w:cs="ＭＳ ゴシック" w:hint="eastAsia"/>
          <w:lang w:eastAsia="ja-JP"/>
        </w:rPr>
        <w:t>従って、排出係数の出所は、一次データを満たすための分類には関係ありませんし、排出係数は、一次と二次に分類する必要はありません。</w:t>
      </w:r>
    </w:p>
    <w:p w14:paraId="315E009D" w14:textId="77777777" w:rsidR="0055291C" w:rsidRDefault="0055291C">
      <w:pPr>
        <w:pStyle w:val="a3"/>
        <w:spacing w:before="6"/>
        <w:rPr>
          <w:sz w:val="28"/>
          <w:lang w:eastAsia="ja-JP"/>
        </w:rPr>
      </w:pPr>
    </w:p>
    <w:p w14:paraId="7E4A5661" w14:textId="4733CFEA" w:rsidR="0055291C" w:rsidRDefault="00000000">
      <w:pPr>
        <w:pStyle w:val="6"/>
        <w:spacing w:before="0"/>
        <w:ind w:left="294"/>
        <w:jc w:val="both"/>
        <w:rPr>
          <w:lang w:eastAsia="ja-JP"/>
        </w:rPr>
      </w:pPr>
      <w:r>
        <w:pict w14:anchorId="690B78AD">
          <v:group id="docshapegroup821" o:spid="_x0000_s2995" style="position:absolute;left:0;text-align:left;margin-left:338.55pt;margin-top:26.5pt;width:241.1pt;height:220.4pt;z-index:251594240;mso-position-horizontal-relative:page" coordorigin="6301,530" coordsize="4822,4408">
            <v:shape id="docshape822" o:spid="_x0000_s2997" style="position:absolute;left:6300;top:530;width:4822;height:4408" coordorigin="6301,530" coordsize="4822,4408" path="m10896,530r-4369,l6396,534r-67,25l6304,626r-3,131l6301,4711r3,131l6329,4910r67,25l6527,4938r4369,l11027,4935r67,-25l11119,4842r3,-131l11122,757r-3,-131l11094,559r-67,-25l10896,530xe" fillcolor="#e4f3f1" stroked="f">
              <v:path arrowok="t"/>
            </v:shape>
            <v:shape id="docshape823" o:spid="_x0000_s2996" type="#_x0000_t202" style="position:absolute;left:6300;top:530;width:4822;height:4408" filled="f" stroked="f">
              <v:textbox style="mso-next-textbox:#docshape823" inset="0,0,0,0">
                <w:txbxContent>
                  <w:p w14:paraId="6C5ABBA5" w14:textId="77777777" w:rsidR="0055291C" w:rsidRDefault="0055291C">
                    <w:pPr>
                      <w:spacing w:before="9"/>
                      <w:rPr>
                        <w:rFonts w:ascii="Arial"/>
                        <w:b/>
                        <w:sz w:val="28"/>
                      </w:rPr>
                    </w:pPr>
                  </w:p>
                  <w:p w14:paraId="1BDBFA04" w14:textId="274C651A" w:rsidR="00E438FE" w:rsidRDefault="00E438FE" w:rsidP="00E438FE">
                    <w:pPr>
                      <w:spacing w:line="328" w:lineRule="auto"/>
                      <w:ind w:left="226" w:right="230"/>
                      <w:rPr>
                        <w:rFonts w:ascii="ＭＳ ゴシック" w:eastAsia="ＭＳ ゴシック" w:hAnsi="ＭＳ ゴシック" w:cs="ＭＳ ゴシック"/>
                        <w:sz w:val="19"/>
                        <w:szCs w:val="19"/>
                        <w:lang w:eastAsia="ja-JP"/>
                      </w:rPr>
                    </w:pPr>
                    <w:r w:rsidRPr="00E438FE">
                      <w:rPr>
                        <w:rFonts w:ascii="ＭＳ ゴシック" w:eastAsia="ＭＳ ゴシック" w:hAnsi="ＭＳ ゴシック" w:cs="ＭＳ ゴシック" w:hint="eastAsia"/>
                        <w:sz w:val="19"/>
                        <w:szCs w:val="19"/>
                        <w:lang w:eastAsia="ja-JP"/>
                      </w:rPr>
                      <w:t>有用な</w:t>
                    </w:r>
                    <w:r>
                      <w:rPr>
                        <w:rFonts w:ascii="ＭＳ ゴシック" w:eastAsia="ＭＳ ゴシック" w:hAnsi="ＭＳ ゴシック" w:cs="ＭＳ ゴシック" w:hint="eastAsia"/>
                        <w:sz w:val="19"/>
                        <w:szCs w:val="19"/>
                        <w:lang w:eastAsia="ja-JP"/>
                      </w:rPr>
                      <w:t>報告書</w:t>
                    </w:r>
                    <w:r w:rsidRPr="00E438FE">
                      <w:rPr>
                        <w:rFonts w:ascii="ＭＳ ゴシック" w:eastAsia="ＭＳ ゴシック" w:hAnsi="ＭＳ ゴシック" w:cs="ＭＳ ゴシック" w:hint="eastAsia"/>
                        <w:sz w:val="19"/>
                        <w:szCs w:val="19"/>
                        <w:lang w:eastAsia="ja-JP"/>
                      </w:rPr>
                      <w:t>を作成し、長期的に削減を追跡するためには、質の高いデータが重要です。そのため</w:t>
                    </w:r>
                    <w:r>
                      <w:rPr>
                        <w:rFonts w:ascii="ＭＳ ゴシック" w:eastAsia="ＭＳ ゴシック" w:hAnsi="ＭＳ ゴシック" w:cs="ＭＳ ゴシック" w:hint="eastAsia"/>
                        <w:sz w:val="19"/>
                        <w:szCs w:val="19"/>
                        <w:lang w:eastAsia="ja-JP"/>
                      </w:rPr>
                      <w:t>に最適な</w:t>
                    </w:r>
                    <w:r w:rsidRPr="00E438FE">
                      <w:rPr>
                        <w:rFonts w:ascii="ＭＳ ゴシック" w:eastAsia="ＭＳ ゴシック" w:hAnsi="ＭＳ ゴシック" w:cs="ＭＳ ゴシック" w:hint="eastAsia"/>
                        <w:sz w:val="19"/>
                        <w:szCs w:val="19"/>
                        <w:lang w:eastAsia="ja-JP"/>
                      </w:rPr>
                      <w:t>サプライヤーからのデータの種類は</w:t>
                    </w:r>
                    <w:r>
                      <w:rPr>
                        <w:rFonts w:ascii="ＭＳ ゴシック" w:eastAsia="ＭＳ ゴシック" w:hAnsi="ＭＳ ゴシック" w:cs="ＭＳ ゴシック" w:hint="eastAsia"/>
                        <w:sz w:val="19"/>
                        <w:szCs w:val="19"/>
                        <w:lang w:eastAsia="ja-JP"/>
                      </w:rPr>
                      <w:t>、</w:t>
                    </w:r>
                  </w:p>
                  <w:p w14:paraId="68F1E055" w14:textId="27551329" w:rsidR="00E438FE" w:rsidRPr="00E438FE" w:rsidRDefault="00E438FE">
                    <w:pPr>
                      <w:pStyle w:val="a5"/>
                      <w:numPr>
                        <w:ilvl w:val="0"/>
                        <w:numId w:val="73"/>
                      </w:numPr>
                      <w:spacing w:line="328" w:lineRule="auto"/>
                      <w:ind w:right="230"/>
                      <w:rPr>
                        <w:sz w:val="18"/>
                        <w:lang w:eastAsia="ja-JP"/>
                      </w:rPr>
                    </w:pPr>
                    <w:r w:rsidRPr="00E438FE">
                      <w:rPr>
                        <w:rFonts w:ascii="ＭＳ ゴシック" w:eastAsia="ＭＳ ゴシック" w:hAnsi="ＭＳ ゴシック" w:cs="ＭＳ ゴシック" w:hint="eastAsia"/>
                        <w:sz w:val="19"/>
                        <w:szCs w:val="19"/>
                        <w:lang w:eastAsia="ja-JP"/>
                      </w:rPr>
                      <w:t>企業の</w:t>
                    </w:r>
                    <w:r>
                      <w:rPr>
                        <w:rFonts w:ascii="ＭＳ ゴシック" w:eastAsia="ＭＳ ゴシック" w:hAnsi="ＭＳ ゴシック" w:cs="ＭＳ ゴシック" w:hint="eastAsia"/>
                        <w:sz w:val="19"/>
                        <w:szCs w:val="19"/>
                        <w:lang w:eastAsia="ja-JP"/>
                      </w:rPr>
                      <w:t>報告書</w:t>
                    </w:r>
                    <w:r w:rsidRPr="00E438FE">
                      <w:rPr>
                        <w:rFonts w:ascii="ＭＳ ゴシック" w:eastAsia="ＭＳ ゴシック" w:hAnsi="ＭＳ ゴシック" w:cs="ＭＳ ゴシック" w:hint="eastAsia"/>
                        <w:sz w:val="19"/>
                        <w:szCs w:val="19"/>
                        <w:lang w:eastAsia="ja-JP"/>
                      </w:rPr>
                      <w:t>から得たサイト情報ではなく、プロセス固有の情報に基づいていること</w:t>
                    </w:r>
                  </w:p>
                  <w:p w14:paraId="43E890E9" w14:textId="05CCDBFF" w:rsidR="00E438FE" w:rsidRPr="00E438FE" w:rsidRDefault="00E438FE">
                    <w:pPr>
                      <w:pStyle w:val="a5"/>
                      <w:numPr>
                        <w:ilvl w:val="0"/>
                        <w:numId w:val="73"/>
                      </w:numPr>
                      <w:spacing w:line="328" w:lineRule="auto"/>
                      <w:ind w:right="230"/>
                      <w:rPr>
                        <w:sz w:val="18"/>
                        <w:lang w:eastAsia="ja-JP"/>
                      </w:rPr>
                    </w:pPr>
                    <w:r w:rsidRPr="00E438FE">
                      <w:rPr>
                        <w:rFonts w:ascii="ＭＳ ゴシック" w:eastAsia="ＭＳ ゴシック" w:hAnsi="ＭＳ ゴシック" w:cs="ＭＳ ゴシック" w:hint="eastAsia"/>
                        <w:sz w:val="19"/>
                        <w:szCs w:val="19"/>
                        <w:lang w:eastAsia="ja-JP"/>
                      </w:rPr>
                      <w:t>データの収集方法、計算方法、および</w:t>
                    </w:r>
                    <w:r>
                      <w:rPr>
                        <w:rFonts w:ascii="ＭＳ ゴシック" w:eastAsia="ＭＳ ゴシック" w:hAnsi="ＭＳ ゴシック" w:cs="ＭＳ ゴシック" w:hint="eastAsia"/>
                        <w:sz w:val="19"/>
                        <w:szCs w:val="19"/>
                        <w:lang w:eastAsia="ja-JP"/>
                      </w:rPr>
                      <w:t>報告書</w:t>
                    </w:r>
                    <w:r w:rsidRPr="00E438FE">
                      <w:rPr>
                        <w:rFonts w:ascii="ＭＳ ゴシック" w:eastAsia="ＭＳ ゴシック" w:hAnsi="ＭＳ ゴシック" w:cs="ＭＳ ゴシック" w:hint="eastAsia"/>
                        <w:sz w:val="19"/>
                        <w:szCs w:val="19"/>
                        <w:lang w:eastAsia="ja-JP"/>
                      </w:rPr>
                      <w:t>の品質を理解するために、十分な裏付け情報を</w:t>
                    </w:r>
                    <w:r>
                      <w:rPr>
                        <w:rFonts w:ascii="ＭＳ ゴシック" w:eastAsia="ＭＳ ゴシック" w:hAnsi="ＭＳ ゴシック" w:cs="ＭＳ ゴシック" w:hint="eastAsia"/>
                        <w:sz w:val="19"/>
                        <w:szCs w:val="19"/>
                        <w:lang w:eastAsia="ja-JP"/>
                      </w:rPr>
                      <w:t>ユーザーに</w:t>
                    </w:r>
                    <w:r w:rsidRPr="00E438FE">
                      <w:rPr>
                        <w:rFonts w:ascii="ＭＳ ゴシック" w:eastAsia="ＭＳ ゴシック" w:hAnsi="ＭＳ ゴシック" w:cs="ＭＳ ゴシック" w:hint="eastAsia"/>
                        <w:sz w:val="19"/>
                        <w:szCs w:val="19"/>
                        <w:lang w:eastAsia="ja-JP"/>
                      </w:rPr>
                      <w:t>提供すること</w:t>
                    </w:r>
                  </w:p>
                  <w:p w14:paraId="4B72C35B" w14:textId="2F3BE1E0" w:rsidR="0055291C" w:rsidRPr="00E438FE" w:rsidRDefault="00AA2652" w:rsidP="00E438FE">
                    <w:pPr>
                      <w:spacing w:line="328" w:lineRule="auto"/>
                      <w:ind w:left="226" w:right="230"/>
                      <w:rPr>
                        <w:sz w:val="18"/>
                        <w:lang w:eastAsia="ja-JP"/>
                      </w:rPr>
                    </w:pPr>
                    <w:r>
                      <w:rPr>
                        <w:rFonts w:ascii="ＭＳ ゴシック" w:eastAsia="ＭＳ ゴシック" w:hAnsi="ＭＳ ゴシック" w:cs="ＭＳ ゴシック" w:hint="eastAsia"/>
                        <w:sz w:val="19"/>
                        <w:szCs w:val="19"/>
                        <w:lang w:eastAsia="ja-JP"/>
                      </w:rPr>
                      <w:t>です。</w:t>
                    </w:r>
                    <w:r w:rsidR="00E438FE" w:rsidRPr="00E438FE">
                      <w:rPr>
                        <w:rFonts w:ascii="ＭＳ ゴシック" w:eastAsia="ＭＳ ゴシック" w:hAnsi="ＭＳ ゴシック" w:cs="ＭＳ ゴシック" w:hint="eastAsia"/>
                        <w:sz w:val="19"/>
                        <w:szCs w:val="19"/>
                        <w:lang w:eastAsia="ja-JP"/>
                      </w:rPr>
                      <w:t>サプライヤーデータの収集方法とデータ収集戦略の策定に関するガイダンス</w:t>
                    </w:r>
                    <w:r w:rsidR="00E438FE">
                      <w:rPr>
                        <w:rFonts w:ascii="ＭＳ ゴシック" w:eastAsia="ＭＳ ゴシック" w:hAnsi="ＭＳ ゴシック" w:cs="ＭＳ ゴシック" w:hint="eastAsia"/>
                        <w:sz w:val="19"/>
                        <w:szCs w:val="19"/>
                        <w:lang w:eastAsia="ja-JP"/>
                      </w:rPr>
                      <w:t>は</w:t>
                    </w:r>
                    <w:r w:rsidR="00E438FE" w:rsidRPr="00E438FE">
                      <w:rPr>
                        <w:sz w:val="19"/>
                        <w:szCs w:val="19"/>
                        <w:lang w:eastAsia="ja-JP"/>
                      </w:rPr>
                      <w:t xml:space="preserve">(www.ghgprotocol.org) </w:t>
                    </w:r>
                    <w:r w:rsidR="00E438FE" w:rsidRPr="00E438FE">
                      <w:rPr>
                        <w:rFonts w:ascii="ＭＳ ゴシック" w:eastAsia="ＭＳ ゴシック" w:hAnsi="ＭＳ ゴシック" w:cs="ＭＳ ゴシック" w:hint="eastAsia"/>
                        <w:sz w:val="19"/>
                        <w:szCs w:val="19"/>
                        <w:lang w:eastAsia="ja-JP"/>
                      </w:rPr>
                      <w:t>に掲載されています</w:t>
                    </w:r>
                  </w:p>
                </w:txbxContent>
              </v:textbox>
            </v:shape>
            <w10:wrap anchorx="page"/>
          </v:group>
        </w:pict>
      </w:r>
      <w:r w:rsidR="00F23C61">
        <w:rPr>
          <w:color w:val="00ACA1"/>
          <w:w w:val="95"/>
          <w:lang w:eastAsia="ja-JP"/>
        </w:rPr>
        <w:t>Box</w:t>
      </w:r>
      <w:r w:rsidR="00F23C61">
        <w:rPr>
          <w:color w:val="00ACA1"/>
          <w:spacing w:val="10"/>
          <w:w w:val="95"/>
          <w:lang w:eastAsia="ja-JP"/>
        </w:rPr>
        <w:t xml:space="preserve"> </w:t>
      </w:r>
      <w:r w:rsidR="00F23C61">
        <w:rPr>
          <w:color w:val="00ACA1"/>
          <w:w w:val="95"/>
          <w:lang w:eastAsia="ja-JP"/>
        </w:rPr>
        <w:t>[8.4]</w:t>
      </w:r>
      <w:r w:rsidR="00F23C61">
        <w:rPr>
          <w:color w:val="00ACA1"/>
          <w:spacing w:val="11"/>
          <w:w w:val="95"/>
          <w:lang w:eastAsia="ja-JP"/>
        </w:rPr>
        <w:t xml:space="preserve"> </w:t>
      </w:r>
      <w:r w:rsidR="00E438FE">
        <w:rPr>
          <w:rFonts w:ascii="ＭＳ 明朝" w:eastAsia="ＭＳ 明朝" w:hAnsi="ＭＳ 明朝" w:cs="ＭＳ 明朝" w:hint="eastAsia"/>
          <w:color w:val="545456"/>
          <w:w w:val="95"/>
          <w:lang w:eastAsia="ja-JP"/>
        </w:rPr>
        <w:t>サプライヤーデータの収集</w:t>
      </w:r>
    </w:p>
    <w:p w14:paraId="04E0D528" w14:textId="77777777" w:rsidR="0055291C" w:rsidRDefault="0055291C">
      <w:pPr>
        <w:jc w:val="both"/>
        <w:rPr>
          <w:lang w:eastAsia="ja-JP"/>
        </w:rPr>
        <w:sectPr w:rsidR="0055291C">
          <w:type w:val="continuous"/>
          <w:pgSz w:w="12240" w:h="15840"/>
          <w:pgMar w:top="740" w:right="0" w:bottom="280" w:left="0" w:header="0" w:footer="859" w:gutter="0"/>
          <w:cols w:num="2" w:space="720" w:equalWidth="0">
            <w:col w:w="5966" w:space="40"/>
            <w:col w:w="6234"/>
          </w:cols>
        </w:sectPr>
      </w:pPr>
    </w:p>
    <w:p w14:paraId="405E1435" w14:textId="77777777" w:rsidR="0055291C" w:rsidRDefault="0055291C">
      <w:pPr>
        <w:pStyle w:val="a3"/>
        <w:spacing w:before="10"/>
        <w:rPr>
          <w:rFonts w:ascii="Arial"/>
          <w:b/>
          <w:sz w:val="21"/>
          <w:lang w:eastAsia="ja-JP"/>
        </w:rPr>
      </w:pPr>
    </w:p>
    <w:p w14:paraId="743A0354" w14:textId="0F43FC2E" w:rsidR="0055291C" w:rsidRDefault="00000000">
      <w:pPr>
        <w:pStyle w:val="a3"/>
        <w:ind w:left="1137"/>
        <w:rPr>
          <w:rFonts w:ascii="Arial"/>
          <w:sz w:val="20"/>
        </w:rPr>
      </w:pPr>
      <w:r>
        <w:rPr>
          <w:rFonts w:ascii="Arial"/>
          <w:sz w:val="20"/>
        </w:rPr>
      </w:r>
      <w:r>
        <w:rPr>
          <w:rFonts w:ascii="Arial"/>
          <w:sz w:val="20"/>
        </w:rPr>
        <w:pict w14:anchorId="3679123C">
          <v:group id="docshapegroup824" o:spid="_x0000_s2992" style="width:241.1pt;height:159.3pt;mso-position-horizontal-relative:char;mso-position-vertical-relative:line" coordsize="4822,3186">
            <v:shape id="docshape825" o:spid="_x0000_s2994" style="position:absolute;width:4822;height:3186" coordsize="4822,3186" path="m4595,l227,,96,4,28,28,4,96,,227,,2959r4,131l28,3157r68,25l227,3185r4368,l4726,3182r67,-25l4818,3090r4,-131l4822,227,4818,96,4793,28,4726,4,4595,xe" fillcolor="#e4f3f1" stroked="f">
              <v:path arrowok="t"/>
            </v:shape>
            <v:shape id="docshape826" o:spid="_x0000_s2993" type="#_x0000_t202" style="position:absolute;width:4822;height:3186" filled="f" stroked="f">
              <v:textbox style="mso-next-textbox:#docshape826" inset="0,0,0,0">
                <w:txbxContent>
                  <w:p w14:paraId="56065333" w14:textId="77777777" w:rsidR="0055291C" w:rsidRDefault="0055291C">
                    <w:pPr>
                      <w:spacing w:before="9"/>
                      <w:rPr>
                        <w:rFonts w:ascii="Arial"/>
                        <w:b/>
                        <w:sz w:val="20"/>
                      </w:rPr>
                    </w:pPr>
                  </w:p>
                  <w:p w14:paraId="4BB2B6F9" w14:textId="07E78D0A" w:rsidR="0055291C" w:rsidRPr="00E00DB4" w:rsidRDefault="00E00DB4">
                    <w:pPr>
                      <w:spacing w:line="328" w:lineRule="auto"/>
                      <w:ind w:left="226" w:right="260"/>
                      <w:rPr>
                        <w:sz w:val="19"/>
                        <w:szCs w:val="19"/>
                        <w:lang w:eastAsia="ja-JP"/>
                      </w:rPr>
                    </w:pPr>
                    <w:r w:rsidRPr="00E00DB4">
                      <w:rPr>
                        <w:rFonts w:ascii="ＭＳ ゴシック" w:eastAsia="ＭＳ ゴシック" w:hAnsi="ＭＳ ゴシック" w:cs="ＭＳ ゴシック" w:hint="eastAsia"/>
                        <w:sz w:val="19"/>
                        <w:szCs w:val="19"/>
                        <w:lang w:eastAsia="ja-JP"/>
                      </w:rPr>
                      <w:t>他の排出源からのデータと同様に、会社は</w:t>
                    </w:r>
                    <w:r>
                      <w:rPr>
                        <w:rFonts w:ascii="ＭＳ ゴシック" w:eastAsia="ＭＳ ゴシック" w:hAnsi="ＭＳ ゴシック" w:cs="ＭＳ ゴシック" w:hint="eastAsia"/>
                        <w:sz w:val="19"/>
                        <w:szCs w:val="19"/>
                        <w:lang w:eastAsia="ja-JP"/>
                      </w:rPr>
                      <w:t>排出量算出</w:t>
                    </w:r>
                    <w:r w:rsidRPr="00E00DB4">
                      <w:rPr>
                        <w:rFonts w:ascii="ＭＳ ゴシック" w:eastAsia="ＭＳ ゴシック" w:hAnsi="ＭＳ ゴシック" w:cs="ＭＳ ゴシック" w:hint="eastAsia"/>
                        <w:sz w:val="19"/>
                        <w:szCs w:val="19"/>
                        <w:lang w:eastAsia="ja-JP"/>
                      </w:rPr>
                      <w:t>で使用する電力源に地理的に特化した電力排</w:t>
                    </w:r>
                    <w:r w:rsidRPr="00E00DB4">
                      <w:rPr>
                        <w:sz w:val="19"/>
                        <w:szCs w:val="19"/>
                        <w:lang w:eastAsia="ja-JP"/>
                      </w:rPr>
                      <w:t xml:space="preserve"> </w:t>
                    </w:r>
                    <w:r w:rsidRPr="00E00DB4">
                      <w:rPr>
                        <w:rFonts w:ascii="ＭＳ ゴシック" w:eastAsia="ＭＳ ゴシック" w:hAnsi="ＭＳ ゴシック" w:cs="ＭＳ ゴシック" w:hint="eastAsia"/>
                        <w:sz w:val="19"/>
                        <w:szCs w:val="19"/>
                        <w:lang w:eastAsia="ja-JP"/>
                      </w:rPr>
                      <w:t>出係数を選択するべきで</w:t>
                    </w:r>
                    <w:r>
                      <w:rPr>
                        <w:rFonts w:ascii="ＭＳ ゴシック" w:eastAsia="ＭＳ ゴシック" w:hAnsi="ＭＳ ゴシック" w:cs="ＭＳ ゴシック" w:hint="eastAsia"/>
                        <w:sz w:val="19"/>
                        <w:szCs w:val="19"/>
                        <w:lang w:eastAsia="ja-JP"/>
                      </w:rPr>
                      <w:t>す</w:t>
                    </w:r>
                    <w:r w:rsidRPr="00E00DB4">
                      <w:rPr>
                        <w:rFonts w:ascii="ＭＳ ゴシック" w:eastAsia="ＭＳ ゴシック" w:hAnsi="ＭＳ ゴシック" w:cs="ＭＳ ゴシック" w:hint="eastAsia"/>
                        <w:sz w:val="19"/>
                        <w:szCs w:val="19"/>
                        <w:lang w:eastAsia="ja-JP"/>
                      </w:rPr>
                      <w:t>。電力供給者が供給者固有の排出係数を提供でき、その排出量が地域の</w:t>
                    </w:r>
                    <w:r w:rsidRPr="00E00DB4">
                      <w:rPr>
                        <w:sz w:val="19"/>
                        <w:szCs w:val="19"/>
                        <w:lang w:eastAsia="ja-JP"/>
                      </w:rPr>
                      <w:t xml:space="preserve"> </w:t>
                    </w:r>
                    <w:r w:rsidRPr="00E00DB4">
                      <w:rPr>
                        <w:rFonts w:ascii="ＭＳ ゴシック" w:eastAsia="ＭＳ ゴシック" w:hAnsi="ＭＳ ゴシック" w:cs="ＭＳ ゴシック" w:hint="eastAsia"/>
                        <w:sz w:val="19"/>
                        <w:szCs w:val="19"/>
                        <w:lang w:eastAsia="ja-JP"/>
                      </w:rPr>
                      <w:t>排出係数から除外される場合、その供給者の電</w:t>
                    </w:r>
                    <w:r w:rsidRPr="00E00DB4">
                      <w:rPr>
                        <w:sz w:val="19"/>
                        <w:szCs w:val="19"/>
                        <w:lang w:eastAsia="ja-JP"/>
                      </w:rPr>
                      <w:t xml:space="preserve"> </w:t>
                    </w:r>
                    <w:r w:rsidRPr="00E00DB4">
                      <w:rPr>
                        <w:rFonts w:ascii="ＭＳ ゴシック" w:eastAsia="ＭＳ ゴシック" w:hAnsi="ＭＳ ゴシック" w:cs="ＭＳ ゴシック" w:hint="eastAsia"/>
                        <w:sz w:val="19"/>
                        <w:szCs w:val="19"/>
                        <w:lang w:eastAsia="ja-JP"/>
                      </w:rPr>
                      <w:t>力データを使用すべきで</w:t>
                    </w:r>
                    <w:r>
                      <w:rPr>
                        <w:rFonts w:ascii="ＭＳ ゴシック" w:eastAsia="ＭＳ ゴシック" w:hAnsi="ＭＳ ゴシック" w:cs="ＭＳ ゴシック" w:hint="eastAsia"/>
                        <w:sz w:val="19"/>
                        <w:szCs w:val="19"/>
                        <w:lang w:eastAsia="ja-JP"/>
                      </w:rPr>
                      <w:t>す</w:t>
                    </w:r>
                    <w:r w:rsidRPr="00E00DB4">
                      <w:rPr>
                        <w:rFonts w:ascii="ＭＳ ゴシック" w:eastAsia="ＭＳ ゴシック" w:hAnsi="ＭＳ ゴシック" w:cs="ＭＳ ゴシック" w:hint="eastAsia"/>
                        <w:sz w:val="19"/>
                        <w:szCs w:val="19"/>
                        <w:lang w:eastAsia="ja-JP"/>
                      </w:rPr>
                      <w:t>。そうでない場合、企業は、</w:t>
                    </w:r>
                    <w:r w:rsidRPr="00E00DB4">
                      <w:rPr>
                        <w:sz w:val="19"/>
                        <w:szCs w:val="19"/>
                        <w:lang w:eastAsia="ja-JP"/>
                      </w:rPr>
                      <w:t xml:space="preserve"> </w:t>
                    </w:r>
                    <w:r w:rsidRPr="00E00DB4">
                      <w:rPr>
                        <w:rFonts w:ascii="ＭＳ ゴシック" w:eastAsia="ＭＳ ゴシック" w:hAnsi="ＭＳ ゴシック" w:cs="ＭＳ ゴシック" w:hint="eastAsia"/>
                        <w:sz w:val="19"/>
                        <w:szCs w:val="19"/>
                        <w:lang w:eastAsia="ja-JP"/>
                      </w:rPr>
                      <w:t>二重計算を避けるため</w:t>
                    </w:r>
                    <w:r w:rsidRPr="00E00DB4">
                      <w:rPr>
                        <w:sz w:val="19"/>
                        <w:szCs w:val="19"/>
                        <w:lang w:eastAsia="ja-JP"/>
                      </w:rPr>
                      <w:t xml:space="preserve"> </w:t>
                    </w:r>
                    <w:r w:rsidRPr="00E00DB4">
                      <w:rPr>
                        <w:rFonts w:ascii="ＭＳ ゴシック" w:eastAsia="ＭＳ ゴシック" w:hAnsi="ＭＳ ゴシック" w:cs="ＭＳ ゴシック" w:hint="eastAsia"/>
                        <w:sz w:val="19"/>
                        <w:szCs w:val="19"/>
                        <w:lang w:eastAsia="ja-JP"/>
                      </w:rPr>
                      <w:t>に、地域平均の電力排出係数を使用</w:t>
                    </w:r>
                    <w:r>
                      <w:rPr>
                        <w:rFonts w:ascii="ＭＳ ゴシック" w:eastAsia="ＭＳ ゴシック" w:hAnsi="ＭＳ ゴシック" w:cs="ＭＳ ゴシック" w:hint="eastAsia"/>
                        <w:sz w:val="19"/>
                        <w:szCs w:val="19"/>
                        <w:lang w:eastAsia="ja-JP"/>
                      </w:rPr>
                      <w:t>するべきです。</w:t>
                    </w:r>
                  </w:p>
                </w:txbxContent>
              </v:textbox>
            </v:shape>
            <w10:anchorlock/>
          </v:group>
        </w:pict>
      </w:r>
    </w:p>
    <w:p w14:paraId="709E91B1" w14:textId="77777777" w:rsidR="0055291C" w:rsidRDefault="0055291C">
      <w:pPr>
        <w:rPr>
          <w:rFonts w:ascii="Arial"/>
          <w:sz w:val="20"/>
        </w:rPr>
        <w:sectPr w:rsidR="0055291C">
          <w:type w:val="continuous"/>
          <w:pgSz w:w="12240" w:h="15840"/>
          <w:pgMar w:top="740" w:right="0" w:bottom="280" w:left="0" w:header="0" w:footer="859" w:gutter="0"/>
          <w:cols w:space="720"/>
        </w:sectPr>
      </w:pPr>
    </w:p>
    <w:p w14:paraId="0E482DF6" w14:textId="77777777" w:rsidR="0055291C" w:rsidRDefault="0055291C">
      <w:pPr>
        <w:pStyle w:val="a3"/>
        <w:rPr>
          <w:rFonts w:ascii="Arial"/>
          <w:b/>
          <w:sz w:val="20"/>
        </w:rPr>
      </w:pPr>
    </w:p>
    <w:p w14:paraId="0217F72F" w14:textId="77777777" w:rsidR="0055291C" w:rsidRDefault="0055291C">
      <w:pPr>
        <w:pStyle w:val="a3"/>
        <w:rPr>
          <w:rFonts w:ascii="Arial"/>
          <w:b/>
          <w:sz w:val="20"/>
        </w:rPr>
      </w:pPr>
    </w:p>
    <w:p w14:paraId="6C727E1E" w14:textId="77777777" w:rsidR="0055291C" w:rsidRDefault="0055291C">
      <w:pPr>
        <w:pStyle w:val="a3"/>
        <w:rPr>
          <w:rFonts w:ascii="Arial"/>
          <w:b/>
          <w:sz w:val="20"/>
        </w:rPr>
      </w:pPr>
    </w:p>
    <w:p w14:paraId="7F5D4001" w14:textId="77777777" w:rsidR="0055291C" w:rsidRDefault="0055291C">
      <w:pPr>
        <w:pStyle w:val="a3"/>
        <w:spacing w:before="1"/>
        <w:rPr>
          <w:rFonts w:ascii="Arial"/>
          <w:b/>
          <w:sz w:val="23"/>
        </w:rPr>
      </w:pPr>
    </w:p>
    <w:p w14:paraId="376D67EA" w14:textId="77777777" w:rsidR="0055291C" w:rsidRDefault="00000000">
      <w:pPr>
        <w:ind w:left="6108"/>
        <w:rPr>
          <w:rFonts w:ascii="Arial"/>
          <w:i/>
          <w:sz w:val="19"/>
        </w:rPr>
      </w:pPr>
      <w:r>
        <w:pict w14:anchorId="5DBD5F89">
          <v:shape id="docshape827" o:spid="_x0000_s2991" style="position:absolute;left:0;text-align:left;margin-left:580.75pt;margin-top:-47.8pt;width:31.3pt;height:285.85pt;z-index:251595264;mso-position-horizontal-relative:page" coordorigin="11615,-956" coordsize="626,5717" path="m12240,-956r-625,l11615,4534r3,131l11643,4732r67,25l11842,4760r398,l12240,-956xe" fillcolor="#00aca1" stroked="f">
            <v:path arrowok="t"/>
            <w10:wrap anchorx="page"/>
          </v:shape>
        </w:pict>
      </w:r>
      <w:r w:rsidR="00F23C61">
        <w:rPr>
          <w:rFonts w:ascii="Arial"/>
          <w:b/>
          <w:i/>
          <w:color w:val="7F3F98"/>
          <w:sz w:val="19"/>
        </w:rPr>
        <w:t>CHAPTER</w:t>
      </w:r>
      <w:r w:rsidR="00F23C61">
        <w:rPr>
          <w:rFonts w:ascii="Arial"/>
          <w:b/>
          <w:i/>
          <w:color w:val="7F3F98"/>
          <w:spacing w:val="9"/>
          <w:sz w:val="19"/>
        </w:rPr>
        <w:t xml:space="preserve"> </w:t>
      </w:r>
      <w:r w:rsidR="00F23C61">
        <w:rPr>
          <w:rFonts w:ascii="Arial"/>
          <w:b/>
          <w:i/>
          <w:color w:val="7F3F98"/>
          <w:sz w:val="19"/>
        </w:rPr>
        <w:t>08</w:t>
      </w:r>
      <w:r w:rsidR="00F23C61">
        <w:rPr>
          <w:rFonts w:ascii="Arial"/>
          <w:b/>
          <w:i/>
          <w:color w:val="7F3F98"/>
          <w:spacing w:val="10"/>
          <w:sz w:val="19"/>
        </w:rPr>
        <w:t xml:space="preserve"> </w:t>
      </w:r>
      <w:r w:rsidR="00F23C61">
        <w:rPr>
          <w:rFonts w:ascii="Arial"/>
          <w:i/>
          <w:color w:val="545456"/>
          <w:sz w:val="19"/>
        </w:rPr>
        <w:t>Collecting</w:t>
      </w:r>
      <w:r w:rsidR="00F23C61">
        <w:rPr>
          <w:rFonts w:ascii="Arial"/>
          <w:i/>
          <w:color w:val="545456"/>
          <w:spacing w:val="8"/>
          <w:sz w:val="19"/>
        </w:rPr>
        <w:t xml:space="preserve"> </w:t>
      </w:r>
      <w:r w:rsidR="00F23C61">
        <w:rPr>
          <w:rFonts w:ascii="Arial"/>
          <w:i/>
          <w:color w:val="545456"/>
          <w:sz w:val="19"/>
        </w:rPr>
        <w:t>Data</w:t>
      </w:r>
      <w:r w:rsidR="00F23C61">
        <w:rPr>
          <w:rFonts w:ascii="Arial"/>
          <w:i/>
          <w:color w:val="545456"/>
          <w:spacing w:val="7"/>
          <w:sz w:val="19"/>
        </w:rPr>
        <w:t xml:space="preserve"> </w:t>
      </w:r>
      <w:r w:rsidR="00F23C61">
        <w:rPr>
          <w:rFonts w:ascii="Arial"/>
          <w:i/>
          <w:color w:val="545456"/>
          <w:sz w:val="19"/>
        </w:rPr>
        <w:t>and</w:t>
      </w:r>
      <w:r w:rsidR="00F23C61">
        <w:rPr>
          <w:rFonts w:ascii="Arial"/>
          <w:i/>
          <w:color w:val="545456"/>
          <w:spacing w:val="8"/>
          <w:sz w:val="19"/>
        </w:rPr>
        <w:t xml:space="preserve"> </w:t>
      </w:r>
      <w:r w:rsidR="00F23C61">
        <w:rPr>
          <w:rFonts w:ascii="Arial"/>
          <w:i/>
          <w:color w:val="545456"/>
          <w:sz w:val="19"/>
        </w:rPr>
        <w:t>Assessing</w:t>
      </w:r>
      <w:r w:rsidR="00F23C61">
        <w:rPr>
          <w:rFonts w:ascii="Arial"/>
          <w:i/>
          <w:color w:val="545456"/>
          <w:spacing w:val="7"/>
          <w:sz w:val="19"/>
        </w:rPr>
        <w:t xml:space="preserve"> </w:t>
      </w:r>
      <w:r w:rsidR="00F23C61">
        <w:rPr>
          <w:rFonts w:ascii="Arial"/>
          <w:i/>
          <w:color w:val="545456"/>
          <w:sz w:val="19"/>
        </w:rPr>
        <w:t>Data</w:t>
      </w:r>
      <w:r w:rsidR="00F23C61">
        <w:rPr>
          <w:rFonts w:ascii="Arial"/>
          <w:i/>
          <w:color w:val="545456"/>
          <w:spacing w:val="8"/>
          <w:sz w:val="19"/>
        </w:rPr>
        <w:t xml:space="preserve"> </w:t>
      </w:r>
      <w:r w:rsidR="00F23C61">
        <w:rPr>
          <w:rFonts w:ascii="Arial"/>
          <w:i/>
          <w:color w:val="545456"/>
          <w:sz w:val="19"/>
        </w:rPr>
        <w:t>Quality</w:t>
      </w:r>
    </w:p>
    <w:p w14:paraId="7B385817" w14:textId="77777777" w:rsidR="0055291C" w:rsidRDefault="0055291C">
      <w:pPr>
        <w:pStyle w:val="a3"/>
        <w:rPr>
          <w:rFonts w:ascii="Arial"/>
          <w:i/>
          <w:sz w:val="20"/>
        </w:rPr>
      </w:pPr>
    </w:p>
    <w:p w14:paraId="3B9873A0" w14:textId="77777777" w:rsidR="0055291C" w:rsidRDefault="0055291C">
      <w:pPr>
        <w:pStyle w:val="a3"/>
        <w:spacing w:before="5"/>
        <w:rPr>
          <w:rFonts w:ascii="Arial"/>
          <w:i/>
          <w:sz w:val="25"/>
        </w:rPr>
      </w:pPr>
    </w:p>
    <w:p w14:paraId="629891F9" w14:textId="77777777" w:rsidR="0055291C" w:rsidRDefault="0055291C">
      <w:pPr>
        <w:rPr>
          <w:rFonts w:ascii="Arial"/>
          <w:sz w:val="25"/>
        </w:rPr>
        <w:sectPr w:rsidR="0055291C">
          <w:headerReference w:type="default" r:id="rId190"/>
          <w:pgSz w:w="12240" w:h="15840"/>
          <w:pgMar w:top="0" w:right="0" w:bottom="1040" w:left="0" w:header="0" w:footer="859" w:gutter="0"/>
          <w:cols w:space="720"/>
        </w:sectPr>
      </w:pPr>
    </w:p>
    <w:p w14:paraId="2A55F0EE" w14:textId="7F8345F6" w:rsidR="0055291C" w:rsidRDefault="001B6912">
      <w:pPr>
        <w:pStyle w:val="a3"/>
        <w:spacing w:before="141" w:line="312" w:lineRule="auto"/>
        <w:ind w:left="1133" w:right="-9"/>
      </w:pPr>
      <w:r w:rsidRPr="001B6912">
        <w:rPr>
          <w:rFonts w:ascii="ＭＳ ゴシック" w:eastAsia="ＭＳ ゴシック" w:hAnsi="ＭＳ ゴシック" w:cs="ＭＳ ゴシック" w:hint="eastAsia"/>
          <w:color w:val="545456"/>
          <w:lang w:eastAsia="ja-JP"/>
        </w:rPr>
        <w:t>入手可能で十分な品質のものがあれば、製品のライフサイクルの全工程について、一次データを収集するべきでしょう。一次データの収集が、たとえそのプロセスが企業の所有権や管理下にない場合でも、企業にとって有益である理由はいくつかあります。</w:t>
      </w:r>
      <w:proofErr w:type="spellStart"/>
      <w:r w:rsidRPr="001B6912">
        <w:rPr>
          <w:rFonts w:ascii="ＭＳ ゴシック" w:eastAsia="ＭＳ ゴシック" w:hAnsi="ＭＳ ゴシック" w:cs="ＭＳ ゴシック" w:hint="eastAsia"/>
          <w:color w:val="545456"/>
        </w:rPr>
        <w:t>例えば</w:t>
      </w:r>
      <w:proofErr w:type="spellEnd"/>
      <w:r w:rsidRPr="001B6912">
        <w:rPr>
          <w:rFonts w:ascii="ＭＳ ゴシック" w:eastAsia="ＭＳ ゴシック" w:hAnsi="ＭＳ ゴシック" w:cs="ＭＳ ゴシック" w:hint="eastAsia"/>
          <w:color w:val="545456"/>
        </w:rPr>
        <w:t>、</w:t>
      </w:r>
    </w:p>
    <w:p w14:paraId="2A186A84" w14:textId="79A3D3AC" w:rsidR="00000A7A" w:rsidRPr="00000A7A" w:rsidRDefault="00000A7A">
      <w:pPr>
        <w:pStyle w:val="a5"/>
        <w:numPr>
          <w:ilvl w:val="1"/>
          <w:numId w:val="57"/>
        </w:numPr>
        <w:tabs>
          <w:tab w:val="left" w:pos="1394"/>
        </w:tabs>
        <w:spacing w:line="309" w:lineRule="auto"/>
        <w:ind w:right="124"/>
        <w:rPr>
          <w:color w:val="545456"/>
          <w:sz w:val="19"/>
          <w:lang w:eastAsia="ja-JP"/>
        </w:rPr>
      </w:pPr>
      <w:r w:rsidRPr="00000A7A">
        <w:rPr>
          <w:rFonts w:ascii="ＭＳ ゴシック" w:eastAsia="ＭＳ ゴシック" w:hAnsi="ＭＳ ゴシック" w:cs="ＭＳ ゴシック" w:hint="eastAsia"/>
          <w:color w:val="545456"/>
          <w:sz w:val="19"/>
          <w:lang w:eastAsia="ja-JP"/>
        </w:rPr>
        <w:t>製品のライフサイクルを通じてサプライヤーから一次データを収集することで、バリューチェーンのパートナーにまで透明性、説明責任、データ管理を拡大することができます。</w:t>
      </w:r>
    </w:p>
    <w:p w14:paraId="05BB22AC" w14:textId="176E1447" w:rsidR="00000A7A" w:rsidRPr="00000A7A" w:rsidRDefault="00000A7A">
      <w:pPr>
        <w:pStyle w:val="a5"/>
        <w:numPr>
          <w:ilvl w:val="1"/>
          <w:numId w:val="57"/>
        </w:numPr>
        <w:tabs>
          <w:tab w:val="left" w:pos="1394"/>
        </w:tabs>
        <w:spacing w:line="309" w:lineRule="auto"/>
        <w:ind w:right="124"/>
        <w:rPr>
          <w:color w:val="545456"/>
          <w:sz w:val="19"/>
          <w:lang w:eastAsia="ja-JP"/>
        </w:rPr>
      </w:pPr>
      <w:r w:rsidRPr="00000A7A">
        <w:rPr>
          <w:rFonts w:ascii="ＭＳ ゴシック" w:eastAsia="ＭＳ ゴシック" w:hAnsi="ＭＳ ゴシック" w:cs="ＭＳ ゴシック" w:hint="eastAsia"/>
          <w:color w:val="545456"/>
          <w:sz w:val="19"/>
          <w:lang w:eastAsia="ja-JP"/>
        </w:rPr>
        <w:t>二次データは、排出量削減のために実施された運用の変更に伴う排出量の変化を反映しない場合がありますが、一次データは、そのような変化をより良く反映することができます。</w:t>
      </w:r>
    </w:p>
    <w:p w14:paraId="516372E6" w14:textId="7EB922BA" w:rsidR="0055291C" w:rsidRDefault="00000A7A">
      <w:pPr>
        <w:pStyle w:val="a5"/>
        <w:numPr>
          <w:ilvl w:val="1"/>
          <w:numId w:val="57"/>
        </w:numPr>
        <w:tabs>
          <w:tab w:val="left" w:pos="1394"/>
        </w:tabs>
        <w:spacing w:line="309" w:lineRule="auto"/>
        <w:ind w:right="124"/>
        <w:rPr>
          <w:sz w:val="19"/>
          <w:lang w:eastAsia="ja-JP"/>
        </w:rPr>
      </w:pPr>
      <w:r w:rsidRPr="00000A7A">
        <w:rPr>
          <w:rFonts w:ascii="ＭＳ ゴシック" w:eastAsia="ＭＳ ゴシック" w:hAnsi="ＭＳ ゴシック" w:cs="ＭＳ ゴシック" w:hint="eastAsia"/>
          <w:color w:val="545456"/>
          <w:sz w:val="19"/>
          <w:lang w:eastAsia="ja-JP"/>
        </w:rPr>
        <w:t>一次データを収集することで、企業は</w:t>
      </w:r>
      <w:r w:rsidRPr="00000A7A">
        <w:rPr>
          <w:color w:val="545456"/>
          <w:sz w:val="19"/>
          <w:lang w:eastAsia="ja-JP"/>
        </w:rPr>
        <w:t>GHG</w:t>
      </w:r>
      <w:r w:rsidRPr="00000A7A">
        <w:rPr>
          <w:rFonts w:ascii="ＭＳ ゴシック" w:eastAsia="ＭＳ ゴシック" w:hAnsi="ＭＳ ゴシック" w:cs="ＭＳ ゴシック" w:hint="eastAsia"/>
          <w:color w:val="545456"/>
          <w:sz w:val="19"/>
          <w:lang w:eastAsia="ja-JP"/>
        </w:rPr>
        <w:t>削減目標に対する進捗をより効果的に追跡・報告することができます。</w:t>
      </w:r>
    </w:p>
    <w:p w14:paraId="6F3BC7FB" w14:textId="51C0BFD1" w:rsidR="0055291C" w:rsidRDefault="00000A7A">
      <w:pPr>
        <w:pStyle w:val="7"/>
        <w:numPr>
          <w:ilvl w:val="2"/>
          <w:numId w:val="46"/>
        </w:numPr>
        <w:tabs>
          <w:tab w:val="left" w:pos="1853"/>
          <w:tab w:val="left" w:pos="1854"/>
        </w:tabs>
        <w:spacing w:before="110"/>
        <w:ind w:left="1853" w:hanging="721"/>
        <w:jc w:val="left"/>
      </w:pPr>
      <w:r>
        <w:rPr>
          <w:rFonts w:ascii="ＭＳ 明朝" w:eastAsia="ＭＳ 明朝" w:hAnsi="ＭＳ 明朝" w:cs="ＭＳ 明朝" w:hint="eastAsia"/>
          <w:color w:val="00B8B1"/>
          <w:w w:val="95"/>
          <w:lang w:eastAsia="ja-JP"/>
        </w:rPr>
        <w:t>二次資料の収集</w:t>
      </w:r>
    </w:p>
    <w:p w14:paraId="6373CDA2" w14:textId="68D72EDD" w:rsidR="0055291C" w:rsidRDefault="00000A7A">
      <w:pPr>
        <w:pStyle w:val="a3"/>
        <w:spacing w:before="63" w:line="312" w:lineRule="auto"/>
        <w:ind w:left="1133" w:right="14"/>
        <w:rPr>
          <w:lang w:eastAsia="ja-JP"/>
        </w:rPr>
      </w:pPr>
      <w:r w:rsidRPr="00000A7A">
        <w:rPr>
          <w:rFonts w:ascii="ＭＳ ゴシック" w:eastAsia="ＭＳ ゴシック" w:hAnsi="ＭＳ ゴシック" w:cs="ＭＳ ゴシック" w:hint="eastAsia"/>
          <w:color w:val="545456"/>
          <w:lang w:eastAsia="ja-JP"/>
        </w:rPr>
        <w:t>二次データとは、調査対象製品のライフサイクルにおける特定の工程から得られたものではないデータです。一次データの定義を満たさない直接排出データおよびプロセス活動データは、二次データに分類されることがあります。財務活動データは、一次データの定義を満たすことはなく、従って常に二次データに分類されます。</w:t>
      </w:r>
    </w:p>
    <w:p w14:paraId="07182E62" w14:textId="2316DCE2" w:rsidR="0055291C" w:rsidRDefault="00F23C61" w:rsidP="00000A7A">
      <w:pPr>
        <w:pStyle w:val="a3"/>
        <w:spacing w:before="102" w:line="312" w:lineRule="auto"/>
        <w:ind w:left="293" w:right="1424"/>
        <w:rPr>
          <w:lang w:eastAsia="ja-JP"/>
        </w:rPr>
      </w:pPr>
      <w:r>
        <w:rPr>
          <w:lang w:eastAsia="ja-JP"/>
        </w:rPr>
        <w:br w:type="column"/>
      </w:r>
      <w:r w:rsidR="00000000">
        <w:pict w14:anchorId="4506FF82">
          <v:shape id="docshape828" o:spid="_x0000_s2990" type="#_x0000_t202" style="position:absolute;left:0;text-align:left;margin-left:585.65pt;margin-top:17.2pt;width:17.7pt;height:119.1pt;z-index:251596288;mso-position-horizontal-relative:page" filled="f" stroked="f">
            <v:textbox style="layout-flow:vertical;mso-layout-flow-alt:bottom-to-top;mso-next-textbox:#docshape828" inset="0,0,0,0">
              <w:txbxContent>
                <w:p w14:paraId="1AF3FDFD"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v:shape>
        </w:pict>
      </w:r>
      <w:r w:rsidR="00000A7A">
        <w:rPr>
          <w:rFonts w:ascii="ＭＳ ゴシック" w:eastAsia="ＭＳ ゴシック" w:hAnsi="ＭＳ ゴシック" w:cs="ＭＳ ゴシック" w:hint="eastAsia"/>
          <w:color w:val="545456"/>
          <w:spacing w:val="-1"/>
          <w:lang w:eastAsia="ja-JP"/>
        </w:rPr>
        <w:t>二次データの例としては、以下が挙げられます。</w:t>
      </w:r>
    </w:p>
    <w:p w14:paraId="45B81914" w14:textId="77777777" w:rsidR="0055291C" w:rsidRDefault="0055291C">
      <w:pPr>
        <w:pStyle w:val="a3"/>
        <w:rPr>
          <w:sz w:val="17"/>
          <w:lang w:eastAsia="ja-JP"/>
        </w:rPr>
      </w:pPr>
    </w:p>
    <w:p w14:paraId="36ED7620" w14:textId="28F4666B" w:rsidR="00023420" w:rsidRPr="00023420" w:rsidRDefault="00023420">
      <w:pPr>
        <w:pStyle w:val="a5"/>
        <w:numPr>
          <w:ilvl w:val="0"/>
          <w:numId w:val="57"/>
        </w:numPr>
        <w:tabs>
          <w:tab w:val="left" w:pos="554"/>
        </w:tabs>
        <w:spacing w:line="304" w:lineRule="auto"/>
        <w:ind w:right="1534"/>
        <w:rPr>
          <w:color w:val="545456"/>
          <w:sz w:val="19"/>
          <w:lang w:eastAsia="ja-JP"/>
        </w:rPr>
      </w:pPr>
      <w:r w:rsidRPr="00023420">
        <w:rPr>
          <w:rFonts w:ascii="ＭＳ ゴシック" w:eastAsia="ＭＳ ゴシック" w:hAnsi="ＭＳ ゴシック" w:cs="ＭＳ ゴシック" w:hint="eastAsia"/>
          <w:color w:val="545456"/>
          <w:sz w:val="19"/>
          <w:lang w:eastAsia="ja-JP"/>
        </w:rPr>
        <w:t>ライフサイクルデータベースから取得した、プロセスで消費された燃料の平均リットル数</w:t>
      </w:r>
    </w:p>
    <w:p w14:paraId="4ED9680A" w14:textId="6B70754F" w:rsidR="00023420" w:rsidRPr="00023420" w:rsidRDefault="00023420">
      <w:pPr>
        <w:pStyle w:val="a5"/>
        <w:numPr>
          <w:ilvl w:val="0"/>
          <w:numId w:val="57"/>
        </w:numPr>
        <w:tabs>
          <w:tab w:val="left" w:pos="554"/>
        </w:tabs>
        <w:spacing w:line="304" w:lineRule="auto"/>
        <w:ind w:right="1534"/>
        <w:rPr>
          <w:color w:val="545456"/>
          <w:sz w:val="19"/>
          <w:lang w:eastAsia="ja-JP"/>
        </w:rPr>
      </w:pPr>
      <w:r w:rsidRPr="00023420">
        <w:rPr>
          <w:rFonts w:ascii="ＭＳ ゴシック" w:eastAsia="ＭＳ ゴシック" w:hAnsi="ＭＳ ゴシック" w:cs="ＭＳ ゴシック" w:hint="eastAsia"/>
          <w:color w:val="545456"/>
          <w:sz w:val="19"/>
          <w:lang w:eastAsia="ja-JP"/>
        </w:rPr>
        <w:t>調査対象製品のライフサイクルにおいて、代替として使用される他の類似工程で消費される電力</w:t>
      </w:r>
    </w:p>
    <w:p w14:paraId="05792D3D" w14:textId="4E80D7DB" w:rsidR="00023420" w:rsidRPr="00023420" w:rsidRDefault="00023420">
      <w:pPr>
        <w:pStyle w:val="a5"/>
        <w:numPr>
          <w:ilvl w:val="0"/>
          <w:numId w:val="57"/>
        </w:numPr>
        <w:tabs>
          <w:tab w:val="left" w:pos="554"/>
        </w:tabs>
        <w:spacing w:line="304" w:lineRule="auto"/>
        <w:ind w:right="1534"/>
        <w:rPr>
          <w:color w:val="545456"/>
          <w:sz w:val="19"/>
          <w:lang w:eastAsia="ja-JP"/>
        </w:rPr>
      </w:pPr>
      <w:r w:rsidRPr="00023420">
        <w:rPr>
          <w:rFonts w:ascii="ＭＳ ゴシック" w:eastAsia="ＭＳ ゴシック" w:hAnsi="ＭＳ ゴシック" w:cs="ＭＳ ゴシック" w:hint="eastAsia"/>
          <w:color w:val="545456"/>
          <w:sz w:val="19"/>
          <w:lang w:eastAsia="ja-JP"/>
        </w:rPr>
        <w:t>工程に投入される材料の業界平均質量</w:t>
      </w:r>
    </w:p>
    <w:p w14:paraId="14C93C54" w14:textId="6DB3E051" w:rsidR="00023420" w:rsidRPr="00023420" w:rsidRDefault="00023420">
      <w:pPr>
        <w:pStyle w:val="a5"/>
        <w:numPr>
          <w:ilvl w:val="0"/>
          <w:numId w:val="57"/>
        </w:numPr>
        <w:tabs>
          <w:tab w:val="left" w:pos="554"/>
        </w:tabs>
        <w:spacing w:line="304" w:lineRule="auto"/>
        <w:ind w:right="1534"/>
        <w:rPr>
          <w:color w:val="545456"/>
          <w:sz w:val="19"/>
          <w:lang w:eastAsia="ja-JP"/>
        </w:rPr>
      </w:pPr>
      <w:r w:rsidRPr="00023420">
        <w:rPr>
          <w:rFonts w:ascii="ＭＳ ゴシック" w:eastAsia="ＭＳ ゴシック" w:hAnsi="ＭＳ ゴシック" w:cs="ＭＳ ゴシック" w:hint="eastAsia"/>
          <w:color w:val="545456"/>
          <w:sz w:val="19"/>
          <w:lang w:eastAsia="ja-JP"/>
        </w:rPr>
        <w:t>プロセスの化学反応に伴う業界平均の</w:t>
      </w:r>
      <w:r w:rsidRPr="00023420">
        <w:rPr>
          <w:color w:val="545456"/>
          <w:sz w:val="19"/>
          <w:lang w:eastAsia="ja-JP"/>
        </w:rPr>
        <w:t>GHG</w:t>
      </w:r>
      <w:r w:rsidRPr="00023420">
        <w:rPr>
          <w:rFonts w:ascii="ＭＳ ゴシック" w:eastAsia="ＭＳ ゴシック" w:hAnsi="ＭＳ ゴシック" w:cs="ＭＳ ゴシック" w:hint="eastAsia"/>
          <w:color w:val="545456"/>
          <w:sz w:val="19"/>
          <w:lang w:eastAsia="ja-JP"/>
        </w:rPr>
        <w:t>排出量</w:t>
      </w:r>
    </w:p>
    <w:p w14:paraId="3ACDDC85" w14:textId="4F9F45B5" w:rsidR="0055291C" w:rsidRPr="001D6A39" w:rsidRDefault="00023420">
      <w:pPr>
        <w:pStyle w:val="a5"/>
        <w:numPr>
          <w:ilvl w:val="0"/>
          <w:numId w:val="57"/>
        </w:numPr>
        <w:tabs>
          <w:tab w:val="left" w:pos="554"/>
        </w:tabs>
        <w:spacing w:line="304" w:lineRule="auto"/>
        <w:ind w:right="1534"/>
        <w:rPr>
          <w:sz w:val="19"/>
          <w:lang w:eastAsia="ja-JP"/>
        </w:rPr>
      </w:pPr>
      <w:r w:rsidRPr="00023420">
        <w:rPr>
          <w:rFonts w:ascii="ＭＳ ゴシック" w:eastAsia="ＭＳ ゴシック" w:hAnsi="ＭＳ ゴシック" w:cs="ＭＳ ゴシック" w:hint="eastAsia"/>
          <w:color w:val="545456"/>
          <w:sz w:val="19"/>
          <w:lang w:eastAsia="ja-JP"/>
        </w:rPr>
        <w:t>工程投入に費やされた金額（プロセスに固有、あるいは企業</w:t>
      </w:r>
      <w:r w:rsidRPr="00023420">
        <w:rPr>
          <w:color w:val="545456"/>
          <w:sz w:val="19"/>
          <w:lang w:eastAsia="ja-JP"/>
        </w:rPr>
        <w:t>/</w:t>
      </w:r>
      <w:r w:rsidRPr="00023420">
        <w:rPr>
          <w:rFonts w:ascii="ＭＳ ゴシック" w:eastAsia="ＭＳ ゴシック" w:hAnsi="ＭＳ ゴシック" w:cs="ＭＳ ゴシック" w:hint="eastAsia"/>
          <w:color w:val="545456"/>
          <w:sz w:val="19"/>
          <w:lang w:eastAsia="ja-JP"/>
        </w:rPr>
        <w:t>業界平均のいずれか</w:t>
      </w:r>
    </w:p>
    <w:p w14:paraId="2C420C26" w14:textId="77777777" w:rsidR="001D6A39" w:rsidRDefault="001D6A39" w:rsidP="001D6A39">
      <w:pPr>
        <w:pStyle w:val="a5"/>
        <w:tabs>
          <w:tab w:val="left" w:pos="554"/>
        </w:tabs>
        <w:spacing w:line="304" w:lineRule="auto"/>
        <w:ind w:left="530" w:right="1534" w:firstLine="0"/>
        <w:rPr>
          <w:sz w:val="19"/>
          <w:lang w:eastAsia="ja-JP"/>
        </w:rPr>
      </w:pPr>
    </w:p>
    <w:p w14:paraId="1573CCA9" w14:textId="77777777" w:rsidR="001D6A39" w:rsidRPr="0031704C" w:rsidRDefault="001D6A39" w:rsidP="001D6A39">
      <w:pPr>
        <w:pStyle w:val="a3"/>
        <w:spacing w:before="3" w:line="312" w:lineRule="auto"/>
        <w:ind w:leftChars="257" w:left="565" w:right="1138" w:firstLineChars="100" w:firstLine="190"/>
        <w:rPr>
          <w:color w:val="545456"/>
          <w:lang w:eastAsia="ja-JP"/>
        </w:rPr>
      </w:pPr>
      <w:r w:rsidRPr="0031704C">
        <w:rPr>
          <w:rFonts w:ascii="ＭＳ ゴシック" w:eastAsia="ＭＳ ゴシック" w:hAnsi="ＭＳ ゴシック" w:cs="ＭＳ ゴシック" w:hint="eastAsia"/>
          <w:color w:val="545456"/>
          <w:lang w:eastAsia="ja-JP"/>
        </w:rPr>
        <w:t>二次データは、外部情報源（ライフサイクルデータ</w:t>
      </w:r>
      <w:r>
        <w:rPr>
          <w:rFonts w:eastAsiaTheme="minorEastAsia" w:hint="eastAsia"/>
          <w:color w:val="545456"/>
          <w:lang w:eastAsia="ja-JP"/>
        </w:rPr>
        <w:t>ベ</w:t>
      </w:r>
      <w:r>
        <w:rPr>
          <w:rFonts w:ascii="ＭＳ ゴシック" w:eastAsia="ＭＳ ゴシック" w:hAnsi="ＭＳ ゴシック" w:cs="ＭＳ ゴシック" w:hint="eastAsia"/>
          <w:color w:val="545456"/>
          <w:lang w:eastAsia="ja-JP"/>
        </w:rPr>
        <w:t>ース</w:t>
      </w:r>
      <w:r w:rsidRPr="0031704C">
        <w:rPr>
          <w:rFonts w:ascii="ＭＳ ゴシック" w:eastAsia="ＭＳ ゴシック" w:hAnsi="ＭＳ ゴシック" w:cs="ＭＳ ゴシック" w:hint="eastAsia"/>
          <w:color w:val="545456"/>
          <w:lang w:eastAsia="ja-JP"/>
        </w:rPr>
        <w:t>、業界団体など）から得ることができるほか、報告企業やサプライヤーの管理下にある別の工程や活動から得たデータで、在庫製品のライフサイクルにおける工程の代替として使用することもできます。このデータは、プロセスに適合させることも、調査対象製品の算出に「そのまま」使用することも可能です。</w:t>
      </w:r>
    </w:p>
    <w:p w14:paraId="1FC7680C" w14:textId="167F201A" w:rsidR="0055291C" w:rsidRDefault="001D6A39" w:rsidP="001D6A39">
      <w:pPr>
        <w:pStyle w:val="a3"/>
        <w:spacing w:before="3" w:line="312" w:lineRule="auto"/>
        <w:ind w:left="530" w:right="1138"/>
        <w:rPr>
          <w:lang w:eastAsia="ja-JP"/>
        </w:rPr>
      </w:pPr>
      <w:r w:rsidRPr="0031704C">
        <w:rPr>
          <w:rFonts w:ascii="ＭＳ ゴシック" w:eastAsia="ＭＳ ゴシック" w:hAnsi="ＭＳ ゴシック" w:cs="ＭＳ ゴシック" w:hint="eastAsia"/>
          <w:color w:val="545456"/>
          <w:lang w:eastAsia="ja-JP"/>
        </w:rPr>
        <w:t>例えば、調査対象製品のライフサイクルに、蒸気を発生させるボイラーを使用する工程があるとします。ボイラーの一次データはありませんが、他の製品のライフサイクルで使用されるボイラーの工程活動データがある場合、そのデータを調査対象製品のボイラー工程に使用することができます。</w:t>
      </w:r>
    </w:p>
    <w:p w14:paraId="3FEF6A01"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929" w:space="40"/>
            <w:col w:w="6271"/>
          </w:cols>
        </w:sectPr>
      </w:pPr>
    </w:p>
    <w:p w14:paraId="5EC27371" w14:textId="77777777" w:rsidR="0055291C" w:rsidRDefault="0055291C">
      <w:pPr>
        <w:pStyle w:val="a3"/>
        <w:spacing w:before="5"/>
        <w:rPr>
          <w:sz w:val="27"/>
          <w:lang w:eastAsia="ja-JP"/>
        </w:rPr>
      </w:pPr>
    </w:p>
    <w:p w14:paraId="2349AF3E" w14:textId="1DE1859F" w:rsidR="0055291C" w:rsidRDefault="00F23C61" w:rsidP="001D6A39">
      <w:pPr>
        <w:pStyle w:val="6"/>
        <w:rPr>
          <w:b w:val="0"/>
          <w:i/>
          <w:lang w:eastAsia="ja-JP"/>
        </w:rPr>
      </w:pPr>
      <w:r>
        <w:rPr>
          <w:color w:val="00ACA1"/>
          <w:w w:val="95"/>
          <w:lang w:eastAsia="ja-JP"/>
        </w:rPr>
        <w:t>Box</w:t>
      </w:r>
      <w:r>
        <w:rPr>
          <w:color w:val="00ACA1"/>
          <w:spacing w:val="7"/>
          <w:w w:val="95"/>
          <w:lang w:eastAsia="ja-JP"/>
        </w:rPr>
        <w:t xml:space="preserve"> </w:t>
      </w:r>
      <w:r>
        <w:rPr>
          <w:color w:val="00ACA1"/>
          <w:w w:val="95"/>
          <w:lang w:eastAsia="ja-JP"/>
        </w:rPr>
        <w:t>[8.5]</w:t>
      </w:r>
      <w:r>
        <w:rPr>
          <w:color w:val="00ACA1"/>
          <w:spacing w:val="7"/>
          <w:w w:val="95"/>
          <w:lang w:eastAsia="ja-JP"/>
        </w:rPr>
        <w:t xml:space="preserve"> </w:t>
      </w:r>
      <w:r w:rsidR="001D6A39" w:rsidRPr="00153C96">
        <w:rPr>
          <w:rFonts w:ascii="ＭＳ 明朝" w:eastAsia="ＭＳ 明朝" w:hAnsi="ＭＳ 明朝" w:cs="ＭＳ 明朝" w:hint="eastAsia"/>
          <w:color w:val="545456"/>
          <w:w w:val="95"/>
          <w:lang w:eastAsia="ja-JP"/>
        </w:rPr>
        <w:t>製品規格で使用するデータベースの選択を支援する質問事項</w:t>
      </w:r>
    </w:p>
    <w:p w14:paraId="5CD4AEAB" w14:textId="1FDDE393" w:rsidR="0055291C" w:rsidRDefault="00000000">
      <w:pPr>
        <w:pStyle w:val="a3"/>
        <w:spacing w:before="5"/>
        <w:rPr>
          <w:rFonts w:ascii="Arial"/>
          <w:b/>
          <w:i/>
          <w:sz w:val="24"/>
          <w:lang w:eastAsia="ja-JP"/>
        </w:rPr>
      </w:pPr>
      <w:r>
        <w:rPr>
          <w:sz w:val="22"/>
        </w:rPr>
        <w:pict w14:anchorId="3884F7EB">
          <v:shape id="docshape829" o:spid="_x0000_s2989" style="position:absolute;margin-left:56.75pt;margin-top:5.15pt;width:524pt;height:218.75pt;z-index:-251571712;mso-position-horizontal-relative:page" coordorigin="1135,-178" coordsize="9958,4375" path="m10866,-178r-9504,l1231,-175r-67,25l1139,-83r-4,131l1135,3970r4,131l1164,4168r67,25l1362,4196r9504,l10998,4193r67,-25l11090,4101r3,-131l11093,48r-3,-131l11065,-150r-67,-25l10866,-178xe" fillcolor="#e4f3f1" stroked="f">
            <v:path arrowok="t"/>
            <w10:wrap anchorx="page"/>
          </v:shape>
        </w:pict>
      </w:r>
    </w:p>
    <w:p w14:paraId="663DCB75" w14:textId="77777777" w:rsidR="0055291C" w:rsidRDefault="0055291C">
      <w:pPr>
        <w:rPr>
          <w:rFonts w:ascii="Arial"/>
          <w:sz w:val="24"/>
          <w:lang w:eastAsia="ja-JP"/>
        </w:rPr>
        <w:sectPr w:rsidR="0055291C">
          <w:type w:val="continuous"/>
          <w:pgSz w:w="12240" w:h="15840"/>
          <w:pgMar w:top="740" w:right="0" w:bottom="280" w:left="0" w:header="0" w:footer="859" w:gutter="0"/>
          <w:cols w:space="720"/>
        </w:sectPr>
      </w:pPr>
    </w:p>
    <w:p w14:paraId="4FCFA98A" w14:textId="233E15FA" w:rsidR="001D6A39" w:rsidRPr="00926562" w:rsidRDefault="001D6A39" w:rsidP="001D6A39">
      <w:pPr>
        <w:spacing w:before="120" w:line="328" w:lineRule="auto"/>
        <w:ind w:left="1362" w:right="321"/>
        <w:rPr>
          <w:color w:val="545456"/>
          <w:sz w:val="18"/>
          <w:lang w:eastAsia="ja-JP"/>
        </w:rPr>
      </w:pPr>
      <w:r w:rsidRPr="00926562">
        <w:rPr>
          <w:rFonts w:ascii="ＭＳ ゴシック" w:eastAsia="ＭＳ ゴシック" w:hAnsi="ＭＳ ゴシック" w:cs="ＭＳ ゴシック" w:hint="eastAsia"/>
          <w:color w:val="545456"/>
          <w:sz w:val="18"/>
          <w:lang w:eastAsia="ja-JP"/>
        </w:rPr>
        <w:t>多くのライフサイクルデータベースが存在し、それらは地理的な焦点、コスト、更新頻度、レビュープロセスにおいて多様な種類があります。</w:t>
      </w:r>
      <w:r>
        <w:rPr>
          <w:rFonts w:ascii="ＭＳ ゴシック" w:eastAsia="ＭＳ ゴシック" w:hAnsi="ＭＳ ゴシック" w:cs="ＭＳ ゴシック" w:hint="eastAsia"/>
          <w:color w:val="545456"/>
          <w:sz w:val="18"/>
          <w:lang w:eastAsia="ja-JP"/>
        </w:rPr>
        <w:t>そこで、</w:t>
      </w:r>
      <w:r w:rsidRPr="00926562">
        <w:rPr>
          <w:rFonts w:ascii="ＭＳ ゴシック" w:eastAsia="ＭＳ ゴシック" w:hAnsi="ＭＳ ゴシック" w:cs="ＭＳ ゴシック" w:hint="eastAsia"/>
          <w:color w:val="545456"/>
          <w:sz w:val="18"/>
          <w:lang w:eastAsia="ja-JP"/>
        </w:rPr>
        <w:t>データベースの選択に役立ついくつかの質問を</w:t>
      </w:r>
      <w:r>
        <w:rPr>
          <w:rFonts w:ascii="ＭＳ ゴシック" w:eastAsia="ＭＳ ゴシック" w:hAnsi="ＭＳ ゴシック" w:cs="ＭＳ ゴシック" w:hint="eastAsia"/>
          <w:color w:val="545456"/>
          <w:sz w:val="18"/>
          <w:lang w:eastAsia="ja-JP"/>
        </w:rPr>
        <w:t>以下</w:t>
      </w:r>
      <w:r w:rsidRPr="00926562">
        <w:rPr>
          <w:rFonts w:ascii="ＭＳ ゴシック" w:eastAsia="ＭＳ ゴシック" w:hAnsi="ＭＳ ゴシック" w:cs="ＭＳ ゴシック" w:hint="eastAsia"/>
          <w:color w:val="545456"/>
          <w:sz w:val="18"/>
          <w:lang w:eastAsia="ja-JP"/>
        </w:rPr>
        <w:t>に挙げます。これらの質問はデータベース全体の評価に用いることができますが、企業はデータ品質評価の一環として、データベースから選択した個々のデータポイントの品質（代表性とデータ収集方法の両方）を評価することが求められています。データベースの一覧は、</w:t>
      </w:r>
      <w:r w:rsidRPr="00926562">
        <w:rPr>
          <w:color w:val="545456"/>
          <w:sz w:val="18"/>
          <w:lang w:eastAsia="ja-JP"/>
        </w:rPr>
        <w:t>(www.ghgprotocol.org)</w:t>
      </w:r>
      <w:r w:rsidRPr="00926562">
        <w:rPr>
          <w:rFonts w:ascii="ＭＳ ゴシック" w:eastAsia="ＭＳ ゴシック" w:hAnsi="ＭＳ ゴシック" w:cs="ＭＳ ゴシック" w:hint="eastAsia"/>
          <w:color w:val="545456"/>
          <w:sz w:val="18"/>
          <w:lang w:eastAsia="ja-JP"/>
        </w:rPr>
        <w:t>に掲載されています。</w:t>
      </w:r>
    </w:p>
    <w:p w14:paraId="6CA7ED7E" w14:textId="77777777" w:rsidR="001D6A39" w:rsidRDefault="001D6A39" w:rsidP="001D6A39">
      <w:pPr>
        <w:spacing w:line="321" w:lineRule="auto"/>
        <w:rPr>
          <w:rFonts w:eastAsiaTheme="minorEastAsia"/>
          <w:sz w:val="18"/>
          <w:lang w:eastAsia="ja-JP"/>
        </w:rPr>
      </w:pPr>
    </w:p>
    <w:p w14:paraId="014EFD3A" w14:textId="77777777" w:rsidR="001D6A39" w:rsidRDefault="001D6A39">
      <w:pPr>
        <w:pStyle w:val="a5"/>
        <w:numPr>
          <w:ilvl w:val="0"/>
          <w:numId w:val="74"/>
        </w:numPr>
        <w:spacing w:line="321" w:lineRule="auto"/>
        <w:ind w:left="1276" w:firstLine="0"/>
        <w:rPr>
          <w:rFonts w:eastAsiaTheme="minorEastAsia"/>
          <w:sz w:val="18"/>
          <w:lang w:eastAsia="ja-JP"/>
        </w:rPr>
      </w:pPr>
      <w:r>
        <w:rPr>
          <w:rFonts w:eastAsiaTheme="minorEastAsia" w:hint="eastAsia"/>
          <w:sz w:val="18"/>
          <w:lang w:eastAsia="ja-JP"/>
        </w:rPr>
        <w:t xml:space="preserve">　工程</w:t>
      </w:r>
      <w:r w:rsidRPr="003C61FC">
        <w:rPr>
          <w:rFonts w:eastAsiaTheme="minorEastAsia" w:hint="eastAsia"/>
          <w:sz w:val="18"/>
          <w:lang w:eastAsia="ja-JP"/>
        </w:rPr>
        <w:t>データは実際のプロセスを集めたものか、</w:t>
      </w:r>
    </w:p>
    <w:p w14:paraId="4E5556B0" w14:textId="77777777" w:rsidR="001D6A39" w:rsidRPr="00F16C22" w:rsidRDefault="001D6A39" w:rsidP="001D6A39">
      <w:pPr>
        <w:spacing w:line="321" w:lineRule="auto"/>
        <w:ind w:left="426"/>
        <w:rPr>
          <w:rFonts w:eastAsiaTheme="minorEastAsia"/>
          <w:sz w:val="18"/>
          <w:lang w:eastAsia="ja-JP"/>
        </w:rPr>
      </w:pPr>
      <w:r w:rsidRPr="00F16C22">
        <w:rPr>
          <w:rFonts w:ascii="ＭＳ ゴシック" w:eastAsiaTheme="minorEastAsia" w:hAnsi="ＭＳ ゴシック" w:cs="ＭＳ ゴシック" w:hint="eastAsia"/>
          <w:sz w:val="18"/>
          <w:lang w:eastAsia="ja-JP"/>
        </w:rPr>
        <w:t>それとも他のデータソースから推定</w:t>
      </w:r>
      <w:r w:rsidRPr="00F16C22">
        <w:rPr>
          <w:rFonts w:eastAsiaTheme="minorEastAsia"/>
          <w:sz w:val="18"/>
          <w:lang w:eastAsia="ja-JP"/>
        </w:rPr>
        <w:t>/</w:t>
      </w:r>
      <w:r w:rsidRPr="00F16C22">
        <w:rPr>
          <w:rFonts w:eastAsiaTheme="minorEastAsia" w:hint="eastAsia"/>
          <w:sz w:val="18"/>
          <w:lang w:eastAsia="ja-JP"/>
        </w:rPr>
        <w:t>計算したものか？</w:t>
      </w:r>
    </w:p>
    <w:p w14:paraId="3AEB75C1" w14:textId="77777777" w:rsidR="001D6A39" w:rsidRPr="003C61FC" w:rsidRDefault="001D6A39">
      <w:pPr>
        <w:pStyle w:val="a5"/>
        <w:numPr>
          <w:ilvl w:val="0"/>
          <w:numId w:val="74"/>
        </w:numPr>
        <w:spacing w:line="321" w:lineRule="auto"/>
        <w:ind w:left="426" w:rightChars="359" w:right="790" w:hanging="284"/>
        <w:rPr>
          <w:rFonts w:eastAsiaTheme="minorEastAsia"/>
          <w:sz w:val="18"/>
          <w:lang w:eastAsia="ja-JP"/>
        </w:rPr>
      </w:pPr>
      <w:r w:rsidRPr="003C61FC">
        <w:rPr>
          <w:rFonts w:eastAsiaTheme="minorEastAsia" w:hint="eastAsia"/>
          <w:sz w:val="18"/>
          <w:lang w:eastAsia="ja-JP"/>
        </w:rPr>
        <w:t>データは一貫した手法で作成されているか？</w:t>
      </w:r>
    </w:p>
    <w:p w14:paraId="76114DEB" w14:textId="77777777" w:rsidR="001D6A39" w:rsidRPr="003C61FC" w:rsidRDefault="001D6A39">
      <w:pPr>
        <w:pStyle w:val="a5"/>
        <w:numPr>
          <w:ilvl w:val="0"/>
          <w:numId w:val="74"/>
        </w:numPr>
        <w:spacing w:line="321" w:lineRule="auto"/>
        <w:ind w:left="426" w:rightChars="359" w:right="790" w:hanging="284"/>
        <w:rPr>
          <w:rFonts w:eastAsiaTheme="minorEastAsia"/>
          <w:sz w:val="18"/>
          <w:lang w:eastAsia="ja-JP"/>
        </w:rPr>
      </w:pPr>
      <w:r w:rsidRPr="003C61FC">
        <w:rPr>
          <w:rFonts w:eastAsiaTheme="minorEastAsia" w:hint="eastAsia"/>
          <w:sz w:val="18"/>
          <w:lang w:eastAsia="ja-JP"/>
        </w:rPr>
        <w:t>農林水産物の場合、土地利用の影響は</w:t>
      </w:r>
      <w:r w:rsidRPr="003C61FC">
        <w:rPr>
          <w:rFonts w:eastAsiaTheme="minorEastAsia"/>
          <w:sz w:val="18"/>
          <w:lang w:eastAsia="ja-JP"/>
        </w:rPr>
        <w:t>LCA</w:t>
      </w:r>
      <w:r w:rsidRPr="003C61FC">
        <w:rPr>
          <w:rFonts w:eastAsiaTheme="minorEastAsia" w:hint="eastAsia"/>
          <w:sz w:val="18"/>
          <w:lang w:eastAsia="ja-JP"/>
        </w:rPr>
        <w:t>の排出データに含まれているか？含まれている場合、どのような影響が含まれているか？</w:t>
      </w:r>
    </w:p>
    <w:p w14:paraId="10E7244A" w14:textId="77777777" w:rsidR="001D6A39" w:rsidRPr="003C61FC" w:rsidRDefault="001D6A39">
      <w:pPr>
        <w:pStyle w:val="a5"/>
        <w:numPr>
          <w:ilvl w:val="0"/>
          <w:numId w:val="74"/>
        </w:numPr>
        <w:spacing w:line="321" w:lineRule="auto"/>
        <w:ind w:left="426" w:rightChars="359" w:right="790" w:hanging="284"/>
        <w:rPr>
          <w:rFonts w:eastAsiaTheme="minorEastAsia"/>
          <w:sz w:val="18"/>
          <w:lang w:eastAsia="ja-JP"/>
        </w:rPr>
      </w:pPr>
      <w:r w:rsidRPr="003C61FC">
        <w:rPr>
          <w:rFonts w:eastAsiaTheme="minorEastAsia" w:hint="eastAsia"/>
          <w:sz w:val="18"/>
          <w:lang w:eastAsia="ja-JP"/>
        </w:rPr>
        <w:t>データベースはいつから存在するのか、そして、どのように活用されているか？</w:t>
      </w:r>
    </w:p>
    <w:p w14:paraId="0E67DE5D" w14:textId="77777777" w:rsidR="001D6A39" w:rsidRPr="003C61FC" w:rsidRDefault="001D6A39">
      <w:pPr>
        <w:pStyle w:val="a5"/>
        <w:numPr>
          <w:ilvl w:val="0"/>
          <w:numId w:val="74"/>
        </w:numPr>
        <w:spacing w:line="321" w:lineRule="auto"/>
        <w:ind w:left="426" w:rightChars="359" w:right="790" w:hanging="284"/>
        <w:rPr>
          <w:rFonts w:eastAsiaTheme="minorEastAsia"/>
          <w:sz w:val="18"/>
          <w:lang w:eastAsia="ja-JP"/>
        </w:rPr>
      </w:pPr>
      <w:r w:rsidRPr="003C61FC">
        <w:rPr>
          <w:rFonts w:eastAsiaTheme="minorEastAsia" w:hint="eastAsia"/>
          <w:sz w:val="18"/>
          <w:lang w:eastAsia="ja-JP"/>
        </w:rPr>
        <w:t>データベースの更新頻度は？</w:t>
      </w:r>
    </w:p>
    <w:p w14:paraId="41CA4118" w14:textId="77777777" w:rsidR="001D6A39" w:rsidRPr="003C61FC" w:rsidRDefault="001D6A39">
      <w:pPr>
        <w:pStyle w:val="a5"/>
        <w:numPr>
          <w:ilvl w:val="0"/>
          <w:numId w:val="74"/>
        </w:numPr>
        <w:spacing w:line="321" w:lineRule="auto"/>
        <w:ind w:left="426" w:rightChars="359" w:right="790" w:hanging="284"/>
        <w:rPr>
          <w:rFonts w:eastAsiaTheme="minorEastAsia"/>
          <w:sz w:val="18"/>
          <w:lang w:eastAsia="ja-JP"/>
        </w:rPr>
      </w:pPr>
      <w:r w:rsidRPr="003C61FC">
        <w:rPr>
          <w:rFonts w:eastAsiaTheme="minorEastAsia"/>
          <w:sz w:val="18"/>
          <w:lang w:eastAsia="ja-JP"/>
        </w:rPr>
        <w:t xml:space="preserve"> LCA</w:t>
      </w:r>
      <w:r w:rsidRPr="003C61FC">
        <w:rPr>
          <w:rFonts w:eastAsiaTheme="minorEastAsia" w:hint="eastAsia"/>
          <w:sz w:val="18"/>
          <w:lang w:eastAsia="ja-JP"/>
        </w:rPr>
        <w:t>排出量データ作成に使用したデータソースは、どの程度最新か？</w:t>
      </w:r>
    </w:p>
    <w:p w14:paraId="07300F1D" w14:textId="0815FBE3" w:rsidR="001D6A39" w:rsidRPr="003C61FC" w:rsidRDefault="001D6A39">
      <w:pPr>
        <w:pStyle w:val="a5"/>
        <w:numPr>
          <w:ilvl w:val="0"/>
          <w:numId w:val="74"/>
        </w:numPr>
        <w:spacing w:line="321" w:lineRule="auto"/>
        <w:ind w:left="426" w:rightChars="359" w:right="790" w:hanging="284"/>
        <w:rPr>
          <w:rFonts w:eastAsiaTheme="minorEastAsia"/>
          <w:sz w:val="18"/>
          <w:lang w:eastAsia="ja-JP"/>
        </w:rPr>
      </w:pPr>
      <w:r w:rsidRPr="003C61FC">
        <w:rPr>
          <w:rFonts w:eastAsiaTheme="minorEastAsia" w:hint="eastAsia"/>
          <w:sz w:val="18"/>
          <w:lang w:eastAsia="ja-JP"/>
        </w:rPr>
        <w:t>データの</w:t>
      </w:r>
      <w:r w:rsidR="0027297E">
        <w:rPr>
          <w:rFonts w:eastAsiaTheme="minorEastAsia" w:hint="eastAsia"/>
          <w:sz w:val="18"/>
          <w:lang w:eastAsia="ja-JP"/>
        </w:rPr>
        <w:t>不確実性</w:t>
      </w:r>
      <w:r w:rsidRPr="003C61FC">
        <w:rPr>
          <w:rFonts w:eastAsiaTheme="minorEastAsia" w:hint="eastAsia"/>
          <w:sz w:val="18"/>
          <w:lang w:eastAsia="ja-JP"/>
        </w:rPr>
        <w:t>を見積もることができるか？</w:t>
      </w:r>
    </w:p>
    <w:p w14:paraId="59C07365" w14:textId="088F15C9" w:rsidR="001D6A39" w:rsidRPr="002E1025" w:rsidRDefault="001D6A39">
      <w:pPr>
        <w:pStyle w:val="a5"/>
        <w:numPr>
          <w:ilvl w:val="0"/>
          <w:numId w:val="74"/>
        </w:numPr>
        <w:spacing w:line="321" w:lineRule="auto"/>
        <w:ind w:left="426" w:rightChars="359" w:right="790" w:hanging="284"/>
        <w:rPr>
          <w:rFonts w:eastAsiaTheme="minorEastAsia"/>
          <w:sz w:val="18"/>
          <w:lang w:eastAsia="ja-JP"/>
        </w:rPr>
        <w:sectPr w:rsidR="001D6A39" w:rsidRPr="002E1025">
          <w:type w:val="continuous"/>
          <w:pgSz w:w="12240" w:h="15840"/>
          <w:pgMar w:top="740" w:right="0" w:bottom="280" w:left="0" w:header="0" w:footer="859" w:gutter="0"/>
          <w:cols w:num="2" w:space="720" w:equalWidth="0">
            <w:col w:w="5881" w:space="40"/>
            <w:col w:w="6319"/>
          </w:cols>
        </w:sectPr>
      </w:pPr>
      <w:r w:rsidRPr="003C61FC">
        <w:rPr>
          <w:rFonts w:eastAsiaTheme="minorEastAsia" w:hint="eastAsia"/>
          <w:sz w:val="18"/>
          <w:lang w:eastAsia="ja-JP"/>
        </w:rPr>
        <w:t>データが偏っていると受け取られるリスクはないか？もしそうならば、データと方法論は独立してレビューされているか</w:t>
      </w:r>
      <w:r>
        <w:rPr>
          <w:rFonts w:eastAsiaTheme="minorEastAsia" w:hint="eastAsia"/>
          <w:sz w:val="18"/>
          <w:lang w:eastAsia="ja-JP"/>
        </w:rPr>
        <w:t>？</w:t>
      </w:r>
    </w:p>
    <w:p w14:paraId="531ADC11" w14:textId="2D2C5989" w:rsidR="0055291C" w:rsidRPr="001D6A39" w:rsidRDefault="0055291C" w:rsidP="001D6A39">
      <w:pPr>
        <w:tabs>
          <w:tab w:val="left" w:pos="676"/>
        </w:tabs>
        <w:spacing w:before="50" w:line="321" w:lineRule="auto"/>
        <w:ind w:right="1594"/>
        <w:rPr>
          <w:sz w:val="18"/>
          <w:lang w:eastAsia="ja-JP"/>
        </w:rPr>
        <w:sectPr w:rsidR="0055291C" w:rsidRPr="001D6A39">
          <w:type w:val="continuous"/>
          <w:pgSz w:w="12240" w:h="15840"/>
          <w:pgMar w:top="740" w:right="0" w:bottom="280" w:left="0" w:header="0" w:footer="859" w:gutter="0"/>
          <w:cols w:num="2" w:space="720" w:equalWidth="0">
            <w:col w:w="5881" w:space="40"/>
            <w:col w:w="6319"/>
          </w:cols>
        </w:sectPr>
      </w:pPr>
    </w:p>
    <w:p w14:paraId="53D549EE" w14:textId="77777777" w:rsidR="0055291C" w:rsidRPr="00EF7546" w:rsidRDefault="0055291C">
      <w:pPr>
        <w:rPr>
          <w:rFonts w:eastAsiaTheme="minorEastAsia"/>
          <w:sz w:val="20"/>
          <w:lang w:eastAsia="ja-JP"/>
        </w:rPr>
        <w:sectPr w:rsidR="0055291C" w:rsidRPr="00EF7546">
          <w:headerReference w:type="even" r:id="rId191"/>
          <w:footerReference w:type="even" r:id="rId192"/>
          <w:footerReference w:type="default" r:id="rId193"/>
          <w:pgSz w:w="12240" w:h="15840"/>
          <w:pgMar w:top="620" w:right="0" w:bottom="1040" w:left="0" w:header="0" w:footer="859" w:gutter="0"/>
          <w:pgNumType w:start="54"/>
          <w:cols w:space="720"/>
        </w:sectPr>
      </w:pPr>
    </w:p>
    <w:p w14:paraId="38820E19" w14:textId="77777777" w:rsidR="0055291C" w:rsidRDefault="0055291C">
      <w:pPr>
        <w:pStyle w:val="a3"/>
        <w:spacing w:before="7"/>
        <w:rPr>
          <w:sz w:val="21"/>
          <w:lang w:eastAsia="ja-JP"/>
        </w:rPr>
      </w:pPr>
    </w:p>
    <w:p w14:paraId="7063985D" w14:textId="191A68CD" w:rsidR="0055291C" w:rsidRDefault="001D6A39">
      <w:pPr>
        <w:pStyle w:val="7"/>
        <w:numPr>
          <w:ilvl w:val="2"/>
          <w:numId w:val="46"/>
        </w:numPr>
        <w:tabs>
          <w:tab w:val="left" w:pos="1869"/>
          <w:tab w:val="left" w:pos="1870"/>
        </w:tabs>
        <w:spacing w:before="1"/>
        <w:ind w:left="1869" w:hanging="721"/>
        <w:jc w:val="left"/>
      </w:pPr>
      <w:r>
        <w:rPr>
          <w:rFonts w:ascii="ＭＳ 明朝" w:eastAsia="ＭＳ 明朝" w:hAnsi="ＭＳ 明朝" w:cs="ＭＳ 明朝" w:hint="eastAsia"/>
          <w:color w:val="00B8B1"/>
          <w:w w:val="95"/>
          <w:lang w:eastAsia="ja-JP"/>
        </w:rPr>
        <w:t>データ品質の評価</w:t>
      </w:r>
    </w:p>
    <w:p w14:paraId="3B56D1C8" w14:textId="77777777" w:rsidR="001D6A39" w:rsidRPr="00835EF9" w:rsidRDefault="001D6A39" w:rsidP="001D6A39">
      <w:pPr>
        <w:pStyle w:val="a3"/>
        <w:spacing w:before="146" w:line="312" w:lineRule="auto"/>
        <w:ind w:left="1149" w:right="-8"/>
        <w:rPr>
          <w:color w:val="545456"/>
          <w:lang w:eastAsia="ja-JP"/>
        </w:rPr>
      </w:pPr>
      <w:r w:rsidRPr="00835EF9">
        <w:rPr>
          <w:rFonts w:ascii="ＭＳ ゴシック" w:eastAsia="ＭＳ ゴシック" w:hAnsi="ＭＳ ゴシック" w:cs="ＭＳ ゴシック" w:hint="eastAsia"/>
          <w:color w:val="545456"/>
          <w:lang w:eastAsia="ja-JP"/>
        </w:rPr>
        <w:t xml:space="preserve">　データ収集の際、同じ工程について複数のデータタイプ（直接排出データ、活動データ、排出係数）およびデータ分類（一次および二次）が利用可能である場合があります。図</w:t>
      </w:r>
      <w:r w:rsidRPr="00835EF9">
        <w:rPr>
          <w:color w:val="545456"/>
          <w:lang w:eastAsia="ja-JP"/>
        </w:rPr>
        <w:t>8.1</w:t>
      </w:r>
      <w:r w:rsidRPr="00835EF9">
        <w:rPr>
          <w:rFonts w:ascii="ＭＳ ゴシック" w:eastAsia="ＭＳ ゴシック" w:hAnsi="ＭＳ ゴシック" w:cs="ＭＳ ゴシック" w:hint="eastAsia"/>
          <w:color w:val="545456"/>
          <w:lang w:eastAsia="ja-JP"/>
        </w:rPr>
        <w:t>は、工程</w:t>
      </w:r>
      <w:r w:rsidRPr="00835EF9">
        <w:rPr>
          <w:color w:val="545456"/>
          <w:lang w:eastAsia="ja-JP"/>
        </w:rPr>
        <w:t>A</w:t>
      </w:r>
      <w:r w:rsidRPr="00835EF9">
        <w:rPr>
          <w:rFonts w:ascii="ＭＳ ゴシック" w:eastAsia="ＭＳ ゴシック" w:hAnsi="ＭＳ ゴシック" w:cs="ＭＳ ゴシック" w:hint="eastAsia"/>
          <w:color w:val="545456"/>
          <w:lang w:eastAsia="ja-JP"/>
        </w:rPr>
        <w:t>の</w:t>
      </w:r>
      <w:r w:rsidRPr="00835EF9">
        <w:rPr>
          <w:color w:val="545456"/>
          <w:lang w:eastAsia="ja-JP"/>
        </w:rPr>
        <w:t>GHG</w:t>
      </w:r>
      <w:r w:rsidRPr="00835EF9">
        <w:rPr>
          <w:rFonts w:ascii="ＭＳ ゴシック" w:eastAsia="ＭＳ ゴシック" w:hAnsi="ＭＳ ゴシック" w:cs="ＭＳ ゴシック" w:hint="eastAsia"/>
          <w:color w:val="545456"/>
          <w:lang w:eastAsia="ja-JP"/>
        </w:rPr>
        <w:t>データを収集するために、直接排出データ（選択肢</w:t>
      </w:r>
      <w:r w:rsidRPr="00835EF9">
        <w:rPr>
          <w:color w:val="545456"/>
          <w:lang w:eastAsia="ja-JP"/>
        </w:rPr>
        <w:t>1</w:t>
      </w:r>
      <w:r w:rsidRPr="00835EF9">
        <w:rPr>
          <w:rFonts w:ascii="ＭＳ ゴシック" w:eastAsia="ＭＳ ゴシック" w:hAnsi="ＭＳ ゴシック" w:cs="ＭＳ ゴシック" w:hint="eastAsia"/>
          <w:color w:val="545456"/>
          <w:lang w:eastAsia="ja-JP"/>
        </w:rPr>
        <w:t>）、一次工程の活動データ</w:t>
      </w:r>
      <w:r w:rsidRPr="00835EF9">
        <w:rPr>
          <w:color w:val="545456"/>
          <w:lang w:eastAsia="ja-JP"/>
        </w:rPr>
        <w:t xml:space="preserve"> </w:t>
      </w:r>
      <w:r w:rsidRPr="00835EF9">
        <w:rPr>
          <w:rFonts w:ascii="ＭＳ ゴシック" w:eastAsia="ＭＳ ゴシック" w:hAnsi="ＭＳ ゴシック" w:cs="ＭＳ ゴシック" w:hint="eastAsia"/>
          <w:color w:val="545456"/>
          <w:lang w:eastAsia="ja-JP"/>
        </w:rPr>
        <w:t>（選択肢</w:t>
      </w:r>
      <w:r w:rsidRPr="00835EF9">
        <w:rPr>
          <w:color w:val="545456"/>
          <w:lang w:eastAsia="ja-JP"/>
        </w:rPr>
        <w:t>2A</w:t>
      </w:r>
      <w:r w:rsidRPr="00835EF9">
        <w:rPr>
          <w:rFonts w:ascii="ＭＳ ゴシック" w:eastAsia="ＭＳ ゴシック" w:hAnsi="ＭＳ ゴシック" w:cs="ＭＳ ゴシック" w:hint="eastAsia"/>
          <w:color w:val="545456"/>
          <w:lang w:eastAsia="ja-JP"/>
        </w:rPr>
        <w:t>）、二次工程の活動データ（選択肢</w:t>
      </w:r>
      <w:r w:rsidRPr="00835EF9">
        <w:rPr>
          <w:color w:val="545456"/>
          <w:lang w:eastAsia="ja-JP"/>
        </w:rPr>
        <w:t>2B</w:t>
      </w:r>
      <w:r w:rsidRPr="00835EF9">
        <w:rPr>
          <w:rFonts w:ascii="ＭＳ ゴシック" w:eastAsia="ＭＳ ゴシック" w:hAnsi="ＭＳ ゴシック" w:cs="ＭＳ ゴシック" w:hint="eastAsia"/>
          <w:color w:val="545456"/>
          <w:lang w:eastAsia="ja-JP"/>
        </w:rPr>
        <w:t>）、財務活動データ（選択肢</w:t>
      </w:r>
      <w:r w:rsidRPr="00835EF9">
        <w:rPr>
          <w:color w:val="545456"/>
          <w:lang w:eastAsia="ja-JP"/>
        </w:rPr>
        <w:t>3</w:t>
      </w:r>
      <w:r w:rsidRPr="00835EF9">
        <w:rPr>
          <w:rFonts w:ascii="ＭＳ ゴシック" w:eastAsia="ＭＳ ゴシック" w:hAnsi="ＭＳ ゴシック" w:cs="ＭＳ ゴシック" w:hint="eastAsia"/>
          <w:color w:val="545456"/>
          <w:lang w:eastAsia="ja-JP"/>
        </w:rPr>
        <w:t>）の</w:t>
      </w:r>
      <w:r w:rsidRPr="00835EF9">
        <w:rPr>
          <w:color w:val="545456"/>
          <w:lang w:eastAsia="ja-JP"/>
        </w:rPr>
        <w:t>4</w:t>
      </w:r>
      <w:r w:rsidRPr="00835EF9">
        <w:rPr>
          <w:rFonts w:ascii="ＭＳ ゴシック" w:eastAsia="ＭＳ ゴシック" w:hAnsi="ＭＳ ゴシック" w:cs="ＭＳ ゴシック" w:hint="eastAsia"/>
          <w:color w:val="545456"/>
          <w:lang w:eastAsia="ja-JP"/>
        </w:rPr>
        <w:t>種類の選択肢がある例でこれを示したものです。また、企業は、排出係数についてもいくつかの選択肢があります。データ収集中にデータの質を評価することは、どのデータが、調査対象製品のライフサイクル中に当該工程から排出される実際の排出量を最もよく表しているかを判断するのに役立ちます。</w:t>
      </w:r>
    </w:p>
    <w:p w14:paraId="0CBABBAD" w14:textId="39AE0651" w:rsidR="001D6A39" w:rsidRDefault="001D6A39" w:rsidP="001D6A39">
      <w:pPr>
        <w:pStyle w:val="a3"/>
        <w:spacing w:before="146" w:line="312" w:lineRule="auto"/>
        <w:ind w:left="1149" w:right="-8"/>
        <w:rPr>
          <w:lang w:eastAsia="ja-JP"/>
        </w:rPr>
      </w:pPr>
      <w:r w:rsidRPr="00835EF9">
        <w:rPr>
          <w:rFonts w:ascii="ＭＳ ゴシック" w:eastAsia="ＭＳ ゴシック" w:hAnsi="ＭＳ ゴシック" w:cs="ＭＳ ゴシック" w:hint="eastAsia"/>
          <w:color w:val="545456"/>
          <w:lang w:eastAsia="ja-JP"/>
        </w:rPr>
        <w:t xml:space="preserve">　データ品質は、直感や思い込み（例：一次データは二次データより常に優れている）に基づくべきではありません。企業は、データ品質指標を用いてデータ品質を評価することが求められています。データ品質指標は、</w:t>
      </w:r>
    </w:p>
    <w:p w14:paraId="72BEA367" w14:textId="77777777" w:rsidR="001D6A39" w:rsidRDefault="001D6A39" w:rsidP="001D6A39">
      <w:pPr>
        <w:rPr>
          <w:sz w:val="20"/>
          <w:lang w:eastAsia="ja-JP"/>
        </w:rPr>
      </w:pPr>
      <w:r>
        <w:rPr>
          <w:lang w:eastAsia="ja-JP"/>
        </w:rPr>
        <w:br w:type="column"/>
      </w:r>
    </w:p>
    <w:p w14:paraId="168F922B" w14:textId="77777777" w:rsidR="001D6A39" w:rsidRDefault="001D6A39" w:rsidP="001D6A39">
      <w:pPr>
        <w:pStyle w:val="a3"/>
        <w:spacing w:before="6"/>
        <w:rPr>
          <w:sz w:val="27"/>
          <w:lang w:eastAsia="ja-JP"/>
        </w:rPr>
      </w:pPr>
    </w:p>
    <w:p w14:paraId="1CE736E4" w14:textId="64352BA3" w:rsidR="001D6A39" w:rsidRDefault="00EF7546" w:rsidP="001D6A39">
      <w:pPr>
        <w:pStyle w:val="a3"/>
        <w:spacing w:before="142" w:line="312" w:lineRule="auto"/>
        <w:ind w:left="312" w:right="1045"/>
        <w:rPr>
          <w:rFonts w:ascii="ＭＳ ゴシック" w:eastAsia="ＭＳ ゴシック" w:hAnsi="ＭＳ ゴシック" w:cs="ＭＳ ゴシック"/>
          <w:color w:val="545456"/>
          <w:lang w:eastAsia="ja-JP"/>
        </w:rPr>
      </w:pPr>
      <w:r w:rsidRPr="00835EF9">
        <w:rPr>
          <w:rFonts w:ascii="ＭＳ ゴシック" w:eastAsia="ＭＳ ゴシック" w:hAnsi="ＭＳ ゴシック" w:cs="ＭＳ ゴシック" w:hint="eastAsia"/>
          <w:color w:val="545456"/>
          <w:lang w:eastAsia="ja-JP"/>
        </w:rPr>
        <w:t>データがどの程度特定の分野を特徴づけているかを定性的に、または定量的に示すために使用されます。</w:t>
      </w:r>
      <w:r w:rsidR="001D6A39" w:rsidRPr="008E2916">
        <w:rPr>
          <w:rFonts w:ascii="ＭＳ ゴシック" w:eastAsia="ＭＳ ゴシック" w:hAnsi="ＭＳ ゴシック" w:cs="ＭＳ ゴシック" w:hint="eastAsia"/>
          <w:color w:val="545456"/>
          <w:lang w:eastAsia="ja-JP"/>
        </w:rPr>
        <w:t>一般に、データの質とは、データの代表性（時間的、技術的、地理的）、データ測定の質（データ収集の完全性、データの信頼性）などを示すことができます。</w:t>
      </w:r>
    </w:p>
    <w:p w14:paraId="6D31964D" w14:textId="77777777" w:rsidR="001D6A39" w:rsidRPr="008E2916" w:rsidRDefault="001D6A39" w:rsidP="001D6A39">
      <w:pPr>
        <w:pStyle w:val="a3"/>
        <w:spacing w:before="142" w:line="312" w:lineRule="auto"/>
        <w:ind w:left="312" w:right="1045"/>
        <w:rPr>
          <w:color w:val="545456"/>
          <w:lang w:eastAsia="ja-JP"/>
        </w:rPr>
      </w:pPr>
      <w:r w:rsidRPr="008E2916">
        <w:rPr>
          <w:rFonts w:ascii="ＭＳ ゴシック" w:eastAsia="ＭＳ ゴシック" w:hAnsi="ＭＳ ゴシック" w:cs="ＭＳ ゴシック" w:hint="eastAsia"/>
          <w:color w:val="545456"/>
          <w:lang w:eastAsia="ja-JP"/>
        </w:rPr>
        <w:t>データの品質を評価することは、以下のような理由で価値があります。</w:t>
      </w:r>
    </w:p>
    <w:p w14:paraId="22600122" w14:textId="77777777" w:rsidR="001D6A39" w:rsidRPr="00C42767" w:rsidRDefault="001D6A39">
      <w:pPr>
        <w:pStyle w:val="a5"/>
        <w:numPr>
          <w:ilvl w:val="0"/>
          <w:numId w:val="45"/>
        </w:numPr>
        <w:spacing w:line="312" w:lineRule="auto"/>
        <w:ind w:rightChars="475" w:right="1045"/>
        <w:rPr>
          <w:color w:val="545456"/>
          <w:sz w:val="19"/>
          <w:lang w:eastAsia="ja-JP"/>
        </w:rPr>
      </w:pPr>
      <w:r w:rsidRPr="00C42767">
        <w:rPr>
          <w:rFonts w:ascii="ＭＳ ゴシック" w:eastAsia="ＭＳ ゴシック" w:hAnsi="ＭＳ ゴシック" w:cs="ＭＳ ゴシック" w:hint="eastAsia"/>
          <w:color w:val="545456"/>
          <w:sz w:val="19"/>
          <w:lang w:eastAsia="ja-JP"/>
        </w:rPr>
        <w:t>報告書のデータ品質の向上。データ品質評価の結果、どのデータソースが低品質であるかを特定できるため、企業はより品質の高い別のデータを収集することによって、報告書全体の品質を向上させることができます</w:t>
      </w:r>
    </w:p>
    <w:p w14:paraId="58184440" w14:textId="77777777" w:rsidR="001D6A39" w:rsidRPr="00C42767" w:rsidRDefault="001D6A39">
      <w:pPr>
        <w:pStyle w:val="a5"/>
        <w:numPr>
          <w:ilvl w:val="0"/>
          <w:numId w:val="45"/>
        </w:numPr>
        <w:spacing w:line="312" w:lineRule="auto"/>
        <w:ind w:rightChars="475" w:right="1045"/>
        <w:rPr>
          <w:color w:val="545456"/>
          <w:sz w:val="19"/>
          <w:lang w:eastAsia="ja-JP"/>
        </w:rPr>
      </w:pPr>
      <w:r w:rsidRPr="00C42767">
        <w:rPr>
          <w:rFonts w:ascii="ＭＳ ゴシック" w:eastAsia="ＭＳ ゴシック" w:hAnsi="ＭＳ ゴシック" w:cs="ＭＳ ゴシック" w:hint="eastAsia"/>
          <w:color w:val="545456"/>
          <w:sz w:val="19"/>
          <w:lang w:eastAsia="ja-JP"/>
        </w:rPr>
        <w:t>保証プロセスの支援。保証者は、</w:t>
      </w:r>
      <w:r w:rsidRPr="00C42767">
        <w:rPr>
          <w:color w:val="545456"/>
          <w:sz w:val="19"/>
          <w:lang w:eastAsia="ja-JP"/>
        </w:rPr>
        <w:t>GHG</w:t>
      </w:r>
      <w:r w:rsidRPr="00C42767">
        <w:rPr>
          <w:rFonts w:ascii="ＭＳ ゴシック" w:eastAsia="ＭＳ ゴシック" w:hAnsi="ＭＳ ゴシック" w:cs="ＭＳ ゴシック" w:hint="eastAsia"/>
          <w:color w:val="545456"/>
          <w:sz w:val="19"/>
          <w:lang w:eastAsia="ja-JP"/>
        </w:rPr>
        <w:t>算出に使用されているデータの品質に関する情報を要求することができます</w:t>
      </w:r>
    </w:p>
    <w:p w14:paraId="35FF2F5B" w14:textId="23F7A899" w:rsidR="001D6A39" w:rsidRPr="00C42767" w:rsidRDefault="001D6A39">
      <w:pPr>
        <w:pStyle w:val="a5"/>
        <w:numPr>
          <w:ilvl w:val="0"/>
          <w:numId w:val="45"/>
        </w:numPr>
        <w:spacing w:line="312" w:lineRule="auto"/>
        <w:ind w:rightChars="475" w:right="1045"/>
        <w:rPr>
          <w:color w:val="545456"/>
          <w:sz w:val="19"/>
          <w:lang w:eastAsia="ja-JP"/>
        </w:rPr>
        <w:sectPr w:rsidR="001D6A39" w:rsidRPr="00C42767">
          <w:type w:val="continuous"/>
          <w:pgSz w:w="12240" w:h="15840"/>
          <w:pgMar w:top="740" w:right="0" w:bottom="280" w:left="0" w:header="0" w:footer="859" w:gutter="0"/>
          <w:cols w:num="2" w:space="720" w:equalWidth="0">
            <w:col w:w="5910" w:space="40"/>
            <w:col w:w="6290"/>
          </w:cols>
        </w:sectPr>
      </w:pPr>
      <w:r w:rsidRPr="00C42767">
        <w:rPr>
          <w:color w:val="545456"/>
          <w:sz w:val="19"/>
          <w:lang w:eastAsia="ja-JP"/>
        </w:rPr>
        <w:t>GHG</w:t>
      </w:r>
      <w:r w:rsidRPr="00C42767">
        <w:rPr>
          <w:rFonts w:ascii="ＭＳ ゴシック" w:eastAsia="ＭＳ ゴシック" w:hAnsi="ＭＳ ゴシック" w:cs="ＭＳ ゴシック" w:hint="eastAsia"/>
          <w:color w:val="545456"/>
          <w:sz w:val="19"/>
          <w:lang w:eastAsia="ja-JP"/>
        </w:rPr>
        <w:t>算出に使用されているデータの品質をステークホルダーに示すことができ</w:t>
      </w:r>
      <w:r>
        <w:rPr>
          <w:rFonts w:ascii="ＭＳ ゴシック" w:eastAsia="ＭＳ ゴシック" w:hAnsi="ＭＳ ゴシック" w:cs="ＭＳ ゴシック" w:hint="eastAsia"/>
          <w:color w:val="545456"/>
          <w:sz w:val="19"/>
          <w:lang w:eastAsia="ja-JP"/>
        </w:rPr>
        <w:t>ま</w:t>
      </w:r>
      <w:r w:rsidR="00B03E8D">
        <w:rPr>
          <w:rFonts w:ascii="ＭＳ ゴシック" w:eastAsia="ＭＳ ゴシック" w:hAnsi="ＭＳ ゴシック" w:cs="ＭＳ ゴシック" w:hint="eastAsia"/>
          <w:color w:val="545456"/>
          <w:sz w:val="19"/>
          <w:lang w:eastAsia="ja-JP"/>
        </w:rPr>
        <w:t>す</w:t>
      </w:r>
    </w:p>
    <w:p w14:paraId="25AD4CBC" w14:textId="0F3B5B1E" w:rsidR="0055291C" w:rsidRPr="001D6A39" w:rsidRDefault="0055291C" w:rsidP="001D6A39">
      <w:pPr>
        <w:tabs>
          <w:tab w:val="left" w:pos="642"/>
        </w:tabs>
        <w:spacing w:before="136" w:line="312" w:lineRule="auto"/>
        <w:ind w:right="1146"/>
        <w:rPr>
          <w:sz w:val="19"/>
          <w:lang w:eastAsia="ja-JP"/>
        </w:rPr>
        <w:sectPr w:rsidR="0055291C" w:rsidRPr="001D6A39">
          <w:type w:val="continuous"/>
          <w:pgSz w:w="12240" w:h="15840"/>
          <w:pgMar w:top="740" w:right="0" w:bottom="280" w:left="0" w:header="0" w:footer="859" w:gutter="0"/>
          <w:cols w:num="2" w:space="720" w:equalWidth="0">
            <w:col w:w="5910" w:space="40"/>
            <w:col w:w="6290"/>
          </w:cols>
        </w:sectPr>
      </w:pPr>
    </w:p>
    <w:p w14:paraId="04658F2F" w14:textId="77777777" w:rsidR="0055291C" w:rsidRDefault="0055291C">
      <w:pPr>
        <w:pStyle w:val="a3"/>
        <w:spacing w:before="1"/>
        <w:rPr>
          <w:sz w:val="15"/>
          <w:lang w:eastAsia="ja-JP"/>
        </w:rPr>
      </w:pPr>
    </w:p>
    <w:p w14:paraId="66DEAF10" w14:textId="3D8C2C30" w:rsidR="00EF7546" w:rsidRPr="003058A4" w:rsidRDefault="003058A4" w:rsidP="003058A4">
      <w:pPr>
        <w:pStyle w:val="6"/>
        <w:rPr>
          <w:rFonts w:ascii="ＭＳ 明朝" w:eastAsia="ＭＳ 明朝" w:hAnsi="ＭＳ 明朝" w:cs="ＭＳ 明朝"/>
          <w:color w:val="545456"/>
          <w:w w:val="95"/>
          <w:lang w:eastAsia="ja-JP"/>
        </w:rPr>
      </w:pPr>
      <w:r>
        <w:rPr>
          <w:noProof/>
          <w:color w:val="00ACA1"/>
          <w:lang w:eastAsia="ja-JP"/>
        </w:rPr>
        <mc:AlternateContent>
          <mc:Choice Requires="wpg">
            <w:drawing>
              <wp:anchor distT="0" distB="0" distL="114300" distR="114300" simplePos="0" relativeHeight="251479552" behindDoc="0" locked="0" layoutInCell="1" allowOverlap="1" wp14:anchorId="386D1248" wp14:editId="0A0C3D92">
                <wp:simplePos x="0" y="0"/>
                <wp:positionH relativeFrom="column">
                  <wp:posOffset>628650</wp:posOffset>
                </wp:positionH>
                <wp:positionV relativeFrom="paragraph">
                  <wp:posOffset>282575</wp:posOffset>
                </wp:positionV>
                <wp:extent cx="6354445" cy="3863975"/>
                <wp:effectExtent l="0" t="0" r="8255" b="3175"/>
                <wp:wrapTopAndBottom/>
                <wp:docPr id="178" name="グループ化 178"/>
                <wp:cNvGraphicFramePr/>
                <a:graphic xmlns:a="http://schemas.openxmlformats.org/drawingml/2006/main">
                  <a:graphicData uri="http://schemas.microsoft.com/office/word/2010/wordprocessingGroup">
                    <wpg:wgp>
                      <wpg:cNvGrpSpPr/>
                      <wpg:grpSpPr>
                        <a:xfrm>
                          <a:off x="0" y="0"/>
                          <a:ext cx="6354445" cy="3863975"/>
                          <a:chOff x="0" y="0"/>
                          <a:chExt cx="6354445" cy="3863975"/>
                        </a:xfrm>
                      </wpg:grpSpPr>
                      <wpg:grpSp>
                        <wpg:cNvPr id="135" name="グループ化 135"/>
                        <wpg:cNvGrpSpPr>
                          <a:grpSpLocks/>
                        </wpg:cNvGrpSpPr>
                        <wpg:grpSpPr bwMode="auto">
                          <a:xfrm>
                            <a:off x="19050" y="0"/>
                            <a:ext cx="6335395" cy="3615690"/>
                            <a:chOff x="1131" y="194"/>
                            <a:chExt cx="9977" cy="5694"/>
                          </a:xfrm>
                        </wpg:grpSpPr>
                        <wps:wsp>
                          <wps:cNvPr id="136" name="Line 1784"/>
                          <wps:cNvCnPr>
                            <a:cxnSpLocks noChangeShapeType="1"/>
                          </wps:cNvCnPr>
                          <wps:spPr bwMode="auto">
                            <a:xfrm>
                              <a:off x="4320" y="1082"/>
                              <a:ext cx="3960" cy="0"/>
                            </a:xfrm>
                            <a:prstGeom prst="line">
                              <a:avLst/>
                            </a:prstGeom>
                            <a:noFill/>
                            <a:ln w="101600">
                              <a:solidFill>
                                <a:srgbClr val="B6B8BA"/>
                              </a:solidFill>
                              <a:round/>
                              <a:headEnd/>
                              <a:tailEnd/>
                            </a:ln>
                            <a:extLst>
                              <a:ext uri="{909E8E84-426E-40DD-AFC4-6F175D3DCCD1}">
                                <a14:hiddenFill xmlns:a14="http://schemas.microsoft.com/office/drawing/2010/main">
                                  <a:noFill/>
                                </a14:hiddenFill>
                              </a:ext>
                            </a:extLst>
                          </wps:spPr>
                          <wps:bodyPr/>
                        </wps:wsp>
                        <wps:wsp>
                          <wps:cNvPr id="137" name="docshape835"/>
                          <wps:cNvSpPr>
                            <a:spLocks/>
                          </wps:cNvSpPr>
                          <wps:spPr bwMode="auto">
                            <a:xfrm>
                              <a:off x="5940" y="455"/>
                              <a:ext cx="3046" cy="1181"/>
                            </a:xfrm>
                            <a:custGeom>
                              <a:avLst/>
                              <a:gdLst>
                                <a:gd name="T0" fmla="+- 0 6222 5940"/>
                                <a:gd name="T1" fmla="*/ T0 w 3046"/>
                                <a:gd name="T2" fmla="+- 0 1436 455"/>
                                <a:gd name="T3" fmla="*/ 1436 h 1181"/>
                                <a:gd name="T4" fmla="+- 0 6220 5940"/>
                                <a:gd name="T5" fmla="*/ T4 w 3046"/>
                                <a:gd name="T6" fmla="+- 0 1422 455"/>
                                <a:gd name="T7" fmla="*/ 1422 h 1181"/>
                                <a:gd name="T8" fmla="+- 0 6209 5940"/>
                                <a:gd name="T9" fmla="*/ T8 w 3046"/>
                                <a:gd name="T10" fmla="+- 0 1412 455"/>
                                <a:gd name="T11" fmla="*/ 1412 h 1181"/>
                                <a:gd name="T12" fmla="+- 0 6190 5940"/>
                                <a:gd name="T13" fmla="*/ T12 w 3046"/>
                                <a:gd name="T14" fmla="+- 0 1408 455"/>
                                <a:gd name="T15" fmla="*/ 1408 h 1181"/>
                                <a:gd name="T16" fmla="+- 0 6147 5940"/>
                                <a:gd name="T17" fmla="*/ T16 w 3046"/>
                                <a:gd name="T18" fmla="+- 0 1408 455"/>
                                <a:gd name="T19" fmla="*/ 1408 h 1181"/>
                                <a:gd name="T20" fmla="+- 0 6147 5940"/>
                                <a:gd name="T21" fmla="*/ T20 w 3046"/>
                                <a:gd name="T22" fmla="+- 0 455 455"/>
                                <a:gd name="T23" fmla="*/ 455 h 1181"/>
                                <a:gd name="T24" fmla="+- 0 6015 5940"/>
                                <a:gd name="T25" fmla="*/ T24 w 3046"/>
                                <a:gd name="T26" fmla="+- 0 455 455"/>
                                <a:gd name="T27" fmla="*/ 455 h 1181"/>
                                <a:gd name="T28" fmla="+- 0 6014 5940"/>
                                <a:gd name="T29" fmla="*/ T28 w 3046"/>
                                <a:gd name="T30" fmla="+- 0 1408 455"/>
                                <a:gd name="T31" fmla="*/ 1408 h 1181"/>
                                <a:gd name="T32" fmla="+- 0 5972 5940"/>
                                <a:gd name="T33" fmla="*/ T32 w 3046"/>
                                <a:gd name="T34" fmla="+- 0 1408 455"/>
                                <a:gd name="T35" fmla="*/ 1408 h 1181"/>
                                <a:gd name="T36" fmla="+- 0 5953 5940"/>
                                <a:gd name="T37" fmla="*/ T36 w 3046"/>
                                <a:gd name="T38" fmla="+- 0 1411 455"/>
                                <a:gd name="T39" fmla="*/ 1411 h 1181"/>
                                <a:gd name="T40" fmla="+- 0 5942 5940"/>
                                <a:gd name="T41" fmla="*/ T40 w 3046"/>
                                <a:gd name="T42" fmla="+- 0 1421 455"/>
                                <a:gd name="T43" fmla="*/ 1421 h 1181"/>
                                <a:gd name="T44" fmla="+- 0 5940 5940"/>
                                <a:gd name="T45" fmla="*/ T44 w 3046"/>
                                <a:gd name="T46" fmla="+- 0 1435 455"/>
                                <a:gd name="T47" fmla="*/ 1435 h 1181"/>
                                <a:gd name="T48" fmla="+- 0 5948 5940"/>
                                <a:gd name="T49" fmla="*/ T48 w 3046"/>
                                <a:gd name="T50" fmla="+- 0 1452 455"/>
                                <a:gd name="T51" fmla="*/ 1452 h 1181"/>
                                <a:gd name="T52" fmla="+- 0 6054 5940"/>
                                <a:gd name="T53" fmla="*/ T52 w 3046"/>
                                <a:gd name="T54" fmla="+- 0 1603 455"/>
                                <a:gd name="T55" fmla="*/ 1603 h 1181"/>
                                <a:gd name="T56" fmla="+- 0 6069 5940"/>
                                <a:gd name="T57" fmla="*/ T56 w 3046"/>
                                <a:gd name="T58" fmla="+- 0 1617 455"/>
                                <a:gd name="T59" fmla="*/ 1617 h 1181"/>
                                <a:gd name="T60" fmla="+- 0 6086 5940"/>
                                <a:gd name="T61" fmla="*/ T60 w 3046"/>
                                <a:gd name="T62" fmla="+- 0 1622 455"/>
                                <a:gd name="T63" fmla="*/ 1622 h 1181"/>
                                <a:gd name="T64" fmla="+- 0 6102 5940"/>
                                <a:gd name="T65" fmla="*/ T64 w 3046"/>
                                <a:gd name="T66" fmla="+- 0 1617 455"/>
                                <a:gd name="T67" fmla="*/ 1617 h 1181"/>
                                <a:gd name="T68" fmla="+- 0 6116 5940"/>
                                <a:gd name="T69" fmla="*/ T68 w 3046"/>
                                <a:gd name="T70" fmla="+- 0 1602 455"/>
                                <a:gd name="T71" fmla="*/ 1602 h 1181"/>
                                <a:gd name="T72" fmla="+- 0 6215 5940"/>
                                <a:gd name="T73" fmla="*/ T72 w 3046"/>
                                <a:gd name="T74" fmla="+- 0 1454 455"/>
                                <a:gd name="T75" fmla="*/ 1454 h 1181"/>
                                <a:gd name="T76" fmla="+- 0 6222 5940"/>
                                <a:gd name="T77" fmla="*/ T76 w 3046"/>
                                <a:gd name="T78" fmla="+- 0 1436 455"/>
                                <a:gd name="T79" fmla="*/ 1436 h 1181"/>
                                <a:gd name="T80" fmla="+- 0 8986 5940"/>
                                <a:gd name="T81" fmla="*/ T80 w 3046"/>
                                <a:gd name="T82" fmla="+- 0 1612 455"/>
                                <a:gd name="T83" fmla="*/ 1612 h 1181"/>
                                <a:gd name="T84" fmla="+- 0 8983 5940"/>
                                <a:gd name="T85" fmla="*/ T84 w 3046"/>
                                <a:gd name="T86" fmla="+- 0 1589 455"/>
                                <a:gd name="T87" fmla="*/ 1589 h 1181"/>
                                <a:gd name="T88" fmla="+- 0 8918 5940"/>
                                <a:gd name="T89" fmla="*/ T88 w 3046"/>
                                <a:gd name="T90" fmla="+- 0 1384 455"/>
                                <a:gd name="T91" fmla="*/ 1384 h 1181"/>
                                <a:gd name="T92" fmla="+- 0 8907 5940"/>
                                <a:gd name="T93" fmla="*/ T92 w 3046"/>
                                <a:gd name="T94" fmla="+- 0 1363 455"/>
                                <a:gd name="T95" fmla="*/ 1363 h 1181"/>
                                <a:gd name="T96" fmla="+- 0 8892 5940"/>
                                <a:gd name="T97" fmla="*/ T96 w 3046"/>
                                <a:gd name="T98" fmla="+- 0 1351 455"/>
                                <a:gd name="T99" fmla="*/ 1351 h 1181"/>
                                <a:gd name="T100" fmla="+- 0 8875 5940"/>
                                <a:gd name="T101" fmla="*/ T100 w 3046"/>
                                <a:gd name="T102" fmla="+- 0 1350 455"/>
                                <a:gd name="T103" fmla="*/ 1350 h 1181"/>
                                <a:gd name="T104" fmla="+- 0 8859 5940"/>
                                <a:gd name="T105" fmla="*/ T104 w 3046"/>
                                <a:gd name="T106" fmla="+- 0 1360 455"/>
                                <a:gd name="T107" fmla="*/ 1360 h 1181"/>
                                <a:gd name="T108" fmla="+- 0 8828 5940"/>
                                <a:gd name="T109" fmla="*/ T108 w 3046"/>
                                <a:gd name="T110" fmla="+- 0 1390 455"/>
                                <a:gd name="T111" fmla="*/ 1390 h 1181"/>
                                <a:gd name="T112" fmla="+- 0 8329 5940"/>
                                <a:gd name="T113" fmla="*/ T112 w 3046"/>
                                <a:gd name="T114" fmla="+- 0 972 455"/>
                                <a:gd name="T115" fmla="*/ 972 h 1181"/>
                                <a:gd name="T116" fmla="+- 0 8235 5940"/>
                                <a:gd name="T117" fmla="*/ T116 w 3046"/>
                                <a:gd name="T118" fmla="+- 0 1065 455"/>
                                <a:gd name="T119" fmla="*/ 1065 h 1181"/>
                                <a:gd name="T120" fmla="+- 0 8734 5940"/>
                                <a:gd name="T121" fmla="*/ T120 w 3046"/>
                                <a:gd name="T122" fmla="+- 0 1484 455"/>
                                <a:gd name="T123" fmla="*/ 1484 h 1181"/>
                                <a:gd name="T124" fmla="+- 0 8704 5940"/>
                                <a:gd name="T125" fmla="*/ T124 w 3046"/>
                                <a:gd name="T126" fmla="+- 0 1514 455"/>
                                <a:gd name="T127" fmla="*/ 1514 h 1181"/>
                                <a:gd name="T128" fmla="+- 0 8693 5940"/>
                                <a:gd name="T129" fmla="*/ T128 w 3046"/>
                                <a:gd name="T130" fmla="+- 0 1530 455"/>
                                <a:gd name="T131" fmla="*/ 1530 h 1181"/>
                                <a:gd name="T132" fmla="+- 0 8695 5940"/>
                                <a:gd name="T133" fmla="*/ T132 w 3046"/>
                                <a:gd name="T134" fmla="+- 0 1547 455"/>
                                <a:gd name="T135" fmla="*/ 1547 h 1181"/>
                                <a:gd name="T136" fmla="+- 0 8706 5940"/>
                                <a:gd name="T137" fmla="*/ T136 w 3046"/>
                                <a:gd name="T138" fmla="+- 0 1561 455"/>
                                <a:gd name="T139" fmla="*/ 1561 h 1181"/>
                                <a:gd name="T140" fmla="+- 0 8728 5940"/>
                                <a:gd name="T141" fmla="*/ T140 w 3046"/>
                                <a:gd name="T142" fmla="+- 0 1571 455"/>
                                <a:gd name="T143" fmla="*/ 1571 h 1181"/>
                                <a:gd name="T144" fmla="+- 0 8940 5940"/>
                                <a:gd name="T145" fmla="*/ T144 w 3046"/>
                                <a:gd name="T146" fmla="+- 0 1633 455"/>
                                <a:gd name="T147" fmla="*/ 1633 h 1181"/>
                                <a:gd name="T148" fmla="+- 0 8963 5940"/>
                                <a:gd name="T149" fmla="*/ T148 w 3046"/>
                                <a:gd name="T150" fmla="+- 0 1635 455"/>
                                <a:gd name="T151" fmla="*/ 1635 h 1181"/>
                                <a:gd name="T152" fmla="+- 0 8978 5940"/>
                                <a:gd name="T153" fmla="*/ T152 w 3046"/>
                                <a:gd name="T154" fmla="+- 0 1628 455"/>
                                <a:gd name="T155" fmla="*/ 1628 h 1181"/>
                                <a:gd name="T156" fmla="+- 0 8986 5940"/>
                                <a:gd name="T157" fmla="*/ T156 w 3046"/>
                                <a:gd name="T158" fmla="+- 0 1612 455"/>
                                <a:gd name="T159" fmla="*/ 1612 h 11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046" h="1181">
                                  <a:moveTo>
                                    <a:pt x="282" y="981"/>
                                  </a:moveTo>
                                  <a:lnTo>
                                    <a:pt x="280" y="967"/>
                                  </a:lnTo>
                                  <a:lnTo>
                                    <a:pt x="269" y="957"/>
                                  </a:lnTo>
                                  <a:lnTo>
                                    <a:pt x="250" y="953"/>
                                  </a:lnTo>
                                  <a:lnTo>
                                    <a:pt x="207" y="953"/>
                                  </a:lnTo>
                                  <a:lnTo>
                                    <a:pt x="207" y="0"/>
                                  </a:lnTo>
                                  <a:lnTo>
                                    <a:pt x="75" y="0"/>
                                  </a:lnTo>
                                  <a:lnTo>
                                    <a:pt x="74" y="953"/>
                                  </a:lnTo>
                                  <a:lnTo>
                                    <a:pt x="32" y="953"/>
                                  </a:lnTo>
                                  <a:lnTo>
                                    <a:pt x="13" y="956"/>
                                  </a:lnTo>
                                  <a:lnTo>
                                    <a:pt x="2" y="966"/>
                                  </a:lnTo>
                                  <a:lnTo>
                                    <a:pt x="0" y="980"/>
                                  </a:lnTo>
                                  <a:lnTo>
                                    <a:pt x="8" y="997"/>
                                  </a:lnTo>
                                  <a:lnTo>
                                    <a:pt x="114" y="1148"/>
                                  </a:lnTo>
                                  <a:lnTo>
                                    <a:pt x="129" y="1162"/>
                                  </a:lnTo>
                                  <a:lnTo>
                                    <a:pt x="146" y="1167"/>
                                  </a:lnTo>
                                  <a:lnTo>
                                    <a:pt x="162" y="1162"/>
                                  </a:lnTo>
                                  <a:lnTo>
                                    <a:pt x="176" y="1147"/>
                                  </a:lnTo>
                                  <a:lnTo>
                                    <a:pt x="275" y="999"/>
                                  </a:lnTo>
                                  <a:lnTo>
                                    <a:pt x="282" y="981"/>
                                  </a:lnTo>
                                  <a:close/>
                                  <a:moveTo>
                                    <a:pt x="3046" y="1157"/>
                                  </a:moveTo>
                                  <a:lnTo>
                                    <a:pt x="3043" y="1134"/>
                                  </a:lnTo>
                                  <a:lnTo>
                                    <a:pt x="2978" y="929"/>
                                  </a:lnTo>
                                  <a:lnTo>
                                    <a:pt x="2967" y="908"/>
                                  </a:lnTo>
                                  <a:lnTo>
                                    <a:pt x="2952" y="896"/>
                                  </a:lnTo>
                                  <a:lnTo>
                                    <a:pt x="2935" y="895"/>
                                  </a:lnTo>
                                  <a:lnTo>
                                    <a:pt x="2919" y="905"/>
                                  </a:lnTo>
                                  <a:lnTo>
                                    <a:pt x="2888" y="935"/>
                                  </a:lnTo>
                                  <a:lnTo>
                                    <a:pt x="2389" y="517"/>
                                  </a:lnTo>
                                  <a:lnTo>
                                    <a:pt x="2295" y="610"/>
                                  </a:lnTo>
                                  <a:lnTo>
                                    <a:pt x="2794" y="1029"/>
                                  </a:lnTo>
                                  <a:lnTo>
                                    <a:pt x="2764" y="1059"/>
                                  </a:lnTo>
                                  <a:lnTo>
                                    <a:pt x="2753" y="1075"/>
                                  </a:lnTo>
                                  <a:lnTo>
                                    <a:pt x="2755" y="1092"/>
                                  </a:lnTo>
                                  <a:lnTo>
                                    <a:pt x="2766" y="1106"/>
                                  </a:lnTo>
                                  <a:lnTo>
                                    <a:pt x="2788" y="1116"/>
                                  </a:lnTo>
                                  <a:lnTo>
                                    <a:pt x="3000" y="1178"/>
                                  </a:lnTo>
                                  <a:lnTo>
                                    <a:pt x="3023" y="1180"/>
                                  </a:lnTo>
                                  <a:lnTo>
                                    <a:pt x="3038" y="1173"/>
                                  </a:lnTo>
                                  <a:lnTo>
                                    <a:pt x="3046" y="1157"/>
                                  </a:lnTo>
                                  <a:close/>
                                </a:path>
                              </a:pathLst>
                            </a:custGeom>
                            <a:solidFill>
                              <a:srgbClr val="B8B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docshape836"/>
                          <wps:cNvSpPr>
                            <a:spLocks/>
                          </wps:cNvSpPr>
                          <wps:spPr bwMode="auto">
                            <a:xfrm>
                              <a:off x="3693" y="194"/>
                              <a:ext cx="4845" cy="383"/>
                            </a:xfrm>
                            <a:custGeom>
                              <a:avLst/>
                              <a:gdLst>
                                <a:gd name="T0" fmla="+- 0 8378 3694"/>
                                <a:gd name="T1" fmla="*/ T0 w 4845"/>
                                <a:gd name="T2" fmla="+- 0 194 194"/>
                                <a:gd name="T3" fmla="*/ 194 h 383"/>
                                <a:gd name="T4" fmla="+- 0 3854 3694"/>
                                <a:gd name="T5" fmla="*/ T4 w 4845"/>
                                <a:gd name="T6" fmla="+- 0 194 194"/>
                                <a:gd name="T7" fmla="*/ 194 h 383"/>
                                <a:gd name="T8" fmla="+- 0 3761 3694"/>
                                <a:gd name="T9" fmla="*/ T8 w 4845"/>
                                <a:gd name="T10" fmla="+- 0 197 194"/>
                                <a:gd name="T11" fmla="*/ 197 h 383"/>
                                <a:gd name="T12" fmla="+- 0 3714 3694"/>
                                <a:gd name="T13" fmla="*/ T12 w 4845"/>
                                <a:gd name="T14" fmla="+- 0 214 194"/>
                                <a:gd name="T15" fmla="*/ 214 h 383"/>
                                <a:gd name="T16" fmla="+- 0 3696 3694"/>
                                <a:gd name="T17" fmla="*/ T16 w 4845"/>
                                <a:gd name="T18" fmla="+- 0 262 194"/>
                                <a:gd name="T19" fmla="*/ 262 h 383"/>
                                <a:gd name="T20" fmla="+- 0 3694 3694"/>
                                <a:gd name="T21" fmla="*/ T20 w 4845"/>
                                <a:gd name="T22" fmla="+- 0 354 194"/>
                                <a:gd name="T23" fmla="*/ 354 h 383"/>
                                <a:gd name="T24" fmla="+- 0 3694 3694"/>
                                <a:gd name="T25" fmla="*/ T24 w 4845"/>
                                <a:gd name="T26" fmla="+- 0 417 194"/>
                                <a:gd name="T27" fmla="*/ 417 h 383"/>
                                <a:gd name="T28" fmla="+- 0 3696 3694"/>
                                <a:gd name="T29" fmla="*/ T28 w 4845"/>
                                <a:gd name="T30" fmla="+- 0 509 194"/>
                                <a:gd name="T31" fmla="*/ 509 h 383"/>
                                <a:gd name="T32" fmla="+- 0 3714 3694"/>
                                <a:gd name="T33" fmla="*/ T32 w 4845"/>
                                <a:gd name="T34" fmla="+- 0 557 194"/>
                                <a:gd name="T35" fmla="*/ 557 h 383"/>
                                <a:gd name="T36" fmla="+- 0 3761 3694"/>
                                <a:gd name="T37" fmla="*/ T36 w 4845"/>
                                <a:gd name="T38" fmla="+- 0 574 194"/>
                                <a:gd name="T39" fmla="*/ 574 h 383"/>
                                <a:gd name="T40" fmla="+- 0 3854 3694"/>
                                <a:gd name="T41" fmla="*/ T40 w 4845"/>
                                <a:gd name="T42" fmla="+- 0 577 194"/>
                                <a:gd name="T43" fmla="*/ 577 h 383"/>
                                <a:gd name="T44" fmla="+- 0 8378 3694"/>
                                <a:gd name="T45" fmla="*/ T44 w 4845"/>
                                <a:gd name="T46" fmla="+- 0 577 194"/>
                                <a:gd name="T47" fmla="*/ 577 h 383"/>
                                <a:gd name="T48" fmla="+- 0 8470 3694"/>
                                <a:gd name="T49" fmla="*/ T48 w 4845"/>
                                <a:gd name="T50" fmla="+- 0 574 194"/>
                                <a:gd name="T51" fmla="*/ 574 h 383"/>
                                <a:gd name="T52" fmla="+- 0 8518 3694"/>
                                <a:gd name="T53" fmla="*/ T52 w 4845"/>
                                <a:gd name="T54" fmla="+- 0 557 194"/>
                                <a:gd name="T55" fmla="*/ 557 h 383"/>
                                <a:gd name="T56" fmla="+- 0 8535 3694"/>
                                <a:gd name="T57" fmla="*/ T56 w 4845"/>
                                <a:gd name="T58" fmla="+- 0 509 194"/>
                                <a:gd name="T59" fmla="*/ 509 h 383"/>
                                <a:gd name="T60" fmla="+- 0 8538 3694"/>
                                <a:gd name="T61" fmla="*/ T60 w 4845"/>
                                <a:gd name="T62" fmla="+- 0 417 194"/>
                                <a:gd name="T63" fmla="*/ 417 h 383"/>
                                <a:gd name="T64" fmla="+- 0 8538 3694"/>
                                <a:gd name="T65" fmla="*/ T64 w 4845"/>
                                <a:gd name="T66" fmla="+- 0 354 194"/>
                                <a:gd name="T67" fmla="*/ 354 h 383"/>
                                <a:gd name="T68" fmla="+- 0 8535 3694"/>
                                <a:gd name="T69" fmla="*/ T68 w 4845"/>
                                <a:gd name="T70" fmla="+- 0 262 194"/>
                                <a:gd name="T71" fmla="*/ 262 h 383"/>
                                <a:gd name="T72" fmla="+- 0 8518 3694"/>
                                <a:gd name="T73" fmla="*/ T72 w 4845"/>
                                <a:gd name="T74" fmla="+- 0 214 194"/>
                                <a:gd name="T75" fmla="*/ 214 h 383"/>
                                <a:gd name="T76" fmla="+- 0 8470 3694"/>
                                <a:gd name="T77" fmla="*/ T76 w 4845"/>
                                <a:gd name="T78" fmla="+- 0 197 194"/>
                                <a:gd name="T79" fmla="*/ 197 h 383"/>
                                <a:gd name="T80" fmla="+- 0 8378 3694"/>
                                <a:gd name="T81" fmla="*/ T80 w 4845"/>
                                <a:gd name="T82" fmla="+- 0 194 194"/>
                                <a:gd name="T83" fmla="*/ 194 h 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45" h="383">
                                  <a:moveTo>
                                    <a:pt x="4684" y="0"/>
                                  </a:moveTo>
                                  <a:lnTo>
                                    <a:pt x="160" y="0"/>
                                  </a:lnTo>
                                  <a:lnTo>
                                    <a:pt x="67" y="3"/>
                                  </a:lnTo>
                                  <a:lnTo>
                                    <a:pt x="20" y="20"/>
                                  </a:lnTo>
                                  <a:lnTo>
                                    <a:pt x="2" y="68"/>
                                  </a:lnTo>
                                  <a:lnTo>
                                    <a:pt x="0" y="160"/>
                                  </a:lnTo>
                                  <a:lnTo>
                                    <a:pt x="0" y="223"/>
                                  </a:lnTo>
                                  <a:lnTo>
                                    <a:pt x="2" y="315"/>
                                  </a:lnTo>
                                  <a:lnTo>
                                    <a:pt x="20" y="363"/>
                                  </a:lnTo>
                                  <a:lnTo>
                                    <a:pt x="67" y="380"/>
                                  </a:lnTo>
                                  <a:lnTo>
                                    <a:pt x="160" y="383"/>
                                  </a:lnTo>
                                  <a:lnTo>
                                    <a:pt x="4684" y="383"/>
                                  </a:lnTo>
                                  <a:lnTo>
                                    <a:pt x="4776" y="380"/>
                                  </a:lnTo>
                                  <a:lnTo>
                                    <a:pt x="4824" y="363"/>
                                  </a:lnTo>
                                  <a:lnTo>
                                    <a:pt x="4841" y="315"/>
                                  </a:lnTo>
                                  <a:lnTo>
                                    <a:pt x="4844" y="223"/>
                                  </a:lnTo>
                                  <a:lnTo>
                                    <a:pt x="4844" y="160"/>
                                  </a:lnTo>
                                  <a:lnTo>
                                    <a:pt x="4841" y="68"/>
                                  </a:lnTo>
                                  <a:lnTo>
                                    <a:pt x="4824" y="20"/>
                                  </a:lnTo>
                                  <a:lnTo>
                                    <a:pt x="4776" y="3"/>
                                  </a:lnTo>
                                  <a:lnTo>
                                    <a:pt x="4684" y="0"/>
                                  </a:lnTo>
                                  <a:close/>
                                </a:path>
                              </a:pathLst>
                            </a:custGeom>
                            <a:solidFill>
                              <a:srgbClr val="00AC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docshape837"/>
                          <wps:cNvSpPr>
                            <a:spLocks/>
                          </wps:cNvSpPr>
                          <wps:spPr bwMode="auto">
                            <a:xfrm>
                              <a:off x="3203" y="988"/>
                              <a:ext cx="751" cy="664"/>
                            </a:xfrm>
                            <a:custGeom>
                              <a:avLst/>
                              <a:gdLst>
                                <a:gd name="T0" fmla="+- 0 3861 3204"/>
                                <a:gd name="T1" fmla="*/ T0 w 751"/>
                                <a:gd name="T2" fmla="+- 0 988 988"/>
                                <a:gd name="T3" fmla="*/ 988 h 664"/>
                                <a:gd name="T4" fmla="+- 0 3361 3204"/>
                                <a:gd name="T5" fmla="*/ T4 w 751"/>
                                <a:gd name="T6" fmla="+- 0 1406 988"/>
                                <a:gd name="T7" fmla="*/ 1406 h 664"/>
                                <a:gd name="T8" fmla="+- 0 3331 3204"/>
                                <a:gd name="T9" fmla="*/ T8 w 751"/>
                                <a:gd name="T10" fmla="+- 0 1376 988"/>
                                <a:gd name="T11" fmla="*/ 1376 h 664"/>
                                <a:gd name="T12" fmla="+- 0 3314 3204"/>
                                <a:gd name="T13" fmla="*/ T12 w 751"/>
                                <a:gd name="T14" fmla="+- 0 1366 988"/>
                                <a:gd name="T15" fmla="*/ 1366 h 664"/>
                                <a:gd name="T16" fmla="+- 0 3207 3204"/>
                                <a:gd name="T17" fmla="*/ T16 w 751"/>
                                <a:gd name="T18" fmla="+- 0 1605 988"/>
                                <a:gd name="T19" fmla="*/ 1605 h 664"/>
                                <a:gd name="T20" fmla="+- 0 3204 3204"/>
                                <a:gd name="T21" fmla="*/ T20 w 751"/>
                                <a:gd name="T22" fmla="+- 0 1628 988"/>
                                <a:gd name="T23" fmla="*/ 1628 h 664"/>
                                <a:gd name="T24" fmla="+- 0 3211 3204"/>
                                <a:gd name="T25" fmla="*/ T24 w 751"/>
                                <a:gd name="T26" fmla="+- 0 1644 988"/>
                                <a:gd name="T27" fmla="*/ 1644 h 664"/>
                                <a:gd name="T28" fmla="+- 0 3227 3204"/>
                                <a:gd name="T29" fmla="*/ T28 w 751"/>
                                <a:gd name="T30" fmla="+- 0 1652 988"/>
                                <a:gd name="T31" fmla="*/ 1652 h 664"/>
                                <a:gd name="T32" fmla="+- 0 3250 3204"/>
                                <a:gd name="T33" fmla="*/ T32 w 751"/>
                                <a:gd name="T34" fmla="+- 0 1649 988"/>
                                <a:gd name="T35" fmla="*/ 1649 h 664"/>
                                <a:gd name="T36" fmla="+- 0 3462 3204"/>
                                <a:gd name="T37" fmla="*/ T36 w 751"/>
                                <a:gd name="T38" fmla="+- 0 1587 988"/>
                                <a:gd name="T39" fmla="*/ 1587 h 664"/>
                                <a:gd name="T40" fmla="+- 0 3483 3204"/>
                                <a:gd name="T41" fmla="*/ T40 w 751"/>
                                <a:gd name="T42" fmla="+- 0 1577 988"/>
                                <a:gd name="T43" fmla="*/ 1577 h 664"/>
                                <a:gd name="T44" fmla="+- 0 3495 3204"/>
                                <a:gd name="T45" fmla="*/ T44 w 751"/>
                                <a:gd name="T46" fmla="+- 0 1563 988"/>
                                <a:gd name="T47" fmla="*/ 1563 h 664"/>
                                <a:gd name="T48" fmla="+- 0 3496 3204"/>
                                <a:gd name="T49" fmla="*/ T48 w 751"/>
                                <a:gd name="T50" fmla="+- 0 1547 988"/>
                                <a:gd name="T51" fmla="*/ 1547 h 664"/>
                                <a:gd name="T52" fmla="+- 0 3486 3204"/>
                                <a:gd name="T53" fmla="*/ T52 w 751"/>
                                <a:gd name="T54" fmla="+- 0 1530 988"/>
                                <a:gd name="T55" fmla="*/ 1530 h 664"/>
                                <a:gd name="T56" fmla="+- 0 3455 3204"/>
                                <a:gd name="T57" fmla="*/ T56 w 751"/>
                                <a:gd name="T58" fmla="+- 0 1500 988"/>
                                <a:gd name="T59" fmla="*/ 1500 h 664"/>
                                <a:gd name="T60" fmla="+- 0 3954 3204"/>
                                <a:gd name="T61" fmla="*/ T60 w 751"/>
                                <a:gd name="T62" fmla="+- 0 1082 988"/>
                                <a:gd name="T63" fmla="*/ 1082 h 664"/>
                                <a:gd name="T64" fmla="+- 0 3861 3204"/>
                                <a:gd name="T65" fmla="*/ T64 w 751"/>
                                <a:gd name="T66" fmla="+- 0 988 988"/>
                                <a:gd name="T67" fmla="*/ 988 h 6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51" h="664">
                                  <a:moveTo>
                                    <a:pt x="657" y="0"/>
                                  </a:moveTo>
                                  <a:lnTo>
                                    <a:pt x="157" y="418"/>
                                  </a:lnTo>
                                  <a:lnTo>
                                    <a:pt x="127" y="388"/>
                                  </a:lnTo>
                                  <a:lnTo>
                                    <a:pt x="110" y="378"/>
                                  </a:lnTo>
                                  <a:lnTo>
                                    <a:pt x="3" y="617"/>
                                  </a:lnTo>
                                  <a:lnTo>
                                    <a:pt x="0" y="640"/>
                                  </a:lnTo>
                                  <a:lnTo>
                                    <a:pt x="7" y="656"/>
                                  </a:lnTo>
                                  <a:lnTo>
                                    <a:pt x="23" y="664"/>
                                  </a:lnTo>
                                  <a:lnTo>
                                    <a:pt x="46" y="661"/>
                                  </a:lnTo>
                                  <a:lnTo>
                                    <a:pt x="258" y="599"/>
                                  </a:lnTo>
                                  <a:lnTo>
                                    <a:pt x="279" y="589"/>
                                  </a:lnTo>
                                  <a:lnTo>
                                    <a:pt x="291" y="575"/>
                                  </a:lnTo>
                                  <a:lnTo>
                                    <a:pt x="292" y="559"/>
                                  </a:lnTo>
                                  <a:lnTo>
                                    <a:pt x="282" y="542"/>
                                  </a:lnTo>
                                  <a:lnTo>
                                    <a:pt x="251" y="512"/>
                                  </a:lnTo>
                                  <a:lnTo>
                                    <a:pt x="750" y="94"/>
                                  </a:lnTo>
                                  <a:lnTo>
                                    <a:pt x="657" y="0"/>
                                  </a:lnTo>
                                  <a:close/>
                                </a:path>
                              </a:pathLst>
                            </a:custGeom>
                            <a:solidFill>
                              <a:srgbClr val="B8B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docshape838"/>
                          <wps:cNvSpPr>
                            <a:spLocks/>
                          </wps:cNvSpPr>
                          <wps:spPr bwMode="auto">
                            <a:xfrm>
                              <a:off x="3695" y="888"/>
                              <a:ext cx="1293" cy="383"/>
                            </a:xfrm>
                            <a:custGeom>
                              <a:avLst/>
                              <a:gdLst>
                                <a:gd name="T0" fmla="+- 0 4828 3695"/>
                                <a:gd name="T1" fmla="*/ T0 w 1293"/>
                                <a:gd name="T2" fmla="+- 0 889 889"/>
                                <a:gd name="T3" fmla="*/ 889 h 383"/>
                                <a:gd name="T4" fmla="+- 0 3855 3695"/>
                                <a:gd name="T5" fmla="*/ T4 w 1293"/>
                                <a:gd name="T6" fmla="+- 0 889 889"/>
                                <a:gd name="T7" fmla="*/ 889 h 383"/>
                                <a:gd name="T8" fmla="+- 0 3763 3695"/>
                                <a:gd name="T9" fmla="*/ T8 w 1293"/>
                                <a:gd name="T10" fmla="+- 0 891 889"/>
                                <a:gd name="T11" fmla="*/ 891 h 383"/>
                                <a:gd name="T12" fmla="+- 0 3715 3695"/>
                                <a:gd name="T13" fmla="*/ T12 w 1293"/>
                                <a:gd name="T14" fmla="+- 0 909 889"/>
                                <a:gd name="T15" fmla="*/ 909 h 383"/>
                                <a:gd name="T16" fmla="+- 0 3698 3695"/>
                                <a:gd name="T17" fmla="*/ T16 w 1293"/>
                                <a:gd name="T18" fmla="+- 0 956 889"/>
                                <a:gd name="T19" fmla="*/ 956 h 383"/>
                                <a:gd name="T20" fmla="+- 0 3695 3695"/>
                                <a:gd name="T21" fmla="*/ T20 w 1293"/>
                                <a:gd name="T22" fmla="+- 0 1049 889"/>
                                <a:gd name="T23" fmla="*/ 1049 h 383"/>
                                <a:gd name="T24" fmla="+- 0 3695 3695"/>
                                <a:gd name="T25" fmla="*/ T24 w 1293"/>
                                <a:gd name="T26" fmla="+- 0 1111 889"/>
                                <a:gd name="T27" fmla="*/ 1111 h 383"/>
                                <a:gd name="T28" fmla="+- 0 3698 3695"/>
                                <a:gd name="T29" fmla="*/ T28 w 1293"/>
                                <a:gd name="T30" fmla="+- 0 1204 889"/>
                                <a:gd name="T31" fmla="*/ 1204 h 383"/>
                                <a:gd name="T32" fmla="+- 0 3715 3695"/>
                                <a:gd name="T33" fmla="*/ T32 w 1293"/>
                                <a:gd name="T34" fmla="+- 0 1251 889"/>
                                <a:gd name="T35" fmla="*/ 1251 h 383"/>
                                <a:gd name="T36" fmla="+- 0 3763 3695"/>
                                <a:gd name="T37" fmla="*/ T36 w 1293"/>
                                <a:gd name="T38" fmla="+- 0 1269 889"/>
                                <a:gd name="T39" fmla="*/ 1269 h 383"/>
                                <a:gd name="T40" fmla="+- 0 3855 3695"/>
                                <a:gd name="T41" fmla="*/ T40 w 1293"/>
                                <a:gd name="T42" fmla="+- 0 1271 889"/>
                                <a:gd name="T43" fmla="*/ 1271 h 383"/>
                                <a:gd name="T44" fmla="+- 0 4828 3695"/>
                                <a:gd name="T45" fmla="*/ T44 w 1293"/>
                                <a:gd name="T46" fmla="+- 0 1271 889"/>
                                <a:gd name="T47" fmla="*/ 1271 h 383"/>
                                <a:gd name="T48" fmla="+- 0 4920 3695"/>
                                <a:gd name="T49" fmla="*/ T48 w 1293"/>
                                <a:gd name="T50" fmla="+- 0 1269 889"/>
                                <a:gd name="T51" fmla="*/ 1269 h 383"/>
                                <a:gd name="T52" fmla="+- 0 4968 3695"/>
                                <a:gd name="T53" fmla="*/ T52 w 1293"/>
                                <a:gd name="T54" fmla="+- 0 1251 889"/>
                                <a:gd name="T55" fmla="*/ 1251 h 383"/>
                                <a:gd name="T56" fmla="+- 0 4985 3695"/>
                                <a:gd name="T57" fmla="*/ T56 w 1293"/>
                                <a:gd name="T58" fmla="+- 0 1204 889"/>
                                <a:gd name="T59" fmla="*/ 1204 h 383"/>
                                <a:gd name="T60" fmla="+- 0 4988 3695"/>
                                <a:gd name="T61" fmla="*/ T60 w 1293"/>
                                <a:gd name="T62" fmla="+- 0 1111 889"/>
                                <a:gd name="T63" fmla="*/ 1111 h 383"/>
                                <a:gd name="T64" fmla="+- 0 4988 3695"/>
                                <a:gd name="T65" fmla="*/ T64 w 1293"/>
                                <a:gd name="T66" fmla="+- 0 1049 889"/>
                                <a:gd name="T67" fmla="*/ 1049 h 383"/>
                                <a:gd name="T68" fmla="+- 0 4985 3695"/>
                                <a:gd name="T69" fmla="*/ T68 w 1293"/>
                                <a:gd name="T70" fmla="+- 0 956 889"/>
                                <a:gd name="T71" fmla="*/ 956 h 383"/>
                                <a:gd name="T72" fmla="+- 0 4968 3695"/>
                                <a:gd name="T73" fmla="*/ T72 w 1293"/>
                                <a:gd name="T74" fmla="+- 0 909 889"/>
                                <a:gd name="T75" fmla="*/ 909 h 383"/>
                                <a:gd name="T76" fmla="+- 0 4920 3695"/>
                                <a:gd name="T77" fmla="*/ T76 w 1293"/>
                                <a:gd name="T78" fmla="+- 0 891 889"/>
                                <a:gd name="T79" fmla="*/ 891 h 383"/>
                                <a:gd name="T80" fmla="+- 0 4828 3695"/>
                                <a:gd name="T81" fmla="*/ T80 w 1293"/>
                                <a:gd name="T82" fmla="+- 0 889 889"/>
                                <a:gd name="T83" fmla="*/ 889 h 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93" h="383">
                                  <a:moveTo>
                                    <a:pt x="1133" y="0"/>
                                  </a:moveTo>
                                  <a:lnTo>
                                    <a:pt x="160" y="0"/>
                                  </a:lnTo>
                                  <a:lnTo>
                                    <a:pt x="68" y="2"/>
                                  </a:lnTo>
                                  <a:lnTo>
                                    <a:pt x="20" y="20"/>
                                  </a:lnTo>
                                  <a:lnTo>
                                    <a:pt x="3" y="67"/>
                                  </a:lnTo>
                                  <a:lnTo>
                                    <a:pt x="0" y="160"/>
                                  </a:lnTo>
                                  <a:lnTo>
                                    <a:pt x="0" y="222"/>
                                  </a:lnTo>
                                  <a:lnTo>
                                    <a:pt x="3" y="315"/>
                                  </a:lnTo>
                                  <a:lnTo>
                                    <a:pt x="20" y="362"/>
                                  </a:lnTo>
                                  <a:lnTo>
                                    <a:pt x="68" y="380"/>
                                  </a:lnTo>
                                  <a:lnTo>
                                    <a:pt x="160" y="382"/>
                                  </a:lnTo>
                                  <a:lnTo>
                                    <a:pt x="1133" y="382"/>
                                  </a:lnTo>
                                  <a:lnTo>
                                    <a:pt x="1225" y="380"/>
                                  </a:lnTo>
                                  <a:lnTo>
                                    <a:pt x="1273" y="362"/>
                                  </a:lnTo>
                                  <a:lnTo>
                                    <a:pt x="1290" y="315"/>
                                  </a:lnTo>
                                  <a:lnTo>
                                    <a:pt x="1293" y="222"/>
                                  </a:lnTo>
                                  <a:lnTo>
                                    <a:pt x="1293" y="160"/>
                                  </a:lnTo>
                                  <a:lnTo>
                                    <a:pt x="1290" y="67"/>
                                  </a:lnTo>
                                  <a:lnTo>
                                    <a:pt x="1273" y="20"/>
                                  </a:lnTo>
                                  <a:lnTo>
                                    <a:pt x="1225" y="2"/>
                                  </a:lnTo>
                                  <a:lnTo>
                                    <a:pt x="1133" y="0"/>
                                  </a:lnTo>
                                  <a:close/>
                                </a:path>
                              </a:pathLst>
                            </a:custGeom>
                            <a:solidFill>
                              <a:srgbClr val="7F3F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docshape839"/>
                          <wps:cNvSpPr>
                            <a:spLocks/>
                          </wps:cNvSpPr>
                          <wps:spPr bwMode="auto">
                            <a:xfrm>
                              <a:off x="5469" y="888"/>
                              <a:ext cx="1293" cy="383"/>
                            </a:xfrm>
                            <a:custGeom>
                              <a:avLst/>
                              <a:gdLst>
                                <a:gd name="T0" fmla="+- 0 6602 5469"/>
                                <a:gd name="T1" fmla="*/ T0 w 1293"/>
                                <a:gd name="T2" fmla="+- 0 889 889"/>
                                <a:gd name="T3" fmla="*/ 889 h 383"/>
                                <a:gd name="T4" fmla="+- 0 5629 5469"/>
                                <a:gd name="T5" fmla="*/ T4 w 1293"/>
                                <a:gd name="T6" fmla="+- 0 889 889"/>
                                <a:gd name="T7" fmla="*/ 889 h 383"/>
                                <a:gd name="T8" fmla="+- 0 5537 5469"/>
                                <a:gd name="T9" fmla="*/ T8 w 1293"/>
                                <a:gd name="T10" fmla="+- 0 891 889"/>
                                <a:gd name="T11" fmla="*/ 891 h 383"/>
                                <a:gd name="T12" fmla="+- 0 5489 5469"/>
                                <a:gd name="T13" fmla="*/ T12 w 1293"/>
                                <a:gd name="T14" fmla="+- 0 909 889"/>
                                <a:gd name="T15" fmla="*/ 909 h 383"/>
                                <a:gd name="T16" fmla="+- 0 5472 5469"/>
                                <a:gd name="T17" fmla="*/ T16 w 1293"/>
                                <a:gd name="T18" fmla="+- 0 956 889"/>
                                <a:gd name="T19" fmla="*/ 956 h 383"/>
                                <a:gd name="T20" fmla="+- 0 5469 5469"/>
                                <a:gd name="T21" fmla="*/ T20 w 1293"/>
                                <a:gd name="T22" fmla="+- 0 1049 889"/>
                                <a:gd name="T23" fmla="*/ 1049 h 383"/>
                                <a:gd name="T24" fmla="+- 0 5469 5469"/>
                                <a:gd name="T25" fmla="*/ T24 w 1293"/>
                                <a:gd name="T26" fmla="+- 0 1111 889"/>
                                <a:gd name="T27" fmla="*/ 1111 h 383"/>
                                <a:gd name="T28" fmla="+- 0 5472 5469"/>
                                <a:gd name="T29" fmla="*/ T28 w 1293"/>
                                <a:gd name="T30" fmla="+- 0 1204 889"/>
                                <a:gd name="T31" fmla="*/ 1204 h 383"/>
                                <a:gd name="T32" fmla="+- 0 5489 5469"/>
                                <a:gd name="T33" fmla="*/ T32 w 1293"/>
                                <a:gd name="T34" fmla="+- 0 1251 889"/>
                                <a:gd name="T35" fmla="*/ 1251 h 383"/>
                                <a:gd name="T36" fmla="+- 0 5537 5469"/>
                                <a:gd name="T37" fmla="*/ T36 w 1293"/>
                                <a:gd name="T38" fmla="+- 0 1269 889"/>
                                <a:gd name="T39" fmla="*/ 1269 h 383"/>
                                <a:gd name="T40" fmla="+- 0 5629 5469"/>
                                <a:gd name="T41" fmla="*/ T40 w 1293"/>
                                <a:gd name="T42" fmla="+- 0 1271 889"/>
                                <a:gd name="T43" fmla="*/ 1271 h 383"/>
                                <a:gd name="T44" fmla="+- 0 6602 5469"/>
                                <a:gd name="T45" fmla="*/ T44 w 1293"/>
                                <a:gd name="T46" fmla="+- 0 1271 889"/>
                                <a:gd name="T47" fmla="*/ 1271 h 383"/>
                                <a:gd name="T48" fmla="+- 0 6695 5469"/>
                                <a:gd name="T49" fmla="*/ T48 w 1293"/>
                                <a:gd name="T50" fmla="+- 0 1269 889"/>
                                <a:gd name="T51" fmla="*/ 1269 h 383"/>
                                <a:gd name="T52" fmla="+- 0 6742 5469"/>
                                <a:gd name="T53" fmla="*/ T52 w 1293"/>
                                <a:gd name="T54" fmla="+- 0 1251 889"/>
                                <a:gd name="T55" fmla="*/ 1251 h 383"/>
                                <a:gd name="T56" fmla="+- 0 6760 5469"/>
                                <a:gd name="T57" fmla="*/ T56 w 1293"/>
                                <a:gd name="T58" fmla="+- 0 1204 889"/>
                                <a:gd name="T59" fmla="*/ 1204 h 383"/>
                                <a:gd name="T60" fmla="+- 0 6762 5469"/>
                                <a:gd name="T61" fmla="*/ T60 w 1293"/>
                                <a:gd name="T62" fmla="+- 0 1111 889"/>
                                <a:gd name="T63" fmla="*/ 1111 h 383"/>
                                <a:gd name="T64" fmla="+- 0 6762 5469"/>
                                <a:gd name="T65" fmla="*/ T64 w 1293"/>
                                <a:gd name="T66" fmla="+- 0 1049 889"/>
                                <a:gd name="T67" fmla="*/ 1049 h 383"/>
                                <a:gd name="T68" fmla="+- 0 6760 5469"/>
                                <a:gd name="T69" fmla="*/ T68 w 1293"/>
                                <a:gd name="T70" fmla="+- 0 956 889"/>
                                <a:gd name="T71" fmla="*/ 956 h 383"/>
                                <a:gd name="T72" fmla="+- 0 6742 5469"/>
                                <a:gd name="T73" fmla="*/ T72 w 1293"/>
                                <a:gd name="T74" fmla="+- 0 909 889"/>
                                <a:gd name="T75" fmla="*/ 909 h 383"/>
                                <a:gd name="T76" fmla="+- 0 6695 5469"/>
                                <a:gd name="T77" fmla="*/ T76 w 1293"/>
                                <a:gd name="T78" fmla="+- 0 891 889"/>
                                <a:gd name="T79" fmla="*/ 891 h 383"/>
                                <a:gd name="T80" fmla="+- 0 6602 5469"/>
                                <a:gd name="T81" fmla="*/ T80 w 1293"/>
                                <a:gd name="T82" fmla="+- 0 889 889"/>
                                <a:gd name="T83" fmla="*/ 889 h 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93" h="383">
                                  <a:moveTo>
                                    <a:pt x="1133" y="0"/>
                                  </a:moveTo>
                                  <a:lnTo>
                                    <a:pt x="160" y="0"/>
                                  </a:lnTo>
                                  <a:lnTo>
                                    <a:pt x="68" y="2"/>
                                  </a:lnTo>
                                  <a:lnTo>
                                    <a:pt x="20" y="20"/>
                                  </a:lnTo>
                                  <a:lnTo>
                                    <a:pt x="3" y="67"/>
                                  </a:lnTo>
                                  <a:lnTo>
                                    <a:pt x="0" y="160"/>
                                  </a:lnTo>
                                  <a:lnTo>
                                    <a:pt x="0" y="222"/>
                                  </a:lnTo>
                                  <a:lnTo>
                                    <a:pt x="3" y="315"/>
                                  </a:lnTo>
                                  <a:lnTo>
                                    <a:pt x="20" y="362"/>
                                  </a:lnTo>
                                  <a:lnTo>
                                    <a:pt x="68" y="380"/>
                                  </a:lnTo>
                                  <a:lnTo>
                                    <a:pt x="160" y="382"/>
                                  </a:lnTo>
                                  <a:lnTo>
                                    <a:pt x="1133" y="382"/>
                                  </a:lnTo>
                                  <a:lnTo>
                                    <a:pt x="1226" y="380"/>
                                  </a:lnTo>
                                  <a:lnTo>
                                    <a:pt x="1273" y="362"/>
                                  </a:lnTo>
                                  <a:lnTo>
                                    <a:pt x="1291" y="315"/>
                                  </a:lnTo>
                                  <a:lnTo>
                                    <a:pt x="1293" y="222"/>
                                  </a:lnTo>
                                  <a:lnTo>
                                    <a:pt x="1293" y="160"/>
                                  </a:lnTo>
                                  <a:lnTo>
                                    <a:pt x="1291" y="67"/>
                                  </a:lnTo>
                                  <a:lnTo>
                                    <a:pt x="1273" y="20"/>
                                  </a:lnTo>
                                  <a:lnTo>
                                    <a:pt x="1226" y="2"/>
                                  </a:lnTo>
                                  <a:lnTo>
                                    <a:pt x="1133" y="0"/>
                                  </a:lnTo>
                                  <a:close/>
                                </a:path>
                              </a:pathLst>
                            </a:custGeom>
                            <a:solidFill>
                              <a:srgbClr val="4F84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docshape840"/>
                          <wps:cNvSpPr>
                            <a:spLocks/>
                          </wps:cNvSpPr>
                          <wps:spPr bwMode="auto">
                            <a:xfrm>
                              <a:off x="7243" y="888"/>
                              <a:ext cx="1293" cy="383"/>
                            </a:xfrm>
                            <a:custGeom>
                              <a:avLst/>
                              <a:gdLst>
                                <a:gd name="T0" fmla="+- 0 8376 7244"/>
                                <a:gd name="T1" fmla="*/ T0 w 1293"/>
                                <a:gd name="T2" fmla="+- 0 889 889"/>
                                <a:gd name="T3" fmla="*/ 889 h 383"/>
                                <a:gd name="T4" fmla="+- 0 7404 7244"/>
                                <a:gd name="T5" fmla="*/ T4 w 1293"/>
                                <a:gd name="T6" fmla="+- 0 889 889"/>
                                <a:gd name="T7" fmla="*/ 889 h 383"/>
                                <a:gd name="T8" fmla="+- 0 7311 7244"/>
                                <a:gd name="T9" fmla="*/ T8 w 1293"/>
                                <a:gd name="T10" fmla="+- 0 891 889"/>
                                <a:gd name="T11" fmla="*/ 891 h 383"/>
                                <a:gd name="T12" fmla="+- 0 7264 7244"/>
                                <a:gd name="T13" fmla="*/ T12 w 1293"/>
                                <a:gd name="T14" fmla="+- 0 909 889"/>
                                <a:gd name="T15" fmla="*/ 909 h 383"/>
                                <a:gd name="T16" fmla="+- 0 7246 7244"/>
                                <a:gd name="T17" fmla="*/ T16 w 1293"/>
                                <a:gd name="T18" fmla="+- 0 956 889"/>
                                <a:gd name="T19" fmla="*/ 956 h 383"/>
                                <a:gd name="T20" fmla="+- 0 7244 7244"/>
                                <a:gd name="T21" fmla="*/ T20 w 1293"/>
                                <a:gd name="T22" fmla="+- 0 1049 889"/>
                                <a:gd name="T23" fmla="*/ 1049 h 383"/>
                                <a:gd name="T24" fmla="+- 0 7244 7244"/>
                                <a:gd name="T25" fmla="*/ T24 w 1293"/>
                                <a:gd name="T26" fmla="+- 0 1111 889"/>
                                <a:gd name="T27" fmla="*/ 1111 h 383"/>
                                <a:gd name="T28" fmla="+- 0 7246 7244"/>
                                <a:gd name="T29" fmla="*/ T28 w 1293"/>
                                <a:gd name="T30" fmla="+- 0 1204 889"/>
                                <a:gd name="T31" fmla="*/ 1204 h 383"/>
                                <a:gd name="T32" fmla="+- 0 7264 7244"/>
                                <a:gd name="T33" fmla="*/ T32 w 1293"/>
                                <a:gd name="T34" fmla="+- 0 1251 889"/>
                                <a:gd name="T35" fmla="*/ 1251 h 383"/>
                                <a:gd name="T36" fmla="+- 0 7311 7244"/>
                                <a:gd name="T37" fmla="*/ T36 w 1293"/>
                                <a:gd name="T38" fmla="+- 0 1269 889"/>
                                <a:gd name="T39" fmla="*/ 1269 h 383"/>
                                <a:gd name="T40" fmla="+- 0 7404 7244"/>
                                <a:gd name="T41" fmla="*/ T40 w 1293"/>
                                <a:gd name="T42" fmla="+- 0 1271 889"/>
                                <a:gd name="T43" fmla="*/ 1271 h 383"/>
                                <a:gd name="T44" fmla="+- 0 8376 7244"/>
                                <a:gd name="T45" fmla="*/ T44 w 1293"/>
                                <a:gd name="T46" fmla="+- 0 1271 889"/>
                                <a:gd name="T47" fmla="*/ 1271 h 383"/>
                                <a:gd name="T48" fmla="+- 0 8469 7244"/>
                                <a:gd name="T49" fmla="*/ T48 w 1293"/>
                                <a:gd name="T50" fmla="+- 0 1269 889"/>
                                <a:gd name="T51" fmla="*/ 1269 h 383"/>
                                <a:gd name="T52" fmla="+- 0 8516 7244"/>
                                <a:gd name="T53" fmla="*/ T52 w 1293"/>
                                <a:gd name="T54" fmla="+- 0 1251 889"/>
                                <a:gd name="T55" fmla="*/ 1251 h 383"/>
                                <a:gd name="T56" fmla="+- 0 8534 7244"/>
                                <a:gd name="T57" fmla="*/ T56 w 1293"/>
                                <a:gd name="T58" fmla="+- 0 1204 889"/>
                                <a:gd name="T59" fmla="*/ 1204 h 383"/>
                                <a:gd name="T60" fmla="+- 0 8536 7244"/>
                                <a:gd name="T61" fmla="*/ T60 w 1293"/>
                                <a:gd name="T62" fmla="+- 0 1111 889"/>
                                <a:gd name="T63" fmla="*/ 1111 h 383"/>
                                <a:gd name="T64" fmla="+- 0 8536 7244"/>
                                <a:gd name="T65" fmla="*/ T64 w 1293"/>
                                <a:gd name="T66" fmla="+- 0 1049 889"/>
                                <a:gd name="T67" fmla="*/ 1049 h 383"/>
                                <a:gd name="T68" fmla="+- 0 8534 7244"/>
                                <a:gd name="T69" fmla="*/ T68 w 1293"/>
                                <a:gd name="T70" fmla="+- 0 956 889"/>
                                <a:gd name="T71" fmla="*/ 956 h 383"/>
                                <a:gd name="T72" fmla="+- 0 8516 7244"/>
                                <a:gd name="T73" fmla="*/ T72 w 1293"/>
                                <a:gd name="T74" fmla="+- 0 909 889"/>
                                <a:gd name="T75" fmla="*/ 909 h 383"/>
                                <a:gd name="T76" fmla="+- 0 8469 7244"/>
                                <a:gd name="T77" fmla="*/ T76 w 1293"/>
                                <a:gd name="T78" fmla="+- 0 891 889"/>
                                <a:gd name="T79" fmla="*/ 891 h 383"/>
                                <a:gd name="T80" fmla="+- 0 8376 7244"/>
                                <a:gd name="T81" fmla="*/ T80 w 1293"/>
                                <a:gd name="T82" fmla="+- 0 889 889"/>
                                <a:gd name="T83" fmla="*/ 889 h 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93" h="383">
                                  <a:moveTo>
                                    <a:pt x="1132" y="0"/>
                                  </a:moveTo>
                                  <a:lnTo>
                                    <a:pt x="160" y="0"/>
                                  </a:lnTo>
                                  <a:lnTo>
                                    <a:pt x="67" y="2"/>
                                  </a:lnTo>
                                  <a:lnTo>
                                    <a:pt x="20" y="20"/>
                                  </a:lnTo>
                                  <a:lnTo>
                                    <a:pt x="2" y="67"/>
                                  </a:lnTo>
                                  <a:lnTo>
                                    <a:pt x="0" y="160"/>
                                  </a:lnTo>
                                  <a:lnTo>
                                    <a:pt x="0" y="222"/>
                                  </a:lnTo>
                                  <a:lnTo>
                                    <a:pt x="2" y="315"/>
                                  </a:lnTo>
                                  <a:lnTo>
                                    <a:pt x="20" y="362"/>
                                  </a:lnTo>
                                  <a:lnTo>
                                    <a:pt x="67" y="380"/>
                                  </a:lnTo>
                                  <a:lnTo>
                                    <a:pt x="160" y="382"/>
                                  </a:lnTo>
                                  <a:lnTo>
                                    <a:pt x="1132" y="382"/>
                                  </a:lnTo>
                                  <a:lnTo>
                                    <a:pt x="1225" y="380"/>
                                  </a:lnTo>
                                  <a:lnTo>
                                    <a:pt x="1272" y="362"/>
                                  </a:lnTo>
                                  <a:lnTo>
                                    <a:pt x="1290" y="315"/>
                                  </a:lnTo>
                                  <a:lnTo>
                                    <a:pt x="1292" y="222"/>
                                  </a:lnTo>
                                  <a:lnTo>
                                    <a:pt x="1292" y="160"/>
                                  </a:lnTo>
                                  <a:lnTo>
                                    <a:pt x="1290" y="67"/>
                                  </a:lnTo>
                                  <a:lnTo>
                                    <a:pt x="1272" y="20"/>
                                  </a:lnTo>
                                  <a:lnTo>
                                    <a:pt x="1225" y="2"/>
                                  </a:lnTo>
                                  <a:lnTo>
                                    <a:pt x="1132" y="0"/>
                                  </a:lnTo>
                                  <a:close/>
                                </a:path>
                              </a:pathLst>
                            </a:custGeom>
                            <a:solidFill>
                              <a:srgbClr val="ED106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docshape841"/>
                          <wps:cNvSpPr>
                            <a:spLocks/>
                          </wps:cNvSpPr>
                          <wps:spPr bwMode="auto">
                            <a:xfrm>
                              <a:off x="2057" y="2827"/>
                              <a:ext cx="282" cy="3060"/>
                            </a:xfrm>
                            <a:custGeom>
                              <a:avLst/>
                              <a:gdLst>
                                <a:gd name="T0" fmla="+- 0 2264 2058"/>
                                <a:gd name="T1" fmla="*/ T0 w 282"/>
                                <a:gd name="T2" fmla="+- 0 2828 2828"/>
                                <a:gd name="T3" fmla="*/ 2828 h 3060"/>
                                <a:gd name="T4" fmla="+- 0 2132 2058"/>
                                <a:gd name="T5" fmla="*/ T4 w 282"/>
                                <a:gd name="T6" fmla="+- 0 2828 2828"/>
                                <a:gd name="T7" fmla="*/ 2828 h 3060"/>
                                <a:gd name="T8" fmla="+- 0 2132 2058"/>
                                <a:gd name="T9" fmla="*/ T8 w 282"/>
                                <a:gd name="T10" fmla="+- 0 5674 2828"/>
                                <a:gd name="T11" fmla="*/ 5674 h 3060"/>
                                <a:gd name="T12" fmla="+- 0 2089 2058"/>
                                <a:gd name="T13" fmla="*/ T12 w 282"/>
                                <a:gd name="T14" fmla="+- 0 5674 2828"/>
                                <a:gd name="T15" fmla="*/ 5674 h 3060"/>
                                <a:gd name="T16" fmla="+- 0 2070 2058"/>
                                <a:gd name="T17" fmla="*/ T16 w 282"/>
                                <a:gd name="T18" fmla="+- 0 5677 2828"/>
                                <a:gd name="T19" fmla="*/ 5677 h 3060"/>
                                <a:gd name="T20" fmla="+- 0 2060 2058"/>
                                <a:gd name="T21" fmla="*/ T20 w 282"/>
                                <a:gd name="T22" fmla="+- 0 5687 2828"/>
                                <a:gd name="T23" fmla="*/ 5687 h 3060"/>
                                <a:gd name="T24" fmla="+- 0 2058 2058"/>
                                <a:gd name="T25" fmla="*/ T24 w 282"/>
                                <a:gd name="T26" fmla="+- 0 5701 2828"/>
                                <a:gd name="T27" fmla="*/ 5701 h 3060"/>
                                <a:gd name="T28" fmla="+- 0 2066 2058"/>
                                <a:gd name="T29" fmla="*/ T28 w 282"/>
                                <a:gd name="T30" fmla="+- 0 5718 2828"/>
                                <a:gd name="T31" fmla="*/ 5718 h 3060"/>
                                <a:gd name="T32" fmla="+- 0 2172 2058"/>
                                <a:gd name="T33" fmla="*/ T32 w 282"/>
                                <a:gd name="T34" fmla="+- 0 5869 2828"/>
                                <a:gd name="T35" fmla="*/ 5869 h 3060"/>
                                <a:gd name="T36" fmla="+- 0 2186 2058"/>
                                <a:gd name="T37" fmla="*/ T36 w 282"/>
                                <a:gd name="T38" fmla="+- 0 5883 2828"/>
                                <a:gd name="T39" fmla="*/ 5883 h 3060"/>
                                <a:gd name="T40" fmla="+- 0 2203 2058"/>
                                <a:gd name="T41" fmla="*/ T40 w 282"/>
                                <a:gd name="T42" fmla="+- 0 5888 2828"/>
                                <a:gd name="T43" fmla="*/ 5888 h 3060"/>
                                <a:gd name="T44" fmla="+- 0 2219 2058"/>
                                <a:gd name="T45" fmla="*/ T44 w 282"/>
                                <a:gd name="T46" fmla="+- 0 5883 2828"/>
                                <a:gd name="T47" fmla="*/ 5883 h 3060"/>
                                <a:gd name="T48" fmla="+- 0 2234 2058"/>
                                <a:gd name="T49" fmla="*/ T48 w 282"/>
                                <a:gd name="T50" fmla="+- 0 5869 2828"/>
                                <a:gd name="T51" fmla="*/ 5869 h 3060"/>
                                <a:gd name="T52" fmla="+- 0 2332 2058"/>
                                <a:gd name="T53" fmla="*/ T52 w 282"/>
                                <a:gd name="T54" fmla="+- 0 5720 2828"/>
                                <a:gd name="T55" fmla="*/ 5720 h 3060"/>
                                <a:gd name="T56" fmla="+- 0 2340 2058"/>
                                <a:gd name="T57" fmla="*/ T56 w 282"/>
                                <a:gd name="T58" fmla="+- 0 5702 2828"/>
                                <a:gd name="T59" fmla="*/ 5702 h 3060"/>
                                <a:gd name="T60" fmla="+- 0 2337 2058"/>
                                <a:gd name="T61" fmla="*/ T60 w 282"/>
                                <a:gd name="T62" fmla="+- 0 5688 2828"/>
                                <a:gd name="T63" fmla="*/ 5688 h 3060"/>
                                <a:gd name="T64" fmla="+- 0 2326 2058"/>
                                <a:gd name="T65" fmla="*/ T64 w 282"/>
                                <a:gd name="T66" fmla="+- 0 5678 2828"/>
                                <a:gd name="T67" fmla="*/ 5678 h 3060"/>
                                <a:gd name="T68" fmla="+- 0 2307 2058"/>
                                <a:gd name="T69" fmla="*/ T68 w 282"/>
                                <a:gd name="T70" fmla="+- 0 5674 2828"/>
                                <a:gd name="T71" fmla="*/ 5674 h 3060"/>
                                <a:gd name="T72" fmla="+- 0 2265 2058"/>
                                <a:gd name="T73" fmla="*/ T72 w 282"/>
                                <a:gd name="T74" fmla="+- 0 5674 2828"/>
                                <a:gd name="T75" fmla="*/ 5674 h 3060"/>
                                <a:gd name="T76" fmla="+- 0 2264 2058"/>
                                <a:gd name="T77" fmla="*/ T76 w 282"/>
                                <a:gd name="T78" fmla="+- 0 2828 2828"/>
                                <a:gd name="T79" fmla="*/ 2828 h 30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2" h="3060">
                                  <a:moveTo>
                                    <a:pt x="206" y="0"/>
                                  </a:moveTo>
                                  <a:lnTo>
                                    <a:pt x="74" y="0"/>
                                  </a:lnTo>
                                  <a:lnTo>
                                    <a:pt x="74" y="2846"/>
                                  </a:lnTo>
                                  <a:lnTo>
                                    <a:pt x="31" y="2846"/>
                                  </a:lnTo>
                                  <a:lnTo>
                                    <a:pt x="12" y="2849"/>
                                  </a:lnTo>
                                  <a:lnTo>
                                    <a:pt x="2" y="2859"/>
                                  </a:lnTo>
                                  <a:lnTo>
                                    <a:pt x="0" y="2873"/>
                                  </a:lnTo>
                                  <a:lnTo>
                                    <a:pt x="8" y="2890"/>
                                  </a:lnTo>
                                  <a:lnTo>
                                    <a:pt x="114" y="3041"/>
                                  </a:lnTo>
                                  <a:lnTo>
                                    <a:pt x="128" y="3055"/>
                                  </a:lnTo>
                                  <a:lnTo>
                                    <a:pt x="145" y="3060"/>
                                  </a:lnTo>
                                  <a:lnTo>
                                    <a:pt x="161" y="3055"/>
                                  </a:lnTo>
                                  <a:lnTo>
                                    <a:pt x="176" y="3041"/>
                                  </a:lnTo>
                                  <a:lnTo>
                                    <a:pt x="274" y="2892"/>
                                  </a:lnTo>
                                  <a:lnTo>
                                    <a:pt x="282" y="2874"/>
                                  </a:lnTo>
                                  <a:lnTo>
                                    <a:pt x="279" y="2860"/>
                                  </a:lnTo>
                                  <a:lnTo>
                                    <a:pt x="268" y="2850"/>
                                  </a:lnTo>
                                  <a:lnTo>
                                    <a:pt x="249" y="2846"/>
                                  </a:lnTo>
                                  <a:lnTo>
                                    <a:pt x="207" y="2846"/>
                                  </a:lnTo>
                                  <a:lnTo>
                                    <a:pt x="206" y="0"/>
                                  </a:lnTo>
                                  <a:close/>
                                </a:path>
                              </a:pathLst>
                            </a:custGeom>
                            <a:solidFill>
                              <a:srgbClr val="B8B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docshape842"/>
                          <wps:cNvSpPr>
                            <a:spLocks/>
                          </wps:cNvSpPr>
                          <wps:spPr bwMode="auto">
                            <a:xfrm>
                              <a:off x="1131" y="1719"/>
                              <a:ext cx="2268" cy="1134"/>
                            </a:xfrm>
                            <a:custGeom>
                              <a:avLst/>
                              <a:gdLst>
                                <a:gd name="T0" fmla="+- 0 3159 1131"/>
                                <a:gd name="T1" fmla="*/ T0 w 2268"/>
                                <a:gd name="T2" fmla="+- 0 1719 1719"/>
                                <a:gd name="T3" fmla="*/ 1719 h 1134"/>
                                <a:gd name="T4" fmla="+- 0 1371 1131"/>
                                <a:gd name="T5" fmla="*/ T4 w 2268"/>
                                <a:gd name="T6" fmla="+- 0 1719 1719"/>
                                <a:gd name="T7" fmla="*/ 1719 h 1134"/>
                                <a:gd name="T8" fmla="+- 0 1232 1131"/>
                                <a:gd name="T9" fmla="*/ T8 w 2268"/>
                                <a:gd name="T10" fmla="+- 0 1723 1719"/>
                                <a:gd name="T11" fmla="*/ 1723 h 1134"/>
                                <a:gd name="T12" fmla="+- 0 1161 1131"/>
                                <a:gd name="T13" fmla="*/ T12 w 2268"/>
                                <a:gd name="T14" fmla="+- 0 1749 1719"/>
                                <a:gd name="T15" fmla="*/ 1749 h 1134"/>
                                <a:gd name="T16" fmla="+- 0 1135 1131"/>
                                <a:gd name="T17" fmla="*/ T16 w 2268"/>
                                <a:gd name="T18" fmla="+- 0 1821 1719"/>
                                <a:gd name="T19" fmla="*/ 1821 h 1134"/>
                                <a:gd name="T20" fmla="+- 0 1131 1131"/>
                                <a:gd name="T21" fmla="*/ T20 w 2268"/>
                                <a:gd name="T22" fmla="+- 0 1959 1719"/>
                                <a:gd name="T23" fmla="*/ 1959 h 1134"/>
                                <a:gd name="T24" fmla="+- 0 1131 1131"/>
                                <a:gd name="T25" fmla="*/ T24 w 2268"/>
                                <a:gd name="T26" fmla="+- 0 2613 1719"/>
                                <a:gd name="T27" fmla="*/ 2613 h 1134"/>
                                <a:gd name="T28" fmla="+- 0 1135 1131"/>
                                <a:gd name="T29" fmla="*/ T28 w 2268"/>
                                <a:gd name="T30" fmla="+- 0 2752 1719"/>
                                <a:gd name="T31" fmla="*/ 2752 h 1134"/>
                                <a:gd name="T32" fmla="+- 0 1161 1131"/>
                                <a:gd name="T33" fmla="*/ T32 w 2268"/>
                                <a:gd name="T34" fmla="+- 0 2823 1719"/>
                                <a:gd name="T35" fmla="*/ 2823 h 1134"/>
                                <a:gd name="T36" fmla="+- 0 1232 1131"/>
                                <a:gd name="T37" fmla="*/ T36 w 2268"/>
                                <a:gd name="T38" fmla="+- 0 2849 1719"/>
                                <a:gd name="T39" fmla="*/ 2849 h 1134"/>
                                <a:gd name="T40" fmla="+- 0 1371 1131"/>
                                <a:gd name="T41" fmla="*/ T40 w 2268"/>
                                <a:gd name="T42" fmla="+- 0 2853 1719"/>
                                <a:gd name="T43" fmla="*/ 2853 h 1134"/>
                                <a:gd name="T44" fmla="+- 0 3159 1131"/>
                                <a:gd name="T45" fmla="*/ T44 w 2268"/>
                                <a:gd name="T46" fmla="+- 0 2853 1719"/>
                                <a:gd name="T47" fmla="*/ 2853 h 1134"/>
                                <a:gd name="T48" fmla="+- 0 3297 1131"/>
                                <a:gd name="T49" fmla="*/ T48 w 2268"/>
                                <a:gd name="T50" fmla="+- 0 2849 1719"/>
                                <a:gd name="T51" fmla="*/ 2849 h 1134"/>
                                <a:gd name="T52" fmla="+- 0 3369 1131"/>
                                <a:gd name="T53" fmla="*/ T52 w 2268"/>
                                <a:gd name="T54" fmla="+- 0 2823 1719"/>
                                <a:gd name="T55" fmla="*/ 2823 h 1134"/>
                                <a:gd name="T56" fmla="+- 0 3395 1131"/>
                                <a:gd name="T57" fmla="*/ T56 w 2268"/>
                                <a:gd name="T58" fmla="+- 0 2752 1719"/>
                                <a:gd name="T59" fmla="*/ 2752 h 1134"/>
                                <a:gd name="T60" fmla="+- 0 3399 1131"/>
                                <a:gd name="T61" fmla="*/ T60 w 2268"/>
                                <a:gd name="T62" fmla="+- 0 2613 1719"/>
                                <a:gd name="T63" fmla="*/ 2613 h 1134"/>
                                <a:gd name="T64" fmla="+- 0 3399 1131"/>
                                <a:gd name="T65" fmla="*/ T64 w 2268"/>
                                <a:gd name="T66" fmla="+- 0 1959 1719"/>
                                <a:gd name="T67" fmla="*/ 1959 h 1134"/>
                                <a:gd name="T68" fmla="+- 0 3395 1131"/>
                                <a:gd name="T69" fmla="*/ T68 w 2268"/>
                                <a:gd name="T70" fmla="+- 0 1821 1719"/>
                                <a:gd name="T71" fmla="*/ 1821 h 1134"/>
                                <a:gd name="T72" fmla="+- 0 3369 1131"/>
                                <a:gd name="T73" fmla="*/ T72 w 2268"/>
                                <a:gd name="T74" fmla="+- 0 1749 1719"/>
                                <a:gd name="T75" fmla="*/ 1749 h 1134"/>
                                <a:gd name="T76" fmla="+- 0 3297 1131"/>
                                <a:gd name="T77" fmla="*/ T76 w 2268"/>
                                <a:gd name="T78" fmla="+- 0 1723 1719"/>
                                <a:gd name="T79" fmla="*/ 1723 h 1134"/>
                                <a:gd name="T80" fmla="+- 0 3159 1131"/>
                                <a:gd name="T81" fmla="*/ T80 w 2268"/>
                                <a:gd name="T82" fmla="+- 0 1719 1719"/>
                                <a:gd name="T83" fmla="*/ 1719 h 1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268" h="1134">
                                  <a:moveTo>
                                    <a:pt x="2028" y="0"/>
                                  </a:moveTo>
                                  <a:lnTo>
                                    <a:pt x="240" y="0"/>
                                  </a:lnTo>
                                  <a:lnTo>
                                    <a:pt x="101" y="4"/>
                                  </a:lnTo>
                                  <a:lnTo>
                                    <a:pt x="30" y="30"/>
                                  </a:lnTo>
                                  <a:lnTo>
                                    <a:pt x="4" y="102"/>
                                  </a:lnTo>
                                  <a:lnTo>
                                    <a:pt x="0" y="240"/>
                                  </a:lnTo>
                                  <a:lnTo>
                                    <a:pt x="0" y="894"/>
                                  </a:lnTo>
                                  <a:lnTo>
                                    <a:pt x="4" y="1033"/>
                                  </a:lnTo>
                                  <a:lnTo>
                                    <a:pt x="30" y="1104"/>
                                  </a:lnTo>
                                  <a:lnTo>
                                    <a:pt x="101" y="1130"/>
                                  </a:lnTo>
                                  <a:lnTo>
                                    <a:pt x="240" y="1134"/>
                                  </a:lnTo>
                                  <a:lnTo>
                                    <a:pt x="2028" y="1134"/>
                                  </a:lnTo>
                                  <a:lnTo>
                                    <a:pt x="2166" y="1130"/>
                                  </a:lnTo>
                                  <a:lnTo>
                                    <a:pt x="2238" y="1104"/>
                                  </a:lnTo>
                                  <a:lnTo>
                                    <a:pt x="2264" y="1033"/>
                                  </a:lnTo>
                                  <a:lnTo>
                                    <a:pt x="2268" y="894"/>
                                  </a:lnTo>
                                  <a:lnTo>
                                    <a:pt x="2268" y="240"/>
                                  </a:lnTo>
                                  <a:lnTo>
                                    <a:pt x="2264" y="102"/>
                                  </a:lnTo>
                                  <a:lnTo>
                                    <a:pt x="2238" y="30"/>
                                  </a:lnTo>
                                  <a:lnTo>
                                    <a:pt x="2166" y="4"/>
                                  </a:lnTo>
                                  <a:lnTo>
                                    <a:pt x="2028" y="0"/>
                                  </a:lnTo>
                                  <a:close/>
                                </a:path>
                              </a:pathLst>
                            </a:custGeom>
                            <a:solidFill>
                              <a:srgbClr val="7F3F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docshape843"/>
                          <wps:cNvSpPr>
                            <a:spLocks/>
                          </wps:cNvSpPr>
                          <wps:spPr bwMode="auto">
                            <a:xfrm>
                              <a:off x="9900" y="2827"/>
                              <a:ext cx="282" cy="3060"/>
                            </a:xfrm>
                            <a:custGeom>
                              <a:avLst/>
                              <a:gdLst>
                                <a:gd name="T0" fmla="+- 0 10107 9900"/>
                                <a:gd name="T1" fmla="*/ T0 w 282"/>
                                <a:gd name="T2" fmla="+- 0 2828 2828"/>
                                <a:gd name="T3" fmla="*/ 2828 h 3060"/>
                                <a:gd name="T4" fmla="+- 0 9975 9900"/>
                                <a:gd name="T5" fmla="*/ T4 w 282"/>
                                <a:gd name="T6" fmla="+- 0 2828 2828"/>
                                <a:gd name="T7" fmla="*/ 2828 h 3060"/>
                                <a:gd name="T8" fmla="+- 0 9974 9900"/>
                                <a:gd name="T9" fmla="*/ T8 w 282"/>
                                <a:gd name="T10" fmla="+- 0 5674 2828"/>
                                <a:gd name="T11" fmla="*/ 5674 h 3060"/>
                                <a:gd name="T12" fmla="+- 0 9932 9900"/>
                                <a:gd name="T13" fmla="*/ T12 w 282"/>
                                <a:gd name="T14" fmla="+- 0 5674 2828"/>
                                <a:gd name="T15" fmla="*/ 5674 h 3060"/>
                                <a:gd name="T16" fmla="+- 0 9913 9900"/>
                                <a:gd name="T17" fmla="*/ T16 w 282"/>
                                <a:gd name="T18" fmla="+- 0 5677 2828"/>
                                <a:gd name="T19" fmla="*/ 5677 h 3060"/>
                                <a:gd name="T20" fmla="+- 0 9902 9900"/>
                                <a:gd name="T21" fmla="*/ T20 w 282"/>
                                <a:gd name="T22" fmla="+- 0 5687 2828"/>
                                <a:gd name="T23" fmla="*/ 5687 h 3060"/>
                                <a:gd name="T24" fmla="+- 0 9900 9900"/>
                                <a:gd name="T25" fmla="*/ T24 w 282"/>
                                <a:gd name="T26" fmla="+- 0 5701 2828"/>
                                <a:gd name="T27" fmla="*/ 5701 h 3060"/>
                                <a:gd name="T28" fmla="+- 0 9908 9900"/>
                                <a:gd name="T29" fmla="*/ T28 w 282"/>
                                <a:gd name="T30" fmla="+- 0 5718 2828"/>
                                <a:gd name="T31" fmla="*/ 5718 h 3060"/>
                                <a:gd name="T32" fmla="+- 0 10014 9900"/>
                                <a:gd name="T33" fmla="*/ T32 w 282"/>
                                <a:gd name="T34" fmla="+- 0 5869 2828"/>
                                <a:gd name="T35" fmla="*/ 5869 h 3060"/>
                                <a:gd name="T36" fmla="+- 0 10029 9900"/>
                                <a:gd name="T37" fmla="*/ T36 w 282"/>
                                <a:gd name="T38" fmla="+- 0 5883 2828"/>
                                <a:gd name="T39" fmla="*/ 5883 h 3060"/>
                                <a:gd name="T40" fmla="+- 0 10046 9900"/>
                                <a:gd name="T41" fmla="*/ T40 w 282"/>
                                <a:gd name="T42" fmla="+- 0 5888 2828"/>
                                <a:gd name="T43" fmla="*/ 5888 h 3060"/>
                                <a:gd name="T44" fmla="+- 0 10062 9900"/>
                                <a:gd name="T45" fmla="*/ T44 w 282"/>
                                <a:gd name="T46" fmla="+- 0 5883 2828"/>
                                <a:gd name="T47" fmla="*/ 5883 h 3060"/>
                                <a:gd name="T48" fmla="+- 0 10076 9900"/>
                                <a:gd name="T49" fmla="*/ T48 w 282"/>
                                <a:gd name="T50" fmla="+- 0 5869 2828"/>
                                <a:gd name="T51" fmla="*/ 5869 h 3060"/>
                                <a:gd name="T52" fmla="+- 0 10175 9900"/>
                                <a:gd name="T53" fmla="*/ T52 w 282"/>
                                <a:gd name="T54" fmla="+- 0 5720 2828"/>
                                <a:gd name="T55" fmla="*/ 5720 h 3060"/>
                                <a:gd name="T56" fmla="+- 0 10182 9900"/>
                                <a:gd name="T57" fmla="*/ T56 w 282"/>
                                <a:gd name="T58" fmla="+- 0 5702 2828"/>
                                <a:gd name="T59" fmla="*/ 5702 h 3060"/>
                                <a:gd name="T60" fmla="+- 0 10180 9900"/>
                                <a:gd name="T61" fmla="*/ T60 w 282"/>
                                <a:gd name="T62" fmla="+- 0 5688 2828"/>
                                <a:gd name="T63" fmla="*/ 5688 h 3060"/>
                                <a:gd name="T64" fmla="+- 0 10169 9900"/>
                                <a:gd name="T65" fmla="*/ T64 w 282"/>
                                <a:gd name="T66" fmla="+- 0 5678 2828"/>
                                <a:gd name="T67" fmla="*/ 5678 h 3060"/>
                                <a:gd name="T68" fmla="+- 0 10150 9900"/>
                                <a:gd name="T69" fmla="*/ T68 w 282"/>
                                <a:gd name="T70" fmla="+- 0 5674 2828"/>
                                <a:gd name="T71" fmla="*/ 5674 h 3060"/>
                                <a:gd name="T72" fmla="+- 0 10107 9900"/>
                                <a:gd name="T73" fmla="*/ T72 w 282"/>
                                <a:gd name="T74" fmla="+- 0 5674 2828"/>
                                <a:gd name="T75" fmla="*/ 5674 h 3060"/>
                                <a:gd name="T76" fmla="+- 0 10107 9900"/>
                                <a:gd name="T77" fmla="*/ T76 w 282"/>
                                <a:gd name="T78" fmla="+- 0 2828 2828"/>
                                <a:gd name="T79" fmla="*/ 2828 h 30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2" h="3060">
                                  <a:moveTo>
                                    <a:pt x="207" y="0"/>
                                  </a:moveTo>
                                  <a:lnTo>
                                    <a:pt x="75" y="0"/>
                                  </a:lnTo>
                                  <a:lnTo>
                                    <a:pt x="74" y="2846"/>
                                  </a:lnTo>
                                  <a:lnTo>
                                    <a:pt x="32" y="2846"/>
                                  </a:lnTo>
                                  <a:lnTo>
                                    <a:pt x="13" y="2849"/>
                                  </a:lnTo>
                                  <a:lnTo>
                                    <a:pt x="2" y="2859"/>
                                  </a:lnTo>
                                  <a:lnTo>
                                    <a:pt x="0" y="2873"/>
                                  </a:lnTo>
                                  <a:lnTo>
                                    <a:pt x="8" y="2890"/>
                                  </a:lnTo>
                                  <a:lnTo>
                                    <a:pt x="114" y="3041"/>
                                  </a:lnTo>
                                  <a:lnTo>
                                    <a:pt x="129" y="3055"/>
                                  </a:lnTo>
                                  <a:lnTo>
                                    <a:pt x="146" y="3060"/>
                                  </a:lnTo>
                                  <a:lnTo>
                                    <a:pt x="162" y="3055"/>
                                  </a:lnTo>
                                  <a:lnTo>
                                    <a:pt x="176" y="3041"/>
                                  </a:lnTo>
                                  <a:lnTo>
                                    <a:pt x="275" y="2892"/>
                                  </a:lnTo>
                                  <a:lnTo>
                                    <a:pt x="282" y="2874"/>
                                  </a:lnTo>
                                  <a:lnTo>
                                    <a:pt x="280" y="2860"/>
                                  </a:lnTo>
                                  <a:lnTo>
                                    <a:pt x="269" y="2850"/>
                                  </a:lnTo>
                                  <a:lnTo>
                                    <a:pt x="250" y="2846"/>
                                  </a:lnTo>
                                  <a:lnTo>
                                    <a:pt x="207" y="2846"/>
                                  </a:lnTo>
                                  <a:lnTo>
                                    <a:pt x="207" y="0"/>
                                  </a:lnTo>
                                  <a:close/>
                                </a:path>
                              </a:pathLst>
                            </a:custGeom>
                            <a:solidFill>
                              <a:srgbClr val="B8B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docshape844"/>
                          <wps:cNvSpPr>
                            <a:spLocks/>
                          </wps:cNvSpPr>
                          <wps:spPr bwMode="auto">
                            <a:xfrm>
                              <a:off x="8839" y="1705"/>
                              <a:ext cx="2268" cy="1134"/>
                            </a:xfrm>
                            <a:custGeom>
                              <a:avLst/>
                              <a:gdLst>
                                <a:gd name="T0" fmla="+- 0 10868 8840"/>
                                <a:gd name="T1" fmla="*/ T0 w 2268"/>
                                <a:gd name="T2" fmla="+- 0 1705 1705"/>
                                <a:gd name="T3" fmla="*/ 1705 h 1134"/>
                                <a:gd name="T4" fmla="+- 0 9080 8840"/>
                                <a:gd name="T5" fmla="*/ T4 w 2268"/>
                                <a:gd name="T6" fmla="+- 0 1705 1705"/>
                                <a:gd name="T7" fmla="*/ 1705 h 1134"/>
                                <a:gd name="T8" fmla="+- 0 8941 8840"/>
                                <a:gd name="T9" fmla="*/ T8 w 2268"/>
                                <a:gd name="T10" fmla="+- 0 1709 1705"/>
                                <a:gd name="T11" fmla="*/ 1709 h 1134"/>
                                <a:gd name="T12" fmla="+- 0 8870 8840"/>
                                <a:gd name="T13" fmla="*/ T12 w 2268"/>
                                <a:gd name="T14" fmla="+- 0 1735 1705"/>
                                <a:gd name="T15" fmla="*/ 1735 h 1134"/>
                                <a:gd name="T16" fmla="+- 0 8844 8840"/>
                                <a:gd name="T17" fmla="*/ T16 w 2268"/>
                                <a:gd name="T18" fmla="+- 0 1806 1705"/>
                                <a:gd name="T19" fmla="*/ 1806 h 1134"/>
                                <a:gd name="T20" fmla="+- 0 8840 8840"/>
                                <a:gd name="T21" fmla="*/ T20 w 2268"/>
                                <a:gd name="T22" fmla="+- 0 1945 1705"/>
                                <a:gd name="T23" fmla="*/ 1945 h 1134"/>
                                <a:gd name="T24" fmla="+- 0 8840 8840"/>
                                <a:gd name="T25" fmla="*/ T24 w 2268"/>
                                <a:gd name="T26" fmla="+- 0 2599 1705"/>
                                <a:gd name="T27" fmla="*/ 2599 h 1134"/>
                                <a:gd name="T28" fmla="+- 0 8844 8840"/>
                                <a:gd name="T29" fmla="*/ T28 w 2268"/>
                                <a:gd name="T30" fmla="+- 0 2738 1705"/>
                                <a:gd name="T31" fmla="*/ 2738 h 1134"/>
                                <a:gd name="T32" fmla="+- 0 8870 8840"/>
                                <a:gd name="T33" fmla="*/ T32 w 2268"/>
                                <a:gd name="T34" fmla="+- 0 2809 1705"/>
                                <a:gd name="T35" fmla="*/ 2809 h 1134"/>
                                <a:gd name="T36" fmla="+- 0 8941 8840"/>
                                <a:gd name="T37" fmla="*/ T36 w 2268"/>
                                <a:gd name="T38" fmla="+- 0 2835 1705"/>
                                <a:gd name="T39" fmla="*/ 2835 h 1134"/>
                                <a:gd name="T40" fmla="+- 0 9080 8840"/>
                                <a:gd name="T41" fmla="*/ T40 w 2268"/>
                                <a:gd name="T42" fmla="+- 0 2839 1705"/>
                                <a:gd name="T43" fmla="*/ 2839 h 1134"/>
                                <a:gd name="T44" fmla="+- 0 10868 8840"/>
                                <a:gd name="T45" fmla="*/ T44 w 2268"/>
                                <a:gd name="T46" fmla="+- 0 2839 1705"/>
                                <a:gd name="T47" fmla="*/ 2839 h 1134"/>
                                <a:gd name="T48" fmla="+- 0 11006 8840"/>
                                <a:gd name="T49" fmla="*/ T48 w 2268"/>
                                <a:gd name="T50" fmla="+- 0 2835 1705"/>
                                <a:gd name="T51" fmla="*/ 2835 h 1134"/>
                                <a:gd name="T52" fmla="+- 0 11078 8840"/>
                                <a:gd name="T53" fmla="*/ T52 w 2268"/>
                                <a:gd name="T54" fmla="+- 0 2809 1705"/>
                                <a:gd name="T55" fmla="*/ 2809 h 1134"/>
                                <a:gd name="T56" fmla="+- 0 11104 8840"/>
                                <a:gd name="T57" fmla="*/ T56 w 2268"/>
                                <a:gd name="T58" fmla="+- 0 2738 1705"/>
                                <a:gd name="T59" fmla="*/ 2738 h 1134"/>
                                <a:gd name="T60" fmla="+- 0 11108 8840"/>
                                <a:gd name="T61" fmla="*/ T60 w 2268"/>
                                <a:gd name="T62" fmla="+- 0 2599 1705"/>
                                <a:gd name="T63" fmla="*/ 2599 h 1134"/>
                                <a:gd name="T64" fmla="+- 0 11108 8840"/>
                                <a:gd name="T65" fmla="*/ T64 w 2268"/>
                                <a:gd name="T66" fmla="+- 0 1945 1705"/>
                                <a:gd name="T67" fmla="*/ 1945 h 1134"/>
                                <a:gd name="T68" fmla="+- 0 11104 8840"/>
                                <a:gd name="T69" fmla="*/ T68 w 2268"/>
                                <a:gd name="T70" fmla="+- 0 1806 1705"/>
                                <a:gd name="T71" fmla="*/ 1806 h 1134"/>
                                <a:gd name="T72" fmla="+- 0 11078 8840"/>
                                <a:gd name="T73" fmla="*/ T72 w 2268"/>
                                <a:gd name="T74" fmla="+- 0 1735 1705"/>
                                <a:gd name="T75" fmla="*/ 1735 h 1134"/>
                                <a:gd name="T76" fmla="+- 0 11006 8840"/>
                                <a:gd name="T77" fmla="*/ T76 w 2268"/>
                                <a:gd name="T78" fmla="+- 0 1709 1705"/>
                                <a:gd name="T79" fmla="*/ 1709 h 1134"/>
                                <a:gd name="T80" fmla="+- 0 10868 8840"/>
                                <a:gd name="T81" fmla="*/ T80 w 2268"/>
                                <a:gd name="T82" fmla="+- 0 1705 1705"/>
                                <a:gd name="T83" fmla="*/ 1705 h 1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268" h="1134">
                                  <a:moveTo>
                                    <a:pt x="2028" y="0"/>
                                  </a:moveTo>
                                  <a:lnTo>
                                    <a:pt x="240" y="0"/>
                                  </a:lnTo>
                                  <a:lnTo>
                                    <a:pt x="101" y="4"/>
                                  </a:lnTo>
                                  <a:lnTo>
                                    <a:pt x="30" y="30"/>
                                  </a:lnTo>
                                  <a:lnTo>
                                    <a:pt x="4" y="101"/>
                                  </a:lnTo>
                                  <a:lnTo>
                                    <a:pt x="0" y="240"/>
                                  </a:lnTo>
                                  <a:lnTo>
                                    <a:pt x="0" y="894"/>
                                  </a:lnTo>
                                  <a:lnTo>
                                    <a:pt x="4" y="1033"/>
                                  </a:lnTo>
                                  <a:lnTo>
                                    <a:pt x="30" y="1104"/>
                                  </a:lnTo>
                                  <a:lnTo>
                                    <a:pt x="101" y="1130"/>
                                  </a:lnTo>
                                  <a:lnTo>
                                    <a:pt x="240" y="1134"/>
                                  </a:lnTo>
                                  <a:lnTo>
                                    <a:pt x="2028" y="1134"/>
                                  </a:lnTo>
                                  <a:lnTo>
                                    <a:pt x="2166" y="1130"/>
                                  </a:lnTo>
                                  <a:lnTo>
                                    <a:pt x="2238" y="1104"/>
                                  </a:lnTo>
                                  <a:lnTo>
                                    <a:pt x="2264" y="1033"/>
                                  </a:lnTo>
                                  <a:lnTo>
                                    <a:pt x="2268" y="894"/>
                                  </a:lnTo>
                                  <a:lnTo>
                                    <a:pt x="2268" y="240"/>
                                  </a:lnTo>
                                  <a:lnTo>
                                    <a:pt x="2264" y="101"/>
                                  </a:lnTo>
                                  <a:lnTo>
                                    <a:pt x="2238" y="30"/>
                                  </a:lnTo>
                                  <a:lnTo>
                                    <a:pt x="2166" y="4"/>
                                  </a:lnTo>
                                  <a:lnTo>
                                    <a:pt x="2028" y="0"/>
                                  </a:lnTo>
                                  <a:close/>
                                </a:path>
                              </a:pathLst>
                            </a:custGeom>
                            <a:solidFill>
                              <a:srgbClr val="ED106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docshape845"/>
                          <wps:cNvSpPr>
                            <a:spLocks/>
                          </wps:cNvSpPr>
                          <wps:spPr bwMode="auto">
                            <a:xfrm>
                              <a:off x="5003" y="1815"/>
                              <a:ext cx="2265" cy="1122"/>
                            </a:xfrm>
                            <a:custGeom>
                              <a:avLst/>
                              <a:gdLst>
                                <a:gd name="T0" fmla="+- 0 6120 5004"/>
                                <a:gd name="T1" fmla="*/ T0 w 2265"/>
                                <a:gd name="T2" fmla="+- 0 1909 1816"/>
                                <a:gd name="T3" fmla="*/ 1909 h 1122"/>
                                <a:gd name="T4" fmla="+- 0 6027 5004"/>
                                <a:gd name="T5" fmla="*/ T4 w 2265"/>
                                <a:gd name="T6" fmla="+- 0 1816 1816"/>
                                <a:gd name="T7" fmla="*/ 1816 h 1122"/>
                                <a:gd name="T8" fmla="+- 0 5161 5004"/>
                                <a:gd name="T9" fmla="*/ T8 w 2265"/>
                                <a:gd name="T10" fmla="+- 0 2681 1816"/>
                                <a:gd name="T11" fmla="*/ 2681 h 1122"/>
                                <a:gd name="T12" fmla="+- 0 5131 5004"/>
                                <a:gd name="T13" fmla="*/ T12 w 2265"/>
                                <a:gd name="T14" fmla="+- 0 2651 1816"/>
                                <a:gd name="T15" fmla="*/ 2651 h 1122"/>
                                <a:gd name="T16" fmla="+- 0 5114 5004"/>
                                <a:gd name="T17" fmla="*/ T16 w 2265"/>
                                <a:gd name="T18" fmla="+- 0 2640 1816"/>
                                <a:gd name="T19" fmla="*/ 2640 h 1122"/>
                                <a:gd name="T20" fmla="+- 0 5097 5004"/>
                                <a:gd name="T21" fmla="*/ T20 w 2265"/>
                                <a:gd name="T22" fmla="+- 0 2642 1816"/>
                                <a:gd name="T23" fmla="*/ 2642 h 1122"/>
                                <a:gd name="T24" fmla="+- 0 5082 5004"/>
                                <a:gd name="T25" fmla="*/ T24 w 2265"/>
                                <a:gd name="T26" fmla="+- 0 2653 1816"/>
                                <a:gd name="T27" fmla="*/ 2653 h 1122"/>
                                <a:gd name="T28" fmla="+- 0 5071 5004"/>
                                <a:gd name="T29" fmla="*/ T28 w 2265"/>
                                <a:gd name="T30" fmla="+- 0 2675 1816"/>
                                <a:gd name="T31" fmla="*/ 2675 h 1122"/>
                                <a:gd name="T32" fmla="+- 0 5007 5004"/>
                                <a:gd name="T33" fmla="*/ T32 w 2265"/>
                                <a:gd name="T34" fmla="+- 0 2879 1816"/>
                                <a:gd name="T35" fmla="*/ 2879 h 1122"/>
                                <a:gd name="T36" fmla="+- 0 5004 5004"/>
                                <a:gd name="T37" fmla="*/ T36 w 2265"/>
                                <a:gd name="T38" fmla="+- 0 2902 1816"/>
                                <a:gd name="T39" fmla="*/ 2902 h 1122"/>
                                <a:gd name="T40" fmla="+- 0 5011 5004"/>
                                <a:gd name="T41" fmla="*/ T40 w 2265"/>
                                <a:gd name="T42" fmla="+- 0 2918 1816"/>
                                <a:gd name="T43" fmla="*/ 2918 h 1122"/>
                                <a:gd name="T44" fmla="+- 0 5027 5004"/>
                                <a:gd name="T45" fmla="*/ T44 w 2265"/>
                                <a:gd name="T46" fmla="+- 0 2926 1816"/>
                                <a:gd name="T47" fmla="*/ 2926 h 1122"/>
                                <a:gd name="T48" fmla="+- 0 5050 5004"/>
                                <a:gd name="T49" fmla="*/ T48 w 2265"/>
                                <a:gd name="T50" fmla="+- 0 2924 1816"/>
                                <a:gd name="T51" fmla="*/ 2924 h 1122"/>
                                <a:gd name="T52" fmla="+- 0 5262 5004"/>
                                <a:gd name="T53" fmla="*/ T52 w 2265"/>
                                <a:gd name="T54" fmla="+- 0 2862 1816"/>
                                <a:gd name="T55" fmla="*/ 2862 h 1122"/>
                                <a:gd name="T56" fmla="+- 0 5283 5004"/>
                                <a:gd name="T57" fmla="*/ T56 w 2265"/>
                                <a:gd name="T58" fmla="+- 0 2851 1816"/>
                                <a:gd name="T59" fmla="*/ 2851 h 1122"/>
                                <a:gd name="T60" fmla="+- 0 5295 5004"/>
                                <a:gd name="T61" fmla="*/ T60 w 2265"/>
                                <a:gd name="T62" fmla="+- 0 2837 1816"/>
                                <a:gd name="T63" fmla="*/ 2837 h 1122"/>
                                <a:gd name="T64" fmla="+- 0 5296 5004"/>
                                <a:gd name="T65" fmla="*/ T64 w 2265"/>
                                <a:gd name="T66" fmla="+- 0 2821 1816"/>
                                <a:gd name="T67" fmla="*/ 2821 h 1122"/>
                                <a:gd name="T68" fmla="+- 0 5286 5004"/>
                                <a:gd name="T69" fmla="*/ T68 w 2265"/>
                                <a:gd name="T70" fmla="+- 0 2804 1816"/>
                                <a:gd name="T71" fmla="*/ 2804 h 1122"/>
                                <a:gd name="T72" fmla="+- 0 5255 5004"/>
                                <a:gd name="T73" fmla="*/ T72 w 2265"/>
                                <a:gd name="T74" fmla="+- 0 2774 1816"/>
                                <a:gd name="T75" fmla="*/ 2774 h 1122"/>
                                <a:gd name="T76" fmla="+- 0 6120 5004"/>
                                <a:gd name="T77" fmla="*/ T76 w 2265"/>
                                <a:gd name="T78" fmla="+- 0 1909 1816"/>
                                <a:gd name="T79" fmla="*/ 1909 h 1122"/>
                                <a:gd name="T80" fmla="+- 0 7269 5004"/>
                                <a:gd name="T81" fmla="*/ T80 w 2265"/>
                                <a:gd name="T82" fmla="+- 0 2914 1816"/>
                                <a:gd name="T83" fmla="*/ 2914 h 1122"/>
                                <a:gd name="T84" fmla="+- 0 7266 5004"/>
                                <a:gd name="T85" fmla="*/ T84 w 2265"/>
                                <a:gd name="T86" fmla="+- 0 2891 1816"/>
                                <a:gd name="T87" fmla="*/ 2891 h 1122"/>
                                <a:gd name="T88" fmla="+- 0 7201 5004"/>
                                <a:gd name="T89" fmla="*/ T88 w 2265"/>
                                <a:gd name="T90" fmla="+- 0 2686 1816"/>
                                <a:gd name="T91" fmla="*/ 2686 h 1122"/>
                                <a:gd name="T92" fmla="+- 0 7190 5004"/>
                                <a:gd name="T93" fmla="*/ T92 w 2265"/>
                                <a:gd name="T94" fmla="+- 0 2665 1816"/>
                                <a:gd name="T95" fmla="*/ 2665 h 1122"/>
                                <a:gd name="T96" fmla="+- 0 7175 5004"/>
                                <a:gd name="T97" fmla="*/ T96 w 2265"/>
                                <a:gd name="T98" fmla="+- 0 2653 1816"/>
                                <a:gd name="T99" fmla="*/ 2653 h 1122"/>
                                <a:gd name="T100" fmla="+- 0 7158 5004"/>
                                <a:gd name="T101" fmla="*/ T100 w 2265"/>
                                <a:gd name="T102" fmla="+- 0 2652 1816"/>
                                <a:gd name="T103" fmla="*/ 2652 h 1122"/>
                                <a:gd name="T104" fmla="+- 0 7142 5004"/>
                                <a:gd name="T105" fmla="*/ T104 w 2265"/>
                                <a:gd name="T106" fmla="+- 0 2662 1816"/>
                                <a:gd name="T107" fmla="*/ 2662 h 1122"/>
                                <a:gd name="T108" fmla="+- 0 7111 5004"/>
                                <a:gd name="T109" fmla="*/ T108 w 2265"/>
                                <a:gd name="T110" fmla="+- 0 2692 1816"/>
                                <a:gd name="T111" fmla="*/ 2692 h 1122"/>
                                <a:gd name="T112" fmla="+- 0 6246 5004"/>
                                <a:gd name="T113" fmla="*/ T112 w 2265"/>
                                <a:gd name="T114" fmla="+- 0 1827 1816"/>
                                <a:gd name="T115" fmla="*/ 1827 h 1122"/>
                                <a:gd name="T116" fmla="+- 0 6152 5004"/>
                                <a:gd name="T117" fmla="*/ T116 w 2265"/>
                                <a:gd name="T118" fmla="+- 0 1921 1816"/>
                                <a:gd name="T119" fmla="*/ 1921 h 1122"/>
                                <a:gd name="T120" fmla="+- 0 7017 5004"/>
                                <a:gd name="T121" fmla="*/ T120 w 2265"/>
                                <a:gd name="T122" fmla="+- 0 2786 1816"/>
                                <a:gd name="T123" fmla="*/ 2786 h 1122"/>
                                <a:gd name="T124" fmla="+- 0 6987 5004"/>
                                <a:gd name="T125" fmla="*/ T124 w 2265"/>
                                <a:gd name="T126" fmla="+- 0 2816 1816"/>
                                <a:gd name="T127" fmla="*/ 2816 h 1122"/>
                                <a:gd name="T128" fmla="+- 0 6976 5004"/>
                                <a:gd name="T129" fmla="*/ T128 w 2265"/>
                                <a:gd name="T130" fmla="+- 0 2832 1816"/>
                                <a:gd name="T131" fmla="*/ 2832 h 1122"/>
                                <a:gd name="T132" fmla="+- 0 6978 5004"/>
                                <a:gd name="T133" fmla="*/ T132 w 2265"/>
                                <a:gd name="T134" fmla="+- 0 2849 1816"/>
                                <a:gd name="T135" fmla="*/ 2849 h 1122"/>
                                <a:gd name="T136" fmla="+- 0 6989 5004"/>
                                <a:gd name="T137" fmla="*/ T136 w 2265"/>
                                <a:gd name="T138" fmla="+- 0 2863 1816"/>
                                <a:gd name="T139" fmla="*/ 2863 h 1122"/>
                                <a:gd name="T140" fmla="+- 0 7011 5004"/>
                                <a:gd name="T141" fmla="*/ T140 w 2265"/>
                                <a:gd name="T142" fmla="+- 0 2873 1816"/>
                                <a:gd name="T143" fmla="*/ 2873 h 1122"/>
                                <a:gd name="T144" fmla="+- 0 7223 5004"/>
                                <a:gd name="T145" fmla="*/ T144 w 2265"/>
                                <a:gd name="T146" fmla="+- 0 2935 1816"/>
                                <a:gd name="T147" fmla="*/ 2935 h 1122"/>
                                <a:gd name="T148" fmla="+- 0 7246 5004"/>
                                <a:gd name="T149" fmla="*/ T148 w 2265"/>
                                <a:gd name="T150" fmla="+- 0 2937 1816"/>
                                <a:gd name="T151" fmla="*/ 2937 h 1122"/>
                                <a:gd name="T152" fmla="+- 0 7261 5004"/>
                                <a:gd name="T153" fmla="*/ T152 w 2265"/>
                                <a:gd name="T154" fmla="+- 0 2930 1816"/>
                                <a:gd name="T155" fmla="*/ 2930 h 1122"/>
                                <a:gd name="T156" fmla="+- 0 7269 5004"/>
                                <a:gd name="T157" fmla="*/ T156 w 2265"/>
                                <a:gd name="T158" fmla="+- 0 2914 1816"/>
                                <a:gd name="T159" fmla="*/ 2914 h 1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265" h="1122">
                                  <a:moveTo>
                                    <a:pt x="1116" y="93"/>
                                  </a:moveTo>
                                  <a:lnTo>
                                    <a:pt x="1023" y="0"/>
                                  </a:lnTo>
                                  <a:lnTo>
                                    <a:pt x="157" y="865"/>
                                  </a:lnTo>
                                  <a:lnTo>
                                    <a:pt x="127" y="835"/>
                                  </a:lnTo>
                                  <a:lnTo>
                                    <a:pt x="110" y="824"/>
                                  </a:lnTo>
                                  <a:lnTo>
                                    <a:pt x="93" y="826"/>
                                  </a:lnTo>
                                  <a:lnTo>
                                    <a:pt x="78" y="837"/>
                                  </a:lnTo>
                                  <a:lnTo>
                                    <a:pt x="67" y="859"/>
                                  </a:lnTo>
                                  <a:lnTo>
                                    <a:pt x="3" y="1063"/>
                                  </a:lnTo>
                                  <a:lnTo>
                                    <a:pt x="0" y="1086"/>
                                  </a:lnTo>
                                  <a:lnTo>
                                    <a:pt x="7" y="1102"/>
                                  </a:lnTo>
                                  <a:lnTo>
                                    <a:pt x="23" y="1110"/>
                                  </a:lnTo>
                                  <a:lnTo>
                                    <a:pt x="46" y="1108"/>
                                  </a:lnTo>
                                  <a:lnTo>
                                    <a:pt x="258" y="1046"/>
                                  </a:lnTo>
                                  <a:lnTo>
                                    <a:pt x="279" y="1035"/>
                                  </a:lnTo>
                                  <a:lnTo>
                                    <a:pt x="291" y="1021"/>
                                  </a:lnTo>
                                  <a:lnTo>
                                    <a:pt x="292" y="1005"/>
                                  </a:lnTo>
                                  <a:lnTo>
                                    <a:pt x="282" y="988"/>
                                  </a:lnTo>
                                  <a:lnTo>
                                    <a:pt x="251" y="958"/>
                                  </a:lnTo>
                                  <a:lnTo>
                                    <a:pt x="1116" y="93"/>
                                  </a:lnTo>
                                  <a:close/>
                                  <a:moveTo>
                                    <a:pt x="2265" y="1098"/>
                                  </a:moveTo>
                                  <a:lnTo>
                                    <a:pt x="2262" y="1075"/>
                                  </a:lnTo>
                                  <a:lnTo>
                                    <a:pt x="2197" y="870"/>
                                  </a:lnTo>
                                  <a:lnTo>
                                    <a:pt x="2186" y="849"/>
                                  </a:lnTo>
                                  <a:lnTo>
                                    <a:pt x="2171" y="837"/>
                                  </a:lnTo>
                                  <a:lnTo>
                                    <a:pt x="2154" y="836"/>
                                  </a:lnTo>
                                  <a:lnTo>
                                    <a:pt x="2138" y="846"/>
                                  </a:lnTo>
                                  <a:lnTo>
                                    <a:pt x="2107" y="876"/>
                                  </a:lnTo>
                                  <a:lnTo>
                                    <a:pt x="1242" y="11"/>
                                  </a:lnTo>
                                  <a:lnTo>
                                    <a:pt x="1148" y="105"/>
                                  </a:lnTo>
                                  <a:lnTo>
                                    <a:pt x="2013" y="970"/>
                                  </a:lnTo>
                                  <a:lnTo>
                                    <a:pt x="1983" y="1000"/>
                                  </a:lnTo>
                                  <a:lnTo>
                                    <a:pt x="1972" y="1016"/>
                                  </a:lnTo>
                                  <a:lnTo>
                                    <a:pt x="1974" y="1033"/>
                                  </a:lnTo>
                                  <a:lnTo>
                                    <a:pt x="1985" y="1047"/>
                                  </a:lnTo>
                                  <a:lnTo>
                                    <a:pt x="2007" y="1057"/>
                                  </a:lnTo>
                                  <a:lnTo>
                                    <a:pt x="2219" y="1119"/>
                                  </a:lnTo>
                                  <a:lnTo>
                                    <a:pt x="2242" y="1121"/>
                                  </a:lnTo>
                                  <a:lnTo>
                                    <a:pt x="2257" y="1114"/>
                                  </a:lnTo>
                                  <a:lnTo>
                                    <a:pt x="2265" y="1098"/>
                                  </a:lnTo>
                                  <a:close/>
                                </a:path>
                              </a:pathLst>
                            </a:custGeom>
                            <a:solidFill>
                              <a:srgbClr val="B8B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docshape846"/>
                          <wps:cNvSpPr>
                            <a:spLocks/>
                          </wps:cNvSpPr>
                          <wps:spPr bwMode="auto">
                            <a:xfrm>
                              <a:off x="4981" y="1675"/>
                              <a:ext cx="2268" cy="355"/>
                            </a:xfrm>
                            <a:custGeom>
                              <a:avLst/>
                              <a:gdLst>
                                <a:gd name="T0" fmla="+- 0 7110 4982"/>
                                <a:gd name="T1" fmla="*/ T0 w 2268"/>
                                <a:gd name="T2" fmla="+- 0 1675 1675"/>
                                <a:gd name="T3" fmla="*/ 1675 h 355"/>
                                <a:gd name="T4" fmla="+- 0 5122 4982"/>
                                <a:gd name="T5" fmla="*/ T4 w 2268"/>
                                <a:gd name="T6" fmla="+- 0 1675 1675"/>
                                <a:gd name="T7" fmla="*/ 1675 h 355"/>
                                <a:gd name="T8" fmla="+- 0 5041 4982"/>
                                <a:gd name="T9" fmla="*/ T8 w 2268"/>
                                <a:gd name="T10" fmla="+- 0 1678 1675"/>
                                <a:gd name="T11" fmla="*/ 1678 h 355"/>
                                <a:gd name="T12" fmla="+- 0 4999 4982"/>
                                <a:gd name="T13" fmla="*/ T12 w 2268"/>
                                <a:gd name="T14" fmla="+- 0 1693 1675"/>
                                <a:gd name="T15" fmla="*/ 1693 h 355"/>
                                <a:gd name="T16" fmla="+- 0 4984 4982"/>
                                <a:gd name="T17" fmla="*/ T16 w 2268"/>
                                <a:gd name="T18" fmla="+- 0 1734 1675"/>
                                <a:gd name="T19" fmla="*/ 1734 h 355"/>
                                <a:gd name="T20" fmla="+- 0 4982 4982"/>
                                <a:gd name="T21" fmla="*/ T20 w 2268"/>
                                <a:gd name="T22" fmla="+- 0 1815 1675"/>
                                <a:gd name="T23" fmla="*/ 1815 h 355"/>
                                <a:gd name="T24" fmla="+- 0 4982 4982"/>
                                <a:gd name="T25" fmla="*/ T24 w 2268"/>
                                <a:gd name="T26" fmla="+- 0 1890 1675"/>
                                <a:gd name="T27" fmla="*/ 1890 h 355"/>
                                <a:gd name="T28" fmla="+- 0 4984 4982"/>
                                <a:gd name="T29" fmla="*/ T28 w 2268"/>
                                <a:gd name="T30" fmla="+- 0 1971 1675"/>
                                <a:gd name="T31" fmla="*/ 1971 h 355"/>
                                <a:gd name="T32" fmla="+- 0 4999 4982"/>
                                <a:gd name="T33" fmla="*/ T32 w 2268"/>
                                <a:gd name="T34" fmla="+- 0 2012 1675"/>
                                <a:gd name="T35" fmla="*/ 2012 h 355"/>
                                <a:gd name="T36" fmla="+- 0 5041 4982"/>
                                <a:gd name="T37" fmla="*/ T36 w 2268"/>
                                <a:gd name="T38" fmla="+- 0 2028 1675"/>
                                <a:gd name="T39" fmla="*/ 2028 h 355"/>
                                <a:gd name="T40" fmla="+- 0 5122 4982"/>
                                <a:gd name="T41" fmla="*/ T40 w 2268"/>
                                <a:gd name="T42" fmla="+- 0 2030 1675"/>
                                <a:gd name="T43" fmla="*/ 2030 h 355"/>
                                <a:gd name="T44" fmla="+- 0 7110 4982"/>
                                <a:gd name="T45" fmla="*/ T44 w 2268"/>
                                <a:gd name="T46" fmla="+- 0 2030 1675"/>
                                <a:gd name="T47" fmla="*/ 2030 h 355"/>
                                <a:gd name="T48" fmla="+- 0 7191 4982"/>
                                <a:gd name="T49" fmla="*/ T48 w 2268"/>
                                <a:gd name="T50" fmla="+- 0 2028 1675"/>
                                <a:gd name="T51" fmla="*/ 2028 h 355"/>
                                <a:gd name="T52" fmla="+- 0 7232 4982"/>
                                <a:gd name="T53" fmla="*/ T52 w 2268"/>
                                <a:gd name="T54" fmla="+- 0 2012 1675"/>
                                <a:gd name="T55" fmla="*/ 2012 h 355"/>
                                <a:gd name="T56" fmla="+- 0 7247 4982"/>
                                <a:gd name="T57" fmla="*/ T56 w 2268"/>
                                <a:gd name="T58" fmla="+- 0 1971 1675"/>
                                <a:gd name="T59" fmla="*/ 1971 h 355"/>
                                <a:gd name="T60" fmla="+- 0 7250 4982"/>
                                <a:gd name="T61" fmla="*/ T60 w 2268"/>
                                <a:gd name="T62" fmla="+- 0 1890 1675"/>
                                <a:gd name="T63" fmla="*/ 1890 h 355"/>
                                <a:gd name="T64" fmla="+- 0 7250 4982"/>
                                <a:gd name="T65" fmla="*/ T64 w 2268"/>
                                <a:gd name="T66" fmla="+- 0 1815 1675"/>
                                <a:gd name="T67" fmla="*/ 1815 h 355"/>
                                <a:gd name="T68" fmla="+- 0 7247 4982"/>
                                <a:gd name="T69" fmla="*/ T68 w 2268"/>
                                <a:gd name="T70" fmla="+- 0 1734 1675"/>
                                <a:gd name="T71" fmla="*/ 1734 h 355"/>
                                <a:gd name="T72" fmla="+- 0 7232 4982"/>
                                <a:gd name="T73" fmla="*/ T72 w 2268"/>
                                <a:gd name="T74" fmla="+- 0 1693 1675"/>
                                <a:gd name="T75" fmla="*/ 1693 h 355"/>
                                <a:gd name="T76" fmla="+- 0 7191 4982"/>
                                <a:gd name="T77" fmla="*/ T76 w 2268"/>
                                <a:gd name="T78" fmla="+- 0 1678 1675"/>
                                <a:gd name="T79" fmla="*/ 1678 h 355"/>
                                <a:gd name="T80" fmla="+- 0 7110 4982"/>
                                <a:gd name="T81" fmla="*/ T80 w 2268"/>
                                <a:gd name="T82" fmla="+- 0 1675 1675"/>
                                <a:gd name="T83" fmla="*/ 1675 h 3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268" h="355">
                                  <a:moveTo>
                                    <a:pt x="2128" y="0"/>
                                  </a:moveTo>
                                  <a:lnTo>
                                    <a:pt x="140" y="0"/>
                                  </a:lnTo>
                                  <a:lnTo>
                                    <a:pt x="59" y="3"/>
                                  </a:lnTo>
                                  <a:lnTo>
                                    <a:pt x="17" y="18"/>
                                  </a:lnTo>
                                  <a:lnTo>
                                    <a:pt x="2" y="59"/>
                                  </a:lnTo>
                                  <a:lnTo>
                                    <a:pt x="0" y="140"/>
                                  </a:lnTo>
                                  <a:lnTo>
                                    <a:pt x="0" y="215"/>
                                  </a:lnTo>
                                  <a:lnTo>
                                    <a:pt x="2" y="296"/>
                                  </a:lnTo>
                                  <a:lnTo>
                                    <a:pt x="17" y="337"/>
                                  </a:lnTo>
                                  <a:lnTo>
                                    <a:pt x="59" y="353"/>
                                  </a:lnTo>
                                  <a:lnTo>
                                    <a:pt x="140" y="355"/>
                                  </a:lnTo>
                                  <a:lnTo>
                                    <a:pt x="2128" y="355"/>
                                  </a:lnTo>
                                  <a:lnTo>
                                    <a:pt x="2209" y="353"/>
                                  </a:lnTo>
                                  <a:lnTo>
                                    <a:pt x="2250" y="337"/>
                                  </a:lnTo>
                                  <a:lnTo>
                                    <a:pt x="2265" y="296"/>
                                  </a:lnTo>
                                  <a:lnTo>
                                    <a:pt x="2268" y="215"/>
                                  </a:lnTo>
                                  <a:lnTo>
                                    <a:pt x="2268" y="140"/>
                                  </a:lnTo>
                                  <a:lnTo>
                                    <a:pt x="2265" y="59"/>
                                  </a:lnTo>
                                  <a:lnTo>
                                    <a:pt x="2250" y="18"/>
                                  </a:lnTo>
                                  <a:lnTo>
                                    <a:pt x="2209" y="3"/>
                                  </a:lnTo>
                                  <a:lnTo>
                                    <a:pt x="2128" y="0"/>
                                  </a:lnTo>
                                  <a:close/>
                                </a:path>
                              </a:pathLst>
                            </a:custGeom>
                            <a:solidFill>
                              <a:srgbClr val="4F84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docshape847"/>
                          <wps:cNvSpPr>
                            <a:spLocks/>
                          </wps:cNvSpPr>
                          <wps:spPr bwMode="auto">
                            <a:xfrm>
                              <a:off x="4719" y="3526"/>
                              <a:ext cx="282" cy="898"/>
                            </a:xfrm>
                            <a:custGeom>
                              <a:avLst/>
                              <a:gdLst>
                                <a:gd name="T0" fmla="+- 0 4926 4719"/>
                                <a:gd name="T1" fmla="*/ T0 w 282"/>
                                <a:gd name="T2" fmla="+- 0 3526 3526"/>
                                <a:gd name="T3" fmla="*/ 3526 h 898"/>
                                <a:gd name="T4" fmla="+- 0 4793 4719"/>
                                <a:gd name="T5" fmla="*/ T4 w 282"/>
                                <a:gd name="T6" fmla="+- 0 3526 3526"/>
                                <a:gd name="T7" fmla="*/ 3526 h 898"/>
                                <a:gd name="T8" fmla="+- 0 4793 4719"/>
                                <a:gd name="T9" fmla="*/ T8 w 282"/>
                                <a:gd name="T10" fmla="+- 0 4210 3526"/>
                                <a:gd name="T11" fmla="*/ 4210 h 898"/>
                                <a:gd name="T12" fmla="+- 0 4751 4719"/>
                                <a:gd name="T13" fmla="*/ T12 w 282"/>
                                <a:gd name="T14" fmla="+- 0 4210 3526"/>
                                <a:gd name="T15" fmla="*/ 4210 h 898"/>
                                <a:gd name="T16" fmla="+- 0 4732 4719"/>
                                <a:gd name="T17" fmla="*/ T16 w 282"/>
                                <a:gd name="T18" fmla="+- 0 4214 3526"/>
                                <a:gd name="T19" fmla="*/ 4214 h 898"/>
                                <a:gd name="T20" fmla="+- 0 4721 4719"/>
                                <a:gd name="T21" fmla="*/ T20 w 282"/>
                                <a:gd name="T22" fmla="+- 0 4223 3526"/>
                                <a:gd name="T23" fmla="*/ 4223 h 898"/>
                                <a:gd name="T24" fmla="+- 0 4719 4719"/>
                                <a:gd name="T25" fmla="*/ T24 w 282"/>
                                <a:gd name="T26" fmla="+- 0 4238 3526"/>
                                <a:gd name="T27" fmla="*/ 4238 h 898"/>
                                <a:gd name="T28" fmla="+- 0 4727 4719"/>
                                <a:gd name="T29" fmla="*/ T28 w 282"/>
                                <a:gd name="T30" fmla="+- 0 4255 3526"/>
                                <a:gd name="T31" fmla="*/ 4255 h 898"/>
                                <a:gd name="T32" fmla="+- 0 4833 4719"/>
                                <a:gd name="T33" fmla="*/ T32 w 282"/>
                                <a:gd name="T34" fmla="+- 0 4406 3526"/>
                                <a:gd name="T35" fmla="*/ 4406 h 898"/>
                                <a:gd name="T36" fmla="+- 0 4848 4719"/>
                                <a:gd name="T37" fmla="*/ T36 w 282"/>
                                <a:gd name="T38" fmla="+- 0 4420 3526"/>
                                <a:gd name="T39" fmla="*/ 4420 h 898"/>
                                <a:gd name="T40" fmla="+- 0 4864 4719"/>
                                <a:gd name="T41" fmla="*/ T40 w 282"/>
                                <a:gd name="T42" fmla="+- 0 4424 3526"/>
                                <a:gd name="T43" fmla="*/ 4424 h 898"/>
                                <a:gd name="T44" fmla="+- 0 4881 4719"/>
                                <a:gd name="T45" fmla="*/ T44 w 282"/>
                                <a:gd name="T46" fmla="+- 0 4419 3526"/>
                                <a:gd name="T47" fmla="*/ 4419 h 898"/>
                                <a:gd name="T48" fmla="+- 0 4895 4719"/>
                                <a:gd name="T49" fmla="*/ T48 w 282"/>
                                <a:gd name="T50" fmla="+- 0 4405 3526"/>
                                <a:gd name="T51" fmla="*/ 4405 h 898"/>
                                <a:gd name="T52" fmla="+- 0 4994 4719"/>
                                <a:gd name="T53" fmla="*/ T52 w 282"/>
                                <a:gd name="T54" fmla="+- 0 4257 3526"/>
                                <a:gd name="T55" fmla="*/ 4257 h 898"/>
                                <a:gd name="T56" fmla="+- 0 5001 4719"/>
                                <a:gd name="T57" fmla="*/ T56 w 282"/>
                                <a:gd name="T58" fmla="+- 0 4239 3526"/>
                                <a:gd name="T59" fmla="*/ 4239 h 898"/>
                                <a:gd name="T60" fmla="+- 0 4999 4719"/>
                                <a:gd name="T61" fmla="*/ T60 w 282"/>
                                <a:gd name="T62" fmla="+- 0 4224 3526"/>
                                <a:gd name="T63" fmla="*/ 4224 h 898"/>
                                <a:gd name="T64" fmla="+- 0 4988 4719"/>
                                <a:gd name="T65" fmla="*/ T64 w 282"/>
                                <a:gd name="T66" fmla="+- 0 4215 3526"/>
                                <a:gd name="T67" fmla="*/ 4215 h 898"/>
                                <a:gd name="T68" fmla="+- 0 4969 4719"/>
                                <a:gd name="T69" fmla="*/ T68 w 282"/>
                                <a:gd name="T70" fmla="+- 0 4211 3526"/>
                                <a:gd name="T71" fmla="*/ 4211 h 898"/>
                                <a:gd name="T72" fmla="+- 0 4926 4719"/>
                                <a:gd name="T73" fmla="*/ T72 w 282"/>
                                <a:gd name="T74" fmla="+- 0 4211 3526"/>
                                <a:gd name="T75" fmla="*/ 4211 h 898"/>
                                <a:gd name="T76" fmla="+- 0 4926 4719"/>
                                <a:gd name="T77" fmla="*/ T76 w 282"/>
                                <a:gd name="T78" fmla="+- 0 3526 3526"/>
                                <a:gd name="T79" fmla="*/ 3526 h 8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2" h="898">
                                  <a:moveTo>
                                    <a:pt x="207" y="0"/>
                                  </a:moveTo>
                                  <a:lnTo>
                                    <a:pt x="74" y="0"/>
                                  </a:lnTo>
                                  <a:lnTo>
                                    <a:pt x="74" y="684"/>
                                  </a:lnTo>
                                  <a:lnTo>
                                    <a:pt x="32" y="684"/>
                                  </a:lnTo>
                                  <a:lnTo>
                                    <a:pt x="13" y="688"/>
                                  </a:lnTo>
                                  <a:lnTo>
                                    <a:pt x="2" y="697"/>
                                  </a:lnTo>
                                  <a:lnTo>
                                    <a:pt x="0" y="712"/>
                                  </a:lnTo>
                                  <a:lnTo>
                                    <a:pt x="8" y="729"/>
                                  </a:lnTo>
                                  <a:lnTo>
                                    <a:pt x="114" y="880"/>
                                  </a:lnTo>
                                  <a:lnTo>
                                    <a:pt x="129" y="894"/>
                                  </a:lnTo>
                                  <a:lnTo>
                                    <a:pt x="145" y="898"/>
                                  </a:lnTo>
                                  <a:lnTo>
                                    <a:pt x="162" y="893"/>
                                  </a:lnTo>
                                  <a:lnTo>
                                    <a:pt x="176" y="879"/>
                                  </a:lnTo>
                                  <a:lnTo>
                                    <a:pt x="275" y="731"/>
                                  </a:lnTo>
                                  <a:lnTo>
                                    <a:pt x="282" y="713"/>
                                  </a:lnTo>
                                  <a:lnTo>
                                    <a:pt x="280" y="698"/>
                                  </a:lnTo>
                                  <a:lnTo>
                                    <a:pt x="269" y="689"/>
                                  </a:lnTo>
                                  <a:lnTo>
                                    <a:pt x="250" y="685"/>
                                  </a:lnTo>
                                  <a:lnTo>
                                    <a:pt x="207" y="685"/>
                                  </a:lnTo>
                                  <a:lnTo>
                                    <a:pt x="207" y="0"/>
                                  </a:lnTo>
                                  <a:close/>
                                </a:path>
                              </a:pathLst>
                            </a:custGeom>
                            <a:solidFill>
                              <a:srgbClr val="B8B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docshape848"/>
                          <wps:cNvSpPr>
                            <a:spLocks/>
                          </wps:cNvSpPr>
                          <wps:spPr bwMode="auto">
                            <a:xfrm>
                              <a:off x="3760" y="3043"/>
                              <a:ext cx="2261" cy="725"/>
                            </a:xfrm>
                            <a:custGeom>
                              <a:avLst/>
                              <a:gdLst>
                                <a:gd name="T0" fmla="+- 0 5781 3760"/>
                                <a:gd name="T1" fmla="*/ T0 w 2261"/>
                                <a:gd name="T2" fmla="+- 0 3043 3043"/>
                                <a:gd name="T3" fmla="*/ 3043 h 725"/>
                                <a:gd name="T4" fmla="+- 0 4000 3760"/>
                                <a:gd name="T5" fmla="*/ T4 w 2261"/>
                                <a:gd name="T6" fmla="+- 0 3043 3043"/>
                                <a:gd name="T7" fmla="*/ 3043 h 725"/>
                                <a:gd name="T8" fmla="+- 0 3861 3760"/>
                                <a:gd name="T9" fmla="*/ T8 w 2261"/>
                                <a:gd name="T10" fmla="+- 0 3047 3043"/>
                                <a:gd name="T11" fmla="*/ 3047 h 725"/>
                                <a:gd name="T12" fmla="+- 0 3790 3760"/>
                                <a:gd name="T13" fmla="*/ T12 w 2261"/>
                                <a:gd name="T14" fmla="+- 0 3073 3043"/>
                                <a:gd name="T15" fmla="*/ 3073 h 725"/>
                                <a:gd name="T16" fmla="+- 0 3764 3760"/>
                                <a:gd name="T17" fmla="*/ T16 w 2261"/>
                                <a:gd name="T18" fmla="+- 0 3144 3043"/>
                                <a:gd name="T19" fmla="*/ 3144 h 725"/>
                                <a:gd name="T20" fmla="+- 0 3760 3760"/>
                                <a:gd name="T21" fmla="*/ T20 w 2261"/>
                                <a:gd name="T22" fmla="+- 0 3283 3043"/>
                                <a:gd name="T23" fmla="*/ 3283 h 725"/>
                                <a:gd name="T24" fmla="+- 0 3760 3760"/>
                                <a:gd name="T25" fmla="*/ T24 w 2261"/>
                                <a:gd name="T26" fmla="+- 0 3528 3043"/>
                                <a:gd name="T27" fmla="*/ 3528 h 725"/>
                                <a:gd name="T28" fmla="+- 0 3764 3760"/>
                                <a:gd name="T29" fmla="*/ T28 w 2261"/>
                                <a:gd name="T30" fmla="+- 0 3666 3043"/>
                                <a:gd name="T31" fmla="*/ 3666 h 725"/>
                                <a:gd name="T32" fmla="+- 0 3790 3760"/>
                                <a:gd name="T33" fmla="*/ T32 w 2261"/>
                                <a:gd name="T34" fmla="+- 0 3738 3043"/>
                                <a:gd name="T35" fmla="*/ 3738 h 725"/>
                                <a:gd name="T36" fmla="+- 0 3861 3760"/>
                                <a:gd name="T37" fmla="*/ T36 w 2261"/>
                                <a:gd name="T38" fmla="+- 0 3764 3043"/>
                                <a:gd name="T39" fmla="*/ 3764 h 725"/>
                                <a:gd name="T40" fmla="+- 0 4000 3760"/>
                                <a:gd name="T41" fmla="*/ T40 w 2261"/>
                                <a:gd name="T42" fmla="+- 0 3768 3043"/>
                                <a:gd name="T43" fmla="*/ 3768 h 725"/>
                                <a:gd name="T44" fmla="+- 0 5781 3760"/>
                                <a:gd name="T45" fmla="*/ T44 w 2261"/>
                                <a:gd name="T46" fmla="+- 0 3768 3043"/>
                                <a:gd name="T47" fmla="*/ 3768 h 725"/>
                                <a:gd name="T48" fmla="+- 0 5919 3760"/>
                                <a:gd name="T49" fmla="*/ T48 w 2261"/>
                                <a:gd name="T50" fmla="+- 0 3764 3043"/>
                                <a:gd name="T51" fmla="*/ 3764 h 725"/>
                                <a:gd name="T52" fmla="+- 0 5991 3760"/>
                                <a:gd name="T53" fmla="*/ T52 w 2261"/>
                                <a:gd name="T54" fmla="+- 0 3738 3043"/>
                                <a:gd name="T55" fmla="*/ 3738 h 725"/>
                                <a:gd name="T56" fmla="+- 0 6017 3760"/>
                                <a:gd name="T57" fmla="*/ T56 w 2261"/>
                                <a:gd name="T58" fmla="+- 0 3666 3043"/>
                                <a:gd name="T59" fmla="*/ 3666 h 725"/>
                                <a:gd name="T60" fmla="+- 0 6021 3760"/>
                                <a:gd name="T61" fmla="*/ T60 w 2261"/>
                                <a:gd name="T62" fmla="+- 0 3528 3043"/>
                                <a:gd name="T63" fmla="*/ 3528 h 725"/>
                                <a:gd name="T64" fmla="+- 0 6021 3760"/>
                                <a:gd name="T65" fmla="*/ T64 w 2261"/>
                                <a:gd name="T66" fmla="+- 0 3283 3043"/>
                                <a:gd name="T67" fmla="*/ 3283 h 725"/>
                                <a:gd name="T68" fmla="+- 0 6017 3760"/>
                                <a:gd name="T69" fmla="*/ T68 w 2261"/>
                                <a:gd name="T70" fmla="+- 0 3144 3043"/>
                                <a:gd name="T71" fmla="*/ 3144 h 725"/>
                                <a:gd name="T72" fmla="+- 0 5991 3760"/>
                                <a:gd name="T73" fmla="*/ T72 w 2261"/>
                                <a:gd name="T74" fmla="+- 0 3073 3043"/>
                                <a:gd name="T75" fmla="*/ 3073 h 725"/>
                                <a:gd name="T76" fmla="+- 0 5919 3760"/>
                                <a:gd name="T77" fmla="*/ T76 w 2261"/>
                                <a:gd name="T78" fmla="+- 0 3047 3043"/>
                                <a:gd name="T79" fmla="*/ 3047 h 725"/>
                                <a:gd name="T80" fmla="+- 0 5781 3760"/>
                                <a:gd name="T81" fmla="*/ T80 w 2261"/>
                                <a:gd name="T82" fmla="+- 0 3043 3043"/>
                                <a:gd name="T83" fmla="*/ 3043 h 7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261" h="725">
                                  <a:moveTo>
                                    <a:pt x="2021" y="0"/>
                                  </a:moveTo>
                                  <a:lnTo>
                                    <a:pt x="240" y="0"/>
                                  </a:lnTo>
                                  <a:lnTo>
                                    <a:pt x="101" y="4"/>
                                  </a:lnTo>
                                  <a:lnTo>
                                    <a:pt x="30" y="30"/>
                                  </a:lnTo>
                                  <a:lnTo>
                                    <a:pt x="4" y="101"/>
                                  </a:lnTo>
                                  <a:lnTo>
                                    <a:pt x="0" y="240"/>
                                  </a:lnTo>
                                  <a:lnTo>
                                    <a:pt x="0" y="485"/>
                                  </a:lnTo>
                                  <a:lnTo>
                                    <a:pt x="4" y="623"/>
                                  </a:lnTo>
                                  <a:lnTo>
                                    <a:pt x="30" y="695"/>
                                  </a:lnTo>
                                  <a:lnTo>
                                    <a:pt x="101" y="721"/>
                                  </a:lnTo>
                                  <a:lnTo>
                                    <a:pt x="240" y="725"/>
                                  </a:lnTo>
                                  <a:lnTo>
                                    <a:pt x="2021" y="725"/>
                                  </a:lnTo>
                                  <a:lnTo>
                                    <a:pt x="2159" y="721"/>
                                  </a:lnTo>
                                  <a:lnTo>
                                    <a:pt x="2231" y="695"/>
                                  </a:lnTo>
                                  <a:lnTo>
                                    <a:pt x="2257" y="623"/>
                                  </a:lnTo>
                                  <a:lnTo>
                                    <a:pt x="2261" y="485"/>
                                  </a:lnTo>
                                  <a:lnTo>
                                    <a:pt x="2261" y="240"/>
                                  </a:lnTo>
                                  <a:lnTo>
                                    <a:pt x="2257" y="101"/>
                                  </a:lnTo>
                                  <a:lnTo>
                                    <a:pt x="2231" y="30"/>
                                  </a:lnTo>
                                  <a:lnTo>
                                    <a:pt x="2159" y="4"/>
                                  </a:lnTo>
                                  <a:lnTo>
                                    <a:pt x="202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docshape849"/>
                          <wps:cNvSpPr>
                            <a:spLocks/>
                          </wps:cNvSpPr>
                          <wps:spPr bwMode="auto">
                            <a:xfrm>
                              <a:off x="3760" y="3043"/>
                              <a:ext cx="2261" cy="725"/>
                            </a:xfrm>
                            <a:custGeom>
                              <a:avLst/>
                              <a:gdLst>
                                <a:gd name="T0" fmla="+- 0 4000 3760"/>
                                <a:gd name="T1" fmla="*/ T0 w 2261"/>
                                <a:gd name="T2" fmla="+- 0 3043 3043"/>
                                <a:gd name="T3" fmla="*/ 3043 h 725"/>
                                <a:gd name="T4" fmla="+- 0 3861 3760"/>
                                <a:gd name="T5" fmla="*/ T4 w 2261"/>
                                <a:gd name="T6" fmla="+- 0 3047 3043"/>
                                <a:gd name="T7" fmla="*/ 3047 h 725"/>
                                <a:gd name="T8" fmla="+- 0 3790 3760"/>
                                <a:gd name="T9" fmla="*/ T8 w 2261"/>
                                <a:gd name="T10" fmla="+- 0 3073 3043"/>
                                <a:gd name="T11" fmla="*/ 3073 h 725"/>
                                <a:gd name="T12" fmla="+- 0 3764 3760"/>
                                <a:gd name="T13" fmla="*/ T12 w 2261"/>
                                <a:gd name="T14" fmla="+- 0 3144 3043"/>
                                <a:gd name="T15" fmla="*/ 3144 h 725"/>
                                <a:gd name="T16" fmla="+- 0 3760 3760"/>
                                <a:gd name="T17" fmla="*/ T16 w 2261"/>
                                <a:gd name="T18" fmla="+- 0 3283 3043"/>
                                <a:gd name="T19" fmla="*/ 3283 h 725"/>
                                <a:gd name="T20" fmla="+- 0 3760 3760"/>
                                <a:gd name="T21" fmla="*/ T20 w 2261"/>
                                <a:gd name="T22" fmla="+- 0 3528 3043"/>
                                <a:gd name="T23" fmla="*/ 3528 h 725"/>
                                <a:gd name="T24" fmla="+- 0 3764 3760"/>
                                <a:gd name="T25" fmla="*/ T24 w 2261"/>
                                <a:gd name="T26" fmla="+- 0 3666 3043"/>
                                <a:gd name="T27" fmla="*/ 3666 h 725"/>
                                <a:gd name="T28" fmla="+- 0 3790 3760"/>
                                <a:gd name="T29" fmla="*/ T28 w 2261"/>
                                <a:gd name="T30" fmla="+- 0 3738 3043"/>
                                <a:gd name="T31" fmla="*/ 3738 h 725"/>
                                <a:gd name="T32" fmla="+- 0 3861 3760"/>
                                <a:gd name="T33" fmla="*/ T32 w 2261"/>
                                <a:gd name="T34" fmla="+- 0 3764 3043"/>
                                <a:gd name="T35" fmla="*/ 3764 h 725"/>
                                <a:gd name="T36" fmla="+- 0 4000 3760"/>
                                <a:gd name="T37" fmla="*/ T36 w 2261"/>
                                <a:gd name="T38" fmla="+- 0 3768 3043"/>
                                <a:gd name="T39" fmla="*/ 3768 h 725"/>
                                <a:gd name="T40" fmla="+- 0 5781 3760"/>
                                <a:gd name="T41" fmla="*/ T40 w 2261"/>
                                <a:gd name="T42" fmla="+- 0 3768 3043"/>
                                <a:gd name="T43" fmla="*/ 3768 h 725"/>
                                <a:gd name="T44" fmla="+- 0 5919 3760"/>
                                <a:gd name="T45" fmla="*/ T44 w 2261"/>
                                <a:gd name="T46" fmla="+- 0 3764 3043"/>
                                <a:gd name="T47" fmla="*/ 3764 h 725"/>
                                <a:gd name="T48" fmla="+- 0 5991 3760"/>
                                <a:gd name="T49" fmla="*/ T48 w 2261"/>
                                <a:gd name="T50" fmla="+- 0 3738 3043"/>
                                <a:gd name="T51" fmla="*/ 3738 h 725"/>
                                <a:gd name="T52" fmla="+- 0 6017 3760"/>
                                <a:gd name="T53" fmla="*/ T52 w 2261"/>
                                <a:gd name="T54" fmla="+- 0 3666 3043"/>
                                <a:gd name="T55" fmla="*/ 3666 h 725"/>
                                <a:gd name="T56" fmla="+- 0 6021 3760"/>
                                <a:gd name="T57" fmla="*/ T56 w 2261"/>
                                <a:gd name="T58" fmla="+- 0 3528 3043"/>
                                <a:gd name="T59" fmla="*/ 3528 h 725"/>
                                <a:gd name="T60" fmla="+- 0 6021 3760"/>
                                <a:gd name="T61" fmla="*/ T60 w 2261"/>
                                <a:gd name="T62" fmla="+- 0 3283 3043"/>
                                <a:gd name="T63" fmla="*/ 3283 h 725"/>
                                <a:gd name="T64" fmla="+- 0 6017 3760"/>
                                <a:gd name="T65" fmla="*/ T64 w 2261"/>
                                <a:gd name="T66" fmla="+- 0 3144 3043"/>
                                <a:gd name="T67" fmla="*/ 3144 h 725"/>
                                <a:gd name="T68" fmla="+- 0 5991 3760"/>
                                <a:gd name="T69" fmla="*/ T68 w 2261"/>
                                <a:gd name="T70" fmla="+- 0 3073 3043"/>
                                <a:gd name="T71" fmla="*/ 3073 h 725"/>
                                <a:gd name="T72" fmla="+- 0 5919 3760"/>
                                <a:gd name="T73" fmla="*/ T72 w 2261"/>
                                <a:gd name="T74" fmla="+- 0 3047 3043"/>
                                <a:gd name="T75" fmla="*/ 3047 h 725"/>
                                <a:gd name="T76" fmla="+- 0 5781 3760"/>
                                <a:gd name="T77" fmla="*/ T76 w 2261"/>
                                <a:gd name="T78" fmla="+- 0 3043 3043"/>
                                <a:gd name="T79" fmla="*/ 3043 h 725"/>
                                <a:gd name="T80" fmla="+- 0 4000 3760"/>
                                <a:gd name="T81" fmla="*/ T80 w 2261"/>
                                <a:gd name="T82" fmla="+- 0 3043 3043"/>
                                <a:gd name="T83" fmla="*/ 3043 h 7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261" h="725">
                                  <a:moveTo>
                                    <a:pt x="240" y="0"/>
                                  </a:moveTo>
                                  <a:lnTo>
                                    <a:pt x="101" y="4"/>
                                  </a:lnTo>
                                  <a:lnTo>
                                    <a:pt x="30" y="30"/>
                                  </a:lnTo>
                                  <a:lnTo>
                                    <a:pt x="4" y="101"/>
                                  </a:lnTo>
                                  <a:lnTo>
                                    <a:pt x="0" y="240"/>
                                  </a:lnTo>
                                  <a:lnTo>
                                    <a:pt x="0" y="485"/>
                                  </a:lnTo>
                                  <a:lnTo>
                                    <a:pt x="4" y="623"/>
                                  </a:lnTo>
                                  <a:lnTo>
                                    <a:pt x="30" y="695"/>
                                  </a:lnTo>
                                  <a:lnTo>
                                    <a:pt x="101" y="721"/>
                                  </a:lnTo>
                                  <a:lnTo>
                                    <a:pt x="240" y="725"/>
                                  </a:lnTo>
                                  <a:lnTo>
                                    <a:pt x="2021" y="725"/>
                                  </a:lnTo>
                                  <a:lnTo>
                                    <a:pt x="2159" y="721"/>
                                  </a:lnTo>
                                  <a:lnTo>
                                    <a:pt x="2231" y="695"/>
                                  </a:lnTo>
                                  <a:lnTo>
                                    <a:pt x="2257" y="623"/>
                                  </a:lnTo>
                                  <a:lnTo>
                                    <a:pt x="2261" y="485"/>
                                  </a:lnTo>
                                  <a:lnTo>
                                    <a:pt x="2261" y="240"/>
                                  </a:lnTo>
                                  <a:lnTo>
                                    <a:pt x="2257" y="101"/>
                                  </a:lnTo>
                                  <a:lnTo>
                                    <a:pt x="2231" y="30"/>
                                  </a:lnTo>
                                  <a:lnTo>
                                    <a:pt x="2159" y="4"/>
                                  </a:lnTo>
                                  <a:lnTo>
                                    <a:pt x="2021" y="0"/>
                                  </a:lnTo>
                                  <a:lnTo>
                                    <a:pt x="240" y="0"/>
                                  </a:lnTo>
                                  <a:close/>
                                </a:path>
                              </a:pathLst>
                            </a:custGeom>
                            <a:noFill/>
                            <a:ln w="12700">
                              <a:solidFill>
                                <a:srgbClr val="4F84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docshape850"/>
                          <wps:cNvSpPr>
                            <a:spLocks/>
                          </wps:cNvSpPr>
                          <wps:spPr bwMode="auto">
                            <a:xfrm>
                              <a:off x="7200" y="3526"/>
                              <a:ext cx="282" cy="898"/>
                            </a:xfrm>
                            <a:custGeom>
                              <a:avLst/>
                              <a:gdLst>
                                <a:gd name="T0" fmla="+- 0 7407 7200"/>
                                <a:gd name="T1" fmla="*/ T0 w 282"/>
                                <a:gd name="T2" fmla="+- 0 3526 3526"/>
                                <a:gd name="T3" fmla="*/ 3526 h 898"/>
                                <a:gd name="T4" fmla="+- 0 7275 7200"/>
                                <a:gd name="T5" fmla="*/ T4 w 282"/>
                                <a:gd name="T6" fmla="+- 0 3526 3526"/>
                                <a:gd name="T7" fmla="*/ 3526 h 898"/>
                                <a:gd name="T8" fmla="+- 0 7274 7200"/>
                                <a:gd name="T9" fmla="*/ T8 w 282"/>
                                <a:gd name="T10" fmla="+- 0 4210 3526"/>
                                <a:gd name="T11" fmla="*/ 4210 h 898"/>
                                <a:gd name="T12" fmla="+- 0 7232 7200"/>
                                <a:gd name="T13" fmla="*/ T12 w 282"/>
                                <a:gd name="T14" fmla="+- 0 4210 3526"/>
                                <a:gd name="T15" fmla="*/ 4210 h 898"/>
                                <a:gd name="T16" fmla="+- 0 7213 7200"/>
                                <a:gd name="T17" fmla="*/ T16 w 282"/>
                                <a:gd name="T18" fmla="+- 0 4214 3526"/>
                                <a:gd name="T19" fmla="*/ 4214 h 898"/>
                                <a:gd name="T20" fmla="+- 0 7202 7200"/>
                                <a:gd name="T21" fmla="*/ T20 w 282"/>
                                <a:gd name="T22" fmla="+- 0 4223 3526"/>
                                <a:gd name="T23" fmla="*/ 4223 h 898"/>
                                <a:gd name="T24" fmla="+- 0 7200 7200"/>
                                <a:gd name="T25" fmla="*/ T24 w 282"/>
                                <a:gd name="T26" fmla="+- 0 4238 3526"/>
                                <a:gd name="T27" fmla="*/ 4238 h 898"/>
                                <a:gd name="T28" fmla="+- 0 7208 7200"/>
                                <a:gd name="T29" fmla="*/ T28 w 282"/>
                                <a:gd name="T30" fmla="+- 0 4255 3526"/>
                                <a:gd name="T31" fmla="*/ 4255 h 898"/>
                                <a:gd name="T32" fmla="+- 0 7314 7200"/>
                                <a:gd name="T33" fmla="*/ T32 w 282"/>
                                <a:gd name="T34" fmla="+- 0 4406 3526"/>
                                <a:gd name="T35" fmla="*/ 4406 h 898"/>
                                <a:gd name="T36" fmla="+- 0 7329 7200"/>
                                <a:gd name="T37" fmla="*/ T36 w 282"/>
                                <a:gd name="T38" fmla="+- 0 4420 3526"/>
                                <a:gd name="T39" fmla="*/ 4420 h 898"/>
                                <a:gd name="T40" fmla="+- 0 7346 7200"/>
                                <a:gd name="T41" fmla="*/ T40 w 282"/>
                                <a:gd name="T42" fmla="+- 0 4424 3526"/>
                                <a:gd name="T43" fmla="*/ 4424 h 898"/>
                                <a:gd name="T44" fmla="+- 0 7362 7200"/>
                                <a:gd name="T45" fmla="*/ T44 w 282"/>
                                <a:gd name="T46" fmla="+- 0 4419 3526"/>
                                <a:gd name="T47" fmla="*/ 4419 h 898"/>
                                <a:gd name="T48" fmla="+- 0 7376 7200"/>
                                <a:gd name="T49" fmla="*/ T48 w 282"/>
                                <a:gd name="T50" fmla="+- 0 4405 3526"/>
                                <a:gd name="T51" fmla="*/ 4405 h 898"/>
                                <a:gd name="T52" fmla="+- 0 7475 7200"/>
                                <a:gd name="T53" fmla="*/ T52 w 282"/>
                                <a:gd name="T54" fmla="+- 0 4257 3526"/>
                                <a:gd name="T55" fmla="*/ 4257 h 898"/>
                                <a:gd name="T56" fmla="+- 0 7482 7200"/>
                                <a:gd name="T57" fmla="*/ T56 w 282"/>
                                <a:gd name="T58" fmla="+- 0 4239 3526"/>
                                <a:gd name="T59" fmla="*/ 4239 h 898"/>
                                <a:gd name="T60" fmla="+- 0 7480 7200"/>
                                <a:gd name="T61" fmla="*/ T60 w 282"/>
                                <a:gd name="T62" fmla="+- 0 4224 3526"/>
                                <a:gd name="T63" fmla="*/ 4224 h 898"/>
                                <a:gd name="T64" fmla="+- 0 7469 7200"/>
                                <a:gd name="T65" fmla="*/ T64 w 282"/>
                                <a:gd name="T66" fmla="+- 0 4215 3526"/>
                                <a:gd name="T67" fmla="*/ 4215 h 898"/>
                                <a:gd name="T68" fmla="+- 0 7450 7200"/>
                                <a:gd name="T69" fmla="*/ T68 w 282"/>
                                <a:gd name="T70" fmla="+- 0 4211 3526"/>
                                <a:gd name="T71" fmla="*/ 4211 h 898"/>
                                <a:gd name="T72" fmla="+- 0 7407 7200"/>
                                <a:gd name="T73" fmla="*/ T72 w 282"/>
                                <a:gd name="T74" fmla="+- 0 4211 3526"/>
                                <a:gd name="T75" fmla="*/ 4211 h 898"/>
                                <a:gd name="T76" fmla="+- 0 7407 7200"/>
                                <a:gd name="T77" fmla="*/ T76 w 282"/>
                                <a:gd name="T78" fmla="+- 0 3526 3526"/>
                                <a:gd name="T79" fmla="*/ 3526 h 8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2" h="898">
                                  <a:moveTo>
                                    <a:pt x="207" y="0"/>
                                  </a:moveTo>
                                  <a:lnTo>
                                    <a:pt x="75" y="0"/>
                                  </a:lnTo>
                                  <a:lnTo>
                                    <a:pt x="74" y="684"/>
                                  </a:lnTo>
                                  <a:lnTo>
                                    <a:pt x="32" y="684"/>
                                  </a:lnTo>
                                  <a:lnTo>
                                    <a:pt x="13" y="688"/>
                                  </a:lnTo>
                                  <a:lnTo>
                                    <a:pt x="2" y="697"/>
                                  </a:lnTo>
                                  <a:lnTo>
                                    <a:pt x="0" y="712"/>
                                  </a:lnTo>
                                  <a:lnTo>
                                    <a:pt x="8" y="729"/>
                                  </a:lnTo>
                                  <a:lnTo>
                                    <a:pt x="114" y="880"/>
                                  </a:lnTo>
                                  <a:lnTo>
                                    <a:pt x="129" y="894"/>
                                  </a:lnTo>
                                  <a:lnTo>
                                    <a:pt x="146" y="898"/>
                                  </a:lnTo>
                                  <a:lnTo>
                                    <a:pt x="162" y="893"/>
                                  </a:lnTo>
                                  <a:lnTo>
                                    <a:pt x="176" y="879"/>
                                  </a:lnTo>
                                  <a:lnTo>
                                    <a:pt x="275" y="731"/>
                                  </a:lnTo>
                                  <a:lnTo>
                                    <a:pt x="282" y="713"/>
                                  </a:lnTo>
                                  <a:lnTo>
                                    <a:pt x="280" y="698"/>
                                  </a:lnTo>
                                  <a:lnTo>
                                    <a:pt x="269" y="689"/>
                                  </a:lnTo>
                                  <a:lnTo>
                                    <a:pt x="250" y="685"/>
                                  </a:lnTo>
                                  <a:lnTo>
                                    <a:pt x="207" y="685"/>
                                  </a:lnTo>
                                  <a:lnTo>
                                    <a:pt x="207" y="0"/>
                                  </a:lnTo>
                                  <a:close/>
                                </a:path>
                              </a:pathLst>
                            </a:custGeom>
                            <a:solidFill>
                              <a:srgbClr val="B8B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docshape851"/>
                          <wps:cNvSpPr>
                            <a:spLocks/>
                          </wps:cNvSpPr>
                          <wps:spPr bwMode="auto">
                            <a:xfrm>
                              <a:off x="6210" y="3043"/>
                              <a:ext cx="2261" cy="725"/>
                            </a:xfrm>
                            <a:custGeom>
                              <a:avLst/>
                              <a:gdLst>
                                <a:gd name="T0" fmla="+- 0 8231 6211"/>
                                <a:gd name="T1" fmla="*/ T0 w 2261"/>
                                <a:gd name="T2" fmla="+- 0 3043 3043"/>
                                <a:gd name="T3" fmla="*/ 3043 h 725"/>
                                <a:gd name="T4" fmla="+- 0 6451 6211"/>
                                <a:gd name="T5" fmla="*/ T4 w 2261"/>
                                <a:gd name="T6" fmla="+- 0 3043 3043"/>
                                <a:gd name="T7" fmla="*/ 3043 h 725"/>
                                <a:gd name="T8" fmla="+- 0 6312 6211"/>
                                <a:gd name="T9" fmla="*/ T8 w 2261"/>
                                <a:gd name="T10" fmla="+- 0 3047 3043"/>
                                <a:gd name="T11" fmla="*/ 3047 h 725"/>
                                <a:gd name="T12" fmla="+- 0 6241 6211"/>
                                <a:gd name="T13" fmla="*/ T12 w 2261"/>
                                <a:gd name="T14" fmla="+- 0 3073 3043"/>
                                <a:gd name="T15" fmla="*/ 3073 h 725"/>
                                <a:gd name="T16" fmla="+- 0 6215 6211"/>
                                <a:gd name="T17" fmla="*/ T16 w 2261"/>
                                <a:gd name="T18" fmla="+- 0 3144 3043"/>
                                <a:gd name="T19" fmla="*/ 3144 h 725"/>
                                <a:gd name="T20" fmla="+- 0 6211 6211"/>
                                <a:gd name="T21" fmla="*/ T20 w 2261"/>
                                <a:gd name="T22" fmla="+- 0 3283 3043"/>
                                <a:gd name="T23" fmla="*/ 3283 h 725"/>
                                <a:gd name="T24" fmla="+- 0 6211 6211"/>
                                <a:gd name="T25" fmla="*/ T24 w 2261"/>
                                <a:gd name="T26" fmla="+- 0 3528 3043"/>
                                <a:gd name="T27" fmla="*/ 3528 h 725"/>
                                <a:gd name="T28" fmla="+- 0 6215 6211"/>
                                <a:gd name="T29" fmla="*/ T28 w 2261"/>
                                <a:gd name="T30" fmla="+- 0 3666 3043"/>
                                <a:gd name="T31" fmla="*/ 3666 h 725"/>
                                <a:gd name="T32" fmla="+- 0 6241 6211"/>
                                <a:gd name="T33" fmla="*/ T32 w 2261"/>
                                <a:gd name="T34" fmla="+- 0 3738 3043"/>
                                <a:gd name="T35" fmla="*/ 3738 h 725"/>
                                <a:gd name="T36" fmla="+- 0 6312 6211"/>
                                <a:gd name="T37" fmla="*/ T36 w 2261"/>
                                <a:gd name="T38" fmla="+- 0 3764 3043"/>
                                <a:gd name="T39" fmla="*/ 3764 h 725"/>
                                <a:gd name="T40" fmla="+- 0 6451 6211"/>
                                <a:gd name="T41" fmla="*/ T40 w 2261"/>
                                <a:gd name="T42" fmla="+- 0 3768 3043"/>
                                <a:gd name="T43" fmla="*/ 3768 h 725"/>
                                <a:gd name="T44" fmla="+- 0 8231 6211"/>
                                <a:gd name="T45" fmla="*/ T44 w 2261"/>
                                <a:gd name="T46" fmla="+- 0 3768 3043"/>
                                <a:gd name="T47" fmla="*/ 3768 h 725"/>
                                <a:gd name="T48" fmla="+- 0 8370 6211"/>
                                <a:gd name="T49" fmla="*/ T48 w 2261"/>
                                <a:gd name="T50" fmla="+- 0 3764 3043"/>
                                <a:gd name="T51" fmla="*/ 3764 h 725"/>
                                <a:gd name="T52" fmla="+- 0 8441 6211"/>
                                <a:gd name="T53" fmla="*/ T52 w 2261"/>
                                <a:gd name="T54" fmla="+- 0 3738 3043"/>
                                <a:gd name="T55" fmla="*/ 3738 h 725"/>
                                <a:gd name="T56" fmla="+- 0 8468 6211"/>
                                <a:gd name="T57" fmla="*/ T56 w 2261"/>
                                <a:gd name="T58" fmla="+- 0 3666 3043"/>
                                <a:gd name="T59" fmla="*/ 3666 h 725"/>
                                <a:gd name="T60" fmla="+- 0 8471 6211"/>
                                <a:gd name="T61" fmla="*/ T60 w 2261"/>
                                <a:gd name="T62" fmla="+- 0 3528 3043"/>
                                <a:gd name="T63" fmla="*/ 3528 h 725"/>
                                <a:gd name="T64" fmla="+- 0 8471 6211"/>
                                <a:gd name="T65" fmla="*/ T64 w 2261"/>
                                <a:gd name="T66" fmla="+- 0 3283 3043"/>
                                <a:gd name="T67" fmla="*/ 3283 h 725"/>
                                <a:gd name="T68" fmla="+- 0 8468 6211"/>
                                <a:gd name="T69" fmla="*/ T68 w 2261"/>
                                <a:gd name="T70" fmla="+- 0 3144 3043"/>
                                <a:gd name="T71" fmla="*/ 3144 h 725"/>
                                <a:gd name="T72" fmla="+- 0 8441 6211"/>
                                <a:gd name="T73" fmla="*/ T72 w 2261"/>
                                <a:gd name="T74" fmla="+- 0 3073 3043"/>
                                <a:gd name="T75" fmla="*/ 3073 h 725"/>
                                <a:gd name="T76" fmla="+- 0 8370 6211"/>
                                <a:gd name="T77" fmla="*/ T76 w 2261"/>
                                <a:gd name="T78" fmla="+- 0 3047 3043"/>
                                <a:gd name="T79" fmla="*/ 3047 h 725"/>
                                <a:gd name="T80" fmla="+- 0 8231 6211"/>
                                <a:gd name="T81" fmla="*/ T80 w 2261"/>
                                <a:gd name="T82" fmla="+- 0 3043 3043"/>
                                <a:gd name="T83" fmla="*/ 3043 h 7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261" h="725">
                                  <a:moveTo>
                                    <a:pt x="2020" y="0"/>
                                  </a:moveTo>
                                  <a:lnTo>
                                    <a:pt x="240" y="0"/>
                                  </a:lnTo>
                                  <a:lnTo>
                                    <a:pt x="101" y="4"/>
                                  </a:lnTo>
                                  <a:lnTo>
                                    <a:pt x="30" y="30"/>
                                  </a:lnTo>
                                  <a:lnTo>
                                    <a:pt x="4" y="101"/>
                                  </a:lnTo>
                                  <a:lnTo>
                                    <a:pt x="0" y="240"/>
                                  </a:lnTo>
                                  <a:lnTo>
                                    <a:pt x="0" y="485"/>
                                  </a:lnTo>
                                  <a:lnTo>
                                    <a:pt x="4" y="623"/>
                                  </a:lnTo>
                                  <a:lnTo>
                                    <a:pt x="30" y="695"/>
                                  </a:lnTo>
                                  <a:lnTo>
                                    <a:pt x="101" y="721"/>
                                  </a:lnTo>
                                  <a:lnTo>
                                    <a:pt x="240" y="725"/>
                                  </a:lnTo>
                                  <a:lnTo>
                                    <a:pt x="2020" y="725"/>
                                  </a:lnTo>
                                  <a:lnTo>
                                    <a:pt x="2159" y="721"/>
                                  </a:lnTo>
                                  <a:lnTo>
                                    <a:pt x="2230" y="695"/>
                                  </a:lnTo>
                                  <a:lnTo>
                                    <a:pt x="2257" y="623"/>
                                  </a:lnTo>
                                  <a:lnTo>
                                    <a:pt x="2260" y="485"/>
                                  </a:lnTo>
                                  <a:lnTo>
                                    <a:pt x="2260" y="240"/>
                                  </a:lnTo>
                                  <a:lnTo>
                                    <a:pt x="2257" y="101"/>
                                  </a:lnTo>
                                  <a:lnTo>
                                    <a:pt x="2230" y="30"/>
                                  </a:lnTo>
                                  <a:lnTo>
                                    <a:pt x="2159" y="4"/>
                                  </a:lnTo>
                                  <a:lnTo>
                                    <a:pt x="20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docshape852"/>
                          <wps:cNvSpPr>
                            <a:spLocks/>
                          </wps:cNvSpPr>
                          <wps:spPr bwMode="auto">
                            <a:xfrm>
                              <a:off x="6210" y="3043"/>
                              <a:ext cx="2261" cy="725"/>
                            </a:xfrm>
                            <a:custGeom>
                              <a:avLst/>
                              <a:gdLst>
                                <a:gd name="T0" fmla="+- 0 6451 6211"/>
                                <a:gd name="T1" fmla="*/ T0 w 2261"/>
                                <a:gd name="T2" fmla="+- 0 3043 3043"/>
                                <a:gd name="T3" fmla="*/ 3043 h 725"/>
                                <a:gd name="T4" fmla="+- 0 6312 6211"/>
                                <a:gd name="T5" fmla="*/ T4 w 2261"/>
                                <a:gd name="T6" fmla="+- 0 3047 3043"/>
                                <a:gd name="T7" fmla="*/ 3047 h 725"/>
                                <a:gd name="T8" fmla="+- 0 6241 6211"/>
                                <a:gd name="T9" fmla="*/ T8 w 2261"/>
                                <a:gd name="T10" fmla="+- 0 3073 3043"/>
                                <a:gd name="T11" fmla="*/ 3073 h 725"/>
                                <a:gd name="T12" fmla="+- 0 6215 6211"/>
                                <a:gd name="T13" fmla="*/ T12 w 2261"/>
                                <a:gd name="T14" fmla="+- 0 3144 3043"/>
                                <a:gd name="T15" fmla="*/ 3144 h 725"/>
                                <a:gd name="T16" fmla="+- 0 6211 6211"/>
                                <a:gd name="T17" fmla="*/ T16 w 2261"/>
                                <a:gd name="T18" fmla="+- 0 3283 3043"/>
                                <a:gd name="T19" fmla="*/ 3283 h 725"/>
                                <a:gd name="T20" fmla="+- 0 6211 6211"/>
                                <a:gd name="T21" fmla="*/ T20 w 2261"/>
                                <a:gd name="T22" fmla="+- 0 3528 3043"/>
                                <a:gd name="T23" fmla="*/ 3528 h 725"/>
                                <a:gd name="T24" fmla="+- 0 6215 6211"/>
                                <a:gd name="T25" fmla="*/ T24 w 2261"/>
                                <a:gd name="T26" fmla="+- 0 3666 3043"/>
                                <a:gd name="T27" fmla="*/ 3666 h 725"/>
                                <a:gd name="T28" fmla="+- 0 6241 6211"/>
                                <a:gd name="T29" fmla="*/ T28 w 2261"/>
                                <a:gd name="T30" fmla="+- 0 3738 3043"/>
                                <a:gd name="T31" fmla="*/ 3738 h 725"/>
                                <a:gd name="T32" fmla="+- 0 6312 6211"/>
                                <a:gd name="T33" fmla="*/ T32 w 2261"/>
                                <a:gd name="T34" fmla="+- 0 3764 3043"/>
                                <a:gd name="T35" fmla="*/ 3764 h 725"/>
                                <a:gd name="T36" fmla="+- 0 6451 6211"/>
                                <a:gd name="T37" fmla="*/ T36 w 2261"/>
                                <a:gd name="T38" fmla="+- 0 3768 3043"/>
                                <a:gd name="T39" fmla="*/ 3768 h 725"/>
                                <a:gd name="T40" fmla="+- 0 8231 6211"/>
                                <a:gd name="T41" fmla="*/ T40 w 2261"/>
                                <a:gd name="T42" fmla="+- 0 3768 3043"/>
                                <a:gd name="T43" fmla="*/ 3768 h 725"/>
                                <a:gd name="T44" fmla="+- 0 8370 6211"/>
                                <a:gd name="T45" fmla="*/ T44 w 2261"/>
                                <a:gd name="T46" fmla="+- 0 3764 3043"/>
                                <a:gd name="T47" fmla="*/ 3764 h 725"/>
                                <a:gd name="T48" fmla="+- 0 8441 6211"/>
                                <a:gd name="T49" fmla="*/ T48 w 2261"/>
                                <a:gd name="T50" fmla="+- 0 3738 3043"/>
                                <a:gd name="T51" fmla="*/ 3738 h 725"/>
                                <a:gd name="T52" fmla="+- 0 8468 6211"/>
                                <a:gd name="T53" fmla="*/ T52 w 2261"/>
                                <a:gd name="T54" fmla="+- 0 3666 3043"/>
                                <a:gd name="T55" fmla="*/ 3666 h 725"/>
                                <a:gd name="T56" fmla="+- 0 8471 6211"/>
                                <a:gd name="T57" fmla="*/ T56 w 2261"/>
                                <a:gd name="T58" fmla="+- 0 3528 3043"/>
                                <a:gd name="T59" fmla="*/ 3528 h 725"/>
                                <a:gd name="T60" fmla="+- 0 8471 6211"/>
                                <a:gd name="T61" fmla="*/ T60 w 2261"/>
                                <a:gd name="T62" fmla="+- 0 3283 3043"/>
                                <a:gd name="T63" fmla="*/ 3283 h 725"/>
                                <a:gd name="T64" fmla="+- 0 8468 6211"/>
                                <a:gd name="T65" fmla="*/ T64 w 2261"/>
                                <a:gd name="T66" fmla="+- 0 3144 3043"/>
                                <a:gd name="T67" fmla="*/ 3144 h 725"/>
                                <a:gd name="T68" fmla="+- 0 8441 6211"/>
                                <a:gd name="T69" fmla="*/ T68 w 2261"/>
                                <a:gd name="T70" fmla="+- 0 3073 3043"/>
                                <a:gd name="T71" fmla="*/ 3073 h 725"/>
                                <a:gd name="T72" fmla="+- 0 8370 6211"/>
                                <a:gd name="T73" fmla="*/ T72 w 2261"/>
                                <a:gd name="T74" fmla="+- 0 3047 3043"/>
                                <a:gd name="T75" fmla="*/ 3047 h 725"/>
                                <a:gd name="T76" fmla="+- 0 8231 6211"/>
                                <a:gd name="T77" fmla="*/ T76 w 2261"/>
                                <a:gd name="T78" fmla="+- 0 3043 3043"/>
                                <a:gd name="T79" fmla="*/ 3043 h 725"/>
                                <a:gd name="T80" fmla="+- 0 6451 6211"/>
                                <a:gd name="T81" fmla="*/ T80 w 2261"/>
                                <a:gd name="T82" fmla="+- 0 3043 3043"/>
                                <a:gd name="T83" fmla="*/ 3043 h 7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261" h="725">
                                  <a:moveTo>
                                    <a:pt x="240" y="0"/>
                                  </a:moveTo>
                                  <a:lnTo>
                                    <a:pt x="101" y="4"/>
                                  </a:lnTo>
                                  <a:lnTo>
                                    <a:pt x="30" y="30"/>
                                  </a:lnTo>
                                  <a:lnTo>
                                    <a:pt x="4" y="101"/>
                                  </a:lnTo>
                                  <a:lnTo>
                                    <a:pt x="0" y="240"/>
                                  </a:lnTo>
                                  <a:lnTo>
                                    <a:pt x="0" y="485"/>
                                  </a:lnTo>
                                  <a:lnTo>
                                    <a:pt x="4" y="623"/>
                                  </a:lnTo>
                                  <a:lnTo>
                                    <a:pt x="30" y="695"/>
                                  </a:lnTo>
                                  <a:lnTo>
                                    <a:pt x="101" y="721"/>
                                  </a:lnTo>
                                  <a:lnTo>
                                    <a:pt x="240" y="725"/>
                                  </a:lnTo>
                                  <a:lnTo>
                                    <a:pt x="2020" y="725"/>
                                  </a:lnTo>
                                  <a:lnTo>
                                    <a:pt x="2159" y="721"/>
                                  </a:lnTo>
                                  <a:lnTo>
                                    <a:pt x="2230" y="695"/>
                                  </a:lnTo>
                                  <a:lnTo>
                                    <a:pt x="2257" y="623"/>
                                  </a:lnTo>
                                  <a:lnTo>
                                    <a:pt x="2260" y="485"/>
                                  </a:lnTo>
                                  <a:lnTo>
                                    <a:pt x="2260" y="240"/>
                                  </a:lnTo>
                                  <a:lnTo>
                                    <a:pt x="2257" y="101"/>
                                  </a:lnTo>
                                  <a:lnTo>
                                    <a:pt x="2230" y="30"/>
                                  </a:lnTo>
                                  <a:lnTo>
                                    <a:pt x="2159" y="4"/>
                                  </a:lnTo>
                                  <a:lnTo>
                                    <a:pt x="2020" y="0"/>
                                  </a:lnTo>
                                  <a:lnTo>
                                    <a:pt x="240" y="0"/>
                                  </a:lnTo>
                                  <a:close/>
                                </a:path>
                              </a:pathLst>
                            </a:custGeom>
                            <a:noFill/>
                            <a:ln w="12700">
                              <a:solidFill>
                                <a:srgbClr val="4F84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 name="docshape853"/>
                          <wps:cNvSpPr>
                            <a:spLocks/>
                          </wps:cNvSpPr>
                          <wps:spPr bwMode="auto">
                            <a:xfrm>
                              <a:off x="5977" y="4969"/>
                              <a:ext cx="282" cy="898"/>
                            </a:xfrm>
                            <a:custGeom>
                              <a:avLst/>
                              <a:gdLst>
                                <a:gd name="T0" fmla="+- 0 6184 5978"/>
                                <a:gd name="T1" fmla="*/ T0 w 282"/>
                                <a:gd name="T2" fmla="+- 0 4969 4969"/>
                                <a:gd name="T3" fmla="*/ 4969 h 898"/>
                                <a:gd name="T4" fmla="+- 0 6052 5978"/>
                                <a:gd name="T5" fmla="*/ T4 w 282"/>
                                <a:gd name="T6" fmla="+- 0 4969 4969"/>
                                <a:gd name="T7" fmla="*/ 4969 h 898"/>
                                <a:gd name="T8" fmla="+- 0 6052 5978"/>
                                <a:gd name="T9" fmla="*/ T8 w 282"/>
                                <a:gd name="T10" fmla="+- 0 5653 4969"/>
                                <a:gd name="T11" fmla="*/ 5653 h 898"/>
                                <a:gd name="T12" fmla="+- 0 6009 5978"/>
                                <a:gd name="T13" fmla="*/ T12 w 282"/>
                                <a:gd name="T14" fmla="+- 0 5653 4969"/>
                                <a:gd name="T15" fmla="*/ 5653 h 898"/>
                                <a:gd name="T16" fmla="+- 0 5990 5978"/>
                                <a:gd name="T17" fmla="*/ T16 w 282"/>
                                <a:gd name="T18" fmla="+- 0 5657 4969"/>
                                <a:gd name="T19" fmla="*/ 5657 h 898"/>
                                <a:gd name="T20" fmla="+- 0 5980 5978"/>
                                <a:gd name="T21" fmla="*/ T20 w 282"/>
                                <a:gd name="T22" fmla="+- 0 5666 4969"/>
                                <a:gd name="T23" fmla="*/ 5666 h 898"/>
                                <a:gd name="T24" fmla="+- 0 5978 5978"/>
                                <a:gd name="T25" fmla="*/ T24 w 282"/>
                                <a:gd name="T26" fmla="+- 0 5680 4969"/>
                                <a:gd name="T27" fmla="*/ 5680 h 898"/>
                                <a:gd name="T28" fmla="+- 0 5986 5978"/>
                                <a:gd name="T29" fmla="*/ T28 w 282"/>
                                <a:gd name="T30" fmla="+- 0 5698 4969"/>
                                <a:gd name="T31" fmla="*/ 5698 h 898"/>
                                <a:gd name="T32" fmla="+- 0 6092 5978"/>
                                <a:gd name="T33" fmla="*/ T32 w 282"/>
                                <a:gd name="T34" fmla="+- 0 5849 4969"/>
                                <a:gd name="T35" fmla="*/ 5849 h 898"/>
                                <a:gd name="T36" fmla="+- 0 6106 5978"/>
                                <a:gd name="T37" fmla="*/ T36 w 282"/>
                                <a:gd name="T38" fmla="+- 0 5863 4969"/>
                                <a:gd name="T39" fmla="*/ 5863 h 898"/>
                                <a:gd name="T40" fmla="+- 0 6123 5978"/>
                                <a:gd name="T41" fmla="*/ T40 w 282"/>
                                <a:gd name="T42" fmla="+- 0 5867 4969"/>
                                <a:gd name="T43" fmla="*/ 5867 h 898"/>
                                <a:gd name="T44" fmla="+- 0 6139 5978"/>
                                <a:gd name="T45" fmla="*/ T44 w 282"/>
                                <a:gd name="T46" fmla="+- 0 5862 4969"/>
                                <a:gd name="T47" fmla="*/ 5862 h 898"/>
                                <a:gd name="T48" fmla="+- 0 6154 5978"/>
                                <a:gd name="T49" fmla="*/ T48 w 282"/>
                                <a:gd name="T50" fmla="+- 0 5848 4969"/>
                                <a:gd name="T51" fmla="*/ 5848 h 898"/>
                                <a:gd name="T52" fmla="+- 0 6252 5978"/>
                                <a:gd name="T53" fmla="*/ T52 w 282"/>
                                <a:gd name="T54" fmla="+- 0 5700 4969"/>
                                <a:gd name="T55" fmla="*/ 5700 h 898"/>
                                <a:gd name="T56" fmla="+- 0 6260 5978"/>
                                <a:gd name="T57" fmla="*/ T56 w 282"/>
                                <a:gd name="T58" fmla="+- 0 5682 4969"/>
                                <a:gd name="T59" fmla="*/ 5682 h 898"/>
                                <a:gd name="T60" fmla="+- 0 6257 5978"/>
                                <a:gd name="T61" fmla="*/ T60 w 282"/>
                                <a:gd name="T62" fmla="+- 0 5667 4969"/>
                                <a:gd name="T63" fmla="*/ 5667 h 898"/>
                                <a:gd name="T64" fmla="+- 0 6246 5978"/>
                                <a:gd name="T65" fmla="*/ T64 w 282"/>
                                <a:gd name="T66" fmla="+- 0 5657 4969"/>
                                <a:gd name="T67" fmla="*/ 5657 h 898"/>
                                <a:gd name="T68" fmla="+- 0 6227 5978"/>
                                <a:gd name="T69" fmla="*/ T68 w 282"/>
                                <a:gd name="T70" fmla="+- 0 5654 4969"/>
                                <a:gd name="T71" fmla="*/ 5654 h 898"/>
                                <a:gd name="T72" fmla="+- 0 6185 5978"/>
                                <a:gd name="T73" fmla="*/ T72 w 282"/>
                                <a:gd name="T74" fmla="+- 0 5654 4969"/>
                                <a:gd name="T75" fmla="*/ 5654 h 898"/>
                                <a:gd name="T76" fmla="+- 0 6184 5978"/>
                                <a:gd name="T77" fmla="*/ T76 w 282"/>
                                <a:gd name="T78" fmla="+- 0 4969 4969"/>
                                <a:gd name="T79" fmla="*/ 4969 h 8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2" h="898">
                                  <a:moveTo>
                                    <a:pt x="206" y="0"/>
                                  </a:moveTo>
                                  <a:lnTo>
                                    <a:pt x="74" y="0"/>
                                  </a:lnTo>
                                  <a:lnTo>
                                    <a:pt x="74" y="684"/>
                                  </a:lnTo>
                                  <a:lnTo>
                                    <a:pt x="31" y="684"/>
                                  </a:lnTo>
                                  <a:lnTo>
                                    <a:pt x="12" y="688"/>
                                  </a:lnTo>
                                  <a:lnTo>
                                    <a:pt x="2" y="697"/>
                                  </a:lnTo>
                                  <a:lnTo>
                                    <a:pt x="0" y="711"/>
                                  </a:lnTo>
                                  <a:lnTo>
                                    <a:pt x="8" y="729"/>
                                  </a:lnTo>
                                  <a:lnTo>
                                    <a:pt x="114" y="880"/>
                                  </a:lnTo>
                                  <a:lnTo>
                                    <a:pt x="128" y="894"/>
                                  </a:lnTo>
                                  <a:lnTo>
                                    <a:pt x="145" y="898"/>
                                  </a:lnTo>
                                  <a:lnTo>
                                    <a:pt x="161" y="893"/>
                                  </a:lnTo>
                                  <a:lnTo>
                                    <a:pt x="176" y="879"/>
                                  </a:lnTo>
                                  <a:lnTo>
                                    <a:pt x="274" y="731"/>
                                  </a:lnTo>
                                  <a:lnTo>
                                    <a:pt x="282" y="713"/>
                                  </a:lnTo>
                                  <a:lnTo>
                                    <a:pt x="279" y="698"/>
                                  </a:lnTo>
                                  <a:lnTo>
                                    <a:pt x="268" y="688"/>
                                  </a:lnTo>
                                  <a:lnTo>
                                    <a:pt x="249" y="685"/>
                                  </a:lnTo>
                                  <a:lnTo>
                                    <a:pt x="207" y="685"/>
                                  </a:lnTo>
                                  <a:lnTo>
                                    <a:pt x="206" y="0"/>
                                  </a:lnTo>
                                  <a:close/>
                                </a:path>
                              </a:pathLst>
                            </a:custGeom>
                            <a:solidFill>
                              <a:srgbClr val="B8B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docshape854"/>
                          <wps:cNvSpPr>
                            <a:spLocks/>
                          </wps:cNvSpPr>
                          <wps:spPr bwMode="auto">
                            <a:xfrm>
                              <a:off x="3780" y="4538"/>
                              <a:ext cx="4680" cy="567"/>
                            </a:xfrm>
                            <a:custGeom>
                              <a:avLst/>
                              <a:gdLst>
                                <a:gd name="T0" fmla="+- 0 8220 3780"/>
                                <a:gd name="T1" fmla="*/ T0 w 4680"/>
                                <a:gd name="T2" fmla="+- 0 4539 4539"/>
                                <a:gd name="T3" fmla="*/ 4539 h 567"/>
                                <a:gd name="T4" fmla="+- 0 4020 3780"/>
                                <a:gd name="T5" fmla="*/ T4 w 4680"/>
                                <a:gd name="T6" fmla="+- 0 4539 4539"/>
                                <a:gd name="T7" fmla="*/ 4539 h 567"/>
                                <a:gd name="T8" fmla="+- 0 3881 3780"/>
                                <a:gd name="T9" fmla="*/ T8 w 4680"/>
                                <a:gd name="T10" fmla="+- 0 4543 4539"/>
                                <a:gd name="T11" fmla="*/ 4543 h 567"/>
                                <a:gd name="T12" fmla="+- 0 3810 3780"/>
                                <a:gd name="T13" fmla="*/ T12 w 4680"/>
                                <a:gd name="T14" fmla="+- 0 4569 4539"/>
                                <a:gd name="T15" fmla="*/ 4569 h 567"/>
                                <a:gd name="T16" fmla="+- 0 3784 3780"/>
                                <a:gd name="T17" fmla="*/ T16 w 4680"/>
                                <a:gd name="T18" fmla="+- 0 4640 4539"/>
                                <a:gd name="T19" fmla="*/ 4640 h 567"/>
                                <a:gd name="T20" fmla="+- 0 3780 3780"/>
                                <a:gd name="T21" fmla="*/ T20 w 4680"/>
                                <a:gd name="T22" fmla="+- 0 4779 4539"/>
                                <a:gd name="T23" fmla="*/ 4779 h 567"/>
                                <a:gd name="T24" fmla="+- 0 3780 3780"/>
                                <a:gd name="T25" fmla="*/ T24 w 4680"/>
                                <a:gd name="T26" fmla="+- 0 4866 4539"/>
                                <a:gd name="T27" fmla="*/ 4866 h 567"/>
                                <a:gd name="T28" fmla="+- 0 3784 3780"/>
                                <a:gd name="T29" fmla="*/ T28 w 4680"/>
                                <a:gd name="T30" fmla="+- 0 5005 4539"/>
                                <a:gd name="T31" fmla="*/ 5005 h 567"/>
                                <a:gd name="T32" fmla="+- 0 3810 3780"/>
                                <a:gd name="T33" fmla="*/ T32 w 4680"/>
                                <a:gd name="T34" fmla="+- 0 5076 4539"/>
                                <a:gd name="T35" fmla="*/ 5076 h 567"/>
                                <a:gd name="T36" fmla="+- 0 3881 3780"/>
                                <a:gd name="T37" fmla="*/ T36 w 4680"/>
                                <a:gd name="T38" fmla="+- 0 5102 4539"/>
                                <a:gd name="T39" fmla="*/ 5102 h 567"/>
                                <a:gd name="T40" fmla="+- 0 4020 3780"/>
                                <a:gd name="T41" fmla="*/ T40 w 4680"/>
                                <a:gd name="T42" fmla="+- 0 5106 4539"/>
                                <a:gd name="T43" fmla="*/ 5106 h 567"/>
                                <a:gd name="T44" fmla="+- 0 8220 3780"/>
                                <a:gd name="T45" fmla="*/ T44 w 4680"/>
                                <a:gd name="T46" fmla="+- 0 5106 4539"/>
                                <a:gd name="T47" fmla="*/ 5106 h 567"/>
                                <a:gd name="T48" fmla="+- 0 8359 3780"/>
                                <a:gd name="T49" fmla="*/ T48 w 4680"/>
                                <a:gd name="T50" fmla="+- 0 5102 4539"/>
                                <a:gd name="T51" fmla="*/ 5102 h 567"/>
                                <a:gd name="T52" fmla="+- 0 8430 3780"/>
                                <a:gd name="T53" fmla="*/ T52 w 4680"/>
                                <a:gd name="T54" fmla="+- 0 5076 4539"/>
                                <a:gd name="T55" fmla="*/ 5076 h 567"/>
                                <a:gd name="T56" fmla="+- 0 8456 3780"/>
                                <a:gd name="T57" fmla="*/ T56 w 4680"/>
                                <a:gd name="T58" fmla="+- 0 5005 4539"/>
                                <a:gd name="T59" fmla="*/ 5005 h 567"/>
                                <a:gd name="T60" fmla="+- 0 8460 3780"/>
                                <a:gd name="T61" fmla="*/ T60 w 4680"/>
                                <a:gd name="T62" fmla="+- 0 4866 4539"/>
                                <a:gd name="T63" fmla="*/ 4866 h 567"/>
                                <a:gd name="T64" fmla="+- 0 8460 3780"/>
                                <a:gd name="T65" fmla="*/ T64 w 4680"/>
                                <a:gd name="T66" fmla="+- 0 4779 4539"/>
                                <a:gd name="T67" fmla="*/ 4779 h 567"/>
                                <a:gd name="T68" fmla="+- 0 8456 3780"/>
                                <a:gd name="T69" fmla="*/ T68 w 4680"/>
                                <a:gd name="T70" fmla="+- 0 4640 4539"/>
                                <a:gd name="T71" fmla="*/ 4640 h 567"/>
                                <a:gd name="T72" fmla="+- 0 8430 3780"/>
                                <a:gd name="T73" fmla="*/ T72 w 4680"/>
                                <a:gd name="T74" fmla="+- 0 4569 4539"/>
                                <a:gd name="T75" fmla="*/ 4569 h 567"/>
                                <a:gd name="T76" fmla="+- 0 8359 3780"/>
                                <a:gd name="T77" fmla="*/ T76 w 4680"/>
                                <a:gd name="T78" fmla="+- 0 4543 4539"/>
                                <a:gd name="T79" fmla="*/ 4543 h 567"/>
                                <a:gd name="T80" fmla="+- 0 8220 3780"/>
                                <a:gd name="T81" fmla="*/ T80 w 4680"/>
                                <a:gd name="T82" fmla="+- 0 4539 4539"/>
                                <a:gd name="T83" fmla="*/ 4539 h 5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680" h="567">
                                  <a:moveTo>
                                    <a:pt x="4440" y="0"/>
                                  </a:moveTo>
                                  <a:lnTo>
                                    <a:pt x="240" y="0"/>
                                  </a:lnTo>
                                  <a:lnTo>
                                    <a:pt x="101" y="4"/>
                                  </a:lnTo>
                                  <a:lnTo>
                                    <a:pt x="30" y="30"/>
                                  </a:lnTo>
                                  <a:lnTo>
                                    <a:pt x="4" y="101"/>
                                  </a:lnTo>
                                  <a:lnTo>
                                    <a:pt x="0" y="240"/>
                                  </a:lnTo>
                                  <a:lnTo>
                                    <a:pt x="0" y="327"/>
                                  </a:lnTo>
                                  <a:lnTo>
                                    <a:pt x="4" y="466"/>
                                  </a:lnTo>
                                  <a:lnTo>
                                    <a:pt x="30" y="537"/>
                                  </a:lnTo>
                                  <a:lnTo>
                                    <a:pt x="101" y="563"/>
                                  </a:lnTo>
                                  <a:lnTo>
                                    <a:pt x="240" y="567"/>
                                  </a:lnTo>
                                  <a:lnTo>
                                    <a:pt x="4440" y="567"/>
                                  </a:lnTo>
                                  <a:lnTo>
                                    <a:pt x="4579" y="563"/>
                                  </a:lnTo>
                                  <a:lnTo>
                                    <a:pt x="4650" y="537"/>
                                  </a:lnTo>
                                  <a:lnTo>
                                    <a:pt x="4676" y="466"/>
                                  </a:lnTo>
                                  <a:lnTo>
                                    <a:pt x="4680" y="327"/>
                                  </a:lnTo>
                                  <a:lnTo>
                                    <a:pt x="4680" y="240"/>
                                  </a:lnTo>
                                  <a:lnTo>
                                    <a:pt x="4676" y="101"/>
                                  </a:lnTo>
                                  <a:lnTo>
                                    <a:pt x="4650" y="30"/>
                                  </a:lnTo>
                                  <a:lnTo>
                                    <a:pt x="4579" y="4"/>
                                  </a:lnTo>
                                  <a:lnTo>
                                    <a:pt x="4440" y="0"/>
                                  </a:lnTo>
                                  <a:close/>
                                </a:path>
                              </a:pathLst>
                            </a:custGeom>
                            <a:solidFill>
                              <a:srgbClr val="4F84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docshape855"/>
                          <wps:cNvSpPr>
                            <a:spLocks/>
                          </wps:cNvSpPr>
                          <wps:spPr bwMode="auto">
                            <a:xfrm>
                              <a:off x="9109" y="3573"/>
                              <a:ext cx="1701" cy="567"/>
                            </a:xfrm>
                            <a:custGeom>
                              <a:avLst/>
                              <a:gdLst>
                                <a:gd name="T0" fmla="+- 0 10570 9109"/>
                                <a:gd name="T1" fmla="*/ T0 w 1701"/>
                                <a:gd name="T2" fmla="+- 0 3574 3574"/>
                                <a:gd name="T3" fmla="*/ 3574 h 567"/>
                                <a:gd name="T4" fmla="+- 0 9349 9109"/>
                                <a:gd name="T5" fmla="*/ T4 w 1701"/>
                                <a:gd name="T6" fmla="+- 0 3574 3574"/>
                                <a:gd name="T7" fmla="*/ 3574 h 567"/>
                                <a:gd name="T8" fmla="+- 0 9210 9109"/>
                                <a:gd name="T9" fmla="*/ T8 w 1701"/>
                                <a:gd name="T10" fmla="+- 0 3577 3574"/>
                                <a:gd name="T11" fmla="*/ 3577 h 567"/>
                                <a:gd name="T12" fmla="+- 0 9139 9109"/>
                                <a:gd name="T13" fmla="*/ T12 w 1701"/>
                                <a:gd name="T14" fmla="+- 0 3604 3574"/>
                                <a:gd name="T15" fmla="*/ 3604 h 567"/>
                                <a:gd name="T16" fmla="+- 0 9113 9109"/>
                                <a:gd name="T17" fmla="*/ T16 w 1701"/>
                                <a:gd name="T18" fmla="+- 0 3675 3574"/>
                                <a:gd name="T19" fmla="*/ 3675 h 567"/>
                                <a:gd name="T20" fmla="+- 0 9109 9109"/>
                                <a:gd name="T21" fmla="*/ T20 w 1701"/>
                                <a:gd name="T22" fmla="+- 0 3814 3574"/>
                                <a:gd name="T23" fmla="*/ 3814 h 567"/>
                                <a:gd name="T24" fmla="+- 0 9109 9109"/>
                                <a:gd name="T25" fmla="*/ T24 w 1701"/>
                                <a:gd name="T26" fmla="+- 0 3901 3574"/>
                                <a:gd name="T27" fmla="*/ 3901 h 567"/>
                                <a:gd name="T28" fmla="+- 0 9113 9109"/>
                                <a:gd name="T29" fmla="*/ T28 w 1701"/>
                                <a:gd name="T30" fmla="+- 0 4039 3574"/>
                                <a:gd name="T31" fmla="*/ 4039 h 567"/>
                                <a:gd name="T32" fmla="+- 0 9139 9109"/>
                                <a:gd name="T33" fmla="*/ T32 w 1701"/>
                                <a:gd name="T34" fmla="+- 0 4111 3574"/>
                                <a:gd name="T35" fmla="*/ 4111 h 567"/>
                                <a:gd name="T36" fmla="+- 0 9210 9109"/>
                                <a:gd name="T37" fmla="*/ T36 w 1701"/>
                                <a:gd name="T38" fmla="+- 0 4137 3574"/>
                                <a:gd name="T39" fmla="*/ 4137 h 567"/>
                                <a:gd name="T40" fmla="+- 0 9349 9109"/>
                                <a:gd name="T41" fmla="*/ T40 w 1701"/>
                                <a:gd name="T42" fmla="+- 0 4141 3574"/>
                                <a:gd name="T43" fmla="*/ 4141 h 567"/>
                                <a:gd name="T44" fmla="+- 0 10570 9109"/>
                                <a:gd name="T45" fmla="*/ T44 w 1701"/>
                                <a:gd name="T46" fmla="+- 0 4141 3574"/>
                                <a:gd name="T47" fmla="*/ 4141 h 567"/>
                                <a:gd name="T48" fmla="+- 0 10709 9109"/>
                                <a:gd name="T49" fmla="*/ T48 w 1701"/>
                                <a:gd name="T50" fmla="+- 0 4137 3574"/>
                                <a:gd name="T51" fmla="*/ 4137 h 567"/>
                                <a:gd name="T52" fmla="+- 0 10780 9109"/>
                                <a:gd name="T53" fmla="*/ T52 w 1701"/>
                                <a:gd name="T54" fmla="+- 0 4111 3574"/>
                                <a:gd name="T55" fmla="*/ 4111 h 567"/>
                                <a:gd name="T56" fmla="+- 0 10806 9109"/>
                                <a:gd name="T57" fmla="*/ T56 w 1701"/>
                                <a:gd name="T58" fmla="+- 0 4039 3574"/>
                                <a:gd name="T59" fmla="*/ 4039 h 567"/>
                                <a:gd name="T60" fmla="+- 0 10810 9109"/>
                                <a:gd name="T61" fmla="*/ T60 w 1701"/>
                                <a:gd name="T62" fmla="+- 0 3901 3574"/>
                                <a:gd name="T63" fmla="*/ 3901 h 567"/>
                                <a:gd name="T64" fmla="+- 0 10810 9109"/>
                                <a:gd name="T65" fmla="*/ T64 w 1701"/>
                                <a:gd name="T66" fmla="+- 0 3814 3574"/>
                                <a:gd name="T67" fmla="*/ 3814 h 567"/>
                                <a:gd name="T68" fmla="+- 0 10806 9109"/>
                                <a:gd name="T69" fmla="*/ T68 w 1701"/>
                                <a:gd name="T70" fmla="+- 0 3675 3574"/>
                                <a:gd name="T71" fmla="*/ 3675 h 567"/>
                                <a:gd name="T72" fmla="+- 0 10780 9109"/>
                                <a:gd name="T73" fmla="*/ T72 w 1701"/>
                                <a:gd name="T74" fmla="+- 0 3604 3574"/>
                                <a:gd name="T75" fmla="*/ 3604 h 567"/>
                                <a:gd name="T76" fmla="+- 0 10709 9109"/>
                                <a:gd name="T77" fmla="*/ T76 w 1701"/>
                                <a:gd name="T78" fmla="+- 0 3577 3574"/>
                                <a:gd name="T79" fmla="*/ 3577 h 567"/>
                                <a:gd name="T80" fmla="+- 0 10570 9109"/>
                                <a:gd name="T81" fmla="*/ T80 w 1701"/>
                                <a:gd name="T82" fmla="+- 0 3574 3574"/>
                                <a:gd name="T83" fmla="*/ 3574 h 5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01" h="567">
                                  <a:moveTo>
                                    <a:pt x="1461" y="0"/>
                                  </a:moveTo>
                                  <a:lnTo>
                                    <a:pt x="240" y="0"/>
                                  </a:lnTo>
                                  <a:lnTo>
                                    <a:pt x="101" y="3"/>
                                  </a:lnTo>
                                  <a:lnTo>
                                    <a:pt x="30" y="30"/>
                                  </a:lnTo>
                                  <a:lnTo>
                                    <a:pt x="4" y="101"/>
                                  </a:lnTo>
                                  <a:lnTo>
                                    <a:pt x="0" y="240"/>
                                  </a:lnTo>
                                  <a:lnTo>
                                    <a:pt x="0" y="327"/>
                                  </a:lnTo>
                                  <a:lnTo>
                                    <a:pt x="4" y="465"/>
                                  </a:lnTo>
                                  <a:lnTo>
                                    <a:pt x="30" y="537"/>
                                  </a:lnTo>
                                  <a:lnTo>
                                    <a:pt x="101" y="563"/>
                                  </a:lnTo>
                                  <a:lnTo>
                                    <a:pt x="240" y="567"/>
                                  </a:lnTo>
                                  <a:lnTo>
                                    <a:pt x="1461" y="567"/>
                                  </a:lnTo>
                                  <a:lnTo>
                                    <a:pt x="1600" y="563"/>
                                  </a:lnTo>
                                  <a:lnTo>
                                    <a:pt x="1671" y="537"/>
                                  </a:lnTo>
                                  <a:lnTo>
                                    <a:pt x="1697" y="465"/>
                                  </a:lnTo>
                                  <a:lnTo>
                                    <a:pt x="1701" y="327"/>
                                  </a:lnTo>
                                  <a:lnTo>
                                    <a:pt x="1701" y="240"/>
                                  </a:lnTo>
                                  <a:lnTo>
                                    <a:pt x="1697" y="101"/>
                                  </a:lnTo>
                                  <a:lnTo>
                                    <a:pt x="1671" y="30"/>
                                  </a:lnTo>
                                  <a:lnTo>
                                    <a:pt x="1600" y="3"/>
                                  </a:lnTo>
                                  <a:lnTo>
                                    <a:pt x="1461" y="0"/>
                                  </a:lnTo>
                                  <a:close/>
                                </a:path>
                              </a:pathLst>
                            </a:custGeom>
                            <a:solidFill>
                              <a:srgbClr val="ED106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docshape856"/>
                          <wps:cNvSpPr>
                            <a:spLocks/>
                          </wps:cNvSpPr>
                          <wps:spPr bwMode="auto">
                            <a:xfrm>
                              <a:off x="5106" y="2139"/>
                              <a:ext cx="830" cy="383"/>
                            </a:xfrm>
                            <a:custGeom>
                              <a:avLst/>
                              <a:gdLst>
                                <a:gd name="T0" fmla="+- 0 5776 5107"/>
                                <a:gd name="T1" fmla="*/ T0 w 830"/>
                                <a:gd name="T2" fmla="+- 0 2139 2139"/>
                                <a:gd name="T3" fmla="*/ 2139 h 383"/>
                                <a:gd name="T4" fmla="+- 0 5267 5107"/>
                                <a:gd name="T5" fmla="*/ T4 w 830"/>
                                <a:gd name="T6" fmla="+- 0 2139 2139"/>
                                <a:gd name="T7" fmla="*/ 2139 h 383"/>
                                <a:gd name="T8" fmla="+- 0 5174 5107"/>
                                <a:gd name="T9" fmla="*/ T8 w 830"/>
                                <a:gd name="T10" fmla="+- 0 2142 2139"/>
                                <a:gd name="T11" fmla="*/ 2142 h 383"/>
                                <a:gd name="T12" fmla="+- 0 5127 5107"/>
                                <a:gd name="T13" fmla="*/ T12 w 830"/>
                                <a:gd name="T14" fmla="+- 0 2159 2139"/>
                                <a:gd name="T15" fmla="*/ 2159 h 383"/>
                                <a:gd name="T16" fmla="+- 0 5109 5107"/>
                                <a:gd name="T17" fmla="*/ T16 w 830"/>
                                <a:gd name="T18" fmla="+- 0 2207 2139"/>
                                <a:gd name="T19" fmla="*/ 2207 h 383"/>
                                <a:gd name="T20" fmla="+- 0 5107 5107"/>
                                <a:gd name="T21" fmla="*/ T20 w 830"/>
                                <a:gd name="T22" fmla="+- 0 2299 2139"/>
                                <a:gd name="T23" fmla="*/ 2299 h 383"/>
                                <a:gd name="T24" fmla="+- 0 5107 5107"/>
                                <a:gd name="T25" fmla="*/ T24 w 830"/>
                                <a:gd name="T26" fmla="+- 0 2362 2139"/>
                                <a:gd name="T27" fmla="*/ 2362 h 383"/>
                                <a:gd name="T28" fmla="+- 0 5109 5107"/>
                                <a:gd name="T29" fmla="*/ T28 w 830"/>
                                <a:gd name="T30" fmla="+- 0 2454 2139"/>
                                <a:gd name="T31" fmla="*/ 2454 h 383"/>
                                <a:gd name="T32" fmla="+- 0 5127 5107"/>
                                <a:gd name="T33" fmla="*/ T32 w 830"/>
                                <a:gd name="T34" fmla="+- 0 2502 2139"/>
                                <a:gd name="T35" fmla="*/ 2502 h 383"/>
                                <a:gd name="T36" fmla="+- 0 5174 5107"/>
                                <a:gd name="T37" fmla="*/ T36 w 830"/>
                                <a:gd name="T38" fmla="+- 0 2519 2139"/>
                                <a:gd name="T39" fmla="*/ 2519 h 383"/>
                                <a:gd name="T40" fmla="+- 0 5267 5107"/>
                                <a:gd name="T41" fmla="*/ T40 w 830"/>
                                <a:gd name="T42" fmla="+- 0 2522 2139"/>
                                <a:gd name="T43" fmla="*/ 2522 h 383"/>
                                <a:gd name="T44" fmla="+- 0 5776 5107"/>
                                <a:gd name="T45" fmla="*/ T44 w 830"/>
                                <a:gd name="T46" fmla="+- 0 2522 2139"/>
                                <a:gd name="T47" fmla="*/ 2522 h 383"/>
                                <a:gd name="T48" fmla="+- 0 5868 5107"/>
                                <a:gd name="T49" fmla="*/ T48 w 830"/>
                                <a:gd name="T50" fmla="+- 0 2519 2139"/>
                                <a:gd name="T51" fmla="*/ 2519 h 383"/>
                                <a:gd name="T52" fmla="+- 0 5916 5107"/>
                                <a:gd name="T53" fmla="*/ T52 w 830"/>
                                <a:gd name="T54" fmla="+- 0 2502 2139"/>
                                <a:gd name="T55" fmla="*/ 2502 h 383"/>
                                <a:gd name="T56" fmla="+- 0 5933 5107"/>
                                <a:gd name="T57" fmla="*/ T56 w 830"/>
                                <a:gd name="T58" fmla="+- 0 2454 2139"/>
                                <a:gd name="T59" fmla="*/ 2454 h 383"/>
                                <a:gd name="T60" fmla="+- 0 5936 5107"/>
                                <a:gd name="T61" fmla="*/ T60 w 830"/>
                                <a:gd name="T62" fmla="+- 0 2362 2139"/>
                                <a:gd name="T63" fmla="*/ 2362 h 383"/>
                                <a:gd name="T64" fmla="+- 0 5936 5107"/>
                                <a:gd name="T65" fmla="*/ T64 w 830"/>
                                <a:gd name="T66" fmla="+- 0 2299 2139"/>
                                <a:gd name="T67" fmla="*/ 2299 h 383"/>
                                <a:gd name="T68" fmla="+- 0 5933 5107"/>
                                <a:gd name="T69" fmla="*/ T68 w 830"/>
                                <a:gd name="T70" fmla="+- 0 2207 2139"/>
                                <a:gd name="T71" fmla="*/ 2207 h 383"/>
                                <a:gd name="T72" fmla="+- 0 5916 5107"/>
                                <a:gd name="T73" fmla="*/ T72 w 830"/>
                                <a:gd name="T74" fmla="+- 0 2159 2139"/>
                                <a:gd name="T75" fmla="*/ 2159 h 383"/>
                                <a:gd name="T76" fmla="+- 0 5868 5107"/>
                                <a:gd name="T77" fmla="*/ T76 w 830"/>
                                <a:gd name="T78" fmla="+- 0 2142 2139"/>
                                <a:gd name="T79" fmla="*/ 2142 h 383"/>
                                <a:gd name="T80" fmla="+- 0 5776 5107"/>
                                <a:gd name="T81" fmla="*/ T80 w 830"/>
                                <a:gd name="T82" fmla="+- 0 2139 2139"/>
                                <a:gd name="T83" fmla="*/ 2139 h 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30" h="383">
                                  <a:moveTo>
                                    <a:pt x="669" y="0"/>
                                  </a:moveTo>
                                  <a:lnTo>
                                    <a:pt x="160" y="0"/>
                                  </a:lnTo>
                                  <a:lnTo>
                                    <a:pt x="67" y="3"/>
                                  </a:lnTo>
                                  <a:lnTo>
                                    <a:pt x="20" y="20"/>
                                  </a:lnTo>
                                  <a:lnTo>
                                    <a:pt x="2" y="68"/>
                                  </a:lnTo>
                                  <a:lnTo>
                                    <a:pt x="0" y="160"/>
                                  </a:lnTo>
                                  <a:lnTo>
                                    <a:pt x="0" y="223"/>
                                  </a:lnTo>
                                  <a:lnTo>
                                    <a:pt x="2" y="315"/>
                                  </a:lnTo>
                                  <a:lnTo>
                                    <a:pt x="20" y="363"/>
                                  </a:lnTo>
                                  <a:lnTo>
                                    <a:pt x="67" y="380"/>
                                  </a:lnTo>
                                  <a:lnTo>
                                    <a:pt x="160" y="383"/>
                                  </a:lnTo>
                                  <a:lnTo>
                                    <a:pt x="669" y="383"/>
                                  </a:lnTo>
                                  <a:lnTo>
                                    <a:pt x="761" y="380"/>
                                  </a:lnTo>
                                  <a:lnTo>
                                    <a:pt x="809" y="363"/>
                                  </a:lnTo>
                                  <a:lnTo>
                                    <a:pt x="826" y="315"/>
                                  </a:lnTo>
                                  <a:lnTo>
                                    <a:pt x="829" y="223"/>
                                  </a:lnTo>
                                  <a:lnTo>
                                    <a:pt x="829" y="160"/>
                                  </a:lnTo>
                                  <a:lnTo>
                                    <a:pt x="826" y="68"/>
                                  </a:lnTo>
                                  <a:lnTo>
                                    <a:pt x="809" y="20"/>
                                  </a:lnTo>
                                  <a:lnTo>
                                    <a:pt x="761" y="3"/>
                                  </a:lnTo>
                                  <a:lnTo>
                                    <a:pt x="66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docshape857"/>
                          <wps:cNvSpPr>
                            <a:spLocks/>
                          </wps:cNvSpPr>
                          <wps:spPr bwMode="auto">
                            <a:xfrm>
                              <a:off x="5106" y="2139"/>
                              <a:ext cx="830" cy="383"/>
                            </a:xfrm>
                            <a:custGeom>
                              <a:avLst/>
                              <a:gdLst>
                                <a:gd name="T0" fmla="+- 0 5267 5107"/>
                                <a:gd name="T1" fmla="*/ T0 w 830"/>
                                <a:gd name="T2" fmla="+- 0 2139 2139"/>
                                <a:gd name="T3" fmla="*/ 2139 h 383"/>
                                <a:gd name="T4" fmla="+- 0 5174 5107"/>
                                <a:gd name="T5" fmla="*/ T4 w 830"/>
                                <a:gd name="T6" fmla="+- 0 2142 2139"/>
                                <a:gd name="T7" fmla="*/ 2142 h 383"/>
                                <a:gd name="T8" fmla="+- 0 5127 5107"/>
                                <a:gd name="T9" fmla="*/ T8 w 830"/>
                                <a:gd name="T10" fmla="+- 0 2159 2139"/>
                                <a:gd name="T11" fmla="*/ 2159 h 383"/>
                                <a:gd name="T12" fmla="+- 0 5109 5107"/>
                                <a:gd name="T13" fmla="*/ T12 w 830"/>
                                <a:gd name="T14" fmla="+- 0 2207 2139"/>
                                <a:gd name="T15" fmla="*/ 2207 h 383"/>
                                <a:gd name="T16" fmla="+- 0 5107 5107"/>
                                <a:gd name="T17" fmla="*/ T16 w 830"/>
                                <a:gd name="T18" fmla="+- 0 2299 2139"/>
                                <a:gd name="T19" fmla="*/ 2299 h 383"/>
                                <a:gd name="T20" fmla="+- 0 5107 5107"/>
                                <a:gd name="T21" fmla="*/ T20 w 830"/>
                                <a:gd name="T22" fmla="+- 0 2362 2139"/>
                                <a:gd name="T23" fmla="*/ 2362 h 383"/>
                                <a:gd name="T24" fmla="+- 0 5109 5107"/>
                                <a:gd name="T25" fmla="*/ T24 w 830"/>
                                <a:gd name="T26" fmla="+- 0 2454 2139"/>
                                <a:gd name="T27" fmla="*/ 2454 h 383"/>
                                <a:gd name="T28" fmla="+- 0 5127 5107"/>
                                <a:gd name="T29" fmla="*/ T28 w 830"/>
                                <a:gd name="T30" fmla="+- 0 2502 2139"/>
                                <a:gd name="T31" fmla="*/ 2502 h 383"/>
                                <a:gd name="T32" fmla="+- 0 5174 5107"/>
                                <a:gd name="T33" fmla="*/ T32 w 830"/>
                                <a:gd name="T34" fmla="+- 0 2519 2139"/>
                                <a:gd name="T35" fmla="*/ 2519 h 383"/>
                                <a:gd name="T36" fmla="+- 0 5267 5107"/>
                                <a:gd name="T37" fmla="*/ T36 w 830"/>
                                <a:gd name="T38" fmla="+- 0 2522 2139"/>
                                <a:gd name="T39" fmla="*/ 2522 h 383"/>
                                <a:gd name="T40" fmla="+- 0 5776 5107"/>
                                <a:gd name="T41" fmla="*/ T40 w 830"/>
                                <a:gd name="T42" fmla="+- 0 2522 2139"/>
                                <a:gd name="T43" fmla="*/ 2522 h 383"/>
                                <a:gd name="T44" fmla="+- 0 5868 5107"/>
                                <a:gd name="T45" fmla="*/ T44 w 830"/>
                                <a:gd name="T46" fmla="+- 0 2519 2139"/>
                                <a:gd name="T47" fmla="*/ 2519 h 383"/>
                                <a:gd name="T48" fmla="+- 0 5916 5107"/>
                                <a:gd name="T49" fmla="*/ T48 w 830"/>
                                <a:gd name="T50" fmla="+- 0 2502 2139"/>
                                <a:gd name="T51" fmla="*/ 2502 h 383"/>
                                <a:gd name="T52" fmla="+- 0 5933 5107"/>
                                <a:gd name="T53" fmla="*/ T52 w 830"/>
                                <a:gd name="T54" fmla="+- 0 2454 2139"/>
                                <a:gd name="T55" fmla="*/ 2454 h 383"/>
                                <a:gd name="T56" fmla="+- 0 5936 5107"/>
                                <a:gd name="T57" fmla="*/ T56 w 830"/>
                                <a:gd name="T58" fmla="+- 0 2362 2139"/>
                                <a:gd name="T59" fmla="*/ 2362 h 383"/>
                                <a:gd name="T60" fmla="+- 0 5936 5107"/>
                                <a:gd name="T61" fmla="*/ T60 w 830"/>
                                <a:gd name="T62" fmla="+- 0 2299 2139"/>
                                <a:gd name="T63" fmla="*/ 2299 h 383"/>
                                <a:gd name="T64" fmla="+- 0 5933 5107"/>
                                <a:gd name="T65" fmla="*/ T64 w 830"/>
                                <a:gd name="T66" fmla="+- 0 2207 2139"/>
                                <a:gd name="T67" fmla="*/ 2207 h 383"/>
                                <a:gd name="T68" fmla="+- 0 5916 5107"/>
                                <a:gd name="T69" fmla="*/ T68 w 830"/>
                                <a:gd name="T70" fmla="+- 0 2159 2139"/>
                                <a:gd name="T71" fmla="*/ 2159 h 383"/>
                                <a:gd name="T72" fmla="+- 0 5868 5107"/>
                                <a:gd name="T73" fmla="*/ T72 w 830"/>
                                <a:gd name="T74" fmla="+- 0 2142 2139"/>
                                <a:gd name="T75" fmla="*/ 2142 h 383"/>
                                <a:gd name="T76" fmla="+- 0 5776 5107"/>
                                <a:gd name="T77" fmla="*/ T76 w 830"/>
                                <a:gd name="T78" fmla="+- 0 2139 2139"/>
                                <a:gd name="T79" fmla="*/ 2139 h 383"/>
                                <a:gd name="T80" fmla="+- 0 5267 5107"/>
                                <a:gd name="T81" fmla="*/ T80 w 830"/>
                                <a:gd name="T82" fmla="+- 0 2139 2139"/>
                                <a:gd name="T83" fmla="*/ 2139 h 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30" h="383">
                                  <a:moveTo>
                                    <a:pt x="160" y="0"/>
                                  </a:moveTo>
                                  <a:lnTo>
                                    <a:pt x="67" y="3"/>
                                  </a:lnTo>
                                  <a:lnTo>
                                    <a:pt x="20" y="20"/>
                                  </a:lnTo>
                                  <a:lnTo>
                                    <a:pt x="2" y="68"/>
                                  </a:lnTo>
                                  <a:lnTo>
                                    <a:pt x="0" y="160"/>
                                  </a:lnTo>
                                  <a:lnTo>
                                    <a:pt x="0" y="223"/>
                                  </a:lnTo>
                                  <a:lnTo>
                                    <a:pt x="2" y="315"/>
                                  </a:lnTo>
                                  <a:lnTo>
                                    <a:pt x="20" y="363"/>
                                  </a:lnTo>
                                  <a:lnTo>
                                    <a:pt x="67" y="380"/>
                                  </a:lnTo>
                                  <a:lnTo>
                                    <a:pt x="160" y="383"/>
                                  </a:lnTo>
                                  <a:lnTo>
                                    <a:pt x="669" y="383"/>
                                  </a:lnTo>
                                  <a:lnTo>
                                    <a:pt x="761" y="380"/>
                                  </a:lnTo>
                                  <a:lnTo>
                                    <a:pt x="809" y="363"/>
                                  </a:lnTo>
                                  <a:lnTo>
                                    <a:pt x="826" y="315"/>
                                  </a:lnTo>
                                  <a:lnTo>
                                    <a:pt x="829" y="223"/>
                                  </a:lnTo>
                                  <a:lnTo>
                                    <a:pt x="829" y="160"/>
                                  </a:lnTo>
                                  <a:lnTo>
                                    <a:pt x="826" y="68"/>
                                  </a:lnTo>
                                  <a:lnTo>
                                    <a:pt x="809" y="20"/>
                                  </a:lnTo>
                                  <a:lnTo>
                                    <a:pt x="761" y="3"/>
                                  </a:lnTo>
                                  <a:lnTo>
                                    <a:pt x="669" y="0"/>
                                  </a:lnTo>
                                  <a:lnTo>
                                    <a:pt x="160" y="0"/>
                                  </a:lnTo>
                                  <a:close/>
                                </a:path>
                              </a:pathLst>
                            </a:custGeom>
                            <a:noFill/>
                            <a:ln w="12700">
                              <a:solidFill>
                                <a:srgbClr val="4F84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 name="docshape858"/>
                          <wps:cNvSpPr>
                            <a:spLocks/>
                          </wps:cNvSpPr>
                          <wps:spPr bwMode="auto">
                            <a:xfrm>
                              <a:off x="6309" y="2139"/>
                              <a:ext cx="830" cy="383"/>
                            </a:xfrm>
                            <a:custGeom>
                              <a:avLst/>
                              <a:gdLst>
                                <a:gd name="T0" fmla="+- 0 6979 6310"/>
                                <a:gd name="T1" fmla="*/ T0 w 830"/>
                                <a:gd name="T2" fmla="+- 0 2139 2139"/>
                                <a:gd name="T3" fmla="*/ 2139 h 383"/>
                                <a:gd name="T4" fmla="+- 0 6470 6310"/>
                                <a:gd name="T5" fmla="*/ T4 w 830"/>
                                <a:gd name="T6" fmla="+- 0 2139 2139"/>
                                <a:gd name="T7" fmla="*/ 2139 h 383"/>
                                <a:gd name="T8" fmla="+- 0 6377 6310"/>
                                <a:gd name="T9" fmla="*/ T8 w 830"/>
                                <a:gd name="T10" fmla="+- 0 2142 2139"/>
                                <a:gd name="T11" fmla="*/ 2142 h 383"/>
                                <a:gd name="T12" fmla="+- 0 6330 6310"/>
                                <a:gd name="T13" fmla="*/ T12 w 830"/>
                                <a:gd name="T14" fmla="+- 0 2159 2139"/>
                                <a:gd name="T15" fmla="*/ 2159 h 383"/>
                                <a:gd name="T16" fmla="+- 0 6312 6310"/>
                                <a:gd name="T17" fmla="*/ T16 w 830"/>
                                <a:gd name="T18" fmla="+- 0 2207 2139"/>
                                <a:gd name="T19" fmla="*/ 2207 h 383"/>
                                <a:gd name="T20" fmla="+- 0 6310 6310"/>
                                <a:gd name="T21" fmla="*/ T20 w 830"/>
                                <a:gd name="T22" fmla="+- 0 2299 2139"/>
                                <a:gd name="T23" fmla="*/ 2299 h 383"/>
                                <a:gd name="T24" fmla="+- 0 6310 6310"/>
                                <a:gd name="T25" fmla="*/ T24 w 830"/>
                                <a:gd name="T26" fmla="+- 0 2362 2139"/>
                                <a:gd name="T27" fmla="*/ 2362 h 383"/>
                                <a:gd name="T28" fmla="+- 0 6312 6310"/>
                                <a:gd name="T29" fmla="*/ T28 w 830"/>
                                <a:gd name="T30" fmla="+- 0 2454 2139"/>
                                <a:gd name="T31" fmla="*/ 2454 h 383"/>
                                <a:gd name="T32" fmla="+- 0 6330 6310"/>
                                <a:gd name="T33" fmla="*/ T32 w 830"/>
                                <a:gd name="T34" fmla="+- 0 2502 2139"/>
                                <a:gd name="T35" fmla="*/ 2502 h 383"/>
                                <a:gd name="T36" fmla="+- 0 6377 6310"/>
                                <a:gd name="T37" fmla="*/ T36 w 830"/>
                                <a:gd name="T38" fmla="+- 0 2519 2139"/>
                                <a:gd name="T39" fmla="*/ 2519 h 383"/>
                                <a:gd name="T40" fmla="+- 0 6470 6310"/>
                                <a:gd name="T41" fmla="*/ T40 w 830"/>
                                <a:gd name="T42" fmla="+- 0 2522 2139"/>
                                <a:gd name="T43" fmla="*/ 2522 h 383"/>
                                <a:gd name="T44" fmla="+- 0 6979 6310"/>
                                <a:gd name="T45" fmla="*/ T44 w 830"/>
                                <a:gd name="T46" fmla="+- 0 2522 2139"/>
                                <a:gd name="T47" fmla="*/ 2522 h 383"/>
                                <a:gd name="T48" fmla="+- 0 7071 6310"/>
                                <a:gd name="T49" fmla="*/ T48 w 830"/>
                                <a:gd name="T50" fmla="+- 0 2519 2139"/>
                                <a:gd name="T51" fmla="*/ 2519 h 383"/>
                                <a:gd name="T52" fmla="+- 0 7119 6310"/>
                                <a:gd name="T53" fmla="*/ T52 w 830"/>
                                <a:gd name="T54" fmla="+- 0 2502 2139"/>
                                <a:gd name="T55" fmla="*/ 2502 h 383"/>
                                <a:gd name="T56" fmla="+- 0 7136 6310"/>
                                <a:gd name="T57" fmla="*/ T56 w 830"/>
                                <a:gd name="T58" fmla="+- 0 2454 2139"/>
                                <a:gd name="T59" fmla="*/ 2454 h 383"/>
                                <a:gd name="T60" fmla="+- 0 7139 6310"/>
                                <a:gd name="T61" fmla="*/ T60 w 830"/>
                                <a:gd name="T62" fmla="+- 0 2362 2139"/>
                                <a:gd name="T63" fmla="*/ 2362 h 383"/>
                                <a:gd name="T64" fmla="+- 0 7139 6310"/>
                                <a:gd name="T65" fmla="*/ T64 w 830"/>
                                <a:gd name="T66" fmla="+- 0 2299 2139"/>
                                <a:gd name="T67" fmla="*/ 2299 h 383"/>
                                <a:gd name="T68" fmla="+- 0 7136 6310"/>
                                <a:gd name="T69" fmla="*/ T68 w 830"/>
                                <a:gd name="T70" fmla="+- 0 2207 2139"/>
                                <a:gd name="T71" fmla="*/ 2207 h 383"/>
                                <a:gd name="T72" fmla="+- 0 7119 6310"/>
                                <a:gd name="T73" fmla="*/ T72 w 830"/>
                                <a:gd name="T74" fmla="+- 0 2159 2139"/>
                                <a:gd name="T75" fmla="*/ 2159 h 383"/>
                                <a:gd name="T76" fmla="+- 0 7071 6310"/>
                                <a:gd name="T77" fmla="*/ T76 w 830"/>
                                <a:gd name="T78" fmla="+- 0 2142 2139"/>
                                <a:gd name="T79" fmla="*/ 2142 h 383"/>
                                <a:gd name="T80" fmla="+- 0 6979 6310"/>
                                <a:gd name="T81" fmla="*/ T80 w 830"/>
                                <a:gd name="T82" fmla="+- 0 2139 2139"/>
                                <a:gd name="T83" fmla="*/ 2139 h 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30" h="383">
                                  <a:moveTo>
                                    <a:pt x="669" y="0"/>
                                  </a:moveTo>
                                  <a:lnTo>
                                    <a:pt x="160" y="0"/>
                                  </a:lnTo>
                                  <a:lnTo>
                                    <a:pt x="67" y="3"/>
                                  </a:lnTo>
                                  <a:lnTo>
                                    <a:pt x="20" y="20"/>
                                  </a:lnTo>
                                  <a:lnTo>
                                    <a:pt x="2" y="68"/>
                                  </a:lnTo>
                                  <a:lnTo>
                                    <a:pt x="0" y="160"/>
                                  </a:lnTo>
                                  <a:lnTo>
                                    <a:pt x="0" y="223"/>
                                  </a:lnTo>
                                  <a:lnTo>
                                    <a:pt x="2" y="315"/>
                                  </a:lnTo>
                                  <a:lnTo>
                                    <a:pt x="20" y="363"/>
                                  </a:lnTo>
                                  <a:lnTo>
                                    <a:pt x="67" y="380"/>
                                  </a:lnTo>
                                  <a:lnTo>
                                    <a:pt x="160" y="383"/>
                                  </a:lnTo>
                                  <a:lnTo>
                                    <a:pt x="669" y="383"/>
                                  </a:lnTo>
                                  <a:lnTo>
                                    <a:pt x="761" y="380"/>
                                  </a:lnTo>
                                  <a:lnTo>
                                    <a:pt x="809" y="363"/>
                                  </a:lnTo>
                                  <a:lnTo>
                                    <a:pt x="826" y="315"/>
                                  </a:lnTo>
                                  <a:lnTo>
                                    <a:pt x="829" y="223"/>
                                  </a:lnTo>
                                  <a:lnTo>
                                    <a:pt x="829" y="160"/>
                                  </a:lnTo>
                                  <a:lnTo>
                                    <a:pt x="826" y="68"/>
                                  </a:lnTo>
                                  <a:lnTo>
                                    <a:pt x="809" y="20"/>
                                  </a:lnTo>
                                  <a:lnTo>
                                    <a:pt x="761" y="3"/>
                                  </a:lnTo>
                                  <a:lnTo>
                                    <a:pt x="66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docshape859"/>
                          <wps:cNvSpPr>
                            <a:spLocks/>
                          </wps:cNvSpPr>
                          <wps:spPr bwMode="auto">
                            <a:xfrm>
                              <a:off x="6309" y="2139"/>
                              <a:ext cx="830" cy="383"/>
                            </a:xfrm>
                            <a:custGeom>
                              <a:avLst/>
                              <a:gdLst>
                                <a:gd name="T0" fmla="+- 0 6470 6310"/>
                                <a:gd name="T1" fmla="*/ T0 w 830"/>
                                <a:gd name="T2" fmla="+- 0 2139 2139"/>
                                <a:gd name="T3" fmla="*/ 2139 h 383"/>
                                <a:gd name="T4" fmla="+- 0 6377 6310"/>
                                <a:gd name="T5" fmla="*/ T4 w 830"/>
                                <a:gd name="T6" fmla="+- 0 2142 2139"/>
                                <a:gd name="T7" fmla="*/ 2142 h 383"/>
                                <a:gd name="T8" fmla="+- 0 6330 6310"/>
                                <a:gd name="T9" fmla="*/ T8 w 830"/>
                                <a:gd name="T10" fmla="+- 0 2159 2139"/>
                                <a:gd name="T11" fmla="*/ 2159 h 383"/>
                                <a:gd name="T12" fmla="+- 0 6312 6310"/>
                                <a:gd name="T13" fmla="*/ T12 w 830"/>
                                <a:gd name="T14" fmla="+- 0 2207 2139"/>
                                <a:gd name="T15" fmla="*/ 2207 h 383"/>
                                <a:gd name="T16" fmla="+- 0 6310 6310"/>
                                <a:gd name="T17" fmla="*/ T16 w 830"/>
                                <a:gd name="T18" fmla="+- 0 2299 2139"/>
                                <a:gd name="T19" fmla="*/ 2299 h 383"/>
                                <a:gd name="T20" fmla="+- 0 6310 6310"/>
                                <a:gd name="T21" fmla="*/ T20 w 830"/>
                                <a:gd name="T22" fmla="+- 0 2362 2139"/>
                                <a:gd name="T23" fmla="*/ 2362 h 383"/>
                                <a:gd name="T24" fmla="+- 0 6312 6310"/>
                                <a:gd name="T25" fmla="*/ T24 w 830"/>
                                <a:gd name="T26" fmla="+- 0 2454 2139"/>
                                <a:gd name="T27" fmla="*/ 2454 h 383"/>
                                <a:gd name="T28" fmla="+- 0 6330 6310"/>
                                <a:gd name="T29" fmla="*/ T28 w 830"/>
                                <a:gd name="T30" fmla="+- 0 2502 2139"/>
                                <a:gd name="T31" fmla="*/ 2502 h 383"/>
                                <a:gd name="T32" fmla="+- 0 6377 6310"/>
                                <a:gd name="T33" fmla="*/ T32 w 830"/>
                                <a:gd name="T34" fmla="+- 0 2519 2139"/>
                                <a:gd name="T35" fmla="*/ 2519 h 383"/>
                                <a:gd name="T36" fmla="+- 0 6470 6310"/>
                                <a:gd name="T37" fmla="*/ T36 w 830"/>
                                <a:gd name="T38" fmla="+- 0 2522 2139"/>
                                <a:gd name="T39" fmla="*/ 2522 h 383"/>
                                <a:gd name="T40" fmla="+- 0 6979 6310"/>
                                <a:gd name="T41" fmla="*/ T40 w 830"/>
                                <a:gd name="T42" fmla="+- 0 2522 2139"/>
                                <a:gd name="T43" fmla="*/ 2522 h 383"/>
                                <a:gd name="T44" fmla="+- 0 7071 6310"/>
                                <a:gd name="T45" fmla="*/ T44 w 830"/>
                                <a:gd name="T46" fmla="+- 0 2519 2139"/>
                                <a:gd name="T47" fmla="*/ 2519 h 383"/>
                                <a:gd name="T48" fmla="+- 0 7119 6310"/>
                                <a:gd name="T49" fmla="*/ T48 w 830"/>
                                <a:gd name="T50" fmla="+- 0 2502 2139"/>
                                <a:gd name="T51" fmla="*/ 2502 h 383"/>
                                <a:gd name="T52" fmla="+- 0 7136 6310"/>
                                <a:gd name="T53" fmla="*/ T52 w 830"/>
                                <a:gd name="T54" fmla="+- 0 2454 2139"/>
                                <a:gd name="T55" fmla="*/ 2454 h 383"/>
                                <a:gd name="T56" fmla="+- 0 7139 6310"/>
                                <a:gd name="T57" fmla="*/ T56 w 830"/>
                                <a:gd name="T58" fmla="+- 0 2362 2139"/>
                                <a:gd name="T59" fmla="*/ 2362 h 383"/>
                                <a:gd name="T60" fmla="+- 0 7139 6310"/>
                                <a:gd name="T61" fmla="*/ T60 w 830"/>
                                <a:gd name="T62" fmla="+- 0 2299 2139"/>
                                <a:gd name="T63" fmla="*/ 2299 h 383"/>
                                <a:gd name="T64" fmla="+- 0 7136 6310"/>
                                <a:gd name="T65" fmla="*/ T64 w 830"/>
                                <a:gd name="T66" fmla="+- 0 2207 2139"/>
                                <a:gd name="T67" fmla="*/ 2207 h 383"/>
                                <a:gd name="T68" fmla="+- 0 7119 6310"/>
                                <a:gd name="T69" fmla="*/ T68 w 830"/>
                                <a:gd name="T70" fmla="+- 0 2159 2139"/>
                                <a:gd name="T71" fmla="*/ 2159 h 383"/>
                                <a:gd name="T72" fmla="+- 0 7071 6310"/>
                                <a:gd name="T73" fmla="*/ T72 w 830"/>
                                <a:gd name="T74" fmla="+- 0 2142 2139"/>
                                <a:gd name="T75" fmla="*/ 2142 h 383"/>
                                <a:gd name="T76" fmla="+- 0 6979 6310"/>
                                <a:gd name="T77" fmla="*/ T76 w 830"/>
                                <a:gd name="T78" fmla="+- 0 2139 2139"/>
                                <a:gd name="T79" fmla="*/ 2139 h 383"/>
                                <a:gd name="T80" fmla="+- 0 6470 6310"/>
                                <a:gd name="T81" fmla="*/ T80 w 830"/>
                                <a:gd name="T82" fmla="+- 0 2139 2139"/>
                                <a:gd name="T83" fmla="*/ 2139 h 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30" h="383">
                                  <a:moveTo>
                                    <a:pt x="160" y="0"/>
                                  </a:moveTo>
                                  <a:lnTo>
                                    <a:pt x="67" y="3"/>
                                  </a:lnTo>
                                  <a:lnTo>
                                    <a:pt x="20" y="20"/>
                                  </a:lnTo>
                                  <a:lnTo>
                                    <a:pt x="2" y="68"/>
                                  </a:lnTo>
                                  <a:lnTo>
                                    <a:pt x="0" y="160"/>
                                  </a:lnTo>
                                  <a:lnTo>
                                    <a:pt x="0" y="223"/>
                                  </a:lnTo>
                                  <a:lnTo>
                                    <a:pt x="2" y="315"/>
                                  </a:lnTo>
                                  <a:lnTo>
                                    <a:pt x="20" y="363"/>
                                  </a:lnTo>
                                  <a:lnTo>
                                    <a:pt x="67" y="380"/>
                                  </a:lnTo>
                                  <a:lnTo>
                                    <a:pt x="160" y="383"/>
                                  </a:lnTo>
                                  <a:lnTo>
                                    <a:pt x="669" y="383"/>
                                  </a:lnTo>
                                  <a:lnTo>
                                    <a:pt x="761" y="380"/>
                                  </a:lnTo>
                                  <a:lnTo>
                                    <a:pt x="809" y="363"/>
                                  </a:lnTo>
                                  <a:lnTo>
                                    <a:pt x="826" y="315"/>
                                  </a:lnTo>
                                  <a:lnTo>
                                    <a:pt x="829" y="223"/>
                                  </a:lnTo>
                                  <a:lnTo>
                                    <a:pt x="829" y="160"/>
                                  </a:lnTo>
                                  <a:lnTo>
                                    <a:pt x="826" y="68"/>
                                  </a:lnTo>
                                  <a:lnTo>
                                    <a:pt x="809" y="20"/>
                                  </a:lnTo>
                                  <a:lnTo>
                                    <a:pt x="761" y="3"/>
                                  </a:lnTo>
                                  <a:lnTo>
                                    <a:pt x="669" y="0"/>
                                  </a:lnTo>
                                  <a:lnTo>
                                    <a:pt x="160" y="0"/>
                                  </a:lnTo>
                                  <a:close/>
                                </a:path>
                              </a:pathLst>
                            </a:custGeom>
                            <a:noFill/>
                            <a:ln w="12700">
                              <a:solidFill>
                                <a:srgbClr val="4F84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 name="docshape860"/>
                          <wps:cNvSpPr txBox="1">
                            <a:spLocks noChangeArrowheads="1"/>
                          </wps:cNvSpPr>
                          <wps:spPr bwMode="auto">
                            <a:xfrm>
                              <a:off x="4831" y="267"/>
                              <a:ext cx="256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76BFC0" w14:textId="77777777" w:rsidR="00EF7546" w:rsidRDefault="00EF7546" w:rsidP="00EF7546">
                                <w:pPr>
                                  <w:spacing w:line="202" w:lineRule="exact"/>
                                  <w:rPr>
                                    <w:rFonts w:ascii="Arial"/>
                                    <w:b/>
                                    <w:i/>
                                    <w:sz w:val="18"/>
                                    <w:lang w:eastAsia="ja-JP"/>
                                  </w:rPr>
                                </w:pPr>
                                <w:r>
                                  <w:rPr>
                                    <w:rFonts w:ascii="ＭＳ ゴシック" w:eastAsia="ＭＳ ゴシック" w:hAnsi="ＭＳ ゴシック" w:cs="ＭＳ ゴシック" w:hint="eastAsia"/>
                                    <w:b/>
                                    <w:i/>
                                    <w:color w:val="FFFFFF"/>
                                    <w:w w:val="95"/>
                                    <w:sz w:val="18"/>
                                    <w:lang w:eastAsia="ja-JP"/>
                                  </w:rPr>
                                  <w:t>ディーゼルを使用する工程A</w:t>
                                </w:r>
                                <w:r>
                                  <w:rPr>
                                    <w:rFonts w:ascii="Arial"/>
                                    <w:b/>
                                    <w:i/>
                                    <w:color w:val="FFFFFF"/>
                                    <w:w w:val="95"/>
                                    <w:sz w:val="18"/>
                                    <w:lang w:eastAsia="ja-JP"/>
                                  </w:rPr>
                                  <w:t>l</w:t>
                                </w:r>
                              </w:p>
                            </w:txbxContent>
                          </wps:txbx>
                          <wps:bodyPr rot="0" vert="horz" wrap="square" lIns="0" tIns="0" rIns="0" bIns="0" anchor="t" anchorCtr="0" upright="1">
                            <a:noAutofit/>
                          </wps:bodyPr>
                        </wps:wsp>
                        <wps:wsp>
                          <wps:cNvPr id="163" name="docshape861"/>
                          <wps:cNvSpPr txBox="1">
                            <a:spLocks noChangeArrowheads="1"/>
                          </wps:cNvSpPr>
                          <wps:spPr bwMode="auto">
                            <a:xfrm>
                              <a:off x="4016" y="973"/>
                              <a:ext cx="65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711CD" w14:textId="77777777" w:rsidR="00EF7546" w:rsidRDefault="00EF7546" w:rsidP="00EF7546">
                                <w:pPr>
                                  <w:spacing w:line="179" w:lineRule="exact"/>
                                  <w:rPr>
                                    <w:rFonts w:ascii="Arial"/>
                                    <w:b/>
                                    <w:i/>
                                    <w:sz w:val="16"/>
                                  </w:rPr>
                                </w:pPr>
                                <w:r>
                                  <w:rPr>
                                    <w:rFonts w:ascii="ＭＳ ゴシック" w:eastAsia="ＭＳ ゴシック" w:hAnsi="ＭＳ ゴシック" w:cs="ＭＳ ゴシック" w:hint="eastAsia"/>
                                    <w:b/>
                                    <w:i/>
                                    <w:color w:val="FFFFFF"/>
                                    <w:sz w:val="16"/>
                                    <w:lang w:eastAsia="ja-JP"/>
                                  </w:rPr>
                                  <w:t>選択肢</w:t>
                                </w:r>
                                <w:r>
                                  <w:rPr>
                                    <w:rFonts w:ascii="Arial"/>
                                    <w:b/>
                                    <w:i/>
                                    <w:color w:val="FFFFFF"/>
                                    <w:spacing w:val="-11"/>
                                    <w:sz w:val="16"/>
                                  </w:rPr>
                                  <w:t xml:space="preserve"> </w:t>
                                </w:r>
                                <w:r>
                                  <w:rPr>
                                    <w:rFonts w:ascii="Arial"/>
                                    <w:b/>
                                    <w:i/>
                                    <w:color w:val="FFFFFF"/>
                                    <w:sz w:val="16"/>
                                  </w:rPr>
                                  <w:t>1</w:t>
                                </w:r>
                              </w:p>
                            </w:txbxContent>
                          </wps:txbx>
                          <wps:bodyPr rot="0" vert="horz" wrap="square" lIns="0" tIns="0" rIns="0" bIns="0" anchor="t" anchorCtr="0" upright="1">
                            <a:noAutofit/>
                          </wps:bodyPr>
                        </wps:wsp>
                        <wps:wsp>
                          <wps:cNvPr id="164" name="docshape862"/>
                          <wps:cNvSpPr txBox="1">
                            <a:spLocks noChangeArrowheads="1"/>
                          </wps:cNvSpPr>
                          <wps:spPr bwMode="auto">
                            <a:xfrm>
                              <a:off x="5750" y="962"/>
                              <a:ext cx="737"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62B246" w14:textId="77777777" w:rsidR="00EF7546" w:rsidRDefault="00EF7546" w:rsidP="00EF7546">
                                <w:pPr>
                                  <w:spacing w:line="202" w:lineRule="exact"/>
                                  <w:rPr>
                                    <w:rFonts w:ascii="Arial"/>
                                    <w:b/>
                                    <w:i/>
                                    <w:sz w:val="18"/>
                                  </w:rPr>
                                </w:pPr>
                                <w:r>
                                  <w:rPr>
                                    <w:rFonts w:ascii="ＭＳ ゴシック" w:eastAsia="ＭＳ ゴシック" w:hAnsi="ＭＳ ゴシック" w:cs="ＭＳ ゴシック" w:hint="eastAsia"/>
                                    <w:b/>
                                    <w:i/>
                                    <w:color w:val="FFFFFF"/>
                                    <w:sz w:val="18"/>
                                    <w:lang w:eastAsia="ja-JP"/>
                                  </w:rPr>
                                  <w:t>選択肢</w:t>
                                </w:r>
                                <w:r>
                                  <w:rPr>
                                    <w:rFonts w:ascii="Arial"/>
                                    <w:b/>
                                    <w:i/>
                                    <w:color w:val="FFFFFF"/>
                                    <w:spacing w:val="-12"/>
                                    <w:sz w:val="18"/>
                                  </w:rPr>
                                  <w:t xml:space="preserve"> </w:t>
                                </w:r>
                                <w:r>
                                  <w:rPr>
                                    <w:rFonts w:ascii="Arial"/>
                                    <w:b/>
                                    <w:i/>
                                    <w:color w:val="FFFFFF"/>
                                    <w:sz w:val="18"/>
                                  </w:rPr>
                                  <w:t>2</w:t>
                                </w:r>
                              </w:p>
                            </w:txbxContent>
                          </wps:txbx>
                          <wps:bodyPr rot="0" vert="horz" wrap="square" lIns="0" tIns="0" rIns="0" bIns="0" anchor="t" anchorCtr="0" upright="1">
                            <a:noAutofit/>
                          </wps:bodyPr>
                        </wps:wsp>
                        <wps:wsp>
                          <wps:cNvPr id="165" name="docshape863"/>
                          <wps:cNvSpPr txBox="1">
                            <a:spLocks noChangeArrowheads="1"/>
                          </wps:cNvSpPr>
                          <wps:spPr bwMode="auto">
                            <a:xfrm>
                              <a:off x="7525" y="962"/>
                              <a:ext cx="737"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5E083D" w14:textId="77777777" w:rsidR="00EF7546" w:rsidRDefault="00EF7546" w:rsidP="00EF7546">
                                <w:pPr>
                                  <w:spacing w:line="202" w:lineRule="exact"/>
                                  <w:rPr>
                                    <w:rFonts w:ascii="Arial"/>
                                    <w:b/>
                                    <w:i/>
                                    <w:sz w:val="18"/>
                                  </w:rPr>
                                </w:pPr>
                                <w:r>
                                  <w:rPr>
                                    <w:rFonts w:ascii="ＭＳ ゴシック" w:eastAsia="ＭＳ ゴシック" w:hAnsi="ＭＳ ゴシック" w:cs="ＭＳ ゴシック" w:hint="eastAsia"/>
                                    <w:b/>
                                    <w:i/>
                                    <w:color w:val="FFFFFF"/>
                                    <w:sz w:val="18"/>
                                    <w:lang w:eastAsia="ja-JP"/>
                                  </w:rPr>
                                  <w:t>選択肢</w:t>
                                </w:r>
                                <w:r>
                                  <w:rPr>
                                    <w:rFonts w:ascii="Arial"/>
                                    <w:b/>
                                    <w:i/>
                                    <w:color w:val="FFFFFF"/>
                                    <w:spacing w:val="-12"/>
                                    <w:sz w:val="18"/>
                                  </w:rPr>
                                  <w:t xml:space="preserve"> </w:t>
                                </w:r>
                                <w:r>
                                  <w:rPr>
                                    <w:rFonts w:ascii="Arial"/>
                                    <w:b/>
                                    <w:i/>
                                    <w:color w:val="FFFFFF"/>
                                    <w:sz w:val="18"/>
                                  </w:rPr>
                                  <w:t>3</w:t>
                                </w:r>
                              </w:p>
                            </w:txbxContent>
                          </wps:txbx>
                          <wps:bodyPr rot="0" vert="horz" wrap="square" lIns="0" tIns="0" rIns="0" bIns="0" anchor="t" anchorCtr="0" upright="1">
                            <a:noAutofit/>
                          </wps:bodyPr>
                        </wps:wsp>
                        <wps:wsp>
                          <wps:cNvPr id="166" name="docshape864"/>
                          <wps:cNvSpPr txBox="1">
                            <a:spLocks noChangeArrowheads="1"/>
                          </wps:cNvSpPr>
                          <wps:spPr bwMode="auto">
                            <a:xfrm>
                              <a:off x="1366" y="1808"/>
                              <a:ext cx="1807" cy="9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6ED9B6" w14:textId="77777777" w:rsidR="00EF7546" w:rsidRDefault="00EF7546" w:rsidP="00EF7546">
                                <w:pPr>
                                  <w:spacing w:before="2" w:line="208" w:lineRule="auto"/>
                                  <w:ind w:left="63" w:right="81"/>
                                  <w:jc w:val="center"/>
                                  <w:rPr>
                                    <w:rFonts w:ascii="ＭＳ ゴシック" w:eastAsia="ＭＳ ゴシック" w:hAnsi="ＭＳ ゴシック" w:cs="ＭＳ ゴシック"/>
                                    <w:b/>
                                    <w:i/>
                                    <w:color w:val="FFFFFF"/>
                                    <w:spacing w:val="-2"/>
                                    <w:w w:val="95"/>
                                    <w:sz w:val="18"/>
                                    <w:lang w:eastAsia="ja-JP"/>
                                  </w:rPr>
                                </w:pPr>
                                <w:r>
                                  <w:rPr>
                                    <w:rFonts w:ascii="ＭＳ ゴシック" w:eastAsia="ＭＳ ゴシック" w:hAnsi="ＭＳ ゴシック" w:cs="ＭＳ ゴシック" w:hint="eastAsia"/>
                                    <w:b/>
                                    <w:i/>
                                    <w:color w:val="FFFFFF"/>
                                    <w:spacing w:val="-2"/>
                                    <w:w w:val="95"/>
                                    <w:sz w:val="18"/>
                                    <w:lang w:eastAsia="ja-JP"/>
                                  </w:rPr>
                                  <w:t>直接排出データ</w:t>
                                </w:r>
                              </w:p>
                              <w:p w14:paraId="46A2F4E2" w14:textId="77777777" w:rsidR="00EF7546" w:rsidRPr="00ED0EAF" w:rsidRDefault="00EF7546" w:rsidP="00EF7546">
                                <w:pPr>
                                  <w:spacing w:before="2" w:line="208" w:lineRule="auto"/>
                                  <w:ind w:left="63" w:right="81"/>
                                  <w:jc w:val="center"/>
                                  <w:rPr>
                                    <w:rFonts w:ascii="ＭＳ ゴシック" w:eastAsia="ＭＳ ゴシック" w:hAnsi="ＭＳ ゴシック" w:cs="ＭＳ ゴシック"/>
                                    <w:b/>
                                    <w:i/>
                                    <w:color w:val="FFFFFF"/>
                                    <w:spacing w:val="-2"/>
                                    <w:w w:val="95"/>
                                    <w:sz w:val="10"/>
                                    <w:szCs w:val="16"/>
                                    <w:lang w:eastAsia="ja-JP"/>
                                  </w:rPr>
                                </w:pPr>
                              </w:p>
                              <w:p w14:paraId="74994CCD" w14:textId="77777777" w:rsidR="00EF7546" w:rsidRPr="00ED0EAF" w:rsidRDefault="00EF7546" w:rsidP="00EF7546">
                                <w:pPr>
                                  <w:spacing w:before="2" w:line="208" w:lineRule="auto"/>
                                  <w:ind w:left="63" w:right="81"/>
                                  <w:jc w:val="center"/>
                                  <w:rPr>
                                    <w:rFonts w:ascii="Arial"/>
                                    <w:b/>
                                    <w:i/>
                                    <w:sz w:val="18"/>
                                    <w:lang w:eastAsia="ja-JP"/>
                                  </w:rPr>
                                </w:pPr>
                                <w:r>
                                  <w:rPr>
                                    <w:rFonts w:ascii="ＭＳ ゴシック" w:eastAsia="ＭＳ ゴシック" w:hAnsi="ＭＳ ゴシック" w:cs="ＭＳ ゴシック" w:hint="eastAsia"/>
                                    <w:b/>
                                    <w:i/>
                                    <w:color w:val="FFFFFF"/>
                                    <w:spacing w:val="-2"/>
                                    <w:w w:val="95"/>
                                    <w:sz w:val="18"/>
                                    <w:lang w:eastAsia="ja-JP"/>
                                  </w:rPr>
                                  <w:t>例：工程Aから排出されるCO</w:t>
                                </w:r>
                                <w:r w:rsidRPr="00ED0EAF">
                                  <w:rPr>
                                    <w:rFonts w:ascii="ＭＳ ゴシック" w:eastAsia="ＭＳ ゴシック" w:hAnsi="ＭＳ ゴシック" w:cs="ＭＳ ゴシック" w:hint="eastAsia"/>
                                    <w:b/>
                                    <w:i/>
                                    <w:color w:val="FFFFFF"/>
                                    <w:spacing w:val="-2"/>
                                    <w:w w:val="95"/>
                                    <w:sz w:val="18"/>
                                    <w:vertAlign w:val="subscript"/>
                                    <w:lang w:eastAsia="ja-JP"/>
                                  </w:rPr>
                                  <w:t>2</w:t>
                                </w:r>
                                <w:r>
                                  <w:rPr>
                                    <w:rFonts w:ascii="ＭＳ ゴシック" w:eastAsia="ＭＳ ゴシック" w:hAnsi="ＭＳ ゴシック" w:cs="ＭＳ ゴシック" w:hint="eastAsia"/>
                                    <w:b/>
                                    <w:i/>
                                    <w:color w:val="FFFFFF"/>
                                    <w:spacing w:val="-2"/>
                                    <w:w w:val="95"/>
                                    <w:sz w:val="18"/>
                                    <w:lang w:eastAsia="ja-JP"/>
                                  </w:rPr>
                                  <w:t>10㎏（排出量の直接測定）</w:t>
                                </w:r>
                              </w:p>
                            </w:txbxContent>
                          </wps:txbx>
                          <wps:bodyPr rot="0" vert="horz" wrap="square" lIns="0" tIns="0" rIns="0" bIns="0" anchor="t" anchorCtr="0" upright="1">
                            <a:noAutofit/>
                          </wps:bodyPr>
                        </wps:wsp>
                        <wps:wsp>
                          <wps:cNvPr id="167" name="docshape865"/>
                          <wps:cNvSpPr txBox="1">
                            <a:spLocks noChangeArrowheads="1"/>
                          </wps:cNvSpPr>
                          <wps:spPr bwMode="auto">
                            <a:xfrm>
                              <a:off x="5234" y="1734"/>
                              <a:ext cx="1775"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45859" w14:textId="77777777" w:rsidR="00EF7546" w:rsidRDefault="00EF7546" w:rsidP="00EF7546">
                                <w:pPr>
                                  <w:spacing w:line="202" w:lineRule="exact"/>
                                  <w:jc w:val="center"/>
                                  <w:rPr>
                                    <w:rFonts w:ascii="Arial"/>
                                    <w:b/>
                                    <w:i/>
                                    <w:sz w:val="18"/>
                                  </w:rPr>
                                </w:pPr>
                                <w:r>
                                  <w:rPr>
                                    <w:rFonts w:ascii="ＭＳ ゴシック" w:eastAsia="ＭＳ ゴシック" w:hAnsi="ＭＳ ゴシック" w:cs="ＭＳ ゴシック" w:hint="eastAsia"/>
                                    <w:b/>
                                    <w:i/>
                                    <w:color w:val="FFFFFF"/>
                                    <w:spacing w:val="-1"/>
                                    <w:sz w:val="18"/>
                                    <w:lang w:eastAsia="ja-JP"/>
                                  </w:rPr>
                                  <w:t>工程活動データ</w:t>
                                </w:r>
                              </w:p>
                            </w:txbxContent>
                          </wps:txbx>
                          <wps:bodyPr rot="0" vert="horz" wrap="square" lIns="0" tIns="0" rIns="0" bIns="0" anchor="t" anchorCtr="0" upright="1">
                            <a:noAutofit/>
                          </wps:bodyPr>
                        </wps:wsp>
                        <wps:wsp>
                          <wps:cNvPr id="168" name="docshape866"/>
                          <wps:cNvSpPr txBox="1">
                            <a:spLocks noChangeArrowheads="1"/>
                          </wps:cNvSpPr>
                          <wps:spPr bwMode="auto">
                            <a:xfrm>
                              <a:off x="5147" y="2223"/>
                              <a:ext cx="75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5E1C2E" w14:textId="77777777" w:rsidR="00EF7546" w:rsidRDefault="00EF7546" w:rsidP="00EF7546">
                                <w:pPr>
                                  <w:spacing w:line="179" w:lineRule="exact"/>
                                  <w:rPr>
                                    <w:rFonts w:ascii="Arial"/>
                                    <w:b/>
                                    <w:i/>
                                    <w:sz w:val="16"/>
                                  </w:rPr>
                                </w:pPr>
                                <w:r>
                                  <w:rPr>
                                    <w:rFonts w:ascii="ＭＳ ゴシック" w:eastAsia="ＭＳ ゴシック" w:hAnsi="ＭＳ ゴシック" w:cs="ＭＳ ゴシック" w:hint="eastAsia"/>
                                    <w:b/>
                                    <w:i/>
                                    <w:color w:val="4F84C4"/>
                                    <w:w w:val="95"/>
                                    <w:sz w:val="16"/>
                                    <w:lang w:eastAsia="ja-JP"/>
                                  </w:rPr>
                                  <w:t>選択肢</w:t>
                                </w:r>
                                <w:r>
                                  <w:rPr>
                                    <w:rFonts w:ascii="Arial"/>
                                    <w:b/>
                                    <w:i/>
                                    <w:color w:val="4F84C4"/>
                                    <w:w w:val="95"/>
                                    <w:sz w:val="16"/>
                                  </w:rPr>
                                  <w:t>2A</w:t>
                                </w:r>
                              </w:p>
                            </w:txbxContent>
                          </wps:txbx>
                          <wps:bodyPr rot="0" vert="horz" wrap="square" lIns="0" tIns="0" rIns="0" bIns="0" anchor="t" anchorCtr="0" upright="1">
                            <a:noAutofit/>
                          </wps:bodyPr>
                        </wps:wsp>
                        <wps:wsp>
                          <wps:cNvPr id="169" name="docshape867"/>
                          <wps:cNvSpPr txBox="1">
                            <a:spLocks noChangeArrowheads="1"/>
                          </wps:cNvSpPr>
                          <wps:spPr bwMode="auto">
                            <a:xfrm>
                              <a:off x="6348" y="2223"/>
                              <a:ext cx="76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6C0659" w14:textId="77777777" w:rsidR="00EF7546" w:rsidRDefault="00EF7546" w:rsidP="00EF7546">
                                <w:pPr>
                                  <w:spacing w:line="179" w:lineRule="exact"/>
                                  <w:rPr>
                                    <w:rFonts w:ascii="Arial"/>
                                    <w:b/>
                                    <w:i/>
                                    <w:sz w:val="16"/>
                                  </w:rPr>
                                </w:pPr>
                                <w:r>
                                  <w:rPr>
                                    <w:rFonts w:ascii="ＭＳ ゴシック" w:eastAsia="ＭＳ ゴシック" w:hAnsi="ＭＳ ゴシック" w:cs="ＭＳ ゴシック" w:hint="eastAsia"/>
                                    <w:b/>
                                    <w:i/>
                                    <w:color w:val="4F84C4"/>
                                    <w:w w:val="95"/>
                                    <w:sz w:val="16"/>
                                    <w:lang w:eastAsia="ja-JP"/>
                                  </w:rPr>
                                  <w:t>選択肢</w:t>
                                </w:r>
                                <w:r>
                                  <w:rPr>
                                    <w:rFonts w:ascii="Arial"/>
                                    <w:b/>
                                    <w:i/>
                                    <w:color w:val="4F84C4"/>
                                    <w:w w:val="95"/>
                                    <w:sz w:val="16"/>
                                  </w:rPr>
                                  <w:t>2B</w:t>
                                </w:r>
                              </w:p>
                            </w:txbxContent>
                          </wps:txbx>
                          <wps:bodyPr rot="0" vert="horz" wrap="square" lIns="0" tIns="0" rIns="0" bIns="0" anchor="t" anchorCtr="0" upright="1">
                            <a:noAutofit/>
                          </wps:bodyPr>
                        </wps:wsp>
                        <wps:wsp>
                          <wps:cNvPr id="170" name="docshape868"/>
                          <wps:cNvSpPr txBox="1">
                            <a:spLocks noChangeArrowheads="1"/>
                          </wps:cNvSpPr>
                          <wps:spPr bwMode="auto">
                            <a:xfrm>
                              <a:off x="9030" y="1974"/>
                              <a:ext cx="1898"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3C64EA" w14:textId="77777777" w:rsidR="00EF7546" w:rsidRDefault="00EF7546" w:rsidP="00EF7546">
                                <w:pPr>
                                  <w:spacing w:before="21" w:line="208" w:lineRule="auto"/>
                                  <w:ind w:right="18"/>
                                  <w:jc w:val="center"/>
                                  <w:rPr>
                                    <w:rFonts w:ascii="ＭＳ ゴシック" w:eastAsia="ＭＳ ゴシック" w:hAnsi="ＭＳ ゴシック" w:cs="ＭＳ ゴシック"/>
                                    <w:b/>
                                    <w:i/>
                                    <w:color w:val="FFFFFF"/>
                                    <w:w w:val="95"/>
                                    <w:sz w:val="18"/>
                                    <w:lang w:eastAsia="ja-JP"/>
                                  </w:rPr>
                                </w:pPr>
                                <w:r>
                                  <w:rPr>
                                    <w:rFonts w:ascii="ＭＳ ゴシック" w:eastAsia="ＭＳ ゴシック" w:hAnsi="ＭＳ ゴシック" w:cs="ＭＳ ゴシック" w:hint="eastAsia"/>
                                    <w:b/>
                                    <w:i/>
                                    <w:color w:val="FFFFFF"/>
                                    <w:w w:val="95"/>
                                    <w:sz w:val="18"/>
                                    <w:lang w:eastAsia="ja-JP"/>
                                  </w:rPr>
                                  <w:t>財務活動データ</w:t>
                                </w:r>
                              </w:p>
                              <w:p w14:paraId="7CF84403" w14:textId="77777777" w:rsidR="00EF7546" w:rsidRPr="00A8480B" w:rsidRDefault="00EF7546" w:rsidP="00EF7546">
                                <w:pPr>
                                  <w:spacing w:before="21" w:line="208" w:lineRule="auto"/>
                                  <w:ind w:right="18"/>
                                  <w:jc w:val="center"/>
                                  <w:rPr>
                                    <w:rFonts w:ascii="ＭＳ ゴシック" w:eastAsia="ＭＳ ゴシック" w:hAnsi="ＭＳ ゴシック" w:cs="ＭＳ ゴシック"/>
                                    <w:b/>
                                    <w:i/>
                                    <w:color w:val="FFFFFF"/>
                                    <w:w w:val="95"/>
                                    <w:sz w:val="10"/>
                                    <w:szCs w:val="16"/>
                                    <w:lang w:eastAsia="ja-JP"/>
                                  </w:rPr>
                                </w:pPr>
                              </w:p>
                              <w:p w14:paraId="5B563394" w14:textId="77777777" w:rsidR="00EF7546" w:rsidRDefault="00EF7546" w:rsidP="00EF7546">
                                <w:pPr>
                                  <w:spacing w:before="21" w:line="208" w:lineRule="auto"/>
                                  <w:ind w:right="18"/>
                                  <w:jc w:val="center"/>
                                  <w:rPr>
                                    <w:rFonts w:ascii="Arial"/>
                                    <w:b/>
                                    <w:i/>
                                    <w:sz w:val="18"/>
                                    <w:lang w:eastAsia="ja-JP"/>
                                  </w:rPr>
                                </w:pPr>
                                <w:r>
                                  <w:rPr>
                                    <w:rFonts w:ascii="ＭＳ ゴシック" w:eastAsia="ＭＳ ゴシック" w:hAnsi="ＭＳ ゴシック" w:cs="ＭＳ ゴシック" w:hint="eastAsia"/>
                                    <w:b/>
                                    <w:i/>
                                    <w:color w:val="FFFFFF"/>
                                    <w:w w:val="95"/>
                                    <w:sz w:val="18"/>
                                    <w:lang w:eastAsia="ja-JP"/>
                                  </w:rPr>
                                  <w:t>例：軽油購入額2千円</w:t>
                                </w:r>
                              </w:p>
                            </w:txbxContent>
                          </wps:txbx>
                          <wps:bodyPr rot="0" vert="horz" wrap="square" lIns="0" tIns="0" rIns="0" bIns="0" anchor="t" anchorCtr="0" upright="1">
                            <a:noAutofit/>
                          </wps:bodyPr>
                        </wps:wsp>
                        <wps:wsp>
                          <wps:cNvPr id="171" name="docshape869"/>
                          <wps:cNvSpPr txBox="1">
                            <a:spLocks noChangeArrowheads="1"/>
                          </wps:cNvSpPr>
                          <wps:spPr bwMode="auto">
                            <a:xfrm>
                              <a:off x="4209" y="3107"/>
                              <a:ext cx="1361"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3BBF50" w14:textId="77777777" w:rsidR="00EF7546" w:rsidRPr="00F149EF" w:rsidRDefault="00EF7546" w:rsidP="00EF7546">
                                <w:pPr>
                                  <w:spacing w:line="206" w:lineRule="exact"/>
                                  <w:ind w:right="84"/>
                                  <w:jc w:val="center"/>
                                  <w:rPr>
                                    <w:rFonts w:ascii="Arial"/>
                                    <w:b/>
                                    <w:i/>
                                    <w:sz w:val="16"/>
                                    <w:szCs w:val="21"/>
                                    <w:lang w:eastAsia="ja-JP"/>
                                  </w:rPr>
                                </w:pPr>
                                <w:r w:rsidRPr="00F149EF">
                                  <w:rPr>
                                    <w:rFonts w:ascii="ＭＳ ゴシック" w:eastAsia="ＭＳ ゴシック" w:hAnsi="ＭＳ ゴシック" w:cs="ＭＳ ゴシック" w:hint="eastAsia"/>
                                    <w:b/>
                                    <w:i/>
                                    <w:color w:val="4F84C4"/>
                                    <w:sz w:val="16"/>
                                    <w:szCs w:val="21"/>
                                    <w:lang w:eastAsia="ja-JP"/>
                                  </w:rPr>
                                  <w:t>一次</w:t>
                                </w:r>
                                <w:r>
                                  <w:rPr>
                                    <w:rFonts w:ascii="ＭＳ ゴシック" w:eastAsia="ＭＳ ゴシック" w:hAnsi="ＭＳ ゴシック" w:cs="ＭＳ ゴシック" w:hint="eastAsia"/>
                                    <w:b/>
                                    <w:i/>
                                    <w:color w:val="4F84C4"/>
                                    <w:sz w:val="16"/>
                                    <w:szCs w:val="21"/>
                                    <w:lang w:eastAsia="ja-JP"/>
                                  </w:rPr>
                                  <w:t>データ</w:t>
                                </w:r>
                              </w:p>
                              <w:p w14:paraId="1505A4C9" w14:textId="6427381A" w:rsidR="00EF7546" w:rsidRDefault="00EF7546" w:rsidP="00EF7546">
                                <w:pPr>
                                  <w:rPr>
                                    <w:lang w:eastAsia="ja-JP"/>
                                  </w:rPr>
                                </w:pPr>
                                <w:r>
                                  <w:rPr>
                                    <w:rFonts w:ascii="ＭＳ ゴシック" w:eastAsia="ＭＳ ゴシック" w:hAnsi="ＭＳ ゴシック" w:cs="ＭＳ ゴシック" w:hint="eastAsia"/>
                                    <w:b/>
                                    <w:i/>
                                    <w:color w:val="4F84C4"/>
                                    <w:w w:val="90"/>
                                    <w:sz w:val="14"/>
                                    <w:lang w:eastAsia="ja-JP"/>
                                  </w:rPr>
                                  <w:t>例：工程Aで使用するディーゼル燃料５</w:t>
                                </w:r>
                                <w:r>
                                  <w:rPr>
                                    <w:rFonts w:ascii="ＭＳ ゴシック" w:eastAsia="ＭＳ ゴシック" w:hAnsi="ＭＳ ゴシック" w:cs="ＭＳ ゴシック"/>
                                    <w:b/>
                                    <w:i/>
                                    <w:color w:val="4F84C4"/>
                                    <w:w w:val="90"/>
                                    <w:sz w:val="14"/>
                                    <w:lang w:eastAsia="ja-JP"/>
                                  </w:rPr>
                                  <w:t>L</w:t>
                                </w:r>
                              </w:p>
                            </w:txbxContent>
                          </wps:txbx>
                          <wps:bodyPr rot="0" vert="horz" wrap="square" lIns="0" tIns="0" rIns="0" bIns="0" anchor="t" anchorCtr="0" upright="1">
                            <a:noAutofit/>
                          </wps:bodyPr>
                        </wps:wsp>
                        <wps:wsp>
                          <wps:cNvPr id="172" name="docshape870"/>
                          <wps:cNvSpPr txBox="1">
                            <a:spLocks noChangeArrowheads="1"/>
                          </wps:cNvSpPr>
                          <wps:spPr bwMode="auto">
                            <a:xfrm>
                              <a:off x="6498" y="3107"/>
                              <a:ext cx="1700"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E2DC42" w14:textId="77777777" w:rsidR="00EF7546" w:rsidRPr="00FC2199" w:rsidRDefault="00EF7546" w:rsidP="00EF7546">
                                <w:pPr>
                                  <w:spacing w:line="206" w:lineRule="exact"/>
                                  <w:ind w:left="353" w:right="385"/>
                                  <w:jc w:val="center"/>
                                  <w:rPr>
                                    <w:rFonts w:ascii="Arial"/>
                                    <w:b/>
                                    <w:i/>
                                    <w:sz w:val="16"/>
                                    <w:szCs w:val="21"/>
                                    <w:lang w:eastAsia="ja-JP"/>
                                  </w:rPr>
                                </w:pPr>
                                <w:r w:rsidRPr="00FC2199">
                                  <w:rPr>
                                    <w:rFonts w:ascii="ＭＳ ゴシック" w:eastAsia="ＭＳ ゴシック" w:hAnsi="ＭＳ ゴシック" w:cs="ＭＳ ゴシック" w:hint="eastAsia"/>
                                    <w:b/>
                                    <w:i/>
                                    <w:color w:val="4F84C4"/>
                                    <w:sz w:val="16"/>
                                    <w:szCs w:val="21"/>
                                    <w:lang w:eastAsia="ja-JP"/>
                                  </w:rPr>
                                  <w:t>二次データ</w:t>
                                </w:r>
                              </w:p>
                              <w:p w14:paraId="302893DD" w14:textId="77777777" w:rsidR="00EF7546" w:rsidRPr="00FC2199" w:rsidRDefault="00EF7546" w:rsidP="00EF7546">
                                <w:pPr>
                                  <w:spacing w:before="6" w:line="268" w:lineRule="auto"/>
                                  <w:ind w:right="18" w:firstLine="5"/>
                                  <w:jc w:val="center"/>
                                  <w:rPr>
                                    <w:rFonts w:ascii="ＭＳ ゴシック" w:eastAsia="ＭＳ ゴシック" w:hAnsi="ＭＳ ゴシック" w:cs="ＭＳ ゴシック"/>
                                    <w:b/>
                                    <w:i/>
                                    <w:sz w:val="14"/>
                                    <w:lang w:eastAsia="ja-JP"/>
                                  </w:rPr>
                                </w:pPr>
                                <w:r>
                                  <w:rPr>
                                    <w:rFonts w:ascii="ＭＳ ゴシック" w:eastAsia="ＭＳ ゴシック" w:hAnsi="ＭＳ ゴシック" w:cs="ＭＳ ゴシック" w:hint="eastAsia"/>
                                    <w:b/>
                                    <w:i/>
                                    <w:color w:val="4F84C4"/>
                                    <w:w w:val="95"/>
                                    <w:sz w:val="14"/>
                                    <w:lang w:eastAsia="ja-JP"/>
                                  </w:rPr>
                                  <w:t>例：工程Aの業界平均のディーゼル燃料使用量８L</w:t>
                                </w:r>
                              </w:p>
                              <w:p w14:paraId="1FBD4E7E" w14:textId="77777777" w:rsidR="00EF7546" w:rsidRDefault="00EF7546" w:rsidP="00EF7546">
                                <w:pPr>
                                  <w:rPr>
                                    <w:lang w:eastAsia="ja-JP"/>
                                  </w:rPr>
                                </w:pPr>
                              </w:p>
                              <w:p w14:paraId="148F7BB4" w14:textId="77777777" w:rsidR="00EF7546" w:rsidRDefault="00EF7546" w:rsidP="00EF7546">
                                <w:pPr>
                                  <w:rPr>
                                    <w:lang w:eastAsia="ja-JP"/>
                                  </w:rPr>
                                </w:pPr>
                              </w:p>
                            </w:txbxContent>
                          </wps:txbx>
                          <wps:bodyPr rot="0" vert="horz" wrap="square" lIns="0" tIns="0" rIns="0" bIns="0" anchor="t" anchorCtr="0" upright="1">
                            <a:noAutofit/>
                          </wps:bodyPr>
                        </wps:wsp>
                        <wps:wsp>
                          <wps:cNvPr id="173" name="docshape871"/>
                          <wps:cNvSpPr txBox="1">
                            <a:spLocks noChangeArrowheads="1"/>
                          </wps:cNvSpPr>
                          <wps:spPr bwMode="auto">
                            <a:xfrm>
                              <a:off x="9425" y="3667"/>
                              <a:ext cx="1068"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896335" w14:textId="77777777" w:rsidR="00EF7546" w:rsidRDefault="00EF7546" w:rsidP="00EF7546">
                                <w:pPr>
                                  <w:spacing w:before="18" w:line="208" w:lineRule="auto"/>
                                  <w:ind w:left="291" w:hanging="292"/>
                                  <w:jc w:val="center"/>
                                  <w:rPr>
                                    <w:rFonts w:ascii="Arial"/>
                                    <w:b/>
                                    <w:i/>
                                    <w:sz w:val="16"/>
                                  </w:rPr>
                                </w:pPr>
                                <w:r>
                                  <w:rPr>
                                    <w:rFonts w:ascii="Arial"/>
                                    <w:b/>
                                    <w:i/>
                                    <w:color w:val="FFFFFF"/>
                                    <w:w w:val="90"/>
                                    <w:sz w:val="16"/>
                                  </w:rPr>
                                  <w:t>EEIO</w:t>
                                </w:r>
                                <w:r>
                                  <w:rPr>
                                    <w:rFonts w:ascii="ＭＳ ゴシック" w:eastAsia="ＭＳ ゴシック" w:hAnsi="ＭＳ ゴシック" w:cs="ＭＳ ゴシック" w:hint="eastAsia"/>
                                    <w:b/>
                                    <w:i/>
                                    <w:color w:val="FFFFFF"/>
                                    <w:spacing w:val="1"/>
                                    <w:w w:val="90"/>
                                    <w:sz w:val="16"/>
                                    <w:lang w:eastAsia="ja-JP"/>
                                  </w:rPr>
                                  <w:t>排出係数</w:t>
                                </w:r>
                              </w:p>
                            </w:txbxContent>
                          </wps:txbx>
                          <wps:bodyPr rot="0" vert="horz" wrap="square" lIns="0" tIns="0" rIns="0" bIns="0" anchor="t" anchorCtr="0" upright="1">
                            <a:noAutofit/>
                          </wps:bodyPr>
                        </wps:wsp>
                        <wps:wsp>
                          <wps:cNvPr id="174" name="docshape872"/>
                          <wps:cNvSpPr txBox="1">
                            <a:spLocks noChangeArrowheads="1"/>
                          </wps:cNvSpPr>
                          <wps:spPr bwMode="auto">
                            <a:xfrm>
                              <a:off x="4860" y="4704"/>
                              <a:ext cx="2519"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AFD8A6" w14:textId="77777777" w:rsidR="00EF7546" w:rsidRPr="00FC2199" w:rsidRDefault="00EF7546" w:rsidP="00EF7546">
                                <w:pPr>
                                  <w:spacing w:line="202" w:lineRule="exact"/>
                                  <w:rPr>
                                    <w:rFonts w:ascii="ＭＳ ゴシック" w:eastAsia="ＭＳ ゴシック" w:hAnsi="ＭＳ ゴシック" w:cs="ＭＳ ゴシック"/>
                                    <w:b/>
                                    <w:i/>
                                    <w:sz w:val="18"/>
                                    <w:lang w:eastAsia="ja-JP"/>
                                  </w:rPr>
                                </w:pPr>
                                <w:r>
                                  <w:rPr>
                                    <w:rFonts w:ascii="Arial"/>
                                    <w:b/>
                                    <w:i/>
                                    <w:color w:val="FFFFFF"/>
                                    <w:w w:val="95"/>
                                    <w:sz w:val="18"/>
                                    <w:lang w:eastAsia="ja-JP"/>
                                  </w:rPr>
                                  <w:t>LCA</w:t>
                                </w:r>
                                <w:r>
                                  <w:rPr>
                                    <w:rFonts w:ascii="Arial"/>
                                    <w:b/>
                                    <w:i/>
                                    <w:color w:val="FFFFFF"/>
                                    <w:spacing w:val="11"/>
                                    <w:w w:val="95"/>
                                    <w:sz w:val="18"/>
                                    <w:lang w:eastAsia="ja-JP"/>
                                  </w:rPr>
                                  <w:t xml:space="preserve"> </w:t>
                                </w:r>
                                <w:r>
                                  <w:rPr>
                                    <w:rFonts w:ascii="ＭＳ ゴシック" w:eastAsia="ＭＳ ゴシック" w:hAnsi="ＭＳ ゴシック" w:cs="ＭＳ ゴシック" w:hint="eastAsia"/>
                                    <w:b/>
                                    <w:i/>
                                    <w:color w:val="FFFFFF"/>
                                    <w:w w:val="95"/>
                                    <w:sz w:val="18"/>
                                    <w:lang w:eastAsia="ja-JP"/>
                                  </w:rPr>
                                  <w:t>データベース排出係数</w:t>
                                </w:r>
                              </w:p>
                            </w:txbxContent>
                          </wps:txbx>
                          <wps:bodyPr rot="0" vert="horz" wrap="square" lIns="0" tIns="0" rIns="0" bIns="0" anchor="t" anchorCtr="0" upright="1">
                            <a:noAutofit/>
                          </wps:bodyPr>
                        </wps:wsp>
                      </wpg:grpSp>
                      <wpg:grpSp>
                        <wpg:cNvPr id="175" name="グループ化 175"/>
                        <wpg:cNvGrpSpPr>
                          <a:grpSpLocks/>
                        </wpg:cNvGrpSpPr>
                        <wpg:grpSpPr bwMode="auto">
                          <a:xfrm>
                            <a:off x="0" y="3613150"/>
                            <a:ext cx="6332855" cy="250825"/>
                            <a:chOff x="1133" y="5986"/>
                            <a:chExt cx="9973" cy="403"/>
                          </a:xfrm>
                        </wpg:grpSpPr>
                        <wps:wsp>
                          <wps:cNvPr id="176" name="docshape874"/>
                          <wps:cNvSpPr>
                            <a:spLocks/>
                          </wps:cNvSpPr>
                          <wps:spPr bwMode="auto">
                            <a:xfrm>
                              <a:off x="1133" y="5986"/>
                              <a:ext cx="9973" cy="383"/>
                            </a:xfrm>
                            <a:custGeom>
                              <a:avLst/>
                              <a:gdLst>
                                <a:gd name="T0" fmla="+- 0 10946 1134"/>
                                <a:gd name="T1" fmla="*/ T0 w 9973"/>
                                <a:gd name="T2" fmla="+- 0 5987 5987"/>
                                <a:gd name="T3" fmla="*/ 5987 h 383"/>
                                <a:gd name="T4" fmla="+- 0 1294 1134"/>
                                <a:gd name="T5" fmla="*/ T4 w 9973"/>
                                <a:gd name="T6" fmla="+- 0 5987 5987"/>
                                <a:gd name="T7" fmla="*/ 5987 h 383"/>
                                <a:gd name="T8" fmla="+- 0 1201 1134"/>
                                <a:gd name="T9" fmla="*/ T8 w 9973"/>
                                <a:gd name="T10" fmla="+- 0 5989 5987"/>
                                <a:gd name="T11" fmla="*/ 5989 h 383"/>
                                <a:gd name="T12" fmla="+- 0 1154 1134"/>
                                <a:gd name="T13" fmla="*/ T12 w 9973"/>
                                <a:gd name="T14" fmla="+- 0 6007 5987"/>
                                <a:gd name="T15" fmla="*/ 6007 h 383"/>
                                <a:gd name="T16" fmla="+- 0 1136 1134"/>
                                <a:gd name="T17" fmla="*/ T16 w 9973"/>
                                <a:gd name="T18" fmla="+- 0 6054 5987"/>
                                <a:gd name="T19" fmla="*/ 6054 h 383"/>
                                <a:gd name="T20" fmla="+- 0 1134 1134"/>
                                <a:gd name="T21" fmla="*/ T20 w 9973"/>
                                <a:gd name="T22" fmla="+- 0 6147 5987"/>
                                <a:gd name="T23" fmla="*/ 6147 h 383"/>
                                <a:gd name="T24" fmla="+- 0 1134 1134"/>
                                <a:gd name="T25" fmla="*/ T24 w 9973"/>
                                <a:gd name="T26" fmla="+- 0 6209 5987"/>
                                <a:gd name="T27" fmla="*/ 6209 h 383"/>
                                <a:gd name="T28" fmla="+- 0 1136 1134"/>
                                <a:gd name="T29" fmla="*/ T28 w 9973"/>
                                <a:gd name="T30" fmla="+- 0 6302 5987"/>
                                <a:gd name="T31" fmla="*/ 6302 h 383"/>
                                <a:gd name="T32" fmla="+- 0 1154 1134"/>
                                <a:gd name="T33" fmla="*/ T32 w 9973"/>
                                <a:gd name="T34" fmla="+- 0 6349 5987"/>
                                <a:gd name="T35" fmla="*/ 6349 h 383"/>
                                <a:gd name="T36" fmla="+- 0 1201 1134"/>
                                <a:gd name="T37" fmla="*/ T36 w 9973"/>
                                <a:gd name="T38" fmla="+- 0 6367 5987"/>
                                <a:gd name="T39" fmla="*/ 6367 h 383"/>
                                <a:gd name="T40" fmla="+- 0 1294 1134"/>
                                <a:gd name="T41" fmla="*/ T40 w 9973"/>
                                <a:gd name="T42" fmla="+- 0 6369 5987"/>
                                <a:gd name="T43" fmla="*/ 6369 h 383"/>
                                <a:gd name="T44" fmla="+- 0 10946 1134"/>
                                <a:gd name="T45" fmla="*/ T44 w 9973"/>
                                <a:gd name="T46" fmla="+- 0 6369 5987"/>
                                <a:gd name="T47" fmla="*/ 6369 h 383"/>
                                <a:gd name="T48" fmla="+- 0 11039 1134"/>
                                <a:gd name="T49" fmla="*/ T48 w 9973"/>
                                <a:gd name="T50" fmla="+- 0 6367 5987"/>
                                <a:gd name="T51" fmla="*/ 6367 h 383"/>
                                <a:gd name="T52" fmla="+- 0 11086 1134"/>
                                <a:gd name="T53" fmla="*/ T52 w 9973"/>
                                <a:gd name="T54" fmla="+- 0 6349 5987"/>
                                <a:gd name="T55" fmla="*/ 6349 h 383"/>
                                <a:gd name="T56" fmla="+- 0 11104 1134"/>
                                <a:gd name="T57" fmla="*/ T56 w 9973"/>
                                <a:gd name="T58" fmla="+- 0 6302 5987"/>
                                <a:gd name="T59" fmla="*/ 6302 h 383"/>
                                <a:gd name="T60" fmla="+- 0 11106 1134"/>
                                <a:gd name="T61" fmla="*/ T60 w 9973"/>
                                <a:gd name="T62" fmla="+- 0 6209 5987"/>
                                <a:gd name="T63" fmla="*/ 6209 h 383"/>
                                <a:gd name="T64" fmla="+- 0 11106 1134"/>
                                <a:gd name="T65" fmla="*/ T64 w 9973"/>
                                <a:gd name="T66" fmla="+- 0 6147 5987"/>
                                <a:gd name="T67" fmla="*/ 6147 h 383"/>
                                <a:gd name="T68" fmla="+- 0 11104 1134"/>
                                <a:gd name="T69" fmla="*/ T68 w 9973"/>
                                <a:gd name="T70" fmla="+- 0 6054 5987"/>
                                <a:gd name="T71" fmla="*/ 6054 h 383"/>
                                <a:gd name="T72" fmla="+- 0 11086 1134"/>
                                <a:gd name="T73" fmla="*/ T72 w 9973"/>
                                <a:gd name="T74" fmla="+- 0 6007 5987"/>
                                <a:gd name="T75" fmla="*/ 6007 h 383"/>
                                <a:gd name="T76" fmla="+- 0 11039 1134"/>
                                <a:gd name="T77" fmla="*/ T76 w 9973"/>
                                <a:gd name="T78" fmla="+- 0 5989 5987"/>
                                <a:gd name="T79" fmla="*/ 5989 h 383"/>
                                <a:gd name="T80" fmla="+- 0 10946 1134"/>
                                <a:gd name="T81" fmla="*/ T80 w 9973"/>
                                <a:gd name="T82" fmla="+- 0 5987 5987"/>
                                <a:gd name="T83" fmla="*/ 5987 h 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973" h="383">
                                  <a:moveTo>
                                    <a:pt x="9812" y="0"/>
                                  </a:moveTo>
                                  <a:lnTo>
                                    <a:pt x="160" y="0"/>
                                  </a:lnTo>
                                  <a:lnTo>
                                    <a:pt x="67" y="2"/>
                                  </a:lnTo>
                                  <a:lnTo>
                                    <a:pt x="20" y="20"/>
                                  </a:lnTo>
                                  <a:lnTo>
                                    <a:pt x="2" y="67"/>
                                  </a:lnTo>
                                  <a:lnTo>
                                    <a:pt x="0" y="160"/>
                                  </a:lnTo>
                                  <a:lnTo>
                                    <a:pt x="0" y="222"/>
                                  </a:lnTo>
                                  <a:lnTo>
                                    <a:pt x="2" y="315"/>
                                  </a:lnTo>
                                  <a:lnTo>
                                    <a:pt x="20" y="362"/>
                                  </a:lnTo>
                                  <a:lnTo>
                                    <a:pt x="67" y="380"/>
                                  </a:lnTo>
                                  <a:lnTo>
                                    <a:pt x="160" y="382"/>
                                  </a:lnTo>
                                  <a:lnTo>
                                    <a:pt x="9812" y="382"/>
                                  </a:lnTo>
                                  <a:lnTo>
                                    <a:pt x="9905" y="380"/>
                                  </a:lnTo>
                                  <a:lnTo>
                                    <a:pt x="9952" y="362"/>
                                  </a:lnTo>
                                  <a:lnTo>
                                    <a:pt x="9970" y="315"/>
                                  </a:lnTo>
                                  <a:lnTo>
                                    <a:pt x="9972" y="222"/>
                                  </a:lnTo>
                                  <a:lnTo>
                                    <a:pt x="9972" y="160"/>
                                  </a:lnTo>
                                  <a:lnTo>
                                    <a:pt x="9970" y="67"/>
                                  </a:lnTo>
                                  <a:lnTo>
                                    <a:pt x="9952" y="20"/>
                                  </a:lnTo>
                                  <a:lnTo>
                                    <a:pt x="9905" y="2"/>
                                  </a:lnTo>
                                  <a:lnTo>
                                    <a:pt x="9812" y="0"/>
                                  </a:lnTo>
                                  <a:close/>
                                </a:path>
                              </a:pathLst>
                            </a:custGeom>
                            <a:solidFill>
                              <a:srgbClr val="00AC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docshape875"/>
                          <wps:cNvSpPr txBox="1">
                            <a:spLocks noChangeArrowheads="1"/>
                          </wps:cNvSpPr>
                          <wps:spPr bwMode="auto">
                            <a:xfrm>
                              <a:off x="1133" y="6006"/>
                              <a:ext cx="997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56DE71" w14:textId="77777777" w:rsidR="003058A4" w:rsidRDefault="003058A4" w:rsidP="003058A4">
                                <w:pPr>
                                  <w:spacing w:before="72"/>
                                  <w:ind w:left="3988" w:right="3998"/>
                                  <w:jc w:val="center"/>
                                  <w:rPr>
                                    <w:rFonts w:ascii="Arial"/>
                                    <w:b/>
                                    <w:i/>
                                    <w:sz w:val="18"/>
                                  </w:rPr>
                                </w:pPr>
                                <w:r>
                                  <w:rPr>
                                    <w:rFonts w:ascii="ＭＳ ゴシック" w:eastAsia="ＭＳ ゴシック" w:hAnsi="ＭＳ ゴシック" w:cs="ＭＳ ゴシック" w:hint="eastAsia"/>
                                    <w:b/>
                                    <w:i/>
                                    <w:color w:val="FFFFFF"/>
                                    <w:w w:val="95"/>
                                    <w:sz w:val="18"/>
                                    <w:lang w:eastAsia="ja-JP"/>
                                  </w:rPr>
                                  <w:t>工程</w:t>
                                </w:r>
                                <w:r>
                                  <w:rPr>
                                    <w:rFonts w:ascii="Arial"/>
                                    <w:b/>
                                    <w:i/>
                                    <w:color w:val="FFFFFF"/>
                                    <w:w w:val="95"/>
                                    <w:sz w:val="18"/>
                                  </w:rPr>
                                  <w:t>A</w:t>
                                </w:r>
                                <w:r>
                                  <w:rPr>
                                    <w:rFonts w:ascii="ＭＳ ゴシック" w:eastAsia="ＭＳ ゴシック" w:hAnsi="ＭＳ ゴシック" w:cs="ＭＳ ゴシック" w:hint="eastAsia"/>
                                    <w:b/>
                                    <w:i/>
                                    <w:color w:val="FFFFFF"/>
                                    <w:w w:val="95"/>
                                    <w:sz w:val="18"/>
                                    <w:lang w:eastAsia="ja-JP"/>
                                  </w:rPr>
                                  <w:t>のGHGデータ</w:t>
                                </w:r>
                              </w:p>
                            </w:txbxContent>
                          </wps:txbx>
                          <wps:bodyPr rot="0" vert="horz" wrap="square" lIns="0" tIns="0" rIns="0" bIns="0" anchor="t" anchorCtr="0" upright="1">
                            <a:noAutofit/>
                          </wps:bodyPr>
                        </wps:wsp>
                      </wpg:grpSp>
                    </wpg:wgp>
                  </a:graphicData>
                </a:graphic>
              </wp:anchor>
            </w:drawing>
          </mc:Choice>
          <mc:Fallback>
            <w:pict>
              <v:group w14:anchorId="386D1248" id="グループ化 178" o:spid="_x0000_s1071" style="position:absolute;left:0;text-align:left;margin-left:49.5pt;margin-top:22.25pt;width:500.35pt;height:304.25pt;z-index:251479552" coordsize="63544,38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">
                <v:group id="グループ化 135" o:spid="_x0000_s1072" style="position:absolute;left:190;width:63354;height:36156" coordorigin="1131,194" coordsize="9977,5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line id="Line 1784" o:spid="_x0000_s1073" style="position:absolute;visibility:visible;mso-wrap-style:square" from="4320,1082" to="8280,1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" strokecolor="#b6b8ba" strokeweight="8pt"/>
                  <v:shape id="docshape835" o:spid="_x0000_s1074" style="position:absolute;left:5940;top:455;width:3046;height:1181;visibility:visible;mso-wrap-style:square;v-text-anchor:top" coordsize="3046,1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" path="m282,981r-2,-14l269,957r-19,-4l207,953,207,,75,,74,953r-42,l13,956,2,966,,980r8,17l114,1148r15,14l146,1167r16,-5l176,1147,275,999r7,-18xm3046,1157r-3,-23l2978,929r-11,-21l2952,896r-17,-1l2919,905r-31,30l2389,517r-94,93l2794,1029r-30,30l2753,1075r2,17l2766,1106r22,10l3000,1178r23,2l3038,1173r8,-16xe" fillcolor="#b8babd" stroked="f">
                    <v:path arrowok="t" o:connecttype="custom" o:connectlocs="282,1436;280,1422;269,1412;250,1408;207,1408;207,455;75,455;74,1408;32,1408;13,1411;2,1421;0,1435;8,1452;114,1603;129,1617;146,1622;162,1617;176,1602;275,1454;282,1436;3046,1612;3043,1589;2978,1384;2967,1363;2952,1351;2935,1350;2919,1360;2888,1390;2389,972;2295,1065;2794,1484;2764,1514;2753,1530;2755,1547;2766,1561;2788,1571;3000,1633;3023,1635;3038,1628;3046,1612" o:connectangles="0,0,0,0,0,0,0,0,0,0,0,0,0,0,0,0,0,0,0,0,0,0,0,0,0,0,0,0,0,0,0,0,0,0,0,0,0,0,0,0"/>
                  </v:shape>
                  <v:shape id="docshape836" o:spid="_x0000_s1075" style="position:absolute;left:3693;top:194;width:4845;height:383;visibility:visible;mso-wrap-style:square;v-text-anchor:top" coordsize="4845,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" path="m4684,l160,,67,3,20,20,2,68,,160r,63l2,315r18,48l67,380r93,3l4684,383r92,-3l4824,363r17,-48l4844,223r,-63l4841,68,4824,20,4776,3,4684,xe" fillcolor="#00aca1" stroked="f">
                    <v:path arrowok="t" o:connecttype="custom" o:connectlocs="4684,194;160,194;67,197;20,214;2,262;0,354;0,417;2,509;20,557;67,574;160,577;4684,577;4776,574;4824,557;4841,509;4844,417;4844,354;4841,262;4824,214;4776,197;4684,194" o:connectangles="0,0,0,0,0,0,0,0,0,0,0,0,0,0,0,0,0,0,0,0,0"/>
                  </v:shape>
                  <v:shape id="docshape837" o:spid="_x0000_s1076" style="position:absolute;left:3203;top:988;width:751;height:664;visibility:visible;mso-wrap-style:square;v-text-anchor:top" coordsize="75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" path="m657,l157,418,127,388,110,378,3,617,,640r7,16l23,664r23,-3l258,599r21,-10l291,575r1,-16l282,542,251,512,750,94,657,xe" fillcolor="#b8babd" stroked="f">
                    <v:path arrowok="t" o:connecttype="custom" o:connectlocs="657,988;157,1406;127,1376;110,1366;3,1605;0,1628;7,1644;23,1652;46,1649;258,1587;279,1577;291,1563;292,1547;282,1530;251,1500;750,1082;657,988" o:connectangles="0,0,0,0,0,0,0,0,0,0,0,0,0,0,0,0,0"/>
                  </v:shape>
                  <v:shape id="docshape838" o:spid="_x0000_s1077" style="position:absolute;left:3695;top:888;width:1293;height:383;visibility:visible;mso-wrap-style:square;v-text-anchor:top" coordsize="129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" path="m1133,l160,,68,2,20,20,3,67,,160r,62l3,315r17,47l68,380r92,2l1133,382r92,-2l1273,362r17,-47l1293,222r,-62l1290,67,1273,20,1225,2,1133,xe" fillcolor="#7f3f98" stroked="f">
                    <v:path arrowok="t" o:connecttype="custom" o:connectlocs="1133,889;160,889;68,891;20,909;3,956;0,1049;0,1111;3,1204;20,1251;68,1269;160,1271;1133,1271;1225,1269;1273,1251;1290,1204;1293,1111;1293,1049;1290,956;1273,909;1225,891;1133,889" o:connectangles="0,0,0,0,0,0,0,0,0,0,0,0,0,0,0,0,0,0,0,0,0"/>
                  </v:shape>
                  <v:shape id="docshape839" o:spid="_x0000_s1078" style="position:absolute;left:5469;top:888;width:1293;height:383;visibility:visible;mso-wrap-style:square;v-text-anchor:top" coordsize="129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" path="m1133,l160,,68,2,20,20,3,67,,160r,62l3,315r17,47l68,380r92,2l1133,382r93,-2l1273,362r18,-47l1293,222r,-62l1291,67,1273,20,1226,2,1133,xe" fillcolor="#4f84c4" stroked="f">
                    <v:path arrowok="t" o:connecttype="custom" o:connectlocs="1133,889;160,889;68,891;20,909;3,956;0,1049;0,1111;3,1204;20,1251;68,1269;160,1271;1133,1271;1226,1269;1273,1251;1291,1204;1293,1111;1293,1049;1291,956;1273,909;1226,891;1133,889" o:connectangles="0,0,0,0,0,0,0,0,0,0,0,0,0,0,0,0,0,0,0,0,0"/>
                  </v:shape>
                  <v:shape id="docshape840" o:spid="_x0000_s1079" style="position:absolute;left:7243;top:888;width:1293;height:383;visibility:visible;mso-wrap-style:square;v-text-anchor:top" coordsize="129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" path="m1132,l160,,67,2,20,20,2,67,,160r,62l2,315r18,47l67,380r93,2l1132,382r93,-2l1272,362r18,-47l1292,222r,-62l1290,67,1272,20,1225,2,1132,xe" fillcolor="#ed1065" stroked="f">
                    <v:path arrowok="t" o:connecttype="custom" o:connectlocs="1132,889;160,889;67,891;20,909;2,956;0,1049;0,1111;2,1204;20,1251;67,1269;160,1271;1132,1271;1225,1269;1272,1251;1290,1204;1292,1111;1292,1049;1290,956;1272,909;1225,891;1132,889" o:connectangles="0,0,0,0,0,0,0,0,0,0,0,0,0,0,0,0,0,0,0,0,0"/>
                  </v:shape>
                  <v:shape id="docshape841" o:spid="_x0000_s1080" style="position:absolute;left:2057;top:2827;width:282;height:3060;visibility:visible;mso-wrap-style:square;v-text-anchor:top" coordsize="282,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" path="m206,l74,r,2846l31,2846r-19,3l2,2859,,2873r8,17l114,3041r14,14l145,3060r16,-5l176,3041r98,-149l282,2874r-3,-14l268,2850r-19,-4l207,2846,206,xe" fillcolor="#b8babd" stroked="f">
                    <v:path arrowok="t" o:connecttype="custom" o:connectlocs="206,2828;74,2828;74,5674;31,5674;12,5677;2,5687;0,5701;8,5718;114,5869;128,5883;145,5888;161,5883;176,5869;274,5720;282,5702;279,5688;268,5678;249,5674;207,5674;206,2828" o:connectangles="0,0,0,0,0,0,0,0,0,0,0,0,0,0,0,0,0,0,0,0"/>
                  </v:shape>
                  <v:shape id="docshape842" o:spid="_x0000_s1081" style="position:absolute;left:1131;top:1719;width:2268;height:1134;visibility:visible;mso-wrap-style:square;v-text-anchor:top" coordsize="2268,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" path="m2028,l240,,101,4,30,30,4,102,,240,,894r4,139l30,1104r71,26l240,1134r1788,l2166,1130r72,-26l2264,1033r4,-139l2268,240r-4,-138l2238,30,2166,4,2028,xe" fillcolor="#7f3f98" stroked="f">
                    <v:path arrowok="t" o:connecttype="custom" o:connectlocs="2028,1719;240,1719;101,1723;30,1749;4,1821;0,1959;0,2613;4,2752;30,2823;101,2849;240,2853;2028,2853;2166,2849;2238,2823;2264,2752;2268,2613;2268,1959;2264,1821;2238,1749;2166,1723;2028,1719" o:connectangles="0,0,0,0,0,0,0,0,0,0,0,0,0,0,0,0,0,0,0,0,0"/>
                  </v:shape>
                  <v:shape id="docshape843" o:spid="_x0000_s1082" style="position:absolute;left:9900;top:2827;width:282;height:3060;visibility:visible;mso-wrap-style:square;v-text-anchor:top" coordsize="282,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" path="m207,l75,,74,2846r-42,l13,2849,2,2859,,2873r8,17l114,3041r15,14l146,3060r16,-5l176,3041r99,-149l282,2874r-2,-14l269,2850r-19,-4l207,2846,207,xe" fillcolor="#b8babd" stroked="f">
                    <v:path arrowok="t" o:connecttype="custom" o:connectlocs="207,2828;75,2828;74,5674;32,5674;13,5677;2,5687;0,5701;8,5718;114,5869;129,5883;146,5888;162,5883;176,5869;275,5720;282,5702;280,5688;269,5678;250,5674;207,5674;207,2828" o:connectangles="0,0,0,0,0,0,0,0,0,0,0,0,0,0,0,0,0,0,0,0"/>
                  </v:shape>
                  <v:shape id="docshape844" o:spid="_x0000_s1083" style="position:absolute;left:8839;top:1705;width:2268;height:1134;visibility:visible;mso-wrap-style:square;v-text-anchor:top" coordsize="2268,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" path="m2028,l240,,101,4,30,30,4,101,,240,,894r4,139l30,1104r71,26l240,1134r1788,l2166,1130r72,-26l2264,1033r4,-139l2268,240r-4,-139l2238,30,2166,4,2028,xe" fillcolor="#ed1065" stroked="f">
                    <v:path arrowok="t" o:connecttype="custom" o:connectlocs="2028,1705;240,1705;101,1709;30,1735;4,1806;0,1945;0,2599;4,2738;30,2809;101,2835;240,2839;2028,2839;2166,2835;2238,2809;2264,2738;2268,2599;2268,1945;2264,1806;2238,1735;2166,1709;2028,1705" o:connectangles="0,0,0,0,0,0,0,0,0,0,0,0,0,0,0,0,0,0,0,0,0"/>
                  </v:shape>
                  <v:shape id="docshape845" o:spid="_x0000_s1084" style="position:absolute;left:5003;top:1815;width:2265;height:1122;visibility:visible;mso-wrap-style:square;v-text-anchor:top" coordsize="2265,1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" path="m1116,93l1023,,157,865,127,835,110,824r-17,2l78,837,67,859,3,1063,,1086r7,16l23,1110r23,-2l258,1046r21,-11l291,1021r1,-16l282,988,251,958,1116,93xm2265,1098r-3,-23l2197,870r-11,-21l2171,837r-17,-1l2138,846r-31,30l1242,11r-94,94l2013,970r-30,30l1972,1016r2,17l1985,1047r22,10l2219,1119r23,2l2257,1114r8,-16xe" fillcolor="#b8babd" stroked="f">
                    <v:path arrowok="t" o:connecttype="custom" o:connectlocs="1116,1909;1023,1816;157,2681;127,2651;110,2640;93,2642;78,2653;67,2675;3,2879;0,2902;7,2918;23,2926;46,2924;258,2862;279,2851;291,2837;292,2821;282,2804;251,2774;1116,1909;2265,2914;2262,2891;2197,2686;2186,2665;2171,2653;2154,2652;2138,2662;2107,2692;1242,1827;1148,1921;2013,2786;1983,2816;1972,2832;1974,2849;1985,2863;2007,2873;2219,2935;2242,2937;2257,2930;2265,2914" o:connectangles="0,0,0,0,0,0,0,0,0,0,0,0,0,0,0,0,0,0,0,0,0,0,0,0,0,0,0,0,0,0,0,0,0,0,0,0,0,0,0,0"/>
                  </v:shape>
                  <v:shape id="docshape846" o:spid="_x0000_s1085" style="position:absolute;left:4981;top:1675;width:2268;height:355;visibility:visible;mso-wrap-style:square;v-text-anchor:top" coordsize="2268,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" path="m2128,l140,,59,3,17,18,2,59,,140r,75l2,296r15,41l59,353r81,2l2128,355r81,-2l2250,337r15,-41l2268,215r,-75l2265,59,2250,18,2209,3,2128,xe" fillcolor="#4f84c4" stroked="f">
                    <v:path arrowok="t" o:connecttype="custom" o:connectlocs="2128,1675;140,1675;59,1678;17,1693;2,1734;0,1815;0,1890;2,1971;17,2012;59,2028;140,2030;2128,2030;2209,2028;2250,2012;2265,1971;2268,1890;2268,1815;2265,1734;2250,1693;2209,1678;2128,1675" o:connectangles="0,0,0,0,0,0,0,0,0,0,0,0,0,0,0,0,0,0,0,0,0"/>
                  </v:shape>
                  <v:shape id="docshape847" o:spid="_x0000_s1086" style="position:absolute;left:4719;top:3526;width:282;height:898;visibility:visible;mso-wrap-style:square;v-text-anchor:top" coordsize="282,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" path="m207,l74,r,684l32,684r-19,4l2,697,,712r8,17l114,880r15,14l145,898r17,-5l176,879,275,731r7,-18l280,698r-11,-9l250,685r-43,l207,xe" fillcolor="#b8babd" stroked="f">
                    <v:path arrowok="t" o:connecttype="custom" o:connectlocs="207,3526;74,3526;74,4210;32,4210;13,4214;2,4223;0,4238;8,4255;114,4406;129,4420;145,4424;162,4419;176,4405;275,4257;282,4239;280,4224;269,4215;250,4211;207,4211;207,3526" o:connectangles="0,0,0,0,0,0,0,0,0,0,0,0,0,0,0,0,0,0,0,0"/>
                  </v:shape>
                  <v:shape id="docshape848" o:spid="_x0000_s1087" style="position:absolute;left:3760;top:3043;width:2261;height:725;visibility:visible;mso-wrap-style:square;v-text-anchor:top" coordsize="2261,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" path="m2021,l240,,101,4,30,30,4,101,,240,,485,4,623r26,72l101,721r139,4l2021,725r138,-4l2231,695r26,-72l2261,485r,-245l2257,101,2231,30,2159,4,2021,xe" stroked="f">
                    <v:path arrowok="t" o:connecttype="custom" o:connectlocs="2021,3043;240,3043;101,3047;30,3073;4,3144;0,3283;0,3528;4,3666;30,3738;101,3764;240,3768;2021,3768;2159,3764;2231,3738;2257,3666;2261,3528;2261,3283;2257,3144;2231,3073;2159,3047;2021,3043" o:connectangles="0,0,0,0,0,0,0,0,0,0,0,0,0,0,0,0,0,0,0,0,0"/>
                  </v:shape>
                  <v:shape id="docshape849" o:spid="_x0000_s1088" style="position:absolute;left:3760;top:3043;width:2261;height:725;visibility:visible;mso-wrap-style:square;v-text-anchor:top" coordsize="2261,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" path="m240,l101,4,30,30,4,101,,240,,485,4,623r26,72l101,721r139,4l2021,725r138,-4l2231,695r26,-72l2261,485r,-245l2257,101,2231,30,2159,4,2021,,240,xe" filled="f" strokecolor="#4f84c4" strokeweight="1pt">
                    <v:path arrowok="t" o:connecttype="custom" o:connectlocs="240,3043;101,3047;30,3073;4,3144;0,3283;0,3528;4,3666;30,3738;101,3764;240,3768;2021,3768;2159,3764;2231,3738;2257,3666;2261,3528;2261,3283;2257,3144;2231,3073;2159,3047;2021,3043;240,3043" o:connectangles="0,0,0,0,0,0,0,0,0,0,0,0,0,0,0,0,0,0,0,0,0"/>
                  </v:shape>
                  <v:shape id="docshape850" o:spid="_x0000_s1089" style="position:absolute;left:7200;top:3526;width:282;height:898;visibility:visible;mso-wrap-style:square;v-text-anchor:top" coordsize="282,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" path="m207,l75,,74,684r-42,l13,688,2,697,,712r8,17l114,880r15,14l146,898r16,-5l176,879,275,731r7,-18l280,698r-11,-9l250,685r-43,l207,xe" fillcolor="#b8babd" stroked="f">
                    <v:path arrowok="t" o:connecttype="custom" o:connectlocs="207,3526;75,3526;74,4210;32,4210;13,4214;2,4223;0,4238;8,4255;114,4406;129,4420;146,4424;162,4419;176,4405;275,4257;282,4239;280,4224;269,4215;250,4211;207,4211;207,3526" o:connectangles="0,0,0,0,0,0,0,0,0,0,0,0,0,0,0,0,0,0,0,0"/>
                  </v:shape>
                  <v:shape id="docshape851" o:spid="_x0000_s1090" style="position:absolute;left:6210;top:3043;width:2261;height:725;visibility:visible;mso-wrap-style:square;v-text-anchor:top" coordsize="2261,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" path="m2020,l240,,101,4,30,30,4,101,,240,,485,4,623r26,72l101,721r139,4l2020,725r139,-4l2230,695r27,-72l2260,485r,-245l2257,101,2230,30,2159,4,2020,xe" stroked="f">
                    <v:path arrowok="t" o:connecttype="custom" o:connectlocs="2020,3043;240,3043;101,3047;30,3073;4,3144;0,3283;0,3528;4,3666;30,3738;101,3764;240,3768;2020,3768;2159,3764;2230,3738;2257,3666;2260,3528;2260,3283;2257,3144;2230,3073;2159,3047;2020,3043" o:connectangles="0,0,0,0,0,0,0,0,0,0,0,0,0,0,0,0,0,0,0,0,0"/>
                  </v:shape>
                  <v:shape id="docshape852" o:spid="_x0000_s1091" style="position:absolute;left:6210;top:3043;width:2261;height:725;visibility:visible;mso-wrap-style:square;v-text-anchor:top" coordsize="2261,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" path="m240,l101,4,30,30,4,101,,240,,485,4,623r26,72l101,721r139,4l2020,725r139,-4l2230,695r27,-72l2260,485r,-245l2257,101,2230,30,2159,4,2020,,240,xe" filled="f" strokecolor="#4f84c4" strokeweight="1pt">
                    <v:path arrowok="t" o:connecttype="custom" o:connectlocs="240,3043;101,3047;30,3073;4,3144;0,3283;0,3528;4,3666;30,3738;101,3764;240,3768;2020,3768;2159,3764;2230,3738;2257,3666;2260,3528;2260,3283;2257,3144;2230,3073;2159,3047;2020,3043;240,3043" o:connectangles="0,0,0,0,0,0,0,0,0,0,0,0,0,0,0,0,0,0,0,0,0"/>
                  </v:shape>
                  <v:shape id="docshape853" o:spid="_x0000_s1092" style="position:absolute;left:5977;top:4969;width:282;height:898;visibility:visible;mso-wrap-style:square;v-text-anchor:top" coordsize="282,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" path="m206,l74,r,684l31,684r-19,4l2,697,,711r8,18l114,880r14,14l145,898r16,-5l176,879,274,731r8,-18l279,698,268,688r-19,-3l207,685,206,xe" fillcolor="#b8babd" stroked="f">
                    <v:path arrowok="t" o:connecttype="custom" o:connectlocs="206,4969;74,4969;74,5653;31,5653;12,5657;2,5666;0,5680;8,5698;114,5849;128,5863;145,5867;161,5862;176,5848;274,5700;282,5682;279,5667;268,5657;249,5654;207,5654;206,4969" o:connectangles="0,0,0,0,0,0,0,0,0,0,0,0,0,0,0,0,0,0,0,0"/>
                  </v:shape>
                  <v:shape id="docshape854" o:spid="_x0000_s1093" style="position:absolute;left:3780;top:4538;width:4680;height:567;visibility:visible;mso-wrap-style:square;v-text-anchor:top" coordsize="4680,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" path="m4440,l240,,101,4,30,30,4,101,,240r,87l4,466r26,71l101,563r139,4l4440,567r139,-4l4650,537r26,-71l4680,327r,-87l4676,101,4650,30,4579,4,4440,xe" fillcolor="#4f84c4" stroked="f">
                    <v:path arrowok="t" o:connecttype="custom" o:connectlocs="4440,4539;240,4539;101,4543;30,4569;4,4640;0,4779;0,4866;4,5005;30,5076;101,5102;240,5106;4440,5106;4579,5102;4650,5076;4676,5005;4680,4866;4680,4779;4676,4640;4650,4569;4579,4543;4440,4539" o:connectangles="0,0,0,0,0,0,0,0,0,0,0,0,0,0,0,0,0,0,0,0,0"/>
                  </v:shape>
                  <v:shape id="docshape855" o:spid="_x0000_s1094" style="position:absolute;left:9109;top:3573;width:1701;height:567;visibility:visible;mso-wrap-style:square;v-text-anchor:top" coordsize="1701,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" path="m1461,l240,,101,3,30,30,4,101,,240r,87l4,465r26,72l101,563r139,4l1461,567r139,-4l1671,537r26,-72l1701,327r,-87l1697,101,1671,30,1600,3,1461,xe" fillcolor="#ed1065" stroked="f">
                    <v:path arrowok="t" o:connecttype="custom" o:connectlocs="1461,3574;240,3574;101,3577;30,3604;4,3675;0,3814;0,3901;4,4039;30,4111;101,4137;240,4141;1461,4141;1600,4137;1671,4111;1697,4039;1701,3901;1701,3814;1697,3675;1671,3604;1600,3577;1461,3574" o:connectangles="0,0,0,0,0,0,0,0,0,0,0,0,0,0,0,0,0,0,0,0,0"/>
                  </v:shape>
                  <v:shape id="docshape856" o:spid="_x0000_s1095" style="position:absolute;left:5106;top:2139;width:830;height:383;visibility:visible;mso-wrap-style:square;v-text-anchor:top" coordsize="830,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" path="m669,l160,,67,3,20,20,2,68,,160r,63l2,315r18,48l67,380r93,3l669,383r92,-3l809,363r17,-48l829,223r,-63l826,68,809,20,761,3,669,xe" stroked="f">
                    <v:path arrowok="t" o:connecttype="custom" o:connectlocs="669,2139;160,2139;67,2142;20,2159;2,2207;0,2299;0,2362;2,2454;20,2502;67,2519;160,2522;669,2522;761,2519;809,2502;826,2454;829,2362;829,2299;826,2207;809,2159;761,2142;669,2139" o:connectangles="0,0,0,0,0,0,0,0,0,0,0,0,0,0,0,0,0,0,0,0,0"/>
                  </v:shape>
                  <v:shape id="docshape857" o:spid="_x0000_s1096" style="position:absolute;left:5106;top:2139;width:830;height:383;visibility:visible;mso-wrap-style:square;v-text-anchor:top" coordsize="830,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" path="m160,l67,3,20,20,2,68,,160r,63l2,315r18,48l67,380r93,3l669,383r92,-3l809,363r17,-48l829,223r,-63l826,68,809,20,761,3,669,,160,xe" filled="f" strokecolor="#4f84c4" strokeweight="1pt">
                    <v:path arrowok="t" o:connecttype="custom" o:connectlocs="160,2139;67,2142;20,2159;2,2207;0,2299;0,2362;2,2454;20,2502;67,2519;160,2522;669,2522;761,2519;809,2502;826,2454;829,2362;829,2299;826,2207;809,2159;761,2142;669,2139;160,2139" o:connectangles="0,0,0,0,0,0,0,0,0,0,0,0,0,0,0,0,0,0,0,0,0"/>
                  </v:shape>
                  <v:shape id="docshape858" o:spid="_x0000_s1097" style="position:absolute;left:6309;top:2139;width:830;height:383;visibility:visible;mso-wrap-style:square;v-text-anchor:top" coordsize="830,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" path="m669,l160,,67,3,20,20,2,68,,160r,63l2,315r18,48l67,380r93,3l669,383r92,-3l809,363r17,-48l829,223r,-63l826,68,809,20,761,3,669,xe" stroked="f">
                    <v:path arrowok="t" o:connecttype="custom" o:connectlocs="669,2139;160,2139;67,2142;20,2159;2,2207;0,2299;0,2362;2,2454;20,2502;67,2519;160,2522;669,2522;761,2519;809,2502;826,2454;829,2362;829,2299;826,2207;809,2159;761,2142;669,2139" o:connectangles="0,0,0,0,0,0,0,0,0,0,0,0,0,0,0,0,0,0,0,0,0"/>
                  </v:shape>
                  <v:shape id="docshape859" o:spid="_x0000_s1098" style="position:absolute;left:6309;top:2139;width:830;height:383;visibility:visible;mso-wrap-style:square;v-text-anchor:top" coordsize="830,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" path="m160,l67,3,20,20,2,68,,160r,63l2,315r18,48l67,380r93,3l669,383r92,-3l809,363r17,-48l829,223r,-63l826,68,809,20,761,3,669,,160,xe" filled="f" strokecolor="#4f84c4" strokeweight="1pt">
                    <v:path arrowok="t" o:connecttype="custom" o:connectlocs="160,2139;67,2142;20,2159;2,2207;0,2299;0,2362;2,2454;20,2502;67,2519;160,2522;669,2522;761,2519;809,2502;826,2454;829,2362;829,2299;826,2207;809,2159;761,2142;669,2139;160,2139" o:connectangles="0,0,0,0,0,0,0,0,0,0,0,0,0,0,0,0,0,0,0,0,0"/>
                  </v:shape>
                  <v:shape id="docshape860" o:spid="_x0000_s1099" type="#_x0000_t202" style="position:absolute;left:4831;top:267;width:256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14:paraId="5676BFC0" w14:textId="77777777" w:rsidR="00EF7546" w:rsidRDefault="00EF7546" w:rsidP="00EF7546">
                          <w:pPr>
                            <w:spacing w:line="202" w:lineRule="exact"/>
                            <w:rPr>
                              <w:rFonts w:ascii="Arial"/>
                              <w:b/>
                              <w:i/>
                              <w:sz w:val="18"/>
                              <w:lang w:eastAsia="ja-JP"/>
                            </w:rPr>
                          </w:pPr>
                          <w:r>
                            <w:rPr>
                              <w:rFonts w:ascii="ＭＳ ゴシック" w:eastAsia="ＭＳ ゴシック" w:hAnsi="ＭＳ ゴシック" w:cs="ＭＳ ゴシック" w:hint="eastAsia"/>
                              <w:b/>
                              <w:i/>
                              <w:color w:val="FFFFFF"/>
                              <w:w w:val="95"/>
                              <w:sz w:val="18"/>
                              <w:lang w:eastAsia="ja-JP"/>
                            </w:rPr>
                            <w:t>ディーゼルを使用する工程A</w:t>
                          </w:r>
                          <w:r>
                            <w:rPr>
                              <w:rFonts w:ascii="Arial"/>
                              <w:b/>
                              <w:i/>
                              <w:color w:val="FFFFFF"/>
                              <w:w w:val="95"/>
                              <w:sz w:val="18"/>
                              <w:lang w:eastAsia="ja-JP"/>
                            </w:rPr>
                            <w:t>l</w:t>
                          </w:r>
                        </w:p>
                      </w:txbxContent>
                    </v:textbox>
                  </v:shape>
                  <v:shape id="docshape861" o:spid="_x0000_s1100" type="#_x0000_t202" style="position:absolute;left:4016;top:973;width:65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24A711CD" w14:textId="77777777" w:rsidR="00EF7546" w:rsidRDefault="00EF7546" w:rsidP="00EF7546">
                          <w:pPr>
                            <w:spacing w:line="179" w:lineRule="exact"/>
                            <w:rPr>
                              <w:rFonts w:ascii="Arial"/>
                              <w:b/>
                              <w:i/>
                              <w:sz w:val="16"/>
                            </w:rPr>
                          </w:pPr>
                          <w:r>
                            <w:rPr>
                              <w:rFonts w:ascii="ＭＳ ゴシック" w:eastAsia="ＭＳ ゴシック" w:hAnsi="ＭＳ ゴシック" w:cs="ＭＳ ゴシック" w:hint="eastAsia"/>
                              <w:b/>
                              <w:i/>
                              <w:color w:val="FFFFFF"/>
                              <w:sz w:val="16"/>
                              <w:lang w:eastAsia="ja-JP"/>
                            </w:rPr>
                            <w:t>選択肢</w:t>
                          </w:r>
                          <w:r>
                            <w:rPr>
                              <w:rFonts w:ascii="Arial"/>
                              <w:b/>
                              <w:i/>
                              <w:color w:val="FFFFFF"/>
                              <w:spacing w:val="-11"/>
                              <w:sz w:val="16"/>
                            </w:rPr>
                            <w:t xml:space="preserve"> </w:t>
                          </w:r>
                          <w:r>
                            <w:rPr>
                              <w:rFonts w:ascii="Arial"/>
                              <w:b/>
                              <w:i/>
                              <w:color w:val="FFFFFF"/>
                              <w:sz w:val="16"/>
                            </w:rPr>
                            <w:t>1</w:t>
                          </w:r>
                        </w:p>
                      </w:txbxContent>
                    </v:textbox>
                  </v:shape>
                  <v:shape id="docshape862" o:spid="_x0000_s1101" type="#_x0000_t202" style="position:absolute;left:5750;top:962;width:737;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14:paraId="3862B246" w14:textId="77777777" w:rsidR="00EF7546" w:rsidRDefault="00EF7546" w:rsidP="00EF7546">
                          <w:pPr>
                            <w:spacing w:line="202" w:lineRule="exact"/>
                            <w:rPr>
                              <w:rFonts w:ascii="Arial"/>
                              <w:b/>
                              <w:i/>
                              <w:sz w:val="18"/>
                            </w:rPr>
                          </w:pPr>
                          <w:r>
                            <w:rPr>
                              <w:rFonts w:ascii="ＭＳ ゴシック" w:eastAsia="ＭＳ ゴシック" w:hAnsi="ＭＳ ゴシック" w:cs="ＭＳ ゴシック" w:hint="eastAsia"/>
                              <w:b/>
                              <w:i/>
                              <w:color w:val="FFFFFF"/>
                              <w:sz w:val="18"/>
                              <w:lang w:eastAsia="ja-JP"/>
                            </w:rPr>
                            <w:t>選択肢</w:t>
                          </w:r>
                          <w:r>
                            <w:rPr>
                              <w:rFonts w:ascii="Arial"/>
                              <w:b/>
                              <w:i/>
                              <w:color w:val="FFFFFF"/>
                              <w:spacing w:val="-12"/>
                              <w:sz w:val="18"/>
                            </w:rPr>
                            <w:t xml:space="preserve"> </w:t>
                          </w:r>
                          <w:r>
                            <w:rPr>
                              <w:rFonts w:ascii="Arial"/>
                              <w:b/>
                              <w:i/>
                              <w:color w:val="FFFFFF"/>
                              <w:sz w:val="18"/>
                            </w:rPr>
                            <w:t>2</w:t>
                          </w:r>
                        </w:p>
                      </w:txbxContent>
                    </v:textbox>
                  </v:shape>
                  <v:shape id="docshape863" o:spid="_x0000_s1102" type="#_x0000_t202" style="position:absolute;left:7525;top:962;width:737;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14:paraId="3D5E083D" w14:textId="77777777" w:rsidR="00EF7546" w:rsidRDefault="00EF7546" w:rsidP="00EF7546">
                          <w:pPr>
                            <w:spacing w:line="202" w:lineRule="exact"/>
                            <w:rPr>
                              <w:rFonts w:ascii="Arial"/>
                              <w:b/>
                              <w:i/>
                              <w:sz w:val="18"/>
                            </w:rPr>
                          </w:pPr>
                          <w:r>
                            <w:rPr>
                              <w:rFonts w:ascii="ＭＳ ゴシック" w:eastAsia="ＭＳ ゴシック" w:hAnsi="ＭＳ ゴシック" w:cs="ＭＳ ゴシック" w:hint="eastAsia"/>
                              <w:b/>
                              <w:i/>
                              <w:color w:val="FFFFFF"/>
                              <w:sz w:val="18"/>
                              <w:lang w:eastAsia="ja-JP"/>
                            </w:rPr>
                            <w:t>選択肢</w:t>
                          </w:r>
                          <w:r>
                            <w:rPr>
                              <w:rFonts w:ascii="Arial"/>
                              <w:b/>
                              <w:i/>
                              <w:color w:val="FFFFFF"/>
                              <w:spacing w:val="-12"/>
                              <w:sz w:val="18"/>
                            </w:rPr>
                            <w:t xml:space="preserve"> </w:t>
                          </w:r>
                          <w:r>
                            <w:rPr>
                              <w:rFonts w:ascii="Arial"/>
                              <w:b/>
                              <w:i/>
                              <w:color w:val="FFFFFF"/>
                              <w:sz w:val="18"/>
                            </w:rPr>
                            <w:t>3</w:t>
                          </w:r>
                        </w:p>
                      </w:txbxContent>
                    </v:textbox>
                  </v:shape>
                  <v:shape id="docshape864" o:spid="_x0000_s1103" type="#_x0000_t202" style="position:absolute;left:1366;top:1808;width:1807;height: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5B6ED9B6" w14:textId="77777777" w:rsidR="00EF7546" w:rsidRDefault="00EF7546" w:rsidP="00EF7546">
                          <w:pPr>
                            <w:spacing w:before="2" w:line="208" w:lineRule="auto"/>
                            <w:ind w:left="63" w:right="81"/>
                            <w:jc w:val="center"/>
                            <w:rPr>
                              <w:rFonts w:ascii="ＭＳ ゴシック" w:eastAsia="ＭＳ ゴシック" w:hAnsi="ＭＳ ゴシック" w:cs="ＭＳ ゴシック"/>
                              <w:b/>
                              <w:i/>
                              <w:color w:val="FFFFFF"/>
                              <w:spacing w:val="-2"/>
                              <w:w w:val="95"/>
                              <w:sz w:val="18"/>
                              <w:lang w:eastAsia="ja-JP"/>
                            </w:rPr>
                          </w:pPr>
                          <w:r>
                            <w:rPr>
                              <w:rFonts w:ascii="ＭＳ ゴシック" w:eastAsia="ＭＳ ゴシック" w:hAnsi="ＭＳ ゴシック" w:cs="ＭＳ ゴシック" w:hint="eastAsia"/>
                              <w:b/>
                              <w:i/>
                              <w:color w:val="FFFFFF"/>
                              <w:spacing w:val="-2"/>
                              <w:w w:val="95"/>
                              <w:sz w:val="18"/>
                              <w:lang w:eastAsia="ja-JP"/>
                            </w:rPr>
                            <w:t>直接排出データ</w:t>
                          </w:r>
                        </w:p>
                        <w:p w14:paraId="46A2F4E2" w14:textId="77777777" w:rsidR="00EF7546" w:rsidRPr="00ED0EAF" w:rsidRDefault="00EF7546" w:rsidP="00EF7546">
                          <w:pPr>
                            <w:spacing w:before="2" w:line="208" w:lineRule="auto"/>
                            <w:ind w:left="63" w:right="81"/>
                            <w:jc w:val="center"/>
                            <w:rPr>
                              <w:rFonts w:ascii="ＭＳ ゴシック" w:eastAsia="ＭＳ ゴシック" w:hAnsi="ＭＳ ゴシック" w:cs="ＭＳ ゴシック"/>
                              <w:b/>
                              <w:i/>
                              <w:color w:val="FFFFFF"/>
                              <w:spacing w:val="-2"/>
                              <w:w w:val="95"/>
                              <w:sz w:val="10"/>
                              <w:szCs w:val="16"/>
                              <w:lang w:eastAsia="ja-JP"/>
                            </w:rPr>
                          </w:pPr>
                        </w:p>
                        <w:p w14:paraId="74994CCD" w14:textId="77777777" w:rsidR="00EF7546" w:rsidRPr="00ED0EAF" w:rsidRDefault="00EF7546" w:rsidP="00EF7546">
                          <w:pPr>
                            <w:spacing w:before="2" w:line="208" w:lineRule="auto"/>
                            <w:ind w:left="63" w:right="81"/>
                            <w:jc w:val="center"/>
                            <w:rPr>
                              <w:rFonts w:ascii="Arial"/>
                              <w:b/>
                              <w:i/>
                              <w:sz w:val="18"/>
                              <w:lang w:eastAsia="ja-JP"/>
                            </w:rPr>
                          </w:pPr>
                          <w:r>
                            <w:rPr>
                              <w:rFonts w:ascii="ＭＳ ゴシック" w:eastAsia="ＭＳ ゴシック" w:hAnsi="ＭＳ ゴシック" w:cs="ＭＳ ゴシック" w:hint="eastAsia"/>
                              <w:b/>
                              <w:i/>
                              <w:color w:val="FFFFFF"/>
                              <w:spacing w:val="-2"/>
                              <w:w w:val="95"/>
                              <w:sz w:val="18"/>
                              <w:lang w:eastAsia="ja-JP"/>
                            </w:rPr>
                            <w:t>例：工程Aから排出されるCO</w:t>
                          </w:r>
                          <w:r w:rsidRPr="00ED0EAF">
                            <w:rPr>
                              <w:rFonts w:ascii="ＭＳ ゴシック" w:eastAsia="ＭＳ ゴシック" w:hAnsi="ＭＳ ゴシック" w:cs="ＭＳ ゴシック" w:hint="eastAsia"/>
                              <w:b/>
                              <w:i/>
                              <w:color w:val="FFFFFF"/>
                              <w:spacing w:val="-2"/>
                              <w:w w:val="95"/>
                              <w:sz w:val="18"/>
                              <w:vertAlign w:val="subscript"/>
                              <w:lang w:eastAsia="ja-JP"/>
                            </w:rPr>
                            <w:t>2</w:t>
                          </w:r>
                          <w:r>
                            <w:rPr>
                              <w:rFonts w:ascii="ＭＳ ゴシック" w:eastAsia="ＭＳ ゴシック" w:hAnsi="ＭＳ ゴシック" w:cs="ＭＳ ゴシック" w:hint="eastAsia"/>
                              <w:b/>
                              <w:i/>
                              <w:color w:val="FFFFFF"/>
                              <w:spacing w:val="-2"/>
                              <w:w w:val="95"/>
                              <w:sz w:val="18"/>
                              <w:lang w:eastAsia="ja-JP"/>
                            </w:rPr>
                            <w:t>10㎏（排出量の直接測定）</w:t>
                          </w:r>
                        </w:p>
                      </w:txbxContent>
                    </v:textbox>
                  </v:shape>
                  <v:shape id="docshape865" o:spid="_x0000_s1104" type="#_x0000_t202" style="position:absolute;left:5234;top:1734;width:1775;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14:paraId="38245859" w14:textId="77777777" w:rsidR="00EF7546" w:rsidRDefault="00EF7546" w:rsidP="00EF7546">
                          <w:pPr>
                            <w:spacing w:line="202" w:lineRule="exact"/>
                            <w:jc w:val="center"/>
                            <w:rPr>
                              <w:rFonts w:ascii="Arial"/>
                              <w:b/>
                              <w:i/>
                              <w:sz w:val="18"/>
                            </w:rPr>
                          </w:pPr>
                          <w:r>
                            <w:rPr>
                              <w:rFonts w:ascii="ＭＳ ゴシック" w:eastAsia="ＭＳ ゴシック" w:hAnsi="ＭＳ ゴシック" w:cs="ＭＳ ゴシック" w:hint="eastAsia"/>
                              <w:b/>
                              <w:i/>
                              <w:color w:val="FFFFFF"/>
                              <w:spacing w:val="-1"/>
                              <w:sz w:val="18"/>
                              <w:lang w:eastAsia="ja-JP"/>
                            </w:rPr>
                            <w:t>工程活動データ</w:t>
                          </w:r>
                        </w:p>
                      </w:txbxContent>
                    </v:textbox>
                  </v:shape>
                  <v:shape id="docshape866" o:spid="_x0000_s1105" type="#_x0000_t202" style="position:absolute;left:5147;top:2223;width:75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14:paraId="655E1C2E" w14:textId="77777777" w:rsidR="00EF7546" w:rsidRDefault="00EF7546" w:rsidP="00EF7546">
                          <w:pPr>
                            <w:spacing w:line="179" w:lineRule="exact"/>
                            <w:rPr>
                              <w:rFonts w:ascii="Arial"/>
                              <w:b/>
                              <w:i/>
                              <w:sz w:val="16"/>
                            </w:rPr>
                          </w:pPr>
                          <w:r>
                            <w:rPr>
                              <w:rFonts w:ascii="ＭＳ ゴシック" w:eastAsia="ＭＳ ゴシック" w:hAnsi="ＭＳ ゴシック" w:cs="ＭＳ ゴシック" w:hint="eastAsia"/>
                              <w:b/>
                              <w:i/>
                              <w:color w:val="4F84C4"/>
                              <w:w w:val="95"/>
                              <w:sz w:val="16"/>
                              <w:lang w:eastAsia="ja-JP"/>
                            </w:rPr>
                            <w:t>選択肢</w:t>
                          </w:r>
                          <w:r>
                            <w:rPr>
                              <w:rFonts w:ascii="Arial"/>
                              <w:b/>
                              <w:i/>
                              <w:color w:val="4F84C4"/>
                              <w:w w:val="95"/>
                              <w:sz w:val="16"/>
                            </w:rPr>
                            <w:t>2A</w:t>
                          </w:r>
                        </w:p>
                      </w:txbxContent>
                    </v:textbox>
                  </v:shape>
                  <v:shape id="docshape867" o:spid="_x0000_s1106" type="#_x0000_t202" style="position:absolute;left:6348;top:2223;width:763;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14:paraId="666C0659" w14:textId="77777777" w:rsidR="00EF7546" w:rsidRDefault="00EF7546" w:rsidP="00EF7546">
                          <w:pPr>
                            <w:spacing w:line="179" w:lineRule="exact"/>
                            <w:rPr>
                              <w:rFonts w:ascii="Arial"/>
                              <w:b/>
                              <w:i/>
                              <w:sz w:val="16"/>
                            </w:rPr>
                          </w:pPr>
                          <w:r>
                            <w:rPr>
                              <w:rFonts w:ascii="ＭＳ ゴシック" w:eastAsia="ＭＳ ゴシック" w:hAnsi="ＭＳ ゴシック" w:cs="ＭＳ ゴシック" w:hint="eastAsia"/>
                              <w:b/>
                              <w:i/>
                              <w:color w:val="4F84C4"/>
                              <w:w w:val="95"/>
                              <w:sz w:val="16"/>
                              <w:lang w:eastAsia="ja-JP"/>
                            </w:rPr>
                            <w:t>選択肢</w:t>
                          </w:r>
                          <w:r>
                            <w:rPr>
                              <w:rFonts w:ascii="Arial"/>
                              <w:b/>
                              <w:i/>
                              <w:color w:val="4F84C4"/>
                              <w:w w:val="95"/>
                              <w:sz w:val="16"/>
                            </w:rPr>
                            <w:t>2B</w:t>
                          </w:r>
                        </w:p>
                      </w:txbxContent>
                    </v:textbox>
                  </v:shape>
                  <v:shape id="docshape868" o:spid="_x0000_s1107" type="#_x0000_t202" style="position:absolute;left:9030;top:1974;width:1898;height: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14:paraId="593C64EA" w14:textId="77777777" w:rsidR="00EF7546" w:rsidRDefault="00EF7546" w:rsidP="00EF7546">
                          <w:pPr>
                            <w:spacing w:before="21" w:line="208" w:lineRule="auto"/>
                            <w:ind w:right="18"/>
                            <w:jc w:val="center"/>
                            <w:rPr>
                              <w:rFonts w:ascii="ＭＳ ゴシック" w:eastAsia="ＭＳ ゴシック" w:hAnsi="ＭＳ ゴシック" w:cs="ＭＳ ゴシック"/>
                              <w:b/>
                              <w:i/>
                              <w:color w:val="FFFFFF"/>
                              <w:w w:val="95"/>
                              <w:sz w:val="18"/>
                              <w:lang w:eastAsia="ja-JP"/>
                            </w:rPr>
                          </w:pPr>
                          <w:r>
                            <w:rPr>
                              <w:rFonts w:ascii="ＭＳ ゴシック" w:eastAsia="ＭＳ ゴシック" w:hAnsi="ＭＳ ゴシック" w:cs="ＭＳ ゴシック" w:hint="eastAsia"/>
                              <w:b/>
                              <w:i/>
                              <w:color w:val="FFFFFF"/>
                              <w:w w:val="95"/>
                              <w:sz w:val="18"/>
                              <w:lang w:eastAsia="ja-JP"/>
                            </w:rPr>
                            <w:t>財務活動データ</w:t>
                          </w:r>
                        </w:p>
                        <w:p w14:paraId="7CF84403" w14:textId="77777777" w:rsidR="00EF7546" w:rsidRPr="00A8480B" w:rsidRDefault="00EF7546" w:rsidP="00EF7546">
                          <w:pPr>
                            <w:spacing w:before="21" w:line="208" w:lineRule="auto"/>
                            <w:ind w:right="18"/>
                            <w:jc w:val="center"/>
                            <w:rPr>
                              <w:rFonts w:ascii="ＭＳ ゴシック" w:eastAsia="ＭＳ ゴシック" w:hAnsi="ＭＳ ゴシック" w:cs="ＭＳ ゴシック"/>
                              <w:b/>
                              <w:i/>
                              <w:color w:val="FFFFFF"/>
                              <w:w w:val="95"/>
                              <w:sz w:val="10"/>
                              <w:szCs w:val="16"/>
                              <w:lang w:eastAsia="ja-JP"/>
                            </w:rPr>
                          </w:pPr>
                        </w:p>
                        <w:p w14:paraId="5B563394" w14:textId="77777777" w:rsidR="00EF7546" w:rsidRDefault="00EF7546" w:rsidP="00EF7546">
                          <w:pPr>
                            <w:spacing w:before="21" w:line="208" w:lineRule="auto"/>
                            <w:ind w:right="18"/>
                            <w:jc w:val="center"/>
                            <w:rPr>
                              <w:rFonts w:ascii="Arial"/>
                              <w:b/>
                              <w:i/>
                              <w:sz w:val="18"/>
                              <w:lang w:eastAsia="ja-JP"/>
                            </w:rPr>
                          </w:pPr>
                          <w:r>
                            <w:rPr>
                              <w:rFonts w:ascii="ＭＳ ゴシック" w:eastAsia="ＭＳ ゴシック" w:hAnsi="ＭＳ ゴシック" w:cs="ＭＳ ゴシック" w:hint="eastAsia"/>
                              <w:b/>
                              <w:i/>
                              <w:color w:val="FFFFFF"/>
                              <w:w w:val="95"/>
                              <w:sz w:val="18"/>
                              <w:lang w:eastAsia="ja-JP"/>
                            </w:rPr>
                            <w:t>例：軽油購入額2千円</w:t>
                          </w:r>
                        </w:p>
                      </w:txbxContent>
                    </v:textbox>
                  </v:shape>
                  <v:shape id="docshape869" o:spid="_x0000_s1108" type="#_x0000_t202" style="position:absolute;left:4209;top:3107;width:1361;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" filled="f" stroked="f">
                    <v:textbox inset="0,0,0,0">
                      <w:txbxContent>
                        <w:p w14:paraId="593BBF50" w14:textId="77777777" w:rsidR="00EF7546" w:rsidRPr="00F149EF" w:rsidRDefault="00EF7546" w:rsidP="00EF7546">
                          <w:pPr>
                            <w:spacing w:line="206" w:lineRule="exact"/>
                            <w:ind w:right="84"/>
                            <w:jc w:val="center"/>
                            <w:rPr>
                              <w:rFonts w:ascii="Arial"/>
                              <w:b/>
                              <w:i/>
                              <w:sz w:val="16"/>
                              <w:szCs w:val="21"/>
                              <w:lang w:eastAsia="ja-JP"/>
                            </w:rPr>
                          </w:pPr>
                          <w:r w:rsidRPr="00F149EF">
                            <w:rPr>
                              <w:rFonts w:ascii="ＭＳ ゴシック" w:eastAsia="ＭＳ ゴシック" w:hAnsi="ＭＳ ゴシック" w:cs="ＭＳ ゴシック" w:hint="eastAsia"/>
                              <w:b/>
                              <w:i/>
                              <w:color w:val="4F84C4"/>
                              <w:sz w:val="16"/>
                              <w:szCs w:val="21"/>
                              <w:lang w:eastAsia="ja-JP"/>
                            </w:rPr>
                            <w:t>一次</w:t>
                          </w:r>
                          <w:r>
                            <w:rPr>
                              <w:rFonts w:ascii="ＭＳ ゴシック" w:eastAsia="ＭＳ ゴシック" w:hAnsi="ＭＳ ゴシック" w:cs="ＭＳ ゴシック" w:hint="eastAsia"/>
                              <w:b/>
                              <w:i/>
                              <w:color w:val="4F84C4"/>
                              <w:sz w:val="16"/>
                              <w:szCs w:val="21"/>
                              <w:lang w:eastAsia="ja-JP"/>
                            </w:rPr>
                            <w:t>データ</w:t>
                          </w:r>
                        </w:p>
                        <w:p w14:paraId="1505A4C9" w14:textId="6427381A" w:rsidR="00EF7546" w:rsidRDefault="00EF7546" w:rsidP="00EF7546">
                          <w:pPr>
                            <w:rPr>
                              <w:lang w:eastAsia="ja-JP"/>
                            </w:rPr>
                          </w:pPr>
                          <w:r>
                            <w:rPr>
                              <w:rFonts w:ascii="ＭＳ ゴシック" w:eastAsia="ＭＳ ゴシック" w:hAnsi="ＭＳ ゴシック" w:cs="ＭＳ ゴシック" w:hint="eastAsia"/>
                              <w:b/>
                              <w:i/>
                              <w:color w:val="4F84C4"/>
                              <w:w w:val="90"/>
                              <w:sz w:val="14"/>
                              <w:lang w:eastAsia="ja-JP"/>
                            </w:rPr>
                            <w:t>例：工程Aで使用するディーゼル燃料５</w:t>
                          </w:r>
                          <w:r>
                            <w:rPr>
                              <w:rFonts w:ascii="ＭＳ ゴシック" w:eastAsia="ＭＳ ゴシック" w:hAnsi="ＭＳ ゴシック" w:cs="ＭＳ ゴシック"/>
                              <w:b/>
                              <w:i/>
                              <w:color w:val="4F84C4"/>
                              <w:w w:val="90"/>
                              <w:sz w:val="14"/>
                              <w:lang w:eastAsia="ja-JP"/>
                            </w:rPr>
                            <w:t>L</w:t>
                          </w:r>
                        </w:p>
                      </w:txbxContent>
                    </v:textbox>
                  </v:shape>
                  <v:shape id="docshape870" o:spid="_x0000_s1109" type="#_x0000_t202" style="position:absolute;left:6498;top:3107;width:1700;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" filled="f" stroked="f">
                    <v:textbox inset="0,0,0,0">
                      <w:txbxContent>
                        <w:p w14:paraId="0EE2DC42" w14:textId="77777777" w:rsidR="00EF7546" w:rsidRPr="00FC2199" w:rsidRDefault="00EF7546" w:rsidP="00EF7546">
                          <w:pPr>
                            <w:spacing w:line="206" w:lineRule="exact"/>
                            <w:ind w:left="353" w:right="385"/>
                            <w:jc w:val="center"/>
                            <w:rPr>
                              <w:rFonts w:ascii="Arial"/>
                              <w:b/>
                              <w:i/>
                              <w:sz w:val="16"/>
                              <w:szCs w:val="21"/>
                              <w:lang w:eastAsia="ja-JP"/>
                            </w:rPr>
                          </w:pPr>
                          <w:r w:rsidRPr="00FC2199">
                            <w:rPr>
                              <w:rFonts w:ascii="ＭＳ ゴシック" w:eastAsia="ＭＳ ゴシック" w:hAnsi="ＭＳ ゴシック" w:cs="ＭＳ ゴシック" w:hint="eastAsia"/>
                              <w:b/>
                              <w:i/>
                              <w:color w:val="4F84C4"/>
                              <w:sz w:val="16"/>
                              <w:szCs w:val="21"/>
                              <w:lang w:eastAsia="ja-JP"/>
                            </w:rPr>
                            <w:t>二次データ</w:t>
                          </w:r>
                        </w:p>
                        <w:p w14:paraId="302893DD" w14:textId="77777777" w:rsidR="00EF7546" w:rsidRPr="00FC2199" w:rsidRDefault="00EF7546" w:rsidP="00EF7546">
                          <w:pPr>
                            <w:spacing w:before="6" w:line="268" w:lineRule="auto"/>
                            <w:ind w:right="18" w:firstLine="5"/>
                            <w:jc w:val="center"/>
                            <w:rPr>
                              <w:rFonts w:ascii="ＭＳ ゴシック" w:eastAsia="ＭＳ ゴシック" w:hAnsi="ＭＳ ゴシック" w:cs="ＭＳ ゴシック"/>
                              <w:b/>
                              <w:i/>
                              <w:sz w:val="14"/>
                              <w:lang w:eastAsia="ja-JP"/>
                            </w:rPr>
                          </w:pPr>
                          <w:r>
                            <w:rPr>
                              <w:rFonts w:ascii="ＭＳ ゴシック" w:eastAsia="ＭＳ ゴシック" w:hAnsi="ＭＳ ゴシック" w:cs="ＭＳ ゴシック" w:hint="eastAsia"/>
                              <w:b/>
                              <w:i/>
                              <w:color w:val="4F84C4"/>
                              <w:w w:val="95"/>
                              <w:sz w:val="14"/>
                              <w:lang w:eastAsia="ja-JP"/>
                            </w:rPr>
                            <w:t>例：工程Aの業界平均のディーゼル燃料使用量８L</w:t>
                          </w:r>
                        </w:p>
                        <w:p w14:paraId="1FBD4E7E" w14:textId="77777777" w:rsidR="00EF7546" w:rsidRDefault="00EF7546" w:rsidP="00EF7546">
                          <w:pPr>
                            <w:rPr>
                              <w:lang w:eastAsia="ja-JP"/>
                            </w:rPr>
                          </w:pPr>
                        </w:p>
                        <w:p w14:paraId="148F7BB4" w14:textId="77777777" w:rsidR="00EF7546" w:rsidRDefault="00EF7546" w:rsidP="00EF7546">
                          <w:pPr>
                            <w:rPr>
                              <w:lang w:eastAsia="ja-JP"/>
                            </w:rPr>
                          </w:pPr>
                        </w:p>
                      </w:txbxContent>
                    </v:textbox>
                  </v:shape>
                  <v:shape id="docshape871" o:spid="_x0000_s1110" type="#_x0000_t202" style="position:absolute;left:9425;top:3667;width:1068;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zlwwAAANwAAAAPAAAAZHJzL2Rvd25yZXYueG1sRE9Na8JA&#10;EL0X/A/LCL3VjS1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yQq85cMAAADcAAAADwAA&#10;AAAAAAAAAAAAAAAHAgAAZHJzL2Rvd25yZXYueG1sUEsFBgAAAAADAAMAtwAAAPcCAAAAAA==&#10;" filled="f" stroked="f">
                    <v:textbox inset="0,0,0,0">
                      <w:txbxContent>
                        <w:p w14:paraId="5F896335" w14:textId="77777777" w:rsidR="00EF7546" w:rsidRDefault="00EF7546" w:rsidP="00EF7546">
                          <w:pPr>
                            <w:spacing w:before="18" w:line="208" w:lineRule="auto"/>
                            <w:ind w:left="291" w:hanging="292"/>
                            <w:jc w:val="center"/>
                            <w:rPr>
                              <w:rFonts w:ascii="Arial"/>
                              <w:b/>
                              <w:i/>
                              <w:sz w:val="16"/>
                            </w:rPr>
                          </w:pPr>
                          <w:r>
                            <w:rPr>
                              <w:rFonts w:ascii="Arial"/>
                              <w:b/>
                              <w:i/>
                              <w:color w:val="FFFFFF"/>
                              <w:w w:val="90"/>
                              <w:sz w:val="16"/>
                            </w:rPr>
                            <w:t>EEIO</w:t>
                          </w:r>
                          <w:r>
                            <w:rPr>
                              <w:rFonts w:ascii="ＭＳ ゴシック" w:eastAsia="ＭＳ ゴシック" w:hAnsi="ＭＳ ゴシック" w:cs="ＭＳ ゴシック" w:hint="eastAsia"/>
                              <w:b/>
                              <w:i/>
                              <w:color w:val="FFFFFF"/>
                              <w:spacing w:val="1"/>
                              <w:w w:val="90"/>
                              <w:sz w:val="16"/>
                              <w:lang w:eastAsia="ja-JP"/>
                            </w:rPr>
                            <w:t>排出係数</w:t>
                          </w:r>
                        </w:p>
                      </w:txbxContent>
                    </v:textbox>
                  </v:shape>
                  <v:shape id="docshape872" o:spid="_x0000_s1111" type="#_x0000_t202" style="position:absolute;left:4860;top:4704;width:2519;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14:paraId="34AFD8A6" w14:textId="77777777" w:rsidR="00EF7546" w:rsidRPr="00FC2199" w:rsidRDefault="00EF7546" w:rsidP="00EF7546">
                          <w:pPr>
                            <w:spacing w:line="202" w:lineRule="exact"/>
                            <w:rPr>
                              <w:rFonts w:ascii="ＭＳ ゴシック" w:eastAsia="ＭＳ ゴシック" w:hAnsi="ＭＳ ゴシック" w:cs="ＭＳ ゴシック"/>
                              <w:b/>
                              <w:i/>
                              <w:sz w:val="18"/>
                              <w:lang w:eastAsia="ja-JP"/>
                            </w:rPr>
                          </w:pPr>
                          <w:r>
                            <w:rPr>
                              <w:rFonts w:ascii="Arial"/>
                              <w:b/>
                              <w:i/>
                              <w:color w:val="FFFFFF"/>
                              <w:w w:val="95"/>
                              <w:sz w:val="18"/>
                              <w:lang w:eastAsia="ja-JP"/>
                            </w:rPr>
                            <w:t>LCA</w:t>
                          </w:r>
                          <w:r>
                            <w:rPr>
                              <w:rFonts w:ascii="Arial"/>
                              <w:b/>
                              <w:i/>
                              <w:color w:val="FFFFFF"/>
                              <w:spacing w:val="11"/>
                              <w:w w:val="95"/>
                              <w:sz w:val="18"/>
                              <w:lang w:eastAsia="ja-JP"/>
                            </w:rPr>
                            <w:t xml:space="preserve"> </w:t>
                          </w:r>
                          <w:r>
                            <w:rPr>
                              <w:rFonts w:ascii="ＭＳ ゴシック" w:eastAsia="ＭＳ ゴシック" w:hAnsi="ＭＳ ゴシック" w:cs="ＭＳ ゴシック" w:hint="eastAsia"/>
                              <w:b/>
                              <w:i/>
                              <w:color w:val="FFFFFF"/>
                              <w:w w:val="95"/>
                              <w:sz w:val="18"/>
                              <w:lang w:eastAsia="ja-JP"/>
                            </w:rPr>
                            <w:t>データベース排出係数</w:t>
                          </w:r>
                        </w:p>
                      </w:txbxContent>
                    </v:textbox>
                  </v:shape>
                </v:group>
                <v:group id="グループ化 175" o:spid="_x0000_s1112" style="position:absolute;top:36131;width:63328;height:2508" coordorigin="1133,5986" coordsize="9973,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shape id="docshape874" o:spid="_x0000_s1113" style="position:absolute;left:1133;top:5986;width:9973;height:383;visibility:visible;mso-wrap-style:square;v-text-anchor:top" coordsize="997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" path="m9812,l160,,67,2,20,20,2,67,,160r,62l2,315r18,47l67,380r93,2l9812,382r93,-2l9952,362r18,-47l9972,222r,-62l9970,67,9952,20,9905,2,9812,xe" fillcolor="#00aca1" stroked="f">
                    <v:path arrowok="t" o:connecttype="custom" o:connectlocs="9812,5987;160,5987;67,5989;20,6007;2,6054;0,6147;0,6209;2,6302;20,6349;67,6367;160,6369;9812,6369;9905,6367;9952,6349;9970,6302;9972,6209;9972,6147;9970,6054;9952,6007;9905,5989;9812,5987" o:connectangles="0,0,0,0,0,0,0,0,0,0,0,0,0,0,0,0,0,0,0,0,0"/>
                  </v:shape>
                  <v:shape id="docshape875" o:spid="_x0000_s1114" type="#_x0000_t202" style="position:absolute;left:1133;top:6006;width:9973;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4656DE71" w14:textId="77777777" w:rsidR="003058A4" w:rsidRDefault="003058A4" w:rsidP="003058A4">
                          <w:pPr>
                            <w:spacing w:before="72"/>
                            <w:ind w:left="3988" w:right="3998"/>
                            <w:jc w:val="center"/>
                            <w:rPr>
                              <w:rFonts w:ascii="Arial"/>
                              <w:b/>
                              <w:i/>
                              <w:sz w:val="18"/>
                            </w:rPr>
                          </w:pPr>
                          <w:r>
                            <w:rPr>
                              <w:rFonts w:ascii="ＭＳ ゴシック" w:eastAsia="ＭＳ ゴシック" w:hAnsi="ＭＳ ゴシック" w:cs="ＭＳ ゴシック" w:hint="eastAsia"/>
                              <w:b/>
                              <w:i/>
                              <w:color w:val="FFFFFF"/>
                              <w:w w:val="95"/>
                              <w:sz w:val="18"/>
                              <w:lang w:eastAsia="ja-JP"/>
                            </w:rPr>
                            <w:t>工程</w:t>
                          </w:r>
                          <w:r>
                            <w:rPr>
                              <w:rFonts w:ascii="Arial"/>
                              <w:b/>
                              <w:i/>
                              <w:color w:val="FFFFFF"/>
                              <w:w w:val="95"/>
                              <w:sz w:val="18"/>
                            </w:rPr>
                            <w:t>A</w:t>
                          </w:r>
                          <w:r>
                            <w:rPr>
                              <w:rFonts w:ascii="ＭＳ ゴシック" w:eastAsia="ＭＳ ゴシック" w:hAnsi="ＭＳ ゴシック" w:cs="ＭＳ ゴシック" w:hint="eastAsia"/>
                              <w:b/>
                              <w:i/>
                              <w:color w:val="FFFFFF"/>
                              <w:w w:val="95"/>
                              <w:sz w:val="18"/>
                              <w:lang w:eastAsia="ja-JP"/>
                            </w:rPr>
                            <w:t>のGHGデータ</w:t>
                          </w:r>
                        </w:p>
                      </w:txbxContent>
                    </v:textbox>
                  </v:shape>
                </v:group>
                <w10:wrap type="topAndBottom"/>
              </v:group>
            </w:pict>
          </mc:Fallback>
        </mc:AlternateContent>
      </w:r>
      <w:r w:rsidR="00F23C61">
        <w:rPr>
          <w:color w:val="00ACA1"/>
          <w:w w:val="95"/>
          <w:lang w:eastAsia="ja-JP"/>
        </w:rPr>
        <w:t>Figure</w:t>
      </w:r>
      <w:r w:rsidR="00F23C61">
        <w:rPr>
          <w:color w:val="00ACA1"/>
          <w:spacing w:val="8"/>
          <w:w w:val="95"/>
          <w:lang w:eastAsia="ja-JP"/>
        </w:rPr>
        <w:t xml:space="preserve"> </w:t>
      </w:r>
      <w:r w:rsidR="00F23C61">
        <w:rPr>
          <w:color w:val="00ACA1"/>
          <w:w w:val="95"/>
          <w:lang w:eastAsia="ja-JP"/>
        </w:rPr>
        <w:t>[8.1]</w:t>
      </w:r>
      <w:r w:rsidR="00F23C61">
        <w:rPr>
          <w:color w:val="00ACA1"/>
          <w:spacing w:val="8"/>
          <w:w w:val="95"/>
          <w:lang w:eastAsia="ja-JP"/>
        </w:rPr>
        <w:t xml:space="preserve"> </w:t>
      </w:r>
      <w:r w:rsidR="00EF7546">
        <w:rPr>
          <w:rFonts w:ascii="ＭＳ 明朝" w:eastAsia="ＭＳ 明朝" w:hAnsi="ＭＳ 明朝" w:cs="ＭＳ 明朝" w:hint="eastAsia"/>
          <w:color w:val="545456"/>
          <w:spacing w:val="8"/>
          <w:w w:val="95"/>
          <w:lang w:eastAsia="ja-JP"/>
        </w:rPr>
        <w:t>工程</w:t>
      </w:r>
      <w:r w:rsidR="00EF7546">
        <w:rPr>
          <w:color w:val="545456"/>
          <w:w w:val="95"/>
          <w:lang w:eastAsia="ja-JP"/>
        </w:rPr>
        <w:t>A</w:t>
      </w:r>
      <w:r w:rsidR="00EF7546">
        <w:rPr>
          <w:rFonts w:ascii="ＭＳ 明朝" w:eastAsia="ＭＳ 明朝" w:hAnsi="ＭＳ 明朝" w:cs="ＭＳ 明朝" w:hint="eastAsia"/>
          <w:color w:val="545456"/>
          <w:w w:val="95"/>
          <w:lang w:eastAsia="ja-JP"/>
        </w:rPr>
        <w:t>のGHG排出量算出に利用できるオプション</w:t>
      </w:r>
    </w:p>
    <w:p w14:paraId="7338FE20" w14:textId="218689B7" w:rsidR="00EF7546" w:rsidRDefault="00EF7546" w:rsidP="00EF7546">
      <w:pPr>
        <w:tabs>
          <w:tab w:val="left" w:pos="6910"/>
        </w:tabs>
        <w:rPr>
          <w:rFonts w:ascii="Arial" w:eastAsiaTheme="minorEastAsia"/>
          <w:b/>
          <w:sz w:val="14"/>
          <w:szCs w:val="19"/>
          <w:lang w:eastAsia="ja-JP"/>
        </w:rPr>
      </w:pPr>
      <w:r>
        <w:rPr>
          <w:rFonts w:ascii="Arial" w:eastAsiaTheme="minorEastAsia"/>
          <w:b/>
          <w:sz w:val="14"/>
          <w:szCs w:val="19"/>
          <w:lang w:eastAsia="ja-JP"/>
        </w:rPr>
        <w:tab/>
      </w:r>
    </w:p>
    <w:p w14:paraId="1C4183F3" w14:textId="6C7A0E61" w:rsidR="00EF7546" w:rsidRPr="00EF7546" w:rsidRDefault="00EF7546" w:rsidP="00EF7546">
      <w:pPr>
        <w:tabs>
          <w:tab w:val="left" w:pos="6910"/>
        </w:tabs>
        <w:rPr>
          <w:lang w:eastAsia="ja-JP"/>
        </w:rPr>
        <w:sectPr w:rsidR="00EF7546" w:rsidRPr="00EF7546">
          <w:type w:val="continuous"/>
          <w:pgSz w:w="12240" w:h="15840"/>
          <w:pgMar w:top="740" w:right="0" w:bottom="280" w:left="0" w:header="0" w:footer="859" w:gutter="0"/>
          <w:cols w:space="720"/>
        </w:sectPr>
      </w:pPr>
      <w:r>
        <w:rPr>
          <w:lang w:eastAsia="ja-JP"/>
        </w:rPr>
        <w:tab/>
      </w:r>
    </w:p>
    <w:p w14:paraId="186FD07B" w14:textId="77777777" w:rsidR="0055291C" w:rsidRDefault="0055291C">
      <w:pPr>
        <w:pStyle w:val="a3"/>
        <w:rPr>
          <w:rFonts w:ascii="Arial"/>
          <w:b/>
          <w:sz w:val="20"/>
          <w:lang w:eastAsia="ja-JP"/>
        </w:rPr>
      </w:pPr>
    </w:p>
    <w:p w14:paraId="149DB1F0" w14:textId="77777777" w:rsidR="0055291C" w:rsidRDefault="0055291C">
      <w:pPr>
        <w:pStyle w:val="a3"/>
        <w:rPr>
          <w:rFonts w:ascii="Arial"/>
          <w:b/>
          <w:sz w:val="20"/>
          <w:lang w:eastAsia="ja-JP"/>
        </w:rPr>
      </w:pPr>
    </w:p>
    <w:p w14:paraId="00C000F5" w14:textId="77777777" w:rsidR="0055291C" w:rsidRDefault="0055291C">
      <w:pPr>
        <w:pStyle w:val="a3"/>
        <w:rPr>
          <w:rFonts w:ascii="Arial"/>
          <w:b/>
          <w:sz w:val="20"/>
          <w:lang w:eastAsia="ja-JP"/>
        </w:rPr>
      </w:pPr>
    </w:p>
    <w:p w14:paraId="60F17664" w14:textId="77777777" w:rsidR="0055291C" w:rsidRDefault="0055291C">
      <w:pPr>
        <w:pStyle w:val="a3"/>
        <w:spacing w:before="1"/>
        <w:rPr>
          <w:rFonts w:ascii="Arial"/>
          <w:b/>
          <w:sz w:val="23"/>
          <w:lang w:eastAsia="ja-JP"/>
        </w:rPr>
      </w:pPr>
    </w:p>
    <w:p w14:paraId="2A57CDCC" w14:textId="77777777" w:rsidR="0055291C" w:rsidRDefault="00000000">
      <w:pPr>
        <w:ind w:left="6108"/>
        <w:rPr>
          <w:rFonts w:ascii="Arial"/>
          <w:i/>
          <w:sz w:val="19"/>
        </w:rPr>
      </w:pPr>
      <w:r>
        <w:pict w14:anchorId="0DFDBB88">
          <v:shape id="docshape876" o:spid="_x0000_s2945" style="position:absolute;left:0;text-align:left;margin-left:580.75pt;margin-top:-47.8pt;width:31.3pt;height:285.85pt;z-index:251597312;mso-position-horizontal-relative:page" coordorigin="11615,-956" coordsize="626,5717" path="m12240,-956r-625,l11615,4534r3,131l11643,4732r67,25l11842,4760r398,l12240,-956xe" fillcolor="#00aca1" stroked="f">
            <v:path arrowok="t"/>
            <w10:wrap anchorx="page"/>
          </v:shape>
        </w:pict>
      </w:r>
      <w:r w:rsidR="00F23C61">
        <w:rPr>
          <w:rFonts w:ascii="Arial"/>
          <w:b/>
          <w:i/>
          <w:color w:val="7F3F98"/>
          <w:sz w:val="19"/>
        </w:rPr>
        <w:t>CHAPTER</w:t>
      </w:r>
      <w:r w:rsidR="00F23C61">
        <w:rPr>
          <w:rFonts w:ascii="Arial"/>
          <w:b/>
          <w:i/>
          <w:color w:val="7F3F98"/>
          <w:spacing w:val="9"/>
          <w:sz w:val="19"/>
        </w:rPr>
        <w:t xml:space="preserve"> </w:t>
      </w:r>
      <w:r w:rsidR="00F23C61">
        <w:rPr>
          <w:rFonts w:ascii="Arial"/>
          <w:b/>
          <w:i/>
          <w:color w:val="7F3F98"/>
          <w:sz w:val="19"/>
        </w:rPr>
        <w:t>08</w:t>
      </w:r>
      <w:r w:rsidR="00F23C61">
        <w:rPr>
          <w:rFonts w:ascii="Arial"/>
          <w:b/>
          <w:i/>
          <w:color w:val="7F3F98"/>
          <w:spacing w:val="10"/>
          <w:sz w:val="19"/>
        </w:rPr>
        <w:t xml:space="preserve"> </w:t>
      </w:r>
      <w:r w:rsidR="00F23C61">
        <w:rPr>
          <w:rFonts w:ascii="Arial"/>
          <w:i/>
          <w:color w:val="545456"/>
          <w:sz w:val="19"/>
        </w:rPr>
        <w:t>Collecting</w:t>
      </w:r>
      <w:r w:rsidR="00F23C61">
        <w:rPr>
          <w:rFonts w:ascii="Arial"/>
          <w:i/>
          <w:color w:val="545456"/>
          <w:spacing w:val="8"/>
          <w:sz w:val="19"/>
        </w:rPr>
        <w:t xml:space="preserve"> </w:t>
      </w:r>
      <w:r w:rsidR="00F23C61">
        <w:rPr>
          <w:rFonts w:ascii="Arial"/>
          <w:i/>
          <w:color w:val="545456"/>
          <w:sz w:val="19"/>
        </w:rPr>
        <w:t>Data</w:t>
      </w:r>
      <w:r w:rsidR="00F23C61">
        <w:rPr>
          <w:rFonts w:ascii="Arial"/>
          <w:i/>
          <w:color w:val="545456"/>
          <w:spacing w:val="7"/>
          <w:sz w:val="19"/>
        </w:rPr>
        <w:t xml:space="preserve"> </w:t>
      </w:r>
      <w:r w:rsidR="00F23C61">
        <w:rPr>
          <w:rFonts w:ascii="Arial"/>
          <w:i/>
          <w:color w:val="545456"/>
          <w:sz w:val="19"/>
        </w:rPr>
        <w:t>and</w:t>
      </w:r>
      <w:r w:rsidR="00F23C61">
        <w:rPr>
          <w:rFonts w:ascii="Arial"/>
          <w:i/>
          <w:color w:val="545456"/>
          <w:spacing w:val="8"/>
          <w:sz w:val="19"/>
        </w:rPr>
        <w:t xml:space="preserve"> </w:t>
      </w:r>
      <w:r w:rsidR="00F23C61">
        <w:rPr>
          <w:rFonts w:ascii="Arial"/>
          <w:i/>
          <w:color w:val="545456"/>
          <w:sz w:val="19"/>
        </w:rPr>
        <w:t>Assessing</w:t>
      </w:r>
      <w:r w:rsidR="00F23C61">
        <w:rPr>
          <w:rFonts w:ascii="Arial"/>
          <w:i/>
          <w:color w:val="545456"/>
          <w:spacing w:val="7"/>
          <w:sz w:val="19"/>
        </w:rPr>
        <w:t xml:space="preserve"> </w:t>
      </w:r>
      <w:r w:rsidR="00F23C61">
        <w:rPr>
          <w:rFonts w:ascii="Arial"/>
          <w:i/>
          <w:color w:val="545456"/>
          <w:sz w:val="19"/>
        </w:rPr>
        <w:t>Data</w:t>
      </w:r>
      <w:r w:rsidR="00F23C61">
        <w:rPr>
          <w:rFonts w:ascii="Arial"/>
          <w:i/>
          <w:color w:val="545456"/>
          <w:spacing w:val="8"/>
          <w:sz w:val="19"/>
        </w:rPr>
        <w:t xml:space="preserve"> </w:t>
      </w:r>
      <w:r w:rsidR="00F23C61">
        <w:rPr>
          <w:rFonts w:ascii="Arial"/>
          <w:i/>
          <w:color w:val="545456"/>
          <w:sz w:val="19"/>
        </w:rPr>
        <w:t>Quality</w:t>
      </w:r>
    </w:p>
    <w:p w14:paraId="057EC688" w14:textId="77777777" w:rsidR="0055291C" w:rsidRDefault="0055291C">
      <w:pPr>
        <w:pStyle w:val="a3"/>
        <w:rPr>
          <w:rFonts w:ascii="Arial"/>
          <w:i/>
          <w:sz w:val="20"/>
        </w:rPr>
      </w:pPr>
    </w:p>
    <w:p w14:paraId="6B930474" w14:textId="77777777" w:rsidR="0055291C" w:rsidRDefault="0055291C">
      <w:pPr>
        <w:pStyle w:val="a3"/>
        <w:spacing w:before="5"/>
        <w:rPr>
          <w:rFonts w:ascii="Arial"/>
          <w:i/>
          <w:sz w:val="25"/>
        </w:rPr>
      </w:pPr>
    </w:p>
    <w:p w14:paraId="021EC710" w14:textId="77777777" w:rsidR="0055291C" w:rsidRDefault="0055291C">
      <w:pPr>
        <w:rPr>
          <w:rFonts w:ascii="Arial"/>
          <w:sz w:val="25"/>
        </w:rPr>
        <w:sectPr w:rsidR="0055291C">
          <w:headerReference w:type="default" r:id="rId194"/>
          <w:pgSz w:w="12240" w:h="15840"/>
          <w:pgMar w:top="0" w:right="0" w:bottom="1040" w:left="0" w:header="0" w:footer="859" w:gutter="0"/>
          <w:cols w:space="720"/>
        </w:sectPr>
      </w:pPr>
    </w:p>
    <w:p w14:paraId="48768102" w14:textId="77777777" w:rsidR="003058A4" w:rsidRDefault="003058A4" w:rsidP="003058A4">
      <w:pPr>
        <w:spacing w:before="108"/>
        <w:ind w:left="1133"/>
        <w:rPr>
          <w:rFonts w:ascii="Arial"/>
          <w:b/>
          <w:i/>
          <w:sz w:val="18"/>
          <w:lang w:eastAsia="ja-JP"/>
        </w:rPr>
      </w:pPr>
      <w:r>
        <w:rPr>
          <w:rFonts w:ascii="ＭＳ ゴシック" w:eastAsia="ＭＳ ゴシック" w:hAnsi="ＭＳ ゴシック" w:cs="ＭＳ ゴシック" w:hint="eastAsia"/>
          <w:b/>
          <w:i/>
          <w:color w:val="7F3F98"/>
          <w:sz w:val="18"/>
          <w:lang w:eastAsia="ja-JP"/>
        </w:rPr>
        <w:t>データ品質の指標と方法</w:t>
      </w:r>
    </w:p>
    <w:p w14:paraId="0540072B" w14:textId="77777777" w:rsidR="003058A4" w:rsidRPr="008561DF" w:rsidRDefault="003058A4" w:rsidP="003058A4">
      <w:pPr>
        <w:pStyle w:val="a3"/>
        <w:spacing w:before="144" w:line="312" w:lineRule="auto"/>
        <w:ind w:left="1133" w:right="-6"/>
        <w:rPr>
          <w:color w:val="545456"/>
          <w:spacing w:val="-1"/>
          <w:lang w:eastAsia="ja-JP"/>
        </w:rPr>
      </w:pPr>
      <w:r w:rsidRPr="008561DF">
        <w:rPr>
          <w:rFonts w:ascii="ＭＳ ゴシック" w:eastAsia="ＭＳ ゴシック" w:hAnsi="ＭＳ ゴシック" w:cs="ＭＳ ゴシック" w:hint="eastAsia"/>
          <w:color w:val="545456"/>
          <w:spacing w:val="-1"/>
          <w:lang w:eastAsia="ja-JP"/>
        </w:rPr>
        <w:t xml:space="preserve">　算出のプロセスの個々のデータポイントを評価するために使用される</w:t>
      </w:r>
      <w:r w:rsidRPr="008561DF">
        <w:rPr>
          <w:color w:val="545456"/>
          <w:spacing w:val="-1"/>
          <w:lang w:eastAsia="ja-JP"/>
        </w:rPr>
        <w:t>5</w:t>
      </w:r>
      <w:r w:rsidRPr="008561DF">
        <w:rPr>
          <w:rFonts w:ascii="ＭＳ ゴシック" w:eastAsia="ＭＳ ゴシック" w:hAnsi="ＭＳ ゴシック" w:cs="ＭＳ ゴシック" w:hint="eastAsia"/>
          <w:color w:val="545456"/>
          <w:spacing w:val="-1"/>
          <w:lang w:eastAsia="ja-JP"/>
        </w:rPr>
        <w:t>つのデータ品質指標を表</w:t>
      </w:r>
      <w:r w:rsidRPr="008561DF">
        <w:rPr>
          <w:color w:val="545456"/>
          <w:spacing w:val="-1"/>
          <w:lang w:eastAsia="ja-JP"/>
        </w:rPr>
        <w:t xml:space="preserve">8.1 </w:t>
      </w:r>
      <w:r w:rsidRPr="008561DF">
        <w:rPr>
          <w:rFonts w:ascii="ＭＳ ゴシック" w:eastAsia="ＭＳ ゴシック" w:hAnsi="ＭＳ ゴシック" w:cs="ＭＳ ゴシック" w:hint="eastAsia"/>
          <w:color w:val="545456"/>
          <w:spacing w:val="-1"/>
          <w:lang w:eastAsia="ja-JP"/>
        </w:rPr>
        <w:t>に示します。データ品質を評価するために指標を使用する方法には、本基準で概説する定性的データ品質評価方法など、複数の方法があります。使用する方法にかかわらず、企業はデータ管理計画にその方法と結果を文書化し、保証プロセスを支援し、内部のインベントリ品質管理を確実にし、データ品質の改善を長期的に追跡する必要があります。</w:t>
      </w:r>
    </w:p>
    <w:p w14:paraId="045F9D25" w14:textId="77777777" w:rsidR="003058A4" w:rsidRDefault="003058A4" w:rsidP="003058A4">
      <w:pPr>
        <w:pStyle w:val="a3"/>
        <w:spacing w:before="144" w:line="312" w:lineRule="auto"/>
        <w:ind w:left="1133" w:right="-6" w:firstLineChars="100" w:firstLine="189"/>
        <w:rPr>
          <w:lang w:eastAsia="ja-JP"/>
        </w:rPr>
      </w:pPr>
      <w:r w:rsidRPr="008561DF">
        <w:rPr>
          <w:rFonts w:ascii="ＭＳ ゴシック" w:eastAsia="ＭＳ ゴシック" w:hAnsi="ＭＳ ゴシック" w:cs="ＭＳ ゴシック" w:hint="eastAsia"/>
          <w:color w:val="545456"/>
          <w:spacing w:val="-1"/>
          <w:lang w:eastAsia="ja-JP"/>
        </w:rPr>
        <w:t>大規模な排出源のデータの質を向上させることで、報告書全体の質の大幅な改善が期待できます。</w:t>
      </w:r>
      <w:r>
        <w:rPr>
          <w:rFonts w:ascii="ＭＳ ゴシック" w:eastAsia="ＭＳ ゴシック" w:hAnsi="ＭＳ ゴシック" w:cs="ＭＳ ゴシック" w:hint="eastAsia"/>
          <w:color w:val="545456"/>
          <w:spacing w:val="-1"/>
          <w:lang w:eastAsia="ja-JP"/>
        </w:rPr>
        <w:t>従って、</w:t>
      </w:r>
    </w:p>
    <w:p w14:paraId="631C4179" w14:textId="77777777" w:rsidR="003058A4" w:rsidRDefault="003058A4" w:rsidP="003058A4">
      <w:pPr>
        <w:pStyle w:val="a3"/>
        <w:spacing w:before="102" w:line="312" w:lineRule="auto"/>
        <w:ind w:left="318" w:right="1163"/>
        <w:rPr>
          <w:lang w:eastAsia="ja-JP"/>
        </w:rPr>
      </w:pPr>
      <w:r>
        <w:rPr>
          <w:lang w:eastAsia="ja-JP"/>
        </w:rPr>
        <w:br w:type="column"/>
      </w:r>
      <w:r w:rsidRPr="008561DF">
        <w:rPr>
          <w:rFonts w:ascii="ＭＳ ゴシック" w:eastAsia="ＭＳ ゴシック" w:hAnsi="ＭＳ ゴシック" w:cs="ＭＳ ゴシック" w:hint="eastAsia"/>
          <w:color w:val="545456"/>
          <w:spacing w:val="-3"/>
          <w:lang w:eastAsia="ja-JP"/>
        </w:rPr>
        <w:t>もし資源的な制約があるならば、企業は、データ評価とそれに続くより質の高いデータの収集を、</w:t>
      </w:r>
      <w:r w:rsidRPr="008561DF">
        <w:rPr>
          <w:color w:val="545456"/>
          <w:spacing w:val="-3"/>
          <w:lang w:eastAsia="ja-JP"/>
        </w:rPr>
        <w:t xml:space="preserve"> </w:t>
      </w:r>
      <w:r w:rsidRPr="008561DF">
        <w:rPr>
          <w:rFonts w:ascii="ＭＳ ゴシック" w:eastAsia="ＭＳ ゴシック" w:hAnsi="ＭＳ ゴシック" w:cs="ＭＳ ゴシック" w:hint="eastAsia"/>
          <w:color w:val="545456"/>
          <w:spacing w:val="-3"/>
          <w:lang w:eastAsia="ja-JP"/>
        </w:rPr>
        <w:t>最大規模の排出源に集中させるべきです。</w:t>
      </w:r>
    </w:p>
    <w:p w14:paraId="4E089F2A" w14:textId="3D5ED493" w:rsidR="003058A4" w:rsidRDefault="003058A4" w:rsidP="003058A4">
      <w:pPr>
        <w:spacing w:before="148"/>
        <w:ind w:left="318"/>
        <w:rPr>
          <w:rFonts w:ascii="Arial"/>
          <w:b/>
          <w:i/>
          <w:sz w:val="18"/>
          <w:lang w:eastAsia="ja-JP"/>
        </w:rPr>
      </w:pPr>
      <w:r>
        <w:rPr>
          <w:noProof/>
        </w:rPr>
        <mc:AlternateContent>
          <mc:Choice Requires="wps">
            <w:drawing>
              <wp:anchor distT="0" distB="0" distL="114300" distR="114300" simplePos="0" relativeHeight="251480576" behindDoc="0" locked="0" layoutInCell="1" allowOverlap="1" wp14:anchorId="739D5B5D" wp14:editId="12A2BC52">
                <wp:simplePos x="0" y="0"/>
                <wp:positionH relativeFrom="page">
                  <wp:posOffset>7437755</wp:posOffset>
                </wp:positionH>
                <wp:positionV relativeFrom="paragraph">
                  <wp:posOffset>41275</wp:posOffset>
                </wp:positionV>
                <wp:extent cx="224790" cy="1512570"/>
                <wp:effectExtent l="0" t="0" r="0" b="0"/>
                <wp:wrapNone/>
                <wp:docPr id="179" name="テキスト ボックス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512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C6ECC7" w14:textId="77777777" w:rsidR="003058A4" w:rsidRDefault="003058A4" w:rsidP="003058A4">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9D5B5D" id="テキスト ボックス 179" o:spid="_x0000_s1115" type="#_x0000_t202" style="position:absolute;left:0;text-align:left;margin-left:585.65pt;margin-top:3.25pt;width:17.7pt;height:119.1pt;z-index:251480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" filled="f" stroked="f">
                <v:textbox style="layout-flow:vertical;mso-layout-flow-alt:bottom-to-top" inset="0,0,0,0">
                  <w:txbxContent>
                    <w:p w14:paraId="76C6ECC7" w14:textId="77777777" w:rsidR="003058A4" w:rsidRDefault="003058A4" w:rsidP="003058A4">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v:shape>
            </w:pict>
          </mc:Fallback>
        </mc:AlternateContent>
      </w:r>
      <w:r>
        <w:rPr>
          <w:rFonts w:ascii="ＭＳ ゴシック" w:eastAsia="ＭＳ ゴシック" w:hAnsi="ＭＳ ゴシック" w:cs="ＭＳ ゴシック" w:hint="eastAsia"/>
          <w:b/>
          <w:i/>
          <w:color w:val="7F3F98"/>
          <w:sz w:val="18"/>
          <w:lang w:eastAsia="ja-JP"/>
        </w:rPr>
        <w:t>定性的データ品質評価</w:t>
      </w:r>
    </w:p>
    <w:p w14:paraId="70F2F61E" w14:textId="5912B3E5" w:rsidR="0055291C" w:rsidRDefault="003058A4" w:rsidP="003058A4">
      <w:pPr>
        <w:pStyle w:val="a3"/>
        <w:spacing w:before="4" w:line="312" w:lineRule="auto"/>
        <w:ind w:left="318" w:right="1143"/>
        <w:rPr>
          <w:lang w:eastAsia="ja-JP"/>
        </w:rPr>
      </w:pPr>
      <w:r w:rsidRPr="00C019CD">
        <w:rPr>
          <w:rFonts w:ascii="ＭＳ ゴシック" w:eastAsia="ＭＳ ゴシック" w:hAnsi="ＭＳ ゴシック" w:cs="ＭＳ ゴシック" w:hint="eastAsia"/>
          <w:color w:val="545456"/>
          <w:spacing w:val="-2"/>
          <w:lang w:eastAsia="ja-JP"/>
        </w:rPr>
        <w:t>定性的データ品質評価アプローチでは、各データ品質指標に採点基準を適用しています。この評価システムには主観的な要素が含まれます。例えば、燃料排出係数の中には時間の経過とともに大きく変化しないものもあります。したがって、表</w:t>
      </w:r>
      <w:r w:rsidRPr="00C019CD">
        <w:rPr>
          <w:color w:val="545456"/>
          <w:spacing w:val="-2"/>
          <w:lang w:eastAsia="ja-JP"/>
        </w:rPr>
        <w:t>8.2</w:t>
      </w:r>
      <w:r w:rsidRPr="00C019CD">
        <w:rPr>
          <w:rFonts w:ascii="ＭＳ ゴシック" w:eastAsia="ＭＳ ゴシック" w:hAnsi="ＭＳ ゴシック" w:cs="ＭＳ ゴシック" w:hint="eastAsia"/>
          <w:color w:val="545456"/>
          <w:spacing w:val="-2"/>
          <w:lang w:eastAsia="ja-JP"/>
        </w:rPr>
        <w:t>のデータ品質で時間的スコアが</w:t>
      </w:r>
      <w:r w:rsidRPr="00C019CD">
        <w:rPr>
          <w:color w:val="545456"/>
          <w:spacing w:val="-2"/>
          <w:lang w:eastAsia="ja-JP"/>
        </w:rPr>
        <w:t xml:space="preserve"> </w:t>
      </w:r>
      <w:r w:rsidRPr="00C019CD">
        <w:rPr>
          <w:rFonts w:ascii="ＭＳ ゴシック" w:eastAsia="ＭＳ ゴシック" w:hAnsi="ＭＳ ゴシック" w:cs="ＭＳ ゴシック" w:hint="eastAsia"/>
          <w:color w:val="545456"/>
          <w:spacing w:val="-2"/>
          <w:lang w:eastAsia="ja-JP"/>
        </w:rPr>
        <w:t>「悪い」とされる</w:t>
      </w:r>
      <w:r w:rsidRPr="00C019CD">
        <w:rPr>
          <w:color w:val="545456"/>
          <w:spacing w:val="-2"/>
          <w:lang w:eastAsia="ja-JP"/>
        </w:rPr>
        <w:t>10</w:t>
      </w:r>
      <w:r w:rsidRPr="00C019CD">
        <w:rPr>
          <w:rFonts w:ascii="ＭＳ ゴシック" w:eastAsia="ＭＳ ゴシック" w:hAnsi="ＭＳ ゴシック" w:cs="ＭＳ ゴシック" w:hint="eastAsia"/>
          <w:color w:val="545456"/>
          <w:spacing w:val="-2"/>
          <w:lang w:eastAsia="ja-JP"/>
        </w:rPr>
        <w:t>年以上前の燃料排出係数は、</w:t>
      </w:r>
      <w:r w:rsidRPr="00C019CD">
        <w:rPr>
          <w:color w:val="545456"/>
          <w:spacing w:val="-2"/>
          <w:lang w:eastAsia="ja-JP"/>
        </w:rPr>
        <w:t>6</w:t>
      </w:r>
      <w:r w:rsidRPr="00C019CD">
        <w:rPr>
          <w:rFonts w:ascii="ＭＳ ゴシック" w:eastAsia="ＭＳ ゴシック" w:hAnsi="ＭＳ ゴシック" w:cs="ＭＳ ゴシック" w:hint="eastAsia"/>
          <w:color w:val="545456"/>
          <w:spacing w:val="-2"/>
          <w:lang w:eastAsia="ja-JP"/>
        </w:rPr>
        <w:t>年未満の係数（「良い」）と変わらないかもしれません。企業は、データ品質基準の結果を新たなデータ収集の根拠として用いる場合、あるいは不確実性評価に用いる場合</w:t>
      </w:r>
      <w:r>
        <w:rPr>
          <w:rFonts w:ascii="ＭＳ ゴシック" w:eastAsia="ＭＳ ゴシック" w:hAnsi="ＭＳ ゴシック" w:cs="ＭＳ ゴシック" w:hint="eastAsia"/>
          <w:color w:val="545456"/>
          <w:spacing w:val="-2"/>
          <w:lang w:eastAsia="ja-JP"/>
        </w:rPr>
        <w:t>、</w:t>
      </w:r>
    </w:p>
    <w:p w14:paraId="33D8DA68"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931" w:space="40"/>
            <w:col w:w="6269"/>
          </w:cols>
        </w:sectPr>
      </w:pPr>
    </w:p>
    <w:p w14:paraId="213F84DA" w14:textId="77777777" w:rsidR="0055291C" w:rsidRDefault="0055291C">
      <w:pPr>
        <w:pStyle w:val="a3"/>
        <w:spacing w:before="4"/>
        <w:rPr>
          <w:sz w:val="27"/>
          <w:lang w:eastAsia="ja-JP"/>
        </w:rPr>
      </w:pPr>
    </w:p>
    <w:p w14:paraId="2393C287" w14:textId="467415D5" w:rsidR="0055291C" w:rsidRDefault="00F14391" w:rsidP="003058A4">
      <w:pPr>
        <w:pStyle w:val="6"/>
        <w:ind w:left="1132"/>
        <w:rPr>
          <w:color w:val="00ACA1"/>
          <w:spacing w:val="-1"/>
          <w:lang w:eastAsia="ja-JP"/>
        </w:rPr>
      </w:pPr>
      <w:r>
        <w:rPr>
          <w:rFonts w:ascii="ＭＳ 明朝" w:eastAsia="ＭＳ 明朝" w:hAnsi="ＭＳ 明朝" w:cs="ＭＳ 明朝" w:hint="eastAsia"/>
          <w:color w:val="00ACA1"/>
          <w:spacing w:val="-13"/>
          <w:lang w:eastAsia="ja-JP"/>
        </w:rPr>
        <w:t>表</w:t>
      </w:r>
      <w:r w:rsidR="003058A4">
        <w:rPr>
          <w:color w:val="00ACA1"/>
          <w:spacing w:val="-13"/>
          <w:lang w:eastAsia="ja-JP"/>
        </w:rPr>
        <w:t xml:space="preserve"> </w:t>
      </w:r>
      <w:r w:rsidR="003058A4">
        <w:rPr>
          <w:color w:val="00ACA1"/>
          <w:spacing w:val="-1"/>
          <w:lang w:eastAsia="ja-JP"/>
        </w:rPr>
        <w:t>[8.1]</w:t>
      </w:r>
      <w:r w:rsidR="003058A4">
        <w:rPr>
          <w:color w:val="00ACA1"/>
          <w:spacing w:val="30"/>
          <w:lang w:eastAsia="ja-JP"/>
        </w:rPr>
        <w:t xml:space="preserve"> </w:t>
      </w:r>
      <w:r w:rsidR="003058A4">
        <w:rPr>
          <w:rFonts w:ascii="ＭＳ 明朝" w:eastAsia="ＭＳ 明朝" w:hAnsi="ＭＳ 明朝" w:cs="ＭＳ 明朝" w:hint="eastAsia"/>
          <w:color w:val="545456"/>
          <w:spacing w:val="-1"/>
          <w:lang w:eastAsia="ja-JP"/>
        </w:rPr>
        <w:t>データ品質指標</w:t>
      </w:r>
    </w:p>
    <w:p w14:paraId="21BBCD89" w14:textId="5E66F2D1" w:rsidR="003058A4" w:rsidRDefault="003058A4" w:rsidP="003058A4">
      <w:pPr>
        <w:pStyle w:val="6"/>
        <w:ind w:left="1132"/>
        <w:rPr>
          <w:color w:val="00ACA1"/>
          <w:spacing w:val="-1"/>
          <w:lang w:eastAsia="ja-JP"/>
        </w:rPr>
      </w:pPr>
    </w:p>
    <w:p w14:paraId="7D3B8996" w14:textId="4B861FC1" w:rsidR="003058A4" w:rsidRDefault="003058A4" w:rsidP="003058A4">
      <w:pPr>
        <w:pStyle w:val="7"/>
        <w:tabs>
          <w:tab w:val="left" w:pos="3947"/>
          <w:tab w:val="left" w:pos="7793"/>
        </w:tabs>
        <w:spacing w:before="99"/>
        <w:ind w:left="1383" w:firstLine="0"/>
        <w:rPr>
          <w:lang w:eastAsia="ja-JP"/>
        </w:rPr>
      </w:pPr>
      <w:bookmarkStart w:id="8" w:name="_Hlk110517636"/>
      <w:r>
        <w:rPr>
          <w:noProof/>
        </w:rPr>
        <mc:AlternateContent>
          <mc:Choice Requires="wpg">
            <w:drawing>
              <wp:anchor distT="0" distB="0" distL="114300" distR="114300" simplePos="0" relativeHeight="251481600" behindDoc="1" locked="0" layoutInCell="1" allowOverlap="1" wp14:anchorId="3CC8C508" wp14:editId="081F44B3">
                <wp:simplePos x="0" y="0"/>
                <wp:positionH relativeFrom="page">
                  <wp:posOffset>669925</wp:posOffset>
                </wp:positionH>
                <wp:positionV relativeFrom="paragraph">
                  <wp:posOffset>-29210</wp:posOffset>
                </wp:positionV>
                <wp:extent cx="6432550" cy="4588510"/>
                <wp:effectExtent l="0" t="0" r="0" b="0"/>
                <wp:wrapNone/>
                <wp:docPr id="191" name="グループ化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32550" cy="4588510"/>
                          <a:chOff x="1055" y="-46"/>
                          <a:chExt cx="10130" cy="7226"/>
                        </a:xfrm>
                      </wpg:grpSpPr>
                      <wps:wsp>
                        <wps:cNvPr id="192" name="docshape879"/>
                        <wps:cNvSpPr>
                          <a:spLocks/>
                        </wps:cNvSpPr>
                        <wps:spPr bwMode="auto">
                          <a:xfrm>
                            <a:off x="1133" y="-36"/>
                            <a:ext cx="2281" cy="496"/>
                          </a:xfrm>
                          <a:custGeom>
                            <a:avLst/>
                            <a:gdLst>
                              <a:gd name="T0" fmla="+- 0 3244 1134"/>
                              <a:gd name="T1" fmla="*/ T0 w 2281"/>
                              <a:gd name="T2" fmla="+- 0 -35 -35"/>
                              <a:gd name="T3" fmla="*/ -35 h 496"/>
                              <a:gd name="T4" fmla="+- 0 1304 1134"/>
                              <a:gd name="T5" fmla="*/ T4 w 2281"/>
                              <a:gd name="T6" fmla="+- 0 -35 -35"/>
                              <a:gd name="T7" fmla="*/ -35 h 496"/>
                              <a:gd name="T8" fmla="+- 0 1206 1134"/>
                              <a:gd name="T9" fmla="*/ T8 w 2281"/>
                              <a:gd name="T10" fmla="+- 0 -33 -35"/>
                              <a:gd name="T11" fmla="*/ -33 h 496"/>
                              <a:gd name="T12" fmla="+- 0 1155 1134"/>
                              <a:gd name="T13" fmla="*/ T12 w 2281"/>
                              <a:gd name="T14" fmla="+- 0 -14 -35"/>
                              <a:gd name="T15" fmla="*/ -14 h 496"/>
                              <a:gd name="T16" fmla="+- 0 1137 1134"/>
                              <a:gd name="T17" fmla="*/ T16 w 2281"/>
                              <a:gd name="T18" fmla="+- 0 36 -35"/>
                              <a:gd name="T19" fmla="*/ 36 h 496"/>
                              <a:gd name="T20" fmla="+- 0 1134 1134"/>
                              <a:gd name="T21" fmla="*/ T20 w 2281"/>
                              <a:gd name="T22" fmla="+- 0 135 -35"/>
                              <a:gd name="T23" fmla="*/ 135 h 496"/>
                              <a:gd name="T24" fmla="+- 0 1134 1134"/>
                              <a:gd name="T25" fmla="*/ T24 w 2281"/>
                              <a:gd name="T26" fmla="+- 0 460 -35"/>
                              <a:gd name="T27" fmla="*/ 460 h 496"/>
                              <a:gd name="T28" fmla="+- 0 3414 1134"/>
                              <a:gd name="T29" fmla="*/ T28 w 2281"/>
                              <a:gd name="T30" fmla="+- 0 460 -35"/>
                              <a:gd name="T31" fmla="*/ 460 h 496"/>
                              <a:gd name="T32" fmla="+- 0 3414 1134"/>
                              <a:gd name="T33" fmla="*/ T32 w 2281"/>
                              <a:gd name="T34" fmla="+- 0 135 -35"/>
                              <a:gd name="T35" fmla="*/ 135 h 496"/>
                              <a:gd name="T36" fmla="+- 0 3412 1134"/>
                              <a:gd name="T37" fmla="*/ T36 w 2281"/>
                              <a:gd name="T38" fmla="+- 0 36 -35"/>
                              <a:gd name="T39" fmla="*/ 36 h 496"/>
                              <a:gd name="T40" fmla="+- 0 3393 1134"/>
                              <a:gd name="T41" fmla="*/ T40 w 2281"/>
                              <a:gd name="T42" fmla="+- 0 -14 -35"/>
                              <a:gd name="T43" fmla="*/ -14 h 496"/>
                              <a:gd name="T44" fmla="+- 0 3343 1134"/>
                              <a:gd name="T45" fmla="*/ T44 w 2281"/>
                              <a:gd name="T46" fmla="+- 0 -33 -35"/>
                              <a:gd name="T47" fmla="*/ -33 h 496"/>
                              <a:gd name="T48" fmla="+- 0 3244 1134"/>
                              <a:gd name="T49" fmla="*/ T48 w 2281"/>
                              <a:gd name="T50" fmla="+- 0 -35 -35"/>
                              <a:gd name="T51" fmla="*/ -35 h 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281" h="496">
                                <a:moveTo>
                                  <a:pt x="2110" y="0"/>
                                </a:moveTo>
                                <a:lnTo>
                                  <a:pt x="170" y="0"/>
                                </a:lnTo>
                                <a:lnTo>
                                  <a:pt x="72" y="2"/>
                                </a:lnTo>
                                <a:lnTo>
                                  <a:pt x="21" y="21"/>
                                </a:lnTo>
                                <a:lnTo>
                                  <a:pt x="3" y="71"/>
                                </a:lnTo>
                                <a:lnTo>
                                  <a:pt x="0" y="170"/>
                                </a:lnTo>
                                <a:lnTo>
                                  <a:pt x="0" y="495"/>
                                </a:lnTo>
                                <a:lnTo>
                                  <a:pt x="2280" y="495"/>
                                </a:lnTo>
                                <a:lnTo>
                                  <a:pt x="2280" y="170"/>
                                </a:lnTo>
                                <a:lnTo>
                                  <a:pt x="2278" y="71"/>
                                </a:lnTo>
                                <a:lnTo>
                                  <a:pt x="2259" y="21"/>
                                </a:lnTo>
                                <a:lnTo>
                                  <a:pt x="2209" y="2"/>
                                </a:lnTo>
                                <a:lnTo>
                                  <a:pt x="2110" y="0"/>
                                </a:lnTo>
                                <a:close/>
                              </a:path>
                            </a:pathLst>
                          </a:custGeom>
                          <a:solidFill>
                            <a:srgbClr val="00AC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docshape880"/>
                        <wps:cNvSpPr>
                          <a:spLocks/>
                        </wps:cNvSpPr>
                        <wps:spPr bwMode="auto">
                          <a:xfrm>
                            <a:off x="1133" y="418"/>
                            <a:ext cx="2281" cy="6762"/>
                          </a:xfrm>
                          <a:custGeom>
                            <a:avLst/>
                            <a:gdLst>
                              <a:gd name="T0" fmla="+- 0 3414 1134"/>
                              <a:gd name="T1" fmla="*/ T0 w 2281"/>
                              <a:gd name="T2" fmla="+- 0 418 418"/>
                              <a:gd name="T3" fmla="*/ 418 h 6762"/>
                              <a:gd name="T4" fmla="+- 0 1134 1134"/>
                              <a:gd name="T5" fmla="*/ T4 w 2281"/>
                              <a:gd name="T6" fmla="+- 0 418 418"/>
                              <a:gd name="T7" fmla="*/ 418 h 6762"/>
                              <a:gd name="T8" fmla="+- 0 1134 1134"/>
                              <a:gd name="T9" fmla="*/ T8 w 2281"/>
                              <a:gd name="T10" fmla="+- 0 7010 418"/>
                              <a:gd name="T11" fmla="*/ 7010 h 6762"/>
                              <a:gd name="T12" fmla="+- 0 1137 1134"/>
                              <a:gd name="T13" fmla="*/ T12 w 2281"/>
                              <a:gd name="T14" fmla="+- 0 7108 418"/>
                              <a:gd name="T15" fmla="*/ 7108 h 6762"/>
                              <a:gd name="T16" fmla="+- 0 1155 1134"/>
                              <a:gd name="T17" fmla="*/ T16 w 2281"/>
                              <a:gd name="T18" fmla="+- 0 7158 418"/>
                              <a:gd name="T19" fmla="*/ 7158 h 6762"/>
                              <a:gd name="T20" fmla="+- 0 1206 1134"/>
                              <a:gd name="T21" fmla="*/ T20 w 2281"/>
                              <a:gd name="T22" fmla="+- 0 7177 418"/>
                              <a:gd name="T23" fmla="*/ 7177 h 6762"/>
                              <a:gd name="T24" fmla="+- 0 1304 1134"/>
                              <a:gd name="T25" fmla="*/ T24 w 2281"/>
                              <a:gd name="T26" fmla="+- 0 7180 418"/>
                              <a:gd name="T27" fmla="*/ 7180 h 6762"/>
                              <a:gd name="T28" fmla="+- 0 3244 1134"/>
                              <a:gd name="T29" fmla="*/ T28 w 2281"/>
                              <a:gd name="T30" fmla="+- 0 7180 418"/>
                              <a:gd name="T31" fmla="*/ 7180 h 6762"/>
                              <a:gd name="T32" fmla="+- 0 3343 1134"/>
                              <a:gd name="T33" fmla="*/ T32 w 2281"/>
                              <a:gd name="T34" fmla="+- 0 7177 418"/>
                              <a:gd name="T35" fmla="*/ 7177 h 6762"/>
                              <a:gd name="T36" fmla="+- 0 3393 1134"/>
                              <a:gd name="T37" fmla="*/ T36 w 2281"/>
                              <a:gd name="T38" fmla="+- 0 7158 418"/>
                              <a:gd name="T39" fmla="*/ 7158 h 6762"/>
                              <a:gd name="T40" fmla="+- 0 3412 1134"/>
                              <a:gd name="T41" fmla="*/ T40 w 2281"/>
                              <a:gd name="T42" fmla="+- 0 7108 418"/>
                              <a:gd name="T43" fmla="*/ 7108 h 6762"/>
                              <a:gd name="T44" fmla="+- 0 3414 1134"/>
                              <a:gd name="T45" fmla="*/ T44 w 2281"/>
                              <a:gd name="T46" fmla="+- 0 7010 418"/>
                              <a:gd name="T47" fmla="*/ 7010 h 6762"/>
                              <a:gd name="T48" fmla="+- 0 3414 1134"/>
                              <a:gd name="T49" fmla="*/ T48 w 2281"/>
                              <a:gd name="T50" fmla="+- 0 418 418"/>
                              <a:gd name="T51" fmla="*/ 418 h 67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281" h="6762">
                                <a:moveTo>
                                  <a:pt x="2280" y="0"/>
                                </a:moveTo>
                                <a:lnTo>
                                  <a:pt x="0" y="0"/>
                                </a:lnTo>
                                <a:lnTo>
                                  <a:pt x="0" y="6592"/>
                                </a:lnTo>
                                <a:lnTo>
                                  <a:pt x="3" y="6690"/>
                                </a:lnTo>
                                <a:lnTo>
                                  <a:pt x="21" y="6740"/>
                                </a:lnTo>
                                <a:lnTo>
                                  <a:pt x="72" y="6759"/>
                                </a:lnTo>
                                <a:lnTo>
                                  <a:pt x="170" y="6762"/>
                                </a:lnTo>
                                <a:lnTo>
                                  <a:pt x="2110" y="6762"/>
                                </a:lnTo>
                                <a:lnTo>
                                  <a:pt x="2209" y="6759"/>
                                </a:lnTo>
                                <a:lnTo>
                                  <a:pt x="2259" y="6740"/>
                                </a:lnTo>
                                <a:lnTo>
                                  <a:pt x="2278" y="6690"/>
                                </a:lnTo>
                                <a:lnTo>
                                  <a:pt x="2280" y="6592"/>
                                </a:lnTo>
                                <a:lnTo>
                                  <a:pt x="2280" y="0"/>
                                </a:lnTo>
                                <a:close/>
                              </a:path>
                            </a:pathLst>
                          </a:custGeom>
                          <a:solidFill>
                            <a:srgbClr val="F3F4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docshape881"/>
                        <wps:cNvSpPr>
                          <a:spLocks/>
                        </wps:cNvSpPr>
                        <wps:spPr bwMode="auto">
                          <a:xfrm>
                            <a:off x="3697" y="-36"/>
                            <a:ext cx="3563" cy="496"/>
                          </a:xfrm>
                          <a:custGeom>
                            <a:avLst/>
                            <a:gdLst>
                              <a:gd name="T0" fmla="+- 0 7090 3698"/>
                              <a:gd name="T1" fmla="*/ T0 w 3563"/>
                              <a:gd name="T2" fmla="+- 0 -35 -35"/>
                              <a:gd name="T3" fmla="*/ -35 h 496"/>
                              <a:gd name="T4" fmla="+- 0 3868 3698"/>
                              <a:gd name="T5" fmla="*/ T4 w 3563"/>
                              <a:gd name="T6" fmla="+- 0 -35 -35"/>
                              <a:gd name="T7" fmla="*/ -35 h 496"/>
                              <a:gd name="T8" fmla="+- 0 3770 3698"/>
                              <a:gd name="T9" fmla="*/ T8 w 3563"/>
                              <a:gd name="T10" fmla="+- 0 -33 -35"/>
                              <a:gd name="T11" fmla="*/ -33 h 496"/>
                              <a:gd name="T12" fmla="+- 0 3719 3698"/>
                              <a:gd name="T13" fmla="*/ T12 w 3563"/>
                              <a:gd name="T14" fmla="+- 0 -14 -35"/>
                              <a:gd name="T15" fmla="*/ -14 h 496"/>
                              <a:gd name="T16" fmla="+- 0 3700 3698"/>
                              <a:gd name="T17" fmla="*/ T16 w 3563"/>
                              <a:gd name="T18" fmla="+- 0 36 -35"/>
                              <a:gd name="T19" fmla="*/ 36 h 496"/>
                              <a:gd name="T20" fmla="+- 0 3698 3698"/>
                              <a:gd name="T21" fmla="*/ T20 w 3563"/>
                              <a:gd name="T22" fmla="+- 0 135 -35"/>
                              <a:gd name="T23" fmla="*/ 135 h 496"/>
                              <a:gd name="T24" fmla="+- 0 3698 3698"/>
                              <a:gd name="T25" fmla="*/ T24 w 3563"/>
                              <a:gd name="T26" fmla="+- 0 460 -35"/>
                              <a:gd name="T27" fmla="*/ 460 h 496"/>
                              <a:gd name="T28" fmla="+- 0 7260 3698"/>
                              <a:gd name="T29" fmla="*/ T28 w 3563"/>
                              <a:gd name="T30" fmla="+- 0 460 -35"/>
                              <a:gd name="T31" fmla="*/ 460 h 496"/>
                              <a:gd name="T32" fmla="+- 0 7260 3698"/>
                              <a:gd name="T33" fmla="*/ T32 w 3563"/>
                              <a:gd name="T34" fmla="+- 0 135 -35"/>
                              <a:gd name="T35" fmla="*/ 135 h 496"/>
                              <a:gd name="T36" fmla="+- 0 7258 3698"/>
                              <a:gd name="T37" fmla="*/ T36 w 3563"/>
                              <a:gd name="T38" fmla="+- 0 36 -35"/>
                              <a:gd name="T39" fmla="*/ 36 h 496"/>
                              <a:gd name="T40" fmla="+- 0 7239 3698"/>
                              <a:gd name="T41" fmla="*/ T40 w 3563"/>
                              <a:gd name="T42" fmla="+- 0 -14 -35"/>
                              <a:gd name="T43" fmla="*/ -14 h 496"/>
                              <a:gd name="T44" fmla="+- 0 7188 3698"/>
                              <a:gd name="T45" fmla="*/ T44 w 3563"/>
                              <a:gd name="T46" fmla="+- 0 -33 -35"/>
                              <a:gd name="T47" fmla="*/ -33 h 496"/>
                              <a:gd name="T48" fmla="+- 0 7090 3698"/>
                              <a:gd name="T49" fmla="*/ T48 w 3563"/>
                              <a:gd name="T50" fmla="+- 0 -35 -35"/>
                              <a:gd name="T51" fmla="*/ -35 h 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63" h="496">
                                <a:moveTo>
                                  <a:pt x="3392" y="0"/>
                                </a:moveTo>
                                <a:lnTo>
                                  <a:pt x="170" y="0"/>
                                </a:lnTo>
                                <a:lnTo>
                                  <a:pt x="72" y="2"/>
                                </a:lnTo>
                                <a:lnTo>
                                  <a:pt x="21" y="21"/>
                                </a:lnTo>
                                <a:lnTo>
                                  <a:pt x="2" y="71"/>
                                </a:lnTo>
                                <a:lnTo>
                                  <a:pt x="0" y="170"/>
                                </a:lnTo>
                                <a:lnTo>
                                  <a:pt x="0" y="495"/>
                                </a:lnTo>
                                <a:lnTo>
                                  <a:pt x="3562" y="495"/>
                                </a:lnTo>
                                <a:lnTo>
                                  <a:pt x="3562" y="170"/>
                                </a:lnTo>
                                <a:lnTo>
                                  <a:pt x="3560" y="71"/>
                                </a:lnTo>
                                <a:lnTo>
                                  <a:pt x="3541" y="21"/>
                                </a:lnTo>
                                <a:lnTo>
                                  <a:pt x="3490" y="2"/>
                                </a:lnTo>
                                <a:lnTo>
                                  <a:pt x="3392" y="0"/>
                                </a:lnTo>
                                <a:close/>
                              </a:path>
                            </a:pathLst>
                          </a:custGeom>
                          <a:solidFill>
                            <a:srgbClr val="00AC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docshape882"/>
                        <wps:cNvSpPr>
                          <a:spLocks/>
                        </wps:cNvSpPr>
                        <wps:spPr bwMode="auto">
                          <a:xfrm>
                            <a:off x="3697" y="418"/>
                            <a:ext cx="3563" cy="6762"/>
                          </a:xfrm>
                          <a:custGeom>
                            <a:avLst/>
                            <a:gdLst>
                              <a:gd name="T0" fmla="+- 0 7260 3698"/>
                              <a:gd name="T1" fmla="*/ T0 w 3563"/>
                              <a:gd name="T2" fmla="+- 0 418 418"/>
                              <a:gd name="T3" fmla="*/ 418 h 6762"/>
                              <a:gd name="T4" fmla="+- 0 3698 3698"/>
                              <a:gd name="T5" fmla="*/ T4 w 3563"/>
                              <a:gd name="T6" fmla="+- 0 418 418"/>
                              <a:gd name="T7" fmla="*/ 418 h 6762"/>
                              <a:gd name="T8" fmla="+- 0 3698 3698"/>
                              <a:gd name="T9" fmla="*/ T8 w 3563"/>
                              <a:gd name="T10" fmla="+- 0 7010 418"/>
                              <a:gd name="T11" fmla="*/ 7010 h 6762"/>
                              <a:gd name="T12" fmla="+- 0 3700 3698"/>
                              <a:gd name="T13" fmla="*/ T12 w 3563"/>
                              <a:gd name="T14" fmla="+- 0 7108 418"/>
                              <a:gd name="T15" fmla="*/ 7108 h 6762"/>
                              <a:gd name="T16" fmla="+- 0 3719 3698"/>
                              <a:gd name="T17" fmla="*/ T16 w 3563"/>
                              <a:gd name="T18" fmla="+- 0 7158 418"/>
                              <a:gd name="T19" fmla="*/ 7158 h 6762"/>
                              <a:gd name="T20" fmla="+- 0 3770 3698"/>
                              <a:gd name="T21" fmla="*/ T20 w 3563"/>
                              <a:gd name="T22" fmla="+- 0 7177 418"/>
                              <a:gd name="T23" fmla="*/ 7177 h 6762"/>
                              <a:gd name="T24" fmla="+- 0 3868 3698"/>
                              <a:gd name="T25" fmla="*/ T24 w 3563"/>
                              <a:gd name="T26" fmla="+- 0 7180 418"/>
                              <a:gd name="T27" fmla="*/ 7180 h 6762"/>
                              <a:gd name="T28" fmla="+- 0 7090 3698"/>
                              <a:gd name="T29" fmla="*/ T28 w 3563"/>
                              <a:gd name="T30" fmla="+- 0 7180 418"/>
                              <a:gd name="T31" fmla="*/ 7180 h 6762"/>
                              <a:gd name="T32" fmla="+- 0 7188 3698"/>
                              <a:gd name="T33" fmla="*/ T32 w 3563"/>
                              <a:gd name="T34" fmla="+- 0 7177 418"/>
                              <a:gd name="T35" fmla="*/ 7177 h 6762"/>
                              <a:gd name="T36" fmla="+- 0 7239 3698"/>
                              <a:gd name="T37" fmla="*/ T36 w 3563"/>
                              <a:gd name="T38" fmla="+- 0 7158 418"/>
                              <a:gd name="T39" fmla="*/ 7158 h 6762"/>
                              <a:gd name="T40" fmla="+- 0 7258 3698"/>
                              <a:gd name="T41" fmla="*/ T40 w 3563"/>
                              <a:gd name="T42" fmla="+- 0 7108 418"/>
                              <a:gd name="T43" fmla="*/ 7108 h 6762"/>
                              <a:gd name="T44" fmla="+- 0 7260 3698"/>
                              <a:gd name="T45" fmla="*/ T44 w 3563"/>
                              <a:gd name="T46" fmla="+- 0 7010 418"/>
                              <a:gd name="T47" fmla="*/ 7010 h 6762"/>
                              <a:gd name="T48" fmla="+- 0 7260 3698"/>
                              <a:gd name="T49" fmla="*/ T48 w 3563"/>
                              <a:gd name="T50" fmla="+- 0 418 418"/>
                              <a:gd name="T51" fmla="*/ 418 h 67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63" h="6762">
                                <a:moveTo>
                                  <a:pt x="3562" y="0"/>
                                </a:moveTo>
                                <a:lnTo>
                                  <a:pt x="0" y="0"/>
                                </a:lnTo>
                                <a:lnTo>
                                  <a:pt x="0" y="6592"/>
                                </a:lnTo>
                                <a:lnTo>
                                  <a:pt x="2" y="6690"/>
                                </a:lnTo>
                                <a:lnTo>
                                  <a:pt x="21" y="6740"/>
                                </a:lnTo>
                                <a:lnTo>
                                  <a:pt x="72" y="6759"/>
                                </a:lnTo>
                                <a:lnTo>
                                  <a:pt x="170" y="6762"/>
                                </a:lnTo>
                                <a:lnTo>
                                  <a:pt x="3392" y="6762"/>
                                </a:lnTo>
                                <a:lnTo>
                                  <a:pt x="3490" y="6759"/>
                                </a:lnTo>
                                <a:lnTo>
                                  <a:pt x="3541" y="6740"/>
                                </a:lnTo>
                                <a:lnTo>
                                  <a:pt x="3560" y="6690"/>
                                </a:lnTo>
                                <a:lnTo>
                                  <a:pt x="3562" y="6592"/>
                                </a:lnTo>
                                <a:lnTo>
                                  <a:pt x="3562" y="0"/>
                                </a:lnTo>
                                <a:close/>
                              </a:path>
                            </a:pathLst>
                          </a:custGeom>
                          <a:solidFill>
                            <a:srgbClr val="F3F4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docshape883"/>
                        <wps:cNvSpPr>
                          <a:spLocks/>
                        </wps:cNvSpPr>
                        <wps:spPr bwMode="auto">
                          <a:xfrm>
                            <a:off x="7543" y="-47"/>
                            <a:ext cx="3563" cy="496"/>
                          </a:xfrm>
                          <a:custGeom>
                            <a:avLst/>
                            <a:gdLst>
                              <a:gd name="T0" fmla="+- 0 10936 7544"/>
                              <a:gd name="T1" fmla="*/ T0 w 3563"/>
                              <a:gd name="T2" fmla="+- 0 -46 -46"/>
                              <a:gd name="T3" fmla="*/ -46 h 496"/>
                              <a:gd name="T4" fmla="+- 0 7714 7544"/>
                              <a:gd name="T5" fmla="*/ T4 w 3563"/>
                              <a:gd name="T6" fmla="+- 0 -46 -46"/>
                              <a:gd name="T7" fmla="*/ -46 h 496"/>
                              <a:gd name="T8" fmla="+- 0 7615 7544"/>
                              <a:gd name="T9" fmla="*/ T8 w 3563"/>
                              <a:gd name="T10" fmla="+- 0 -44 -46"/>
                              <a:gd name="T11" fmla="*/ -44 h 496"/>
                              <a:gd name="T12" fmla="+- 0 7565 7544"/>
                              <a:gd name="T13" fmla="*/ T12 w 3563"/>
                              <a:gd name="T14" fmla="+- 0 -25 -46"/>
                              <a:gd name="T15" fmla="*/ -25 h 496"/>
                              <a:gd name="T16" fmla="+- 0 7546 7544"/>
                              <a:gd name="T17" fmla="*/ T16 w 3563"/>
                              <a:gd name="T18" fmla="+- 0 25 -46"/>
                              <a:gd name="T19" fmla="*/ 25 h 496"/>
                              <a:gd name="T20" fmla="+- 0 7544 7544"/>
                              <a:gd name="T21" fmla="*/ T20 w 3563"/>
                              <a:gd name="T22" fmla="+- 0 124 -46"/>
                              <a:gd name="T23" fmla="*/ 124 h 496"/>
                              <a:gd name="T24" fmla="+- 0 7544 7544"/>
                              <a:gd name="T25" fmla="*/ T24 w 3563"/>
                              <a:gd name="T26" fmla="+- 0 449 -46"/>
                              <a:gd name="T27" fmla="*/ 449 h 496"/>
                              <a:gd name="T28" fmla="+- 0 11106 7544"/>
                              <a:gd name="T29" fmla="*/ T28 w 3563"/>
                              <a:gd name="T30" fmla="+- 0 449 -46"/>
                              <a:gd name="T31" fmla="*/ 449 h 496"/>
                              <a:gd name="T32" fmla="+- 0 11106 7544"/>
                              <a:gd name="T33" fmla="*/ T32 w 3563"/>
                              <a:gd name="T34" fmla="+- 0 124 -46"/>
                              <a:gd name="T35" fmla="*/ 124 h 496"/>
                              <a:gd name="T36" fmla="+- 0 11103 7544"/>
                              <a:gd name="T37" fmla="*/ T36 w 3563"/>
                              <a:gd name="T38" fmla="+- 0 25 -46"/>
                              <a:gd name="T39" fmla="*/ 25 h 496"/>
                              <a:gd name="T40" fmla="+- 0 11085 7544"/>
                              <a:gd name="T41" fmla="*/ T40 w 3563"/>
                              <a:gd name="T42" fmla="+- 0 -25 -46"/>
                              <a:gd name="T43" fmla="*/ -25 h 496"/>
                              <a:gd name="T44" fmla="+- 0 11034 7544"/>
                              <a:gd name="T45" fmla="*/ T44 w 3563"/>
                              <a:gd name="T46" fmla="+- 0 -44 -46"/>
                              <a:gd name="T47" fmla="*/ -44 h 496"/>
                              <a:gd name="T48" fmla="+- 0 10936 7544"/>
                              <a:gd name="T49" fmla="*/ T48 w 3563"/>
                              <a:gd name="T50" fmla="+- 0 -46 -46"/>
                              <a:gd name="T51" fmla="*/ -46 h 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63" h="496">
                                <a:moveTo>
                                  <a:pt x="3392" y="0"/>
                                </a:moveTo>
                                <a:lnTo>
                                  <a:pt x="170" y="0"/>
                                </a:lnTo>
                                <a:lnTo>
                                  <a:pt x="71" y="2"/>
                                </a:lnTo>
                                <a:lnTo>
                                  <a:pt x="21" y="21"/>
                                </a:lnTo>
                                <a:lnTo>
                                  <a:pt x="2" y="71"/>
                                </a:lnTo>
                                <a:lnTo>
                                  <a:pt x="0" y="170"/>
                                </a:lnTo>
                                <a:lnTo>
                                  <a:pt x="0" y="495"/>
                                </a:lnTo>
                                <a:lnTo>
                                  <a:pt x="3562" y="495"/>
                                </a:lnTo>
                                <a:lnTo>
                                  <a:pt x="3562" y="170"/>
                                </a:lnTo>
                                <a:lnTo>
                                  <a:pt x="3559" y="71"/>
                                </a:lnTo>
                                <a:lnTo>
                                  <a:pt x="3541" y="21"/>
                                </a:lnTo>
                                <a:lnTo>
                                  <a:pt x="3490" y="2"/>
                                </a:lnTo>
                                <a:lnTo>
                                  <a:pt x="3392" y="0"/>
                                </a:lnTo>
                                <a:close/>
                              </a:path>
                            </a:pathLst>
                          </a:custGeom>
                          <a:solidFill>
                            <a:srgbClr val="00AC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docshape884"/>
                        <wps:cNvSpPr>
                          <a:spLocks/>
                        </wps:cNvSpPr>
                        <wps:spPr bwMode="auto">
                          <a:xfrm>
                            <a:off x="7543" y="407"/>
                            <a:ext cx="3563" cy="6762"/>
                          </a:xfrm>
                          <a:custGeom>
                            <a:avLst/>
                            <a:gdLst>
                              <a:gd name="T0" fmla="+- 0 11106 7544"/>
                              <a:gd name="T1" fmla="*/ T0 w 3563"/>
                              <a:gd name="T2" fmla="+- 0 407 407"/>
                              <a:gd name="T3" fmla="*/ 407 h 6762"/>
                              <a:gd name="T4" fmla="+- 0 7544 7544"/>
                              <a:gd name="T5" fmla="*/ T4 w 3563"/>
                              <a:gd name="T6" fmla="+- 0 407 407"/>
                              <a:gd name="T7" fmla="*/ 407 h 6762"/>
                              <a:gd name="T8" fmla="+- 0 7544 7544"/>
                              <a:gd name="T9" fmla="*/ T8 w 3563"/>
                              <a:gd name="T10" fmla="+- 0 6999 407"/>
                              <a:gd name="T11" fmla="*/ 6999 h 6762"/>
                              <a:gd name="T12" fmla="+- 0 7546 7544"/>
                              <a:gd name="T13" fmla="*/ T12 w 3563"/>
                              <a:gd name="T14" fmla="+- 0 7097 407"/>
                              <a:gd name="T15" fmla="*/ 7097 h 6762"/>
                              <a:gd name="T16" fmla="+- 0 7565 7544"/>
                              <a:gd name="T17" fmla="*/ T16 w 3563"/>
                              <a:gd name="T18" fmla="+- 0 7148 407"/>
                              <a:gd name="T19" fmla="*/ 7148 h 6762"/>
                              <a:gd name="T20" fmla="+- 0 7615 7544"/>
                              <a:gd name="T21" fmla="*/ T20 w 3563"/>
                              <a:gd name="T22" fmla="+- 0 7166 407"/>
                              <a:gd name="T23" fmla="*/ 7166 h 6762"/>
                              <a:gd name="T24" fmla="+- 0 7714 7544"/>
                              <a:gd name="T25" fmla="*/ T24 w 3563"/>
                              <a:gd name="T26" fmla="+- 0 7169 407"/>
                              <a:gd name="T27" fmla="*/ 7169 h 6762"/>
                              <a:gd name="T28" fmla="+- 0 10936 7544"/>
                              <a:gd name="T29" fmla="*/ T28 w 3563"/>
                              <a:gd name="T30" fmla="+- 0 7169 407"/>
                              <a:gd name="T31" fmla="*/ 7169 h 6762"/>
                              <a:gd name="T32" fmla="+- 0 11034 7544"/>
                              <a:gd name="T33" fmla="*/ T32 w 3563"/>
                              <a:gd name="T34" fmla="+- 0 7166 407"/>
                              <a:gd name="T35" fmla="*/ 7166 h 6762"/>
                              <a:gd name="T36" fmla="+- 0 11085 7544"/>
                              <a:gd name="T37" fmla="*/ T36 w 3563"/>
                              <a:gd name="T38" fmla="+- 0 7148 407"/>
                              <a:gd name="T39" fmla="*/ 7148 h 6762"/>
                              <a:gd name="T40" fmla="+- 0 11103 7544"/>
                              <a:gd name="T41" fmla="*/ T40 w 3563"/>
                              <a:gd name="T42" fmla="+- 0 7097 407"/>
                              <a:gd name="T43" fmla="*/ 7097 h 6762"/>
                              <a:gd name="T44" fmla="+- 0 11106 7544"/>
                              <a:gd name="T45" fmla="*/ T44 w 3563"/>
                              <a:gd name="T46" fmla="+- 0 6999 407"/>
                              <a:gd name="T47" fmla="*/ 6999 h 6762"/>
                              <a:gd name="T48" fmla="+- 0 11106 7544"/>
                              <a:gd name="T49" fmla="*/ T48 w 3563"/>
                              <a:gd name="T50" fmla="+- 0 407 407"/>
                              <a:gd name="T51" fmla="*/ 407 h 67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63" h="6762">
                                <a:moveTo>
                                  <a:pt x="3562" y="0"/>
                                </a:moveTo>
                                <a:lnTo>
                                  <a:pt x="0" y="0"/>
                                </a:lnTo>
                                <a:lnTo>
                                  <a:pt x="0" y="6592"/>
                                </a:lnTo>
                                <a:lnTo>
                                  <a:pt x="2" y="6690"/>
                                </a:lnTo>
                                <a:lnTo>
                                  <a:pt x="21" y="6741"/>
                                </a:lnTo>
                                <a:lnTo>
                                  <a:pt x="71" y="6759"/>
                                </a:lnTo>
                                <a:lnTo>
                                  <a:pt x="170" y="6762"/>
                                </a:lnTo>
                                <a:lnTo>
                                  <a:pt x="3392" y="6762"/>
                                </a:lnTo>
                                <a:lnTo>
                                  <a:pt x="3490" y="6759"/>
                                </a:lnTo>
                                <a:lnTo>
                                  <a:pt x="3541" y="6741"/>
                                </a:lnTo>
                                <a:lnTo>
                                  <a:pt x="3559" y="6690"/>
                                </a:lnTo>
                                <a:lnTo>
                                  <a:pt x="3562" y="6592"/>
                                </a:lnTo>
                                <a:lnTo>
                                  <a:pt x="3562" y="0"/>
                                </a:lnTo>
                                <a:close/>
                              </a:path>
                            </a:pathLst>
                          </a:custGeom>
                          <a:solidFill>
                            <a:srgbClr val="F3F4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Line 1845"/>
                        <wps:cNvCnPr>
                          <a:cxnSpLocks noChangeShapeType="1"/>
                        </wps:cNvCnPr>
                        <wps:spPr bwMode="auto">
                          <a:xfrm>
                            <a:off x="1055" y="1192"/>
                            <a:ext cx="10130" cy="0"/>
                          </a:xfrm>
                          <a:prstGeom prst="line">
                            <a:avLst/>
                          </a:prstGeom>
                          <a:noFill/>
                          <a:ln w="25400">
                            <a:solidFill>
                              <a:srgbClr val="FFFFFF"/>
                            </a:solidFill>
                            <a:round/>
                            <a:headEnd/>
                            <a:tailEnd/>
                          </a:ln>
                          <a:extLst>
                            <a:ext uri="{909E8E84-426E-40DD-AFC4-6F175D3DCCD1}">
                              <a14:hiddenFill xmlns:a14="http://schemas.microsoft.com/office/drawing/2010/main">
                                <a:noFill/>
                              </a14:hiddenFill>
                            </a:ext>
                          </a:extLst>
                        </wps:spPr>
                        <wps:bodyPr/>
                      </wps:wsp>
                      <wps:wsp>
                        <wps:cNvPr id="199" name="Line 1846"/>
                        <wps:cNvCnPr>
                          <a:cxnSpLocks noChangeShapeType="1"/>
                        </wps:cNvCnPr>
                        <wps:spPr bwMode="auto">
                          <a:xfrm>
                            <a:off x="1055" y="2184"/>
                            <a:ext cx="10130" cy="0"/>
                          </a:xfrm>
                          <a:prstGeom prst="line">
                            <a:avLst/>
                          </a:prstGeom>
                          <a:noFill/>
                          <a:ln w="25400">
                            <a:solidFill>
                              <a:srgbClr val="FFFFFF"/>
                            </a:solidFill>
                            <a:round/>
                            <a:headEnd/>
                            <a:tailEnd/>
                          </a:ln>
                          <a:extLst>
                            <a:ext uri="{909E8E84-426E-40DD-AFC4-6F175D3DCCD1}">
                              <a14:hiddenFill xmlns:a14="http://schemas.microsoft.com/office/drawing/2010/main">
                                <a:noFill/>
                              </a14:hiddenFill>
                            </a:ext>
                          </a:extLst>
                        </wps:spPr>
                        <wps:bodyPr/>
                      </wps:wsp>
                      <wps:wsp>
                        <wps:cNvPr id="200" name="Line 1847"/>
                        <wps:cNvCnPr>
                          <a:cxnSpLocks noChangeShapeType="1"/>
                        </wps:cNvCnPr>
                        <wps:spPr bwMode="auto">
                          <a:xfrm>
                            <a:off x="1055" y="3229"/>
                            <a:ext cx="10130" cy="0"/>
                          </a:xfrm>
                          <a:prstGeom prst="line">
                            <a:avLst/>
                          </a:prstGeom>
                          <a:noFill/>
                          <a:ln w="25400">
                            <a:solidFill>
                              <a:srgbClr val="FFFFFF"/>
                            </a:solidFill>
                            <a:round/>
                            <a:headEnd/>
                            <a:tailEnd/>
                          </a:ln>
                          <a:extLst>
                            <a:ext uri="{909E8E84-426E-40DD-AFC4-6F175D3DCCD1}">
                              <a14:hiddenFill xmlns:a14="http://schemas.microsoft.com/office/drawing/2010/main">
                                <a:noFill/>
                              </a14:hiddenFill>
                            </a:ext>
                          </a:extLst>
                        </wps:spPr>
                        <wps:bodyPr/>
                      </wps:wsp>
                      <wps:wsp>
                        <wps:cNvPr id="201" name="Line 1848"/>
                        <wps:cNvCnPr>
                          <a:cxnSpLocks noChangeShapeType="1"/>
                        </wps:cNvCnPr>
                        <wps:spPr bwMode="auto">
                          <a:xfrm>
                            <a:off x="1055" y="5872"/>
                            <a:ext cx="10130" cy="0"/>
                          </a:xfrm>
                          <a:prstGeom prst="line">
                            <a:avLst/>
                          </a:prstGeom>
                          <a:noFill/>
                          <a:ln w="254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6BF2EB2" id="グループ化 191" o:spid="_x0000_s1026" style="position:absolute;left:0;text-align:left;margin-left:52.75pt;margin-top:-2.3pt;width:506.5pt;height:361.3pt;z-index:-251834880;mso-position-horizontal-relative:page" coordorigin="1055,-46" coordsize="10130,7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">
                <v:shape id="docshape879" o:spid="_x0000_s1027" style="position:absolute;left:1133;top:-36;width:2281;height:496;visibility:visible;mso-wrap-style:square;v-text-anchor:top" coordsize="2281,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" path="m2110,l170,,72,2,21,21,3,71,,170,,495r2280,l2280,170r-2,-99l2259,21,2209,2,2110,xe" fillcolor="#00aca1" stroked="f">
                  <v:path arrowok="t" o:connecttype="custom" o:connectlocs="2110,-35;170,-35;72,-33;21,-14;3,36;0,135;0,460;2280,460;2280,135;2278,36;2259,-14;2209,-33;2110,-35" o:connectangles="0,0,0,0,0,0,0,0,0,0,0,0,0"/>
                </v:shape>
                <v:shape id="docshape880" o:spid="_x0000_s1028" style="position:absolute;left:1133;top:418;width:2281;height:6762;visibility:visible;mso-wrap-style:square;v-text-anchor:top" coordsize="2281,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" path="m2280,l,,,6592r3,98l21,6740r51,19l170,6762r1940,l2209,6759r50,-19l2278,6690r2,-98l2280,xe" fillcolor="#f3f4f4" stroked="f">
                  <v:path arrowok="t" o:connecttype="custom" o:connectlocs="2280,418;0,418;0,7010;3,7108;21,7158;72,7177;170,7180;2110,7180;2209,7177;2259,7158;2278,7108;2280,7010;2280,418" o:connectangles="0,0,0,0,0,0,0,0,0,0,0,0,0"/>
                </v:shape>
                <v:shape id="docshape881" o:spid="_x0000_s1029" style="position:absolute;left:3697;top:-36;width:3563;height:496;visibility:visible;mso-wrap-style:square;v-text-anchor:top" coordsize="35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" path="m3392,l170,,72,2,21,21,2,71,,170,,495r3562,l3562,170r-2,-99l3541,21,3490,2,3392,xe" fillcolor="#00aca1" stroked="f">
                  <v:path arrowok="t" o:connecttype="custom" o:connectlocs="3392,-35;170,-35;72,-33;21,-14;2,36;0,135;0,460;3562,460;3562,135;3560,36;3541,-14;3490,-33;3392,-35" o:connectangles="0,0,0,0,0,0,0,0,0,0,0,0,0"/>
                </v:shape>
                <v:shape id="docshape882" o:spid="_x0000_s1030" style="position:absolute;left:3697;top:418;width:3563;height:6762;visibility:visible;mso-wrap-style:square;v-text-anchor:top" coordsize="3563,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" path="m3562,l,,,6592r2,98l21,6740r51,19l170,6762r3222,l3490,6759r51,-19l3560,6690r2,-98l3562,xe" fillcolor="#f3f4f4" stroked="f">
                  <v:path arrowok="t" o:connecttype="custom" o:connectlocs="3562,418;0,418;0,7010;2,7108;21,7158;72,7177;170,7180;3392,7180;3490,7177;3541,7158;3560,7108;3562,7010;3562,418" o:connectangles="0,0,0,0,0,0,0,0,0,0,0,0,0"/>
                </v:shape>
                <v:shape id="docshape883" o:spid="_x0000_s1031" style="position:absolute;left:7543;top:-47;width:3563;height:496;visibility:visible;mso-wrap-style:square;v-text-anchor:top" coordsize="35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" path="m3392,l170,,71,2,21,21,2,71,,170,,495r3562,l3562,170r-3,-99l3541,21,3490,2,3392,xe" fillcolor="#00aca1" stroked="f">
                  <v:path arrowok="t" o:connecttype="custom" o:connectlocs="3392,-46;170,-46;71,-44;21,-25;2,25;0,124;0,449;3562,449;3562,124;3559,25;3541,-25;3490,-44;3392,-46" o:connectangles="0,0,0,0,0,0,0,0,0,0,0,0,0"/>
                </v:shape>
                <v:shape id="docshape884" o:spid="_x0000_s1032" style="position:absolute;left:7543;top:407;width:3563;height:6762;visibility:visible;mso-wrap-style:square;v-text-anchor:top" coordsize="3563,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" path="m3562,l,,,6592r2,98l21,6741r50,18l170,6762r3222,l3490,6759r51,-18l3559,6690r3,-98l3562,xe" fillcolor="#f3f4f4" stroked="f">
                  <v:path arrowok="t" o:connecttype="custom" o:connectlocs="3562,407;0,407;0,6999;2,7097;21,7148;71,7166;170,7169;3392,7169;3490,7166;3541,7148;3559,7097;3562,6999;3562,407" o:connectangles="0,0,0,0,0,0,0,0,0,0,0,0,0"/>
                </v:shape>
                <v:line id="Line 1845" o:spid="_x0000_s1033" style="position:absolute;visibility:visible;mso-wrap-style:square" from="1055,1192" to="11185,1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" strokecolor="white" strokeweight="2pt"/>
                <v:line id="Line 1846" o:spid="_x0000_s1034" style="position:absolute;visibility:visible;mso-wrap-style:square" from="1055,2184" to="11185,2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" strokecolor="white" strokeweight="2pt"/>
                <v:line id="Line 1847" o:spid="_x0000_s1035" style="position:absolute;visibility:visible;mso-wrap-style:square" from="1055,3229" to="11185,3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" strokecolor="white" strokeweight="2pt"/>
                <v:line id="Line 1848" o:spid="_x0000_s1036" style="position:absolute;visibility:visible;mso-wrap-style:square" from="1055,5872" to="11185,5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" strokecolor="white" strokeweight="2pt"/>
                <w10:wrap anchorx="page"/>
              </v:group>
            </w:pict>
          </mc:Fallback>
        </mc:AlternateContent>
      </w:r>
      <w:r>
        <w:rPr>
          <w:rFonts w:ascii="ＭＳ 明朝" w:eastAsia="ＭＳ 明朝" w:hAnsi="ＭＳ 明朝" w:cs="ＭＳ 明朝" w:hint="eastAsia"/>
          <w:color w:val="F1F1F2"/>
          <w:w w:val="105"/>
          <w:lang w:eastAsia="ja-JP"/>
        </w:rPr>
        <w:t>指標</w:t>
      </w:r>
      <w:r>
        <w:rPr>
          <w:color w:val="F1F1F2"/>
          <w:w w:val="105"/>
          <w:lang w:eastAsia="ja-JP"/>
        </w:rPr>
        <w:tab/>
      </w:r>
      <w:r>
        <w:rPr>
          <w:rFonts w:ascii="ＭＳ 明朝" w:eastAsia="ＭＳ 明朝" w:hAnsi="ＭＳ 明朝" w:cs="ＭＳ 明朝" w:hint="eastAsia"/>
          <w:color w:val="F1F1F2"/>
          <w:lang w:eastAsia="ja-JP"/>
        </w:rPr>
        <w:t>説明</w:t>
      </w:r>
      <w:r>
        <w:rPr>
          <w:color w:val="F1F1F2"/>
          <w:lang w:eastAsia="ja-JP"/>
        </w:rPr>
        <w:tab/>
      </w:r>
      <w:r>
        <w:rPr>
          <w:rFonts w:ascii="ＭＳ 明朝" w:eastAsia="ＭＳ 明朝" w:hAnsi="ＭＳ 明朝" w:cs="ＭＳ 明朝" w:hint="eastAsia"/>
          <w:color w:val="F1F1F2"/>
          <w:lang w:eastAsia="ja-JP"/>
        </w:rPr>
        <w:t>データ品質との関係</w:t>
      </w:r>
    </w:p>
    <w:p w14:paraId="701A3CD8" w14:textId="77777777" w:rsidR="003058A4" w:rsidRDefault="003058A4" w:rsidP="003058A4">
      <w:pPr>
        <w:pStyle w:val="a3"/>
        <w:spacing w:before="7"/>
        <w:rPr>
          <w:rFonts w:ascii="Arial"/>
          <w:b/>
          <w:i/>
          <w:sz w:val="14"/>
          <w:lang w:eastAsia="ja-JP"/>
        </w:rPr>
      </w:pPr>
    </w:p>
    <w:p w14:paraId="399D2653" w14:textId="77777777" w:rsidR="003058A4" w:rsidRDefault="003058A4" w:rsidP="003058A4">
      <w:pPr>
        <w:rPr>
          <w:rFonts w:ascii="Arial"/>
          <w:sz w:val="14"/>
          <w:lang w:eastAsia="ja-JP"/>
        </w:rPr>
        <w:sectPr w:rsidR="003058A4">
          <w:type w:val="continuous"/>
          <w:pgSz w:w="12240" w:h="15840"/>
          <w:pgMar w:top="740" w:right="0" w:bottom="280" w:left="0" w:header="0" w:footer="859" w:gutter="0"/>
          <w:cols w:space="720"/>
        </w:sectPr>
      </w:pPr>
    </w:p>
    <w:p w14:paraId="5CD421BB" w14:textId="77777777" w:rsidR="003058A4" w:rsidRDefault="003058A4" w:rsidP="003058A4">
      <w:pPr>
        <w:pStyle w:val="8"/>
        <w:spacing w:before="99" w:line="264" w:lineRule="auto"/>
        <w:ind w:left="1213" w:right="-2"/>
        <w:rPr>
          <w:lang w:eastAsia="ja-JP"/>
        </w:rPr>
      </w:pPr>
      <w:r>
        <w:rPr>
          <w:rFonts w:ascii="ＭＳ 明朝" w:eastAsia="ＭＳ 明朝" w:hAnsi="ＭＳ 明朝" w:cs="ＭＳ 明朝" w:hint="eastAsia"/>
          <w:color w:val="545456"/>
          <w:lang w:eastAsia="ja-JP"/>
        </w:rPr>
        <w:t>技術的代表性</w:t>
      </w:r>
    </w:p>
    <w:p w14:paraId="511EEC22" w14:textId="77777777" w:rsidR="003058A4" w:rsidRDefault="003058A4" w:rsidP="003058A4">
      <w:pPr>
        <w:pStyle w:val="a3"/>
        <w:spacing w:before="102" w:line="268" w:lineRule="auto"/>
        <w:ind w:left="773"/>
        <w:rPr>
          <w:lang w:eastAsia="ja-JP"/>
        </w:rPr>
      </w:pPr>
      <w:r>
        <w:rPr>
          <w:lang w:eastAsia="ja-JP"/>
        </w:rPr>
        <w:br w:type="column"/>
      </w:r>
      <w:r>
        <w:rPr>
          <w:rFonts w:ascii="ＭＳ ゴシック" w:eastAsia="ＭＳ ゴシック" w:hAnsi="ＭＳ ゴシック" w:cs="ＭＳ ゴシック" w:hint="eastAsia"/>
          <w:color w:val="545456"/>
          <w:lang w:eastAsia="ja-JP"/>
        </w:rPr>
        <w:t>実際に使用された技術をどの程度反映したデータか</w:t>
      </w:r>
    </w:p>
    <w:p w14:paraId="2A55AF17" w14:textId="77777777" w:rsidR="003058A4" w:rsidRDefault="003058A4" w:rsidP="003058A4">
      <w:pPr>
        <w:pStyle w:val="a3"/>
        <w:spacing w:before="102" w:line="268" w:lineRule="auto"/>
        <w:ind w:left="641" w:right="1475"/>
        <w:rPr>
          <w:lang w:eastAsia="ja-JP"/>
        </w:rPr>
      </w:pPr>
      <w:r>
        <w:rPr>
          <w:lang w:eastAsia="ja-JP"/>
        </w:rPr>
        <w:br w:type="column"/>
      </w:r>
      <w:r>
        <w:rPr>
          <w:rFonts w:ascii="ＭＳ ゴシック" w:eastAsia="ＭＳ ゴシック" w:hAnsi="ＭＳ ゴシック" w:cs="ＭＳ ゴシック" w:hint="eastAsia"/>
          <w:lang w:eastAsia="ja-JP"/>
        </w:rPr>
        <w:t>技術的に特化したデータを選択しましょう。</w:t>
      </w:r>
    </w:p>
    <w:p w14:paraId="342ADDEC" w14:textId="77777777" w:rsidR="003058A4" w:rsidRDefault="003058A4" w:rsidP="003058A4">
      <w:pPr>
        <w:spacing w:line="268" w:lineRule="auto"/>
        <w:rPr>
          <w:lang w:eastAsia="ja-JP"/>
        </w:rPr>
        <w:sectPr w:rsidR="003058A4">
          <w:type w:val="continuous"/>
          <w:pgSz w:w="12240" w:h="15840"/>
          <w:pgMar w:top="740" w:right="0" w:bottom="280" w:left="0" w:header="0" w:footer="859" w:gutter="0"/>
          <w:cols w:num="3" w:space="720" w:equalWidth="0">
            <w:col w:w="2964" w:space="40"/>
            <w:col w:w="3939" w:space="39"/>
            <w:col w:w="5258"/>
          </w:cols>
        </w:sectPr>
      </w:pPr>
    </w:p>
    <w:p w14:paraId="6B907508" w14:textId="77777777" w:rsidR="003058A4" w:rsidRDefault="003058A4" w:rsidP="003058A4">
      <w:pPr>
        <w:pStyle w:val="a3"/>
        <w:rPr>
          <w:sz w:val="17"/>
          <w:lang w:eastAsia="ja-JP"/>
        </w:rPr>
      </w:pPr>
    </w:p>
    <w:p w14:paraId="1FE6ACFE" w14:textId="77777777" w:rsidR="003058A4" w:rsidRDefault="003058A4" w:rsidP="003058A4">
      <w:pPr>
        <w:rPr>
          <w:sz w:val="17"/>
          <w:lang w:eastAsia="ja-JP"/>
        </w:rPr>
        <w:sectPr w:rsidR="003058A4">
          <w:type w:val="continuous"/>
          <w:pgSz w:w="12240" w:h="15840"/>
          <w:pgMar w:top="740" w:right="0" w:bottom="280" w:left="0" w:header="0" w:footer="859" w:gutter="0"/>
          <w:cols w:space="720"/>
        </w:sectPr>
      </w:pPr>
    </w:p>
    <w:p w14:paraId="6F875421" w14:textId="77777777" w:rsidR="003058A4" w:rsidRDefault="003058A4" w:rsidP="003058A4">
      <w:pPr>
        <w:pStyle w:val="8"/>
        <w:spacing w:before="100" w:line="264" w:lineRule="auto"/>
        <w:ind w:left="1213" w:right="-2"/>
        <w:rPr>
          <w:lang w:eastAsia="ja-JP"/>
        </w:rPr>
      </w:pPr>
      <w:r>
        <w:rPr>
          <w:rFonts w:ascii="ＭＳ 明朝" w:eastAsia="ＭＳ 明朝" w:hAnsi="ＭＳ 明朝" w:cs="ＭＳ 明朝" w:hint="eastAsia"/>
          <w:color w:val="545456"/>
          <w:lang w:eastAsia="ja-JP"/>
        </w:rPr>
        <w:t>時間的代表性</w:t>
      </w:r>
    </w:p>
    <w:p w14:paraId="35B3573F" w14:textId="77777777" w:rsidR="003058A4" w:rsidRDefault="003058A4" w:rsidP="003058A4">
      <w:pPr>
        <w:pStyle w:val="a3"/>
        <w:spacing w:before="103" w:line="268" w:lineRule="auto"/>
        <w:ind w:left="773"/>
        <w:rPr>
          <w:lang w:eastAsia="ja-JP"/>
        </w:rPr>
      </w:pPr>
      <w:r>
        <w:rPr>
          <w:lang w:eastAsia="ja-JP"/>
        </w:rPr>
        <w:br w:type="column"/>
      </w:r>
      <w:r>
        <w:rPr>
          <w:rFonts w:ascii="ＭＳ ゴシック" w:eastAsia="ＭＳ ゴシック" w:hAnsi="ＭＳ ゴシック" w:cs="ＭＳ ゴシック" w:hint="eastAsia"/>
          <w:lang w:eastAsia="ja-JP"/>
        </w:rPr>
        <w:t>実際の活動期間や年齢をどの程度反映しているか</w:t>
      </w:r>
    </w:p>
    <w:p w14:paraId="3C26DD09" w14:textId="77777777" w:rsidR="003058A4" w:rsidRDefault="003058A4" w:rsidP="003058A4">
      <w:pPr>
        <w:pStyle w:val="a3"/>
        <w:spacing w:before="103" w:line="268" w:lineRule="auto"/>
        <w:ind w:left="641" w:right="1475"/>
        <w:rPr>
          <w:lang w:eastAsia="ja-JP"/>
        </w:rPr>
      </w:pPr>
      <w:r>
        <w:rPr>
          <w:lang w:eastAsia="ja-JP"/>
        </w:rPr>
        <w:br w:type="column"/>
      </w:r>
      <w:r>
        <w:rPr>
          <w:rFonts w:ascii="ＭＳ ゴシック" w:eastAsia="ＭＳ ゴシック" w:hAnsi="ＭＳ ゴシック" w:cs="ＭＳ ゴシック" w:hint="eastAsia"/>
          <w:color w:val="545456"/>
          <w:lang w:eastAsia="ja-JP"/>
        </w:rPr>
        <w:t>期間がわかるデータを選択しましょう。</w:t>
      </w:r>
    </w:p>
    <w:p w14:paraId="39FA713F" w14:textId="77777777" w:rsidR="003058A4" w:rsidRDefault="003058A4" w:rsidP="003058A4">
      <w:pPr>
        <w:spacing w:line="268" w:lineRule="auto"/>
        <w:rPr>
          <w:lang w:eastAsia="ja-JP"/>
        </w:rPr>
        <w:sectPr w:rsidR="003058A4">
          <w:type w:val="continuous"/>
          <w:pgSz w:w="12240" w:h="15840"/>
          <w:pgMar w:top="740" w:right="0" w:bottom="280" w:left="0" w:header="0" w:footer="859" w:gutter="0"/>
          <w:cols w:num="3" w:space="720" w:equalWidth="0">
            <w:col w:w="2964" w:space="40"/>
            <w:col w:w="3939" w:space="39"/>
            <w:col w:w="5258"/>
          </w:cols>
        </w:sectPr>
      </w:pPr>
    </w:p>
    <w:p w14:paraId="57D74298" w14:textId="77777777" w:rsidR="003058A4" w:rsidRDefault="003058A4" w:rsidP="003058A4">
      <w:pPr>
        <w:pStyle w:val="a3"/>
        <w:spacing w:before="8"/>
        <w:rPr>
          <w:sz w:val="13"/>
          <w:lang w:eastAsia="ja-JP"/>
        </w:rPr>
      </w:pPr>
    </w:p>
    <w:p w14:paraId="7822B0B5" w14:textId="77777777" w:rsidR="003058A4" w:rsidRDefault="003058A4" w:rsidP="003058A4">
      <w:pPr>
        <w:rPr>
          <w:sz w:val="13"/>
          <w:lang w:eastAsia="ja-JP"/>
        </w:rPr>
        <w:sectPr w:rsidR="003058A4">
          <w:type w:val="continuous"/>
          <w:pgSz w:w="12240" w:h="15840"/>
          <w:pgMar w:top="740" w:right="0" w:bottom="280" w:left="0" w:header="0" w:footer="859" w:gutter="0"/>
          <w:cols w:space="720"/>
        </w:sectPr>
      </w:pPr>
    </w:p>
    <w:p w14:paraId="65E21ABE" w14:textId="77777777" w:rsidR="003058A4" w:rsidRDefault="003058A4" w:rsidP="003058A4">
      <w:pPr>
        <w:pStyle w:val="8"/>
        <w:spacing w:before="99" w:line="264" w:lineRule="auto"/>
        <w:ind w:left="1213" w:right="-2"/>
        <w:rPr>
          <w:lang w:eastAsia="ja-JP"/>
        </w:rPr>
      </w:pPr>
      <w:r>
        <w:rPr>
          <w:rFonts w:ascii="ＭＳ 明朝" w:eastAsia="ＭＳ 明朝" w:hAnsi="ＭＳ 明朝" w:cs="ＭＳ 明朝" w:hint="eastAsia"/>
          <w:color w:val="545456"/>
          <w:lang w:eastAsia="ja-JP"/>
        </w:rPr>
        <w:t>地理的代表性</w:t>
      </w:r>
    </w:p>
    <w:p w14:paraId="2E28E921" w14:textId="77777777" w:rsidR="003058A4" w:rsidRDefault="003058A4" w:rsidP="003058A4">
      <w:pPr>
        <w:pStyle w:val="a3"/>
        <w:spacing w:before="102" w:line="268" w:lineRule="auto"/>
        <w:ind w:left="773"/>
        <w:jc w:val="both"/>
        <w:rPr>
          <w:lang w:eastAsia="ja-JP"/>
        </w:rPr>
      </w:pPr>
      <w:r>
        <w:rPr>
          <w:lang w:eastAsia="ja-JP"/>
        </w:rPr>
        <w:br w:type="column"/>
      </w:r>
      <w:r>
        <w:rPr>
          <w:rFonts w:ascii="ＭＳ ゴシック" w:eastAsia="ＭＳ ゴシック" w:hAnsi="ＭＳ ゴシック" w:cs="ＭＳ ゴシック" w:hint="eastAsia"/>
          <w:lang w:eastAsia="ja-JP"/>
        </w:rPr>
        <w:t>データが活動の実際の地理的位置を</w:t>
      </w:r>
      <w:r>
        <w:rPr>
          <w:lang w:eastAsia="ja-JP"/>
        </w:rPr>
        <w:t xml:space="preserve"> </w:t>
      </w:r>
      <w:r>
        <w:rPr>
          <w:rFonts w:ascii="ＭＳ ゴシック" w:eastAsia="ＭＳ ゴシック" w:hAnsi="ＭＳ ゴシック" w:cs="ＭＳ ゴシック" w:hint="eastAsia"/>
          <w:lang w:eastAsia="ja-JP"/>
        </w:rPr>
        <w:t>どの程度反映しているか（例：国またはサイト）</w:t>
      </w:r>
    </w:p>
    <w:p w14:paraId="7284655C" w14:textId="77777777" w:rsidR="003058A4" w:rsidRDefault="003058A4" w:rsidP="003058A4">
      <w:pPr>
        <w:pStyle w:val="a3"/>
        <w:spacing w:before="102" w:line="268" w:lineRule="auto"/>
        <w:ind w:left="641" w:right="1475"/>
        <w:rPr>
          <w:lang w:eastAsia="ja-JP"/>
        </w:rPr>
      </w:pPr>
      <w:r>
        <w:rPr>
          <w:lang w:eastAsia="ja-JP"/>
        </w:rPr>
        <w:br w:type="column"/>
      </w:r>
      <w:r>
        <w:rPr>
          <w:rFonts w:ascii="ＭＳ ゴシック" w:eastAsia="ＭＳ ゴシック" w:hAnsi="ＭＳ ゴシック" w:cs="ＭＳ ゴシック" w:hint="eastAsia"/>
          <w:color w:val="545456"/>
          <w:lang w:eastAsia="ja-JP"/>
        </w:rPr>
        <w:t>地理的に特定されたデータを選択しましょう。</w:t>
      </w:r>
    </w:p>
    <w:p w14:paraId="5C317A79" w14:textId="77777777" w:rsidR="003058A4" w:rsidRDefault="003058A4" w:rsidP="003058A4">
      <w:pPr>
        <w:spacing w:line="268" w:lineRule="auto"/>
        <w:rPr>
          <w:lang w:eastAsia="ja-JP"/>
        </w:rPr>
        <w:sectPr w:rsidR="003058A4">
          <w:type w:val="continuous"/>
          <w:pgSz w:w="12240" w:h="15840"/>
          <w:pgMar w:top="740" w:right="0" w:bottom="280" w:left="0" w:header="0" w:footer="859" w:gutter="0"/>
          <w:cols w:num="3" w:space="720" w:equalWidth="0">
            <w:col w:w="2964" w:space="40"/>
            <w:col w:w="3939" w:space="39"/>
            <w:col w:w="5258"/>
          </w:cols>
        </w:sectPr>
      </w:pPr>
    </w:p>
    <w:p w14:paraId="71345E21" w14:textId="77777777" w:rsidR="003058A4" w:rsidRDefault="003058A4" w:rsidP="003058A4">
      <w:pPr>
        <w:pStyle w:val="a3"/>
        <w:spacing w:before="4"/>
        <w:rPr>
          <w:sz w:val="22"/>
          <w:lang w:eastAsia="ja-JP"/>
        </w:rPr>
      </w:pPr>
    </w:p>
    <w:bookmarkEnd w:id="8"/>
    <w:p w14:paraId="010C0098" w14:textId="77777777" w:rsidR="003058A4" w:rsidRDefault="003058A4" w:rsidP="003058A4">
      <w:pPr>
        <w:rPr>
          <w:lang w:eastAsia="ja-JP"/>
        </w:rPr>
        <w:sectPr w:rsidR="003058A4">
          <w:type w:val="continuous"/>
          <w:pgSz w:w="12240" w:h="15840"/>
          <w:pgMar w:top="740" w:right="0" w:bottom="280" w:left="0" w:header="0" w:footer="859" w:gutter="0"/>
          <w:cols w:space="720"/>
        </w:sectPr>
      </w:pPr>
    </w:p>
    <w:p w14:paraId="447F6A36" w14:textId="77777777" w:rsidR="003058A4" w:rsidRDefault="003058A4" w:rsidP="003058A4">
      <w:pPr>
        <w:pStyle w:val="a3"/>
        <w:tabs>
          <w:tab w:val="left" w:pos="3777"/>
        </w:tabs>
        <w:spacing w:before="99" w:line="266" w:lineRule="auto"/>
        <w:ind w:left="3777" w:right="487" w:hanging="2564"/>
        <w:jc w:val="both"/>
        <w:rPr>
          <w:lang w:eastAsia="ja-JP"/>
        </w:rPr>
      </w:pPr>
      <w:r>
        <w:rPr>
          <w:rFonts w:ascii="ＭＳ ゴシック" w:eastAsia="ＭＳ ゴシック" w:hAnsi="ＭＳ ゴシック" w:cs="ＭＳ ゴシック" w:hint="eastAsia"/>
          <w:b/>
          <w:color w:val="545456"/>
          <w:spacing w:val="-1"/>
          <w:w w:val="105"/>
          <w:lang w:eastAsia="ja-JP"/>
        </w:rPr>
        <w:t>完成度</w:t>
      </w:r>
      <w:r>
        <w:rPr>
          <w:rFonts w:ascii="Arial"/>
          <w:b/>
          <w:color w:val="545456"/>
          <w:spacing w:val="-1"/>
          <w:w w:val="105"/>
          <w:lang w:eastAsia="ja-JP"/>
        </w:rPr>
        <w:tab/>
      </w:r>
      <w:r>
        <w:rPr>
          <w:rFonts w:ascii="ＭＳ ゴシック" w:eastAsia="ＭＳ ゴシック" w:hAnsi="ＭＳ ゴシック" w:cs="ＭＳ ゴシック" w:hint="eastAsia"/>
          <w:lang w:eastAsia="ja-JP"/>
        </w:rPr>
        <w:t>データが関連する活動をどの程</w:t>
      </w:r>
      <w:r>
        <w:rPr>
          <w:lang w:eastAsia="ja-JP"/>
        </w:rPr>
        <w:t xml:space="preserve"> </w:t>
      </w:r>
      <w:r>
        <w:rPr>
          <w:rFonts w:ascii="ＭＳ ゴシック" w:eastAsia="ＭＳ ゴシック" w:hAnsi="ＭＳ ゴシック" w:cs="ＭＳ ゴシック" w:hint="eastAsia"/>
          <w:lang w:eastAsia="ja-JP"/>
        </w:rPr>
        <w:t>度統計的に代表しているか。</w:t>
      </w:r>
      <w:r>
        <w:rPr>
          <w:lang w:eastAsia="ja-JP"/>
        </w:rPr>
        <w:t xml:space="preserve"> </w:t>
      </w:r>
      <w:r>
        <w:rPr>
          <w:rFonts w:ascii="ＭＳ ゴシック" w:eastAsia="ＭＳ ゴシック" w:hAnsi="ＭＳ ゴシック" w:cs="ＭＳ ゴシック" w:hint="eastAsia"/>
          <w:lang w:eastAsia="ja-JP"/>
        </w:rPr>
        <w:t>完全性には、特定の活動に関連する総数のうち、データが利用可能で使用されている地点の割合が含まれる。完全性には、データの季節的変動やその他の通常変動も含まれる。</w:t>
      </w:r>
    </w:p>
    <w:p w14:paraId="671A6CC9" w14:textId="77777777" w:rsidR="003058A4" w:rsidRDefault="003058A4" w:rsidP="003058A4">
      <w:pPr>
        <w:pStyle w:val="a3"/>
        <w:spacing w:before="102" w:line="268" w:lineRule="auto"/>
        <w:ind w:left="521" w:right="1475"/>
        <w:rPr>
          <w:lang w:eastAsia="ja-JP"/>
        </w:rPr>
      </w:pPr>
      <w:r>
        <w:rPr>
          <w:lang w:eastAsia="ja-JP"/>
        </w:rPr>
        <w:br w:type="column"/>
      </w:r>
      <w:r>
        <w:rPr>
          <w:rFonts w:ascii="ＭＳ ゴシック" w:eastAsia="ＭＳ ゴシック" w:hAnsi="ＭＳ ゴシック" w:cs="ＭＳ ゴシック" w:hint="eastAsia"/>
          <w:color w:val="545456"/>
          <w:lang w:eastAsia="ja-JP"/>
        </w:rPr>
        <w:t>完全なデータを選択しましょう。</w:t>
      </w:r>
    </w:p>
    <w:p w14:paraId="7BCC5825" w14:textId="77777777" w:rsidR="003058A4" w:rsidRDefault="003058A4" w:rsidP="003058A4">
      <w:pPr>
        <w:spacing w:line="268" w:lineRule="auto"/>
        <w:rPr>
          <w:lang w:eastAsia="ja-JP"/>
        </w:rPr>
        <w:sectPr w:rsidR="003058A4">
          <w:type w:val="continuous"/>
          <w:pgSz w:w="12240" w:h="15840"/>
          <w:pgMar w:top="740" w:right="0" w:bottom="280" w:left="0" w:header="0" w:footer="859" w:gutter="0"/>
          <w:cols w:num="2" w:space="720" w:equalWidth="0">
            <w:col w:w="7062" w:space="40"/>
            <w:col w:w="5138"/>
          </w:cols>
        </w:sectPr>
      </w:pPr>
    </w:p>
    <w:p w14:paraId="695E90AE" w14:textId="77777777" w:rsidR="003058A4" w:rsidRDefault="003058A4" w:rsidP="003058A4">
      <w:pPr>
        <w:pStyle w:val="a3"/>
        <w:spacing w:before="9"/>
        <w:rPr>
          <w:sz w:val="20"/>
          <w:lang w:eastAsia="ja-JP"/>
        </w:rPr>
      </w:pPr>
    </w:p>
    <w:p w14:paraId="6BE14C2F" w14:textId="77777777" w:rsidR="003058A4" w:rsidRDefault="003058A4" w:rsidP="003058A4">
      <w:pPr>
        <w:rPr>
          <w:sz w:val="20"/>
          <w:lang w:eastAsia="ja-JP"/>
        </w:rPr>
        <w:sectPr w:rsidR="003058A4">
          <w:type w:val="continuous"/>
          <w:pgSz w:w="12240" w:h="15840"/>
          <w:pgMar w:top="740" w:right="0" w:bottom="280" w:left="0" w:header="0" w:footer="859" w:gutter="0"/>
          <w:cols w:space="720"/>
        </w:sectPr>
      </w:pPr>
    </w:p>
    <w:p w14:paraId="3D349345" w14:textId="15BCBE9F" w:rsidR="003058A4" w:rsidRDefault="003058A4" w:rsidP="003058A4">
      <w:pPr>
        <w:pStyle w:val="a3"/>
        <w:tabs>
          <w:tab w:val="left" w:pos="3777"/>
        </w:tabs>
        <w:spacing w:before="99" w:line="266" w:lineRule="auto"/>
        <w:ind w:left="3777" w:hanging="2564"/>
        <w:rPr>
          <w:lang w:eastAsia="ja-JP"/>
        </w:rPr>
      </w:pPr>
      <w:r>
        <w:rPr>
          <w:rFonts w:ascii="ＭＳ ゴシック" w:eastAsia="ＭＳ ゴシック" w:hAnsi="ＭＳ ゴシック" w:cs="ＭＳ ゴシック" w:hint="eastAsia"/>
          <w:b/>
          <w:color w:val="545456"/>
          <w:w w:val="105"/>
          <w:lang w:eastAsia="ja-JP"/>
        </w:rPr>
        <w:t>信頼性</w:t>
      </w:r>
      <w:r>
        <w:rPr>
          <w:rFonts w:ascii="Arial"/>
          <w:b/>
          <w:color w:val="545456"/>
          <w:w w:val="105"/>
          <w:lang w:eastAsia="ja-JP"/>
        </w:rPr>
        <w:tab/>
      </w:r>
      <w:r>
        <w:rPr>
          <w:rFonts w:ascii="ＭＳ ゴシック" w:eastAsia="ＭＳ ゴシック" w:hAnsi="ＭＳ ゴシック" w:cs="ＭＳ ゴシック" w:hint="eastAsia"/>
          <w:lang w:eastAsia="ja-JP"/>
        </w:rPr>
        <w:t>データを得るために使用した情報源、データ収集方法、検証手順</w:t>
      </w:r>
      <w:hyperlink w:anchor="_Endnotes_4" w:history="1">
        <w:r w:rsidR="00217FB1">
          <w:rPr>
            <w:rStyle w:val="ac"/>
            <w:rFonts w:asciiTheme="minorEastAsia" w:eastAsiaTheme="minorEastAsia" w:hAnsiTheme="minorEastAsia" w:hint="eastAsia"/>
            <w:vertAlign w:val="superscript"/>
            <w:lang w:eastAsia="ja-JP"/>
          </w:rPr>
          <w:t>３</w:t>
        </w:r>
      </w:hyperlink>
      <w:r>
        <w:rPr>
          <w:rFonts w:ascii="ＭＳ ゴシック" w:eastAsia="ＭＳ ゴシック" w:hAnsi="ＭＳ ゴシック" w:cs="ＭＳ ゴシック" w:hint="eastAsia"/>
          <w:lang w:eastAsia="ja-JP"/>
        </w:rPr>
        <w:t>がどの程度信頼できるものであるか。</w:t>
      </w:r>
    </w:p>
    <w:p w14:paraId="2502A2FF" w14:textId="77777777" w:rsidR="003058A4" w:rsidRDefault="003058A4" w:rsidP="003058A4">
      <w:pPr>
        <w:pStyle w:val="a3"/>
        <w:spacing w:before="102" w:line="268" w:lineRule="auto"/>
        <w:ind w:left="455" w:right="765"/>
      </w:pPr>
      <w:r>
        <w:rPr>
          <w:lang w:eastAsia="ja-JP"/>
        </w:rPr>
        <w:br w:type="column"/>
      </w:r>
      <w:r>
        <w:rPr>
          <w:rFonts w:ascii="ＭＳ ゴシック" w:eastAsia="ＭＳ ゴシック" w:hAnsi="ＭＳ ゴシック" w:cs="ＭＳ ゴシック" w:hint="eastAsia"/>
          <w:lang w:eastAsia="ja-JP"/>
        </w:rPr>
        <w:t>信頼性の高いデータを選択しましょう。</w:t>
      </w:r>
      <w:r>
        <w:rPr>
          <w:color w:val="545456"/>
        </w:rPr>
        <w:t>.</w:t>
      </w:r>
    </w:p>
    <w:p w14:paraId="7133DDCF" w14:textId="77777777" w:rsidR="003058A4" w:rsidRDefault="003058A4" w:rsidP="003058A4">
      <w:pPr>
        <w:spacing w:line="268" w:lineRule="auto"/>
        <w:sectPr w:rsidR="003058A4">
          <w:type w:val="continuous"/>
          <w:pgSz w:w="12240" w:h="15840"/>
          <w:pgMar w:top="740" w:right="0" w:bottom="280" w:left="0" w:header="0" w:footer="859" w:gutter="0"/>
          <w:cols w:num="2" w:space="720" w:equalWidth="0">
            <w:col w:w="7129" w:space="40"/>
            <w:col w:w="5071"/>
          </w:cols>
        </w:sectPr>
      </w:pPr>
    </w:p>
    <w:p w14:paraId="6DD151D9" w14:textId="77777777" w:rsidR="003058A4" w:rsidRDefault="003058A4" w:rsidP="003058A4">
      <w:pPr>
        <w:pStyle w:val="a3"/>
        <w:rPr>
          <w:sz w:val="20"/>
        </w:rPr>
      </w:pPr>
    </w:p>
    <w:p w14:paraId="33DBDE60" w14:textId="123DD138" w:rsidR="003058A4" w:rsidRPr="003058A4" w:rsidRDefault="003058A4" w:rsidP="003058A4">
      <w:pPr>
        <w:pStyle w:val="6"/>
        <w:ind w:left="1132"/>
        <w:rPr>
          <w:rFonts w:ascii="ＭＳ ゴシック" w:eastAsia="ＭＳ ゴシック" w:hAnsi="ＭＳ ゴシック" w:cs="ＭＳ ゴシック"/>
          <w:color w:val="545456"/>
          <w:lang w:eastAsia="ja-JP"/>
        </w:rPr>
        <w:sectPr w:rsidR="003058A4" w:rsidRPr="003058A4">
          <w:type w:val="continuous"/>
          <w:pgSz w:w="12240" w:h="15840"/>
          <w:pgMar w:top="740" w:right="0" w:bottom="280" w:left="0" w:header="0" w:footer="859" w:gutter="0"/>
          <w:cols w:space="720"/>
        </w:sectPr>
      </w:pPr>
      <w:r>
        <w:rPr>
          <w:rFonts w:ascii="ＭＳ ゴシック" w:eastAsia="ＭＳ ゴシック" w:hAnsi="ＭＳ ゴシック" w:cs="ＭＳ ゴシック" w:hint="eastAsia"/>
          <w:color w:val="545456"/>
          <w:spacing w:val="-1"/>
          <w:sz w:val="16"/>
          <w:lang w:eastAsia="ja-JP"/>
        </w:rPr>
        <w:t>引用元：</w:t>
      </w:r>
      <w:r>
        <w:rPr>
          <w:color w:val="545456"/>
          <w:spacing w:val="-10"/>
          <w:sz w:val="16"/>
        </w:rPr>
        <w:t xml:space="preserve"> </w:t>
      </w:r>
      <w:r>
        <w:rPr>
          <w:color w:val="545456"/>
          <w:spacing w:val="-1"/>
          <w:sz w:val="16"/>
        </w:rPr>
        <w:t>B.P.</w:t>
      </w:r>
      <w:r>
        <w:rPr>
          <w:color w:val="545456"/>
          <w:spacing w:val="-9"/>
          <w:sz w:val="16"/>
        </w:rPr>
        <w:t xml:space="preserve"> </w:t>
      </w:r>
      <w:proofErr w:type="spellStart"/>
      <w:r>
        <w:rPr>
          <w:color w:val="545456"/>
          <w:spacing w:val="-1"/>
          <w:sz w:val="16"/>
        </w:rPr>
        <w:t>Weidema</w:t>
      </w:r>
      <w:proofErr w:type="spellEnd"/>
      <w:r>
        <w:rPr>
          <w:color w:val="545456"/>
          <w:spacing w:val="-1"/>
          <w:sz w:val="16"/>
        </w:rPr>
        <w:t>,</w:t>
      </w:r>
      <w:r>
        <w:rPr>
          <w:color w:val="545456"/>
          <w:spacing w:val="-10"/>
          <w:sz w:val="16"/>
        </w:rPr>
        <w:t xml:space="preserve"> </w:t>
      </w:r>
      <w:r>
        <w:rPr>
          <w:color w:val="545456"/>
          <w:spacing w:val="-1"/>
          <w:sz w:val="16"/>
        </w:rPr>
        <w:t>and</w:t>
      </w:r>
      <w:r>
        <w:rPr>
          <w:color w:val="545456"/>
          <w:spacing w:val="-9"/>
          <w:sz w:val="16"/>
        </w:rPr>
        <w:t xml:space="preserve"> </w:t>
      </w:r>
      <w:r>
        <w:rPr>
          <w:color w:val="545456"/>
          <w:spacing w:val="-1"/>
          <w:sz w:val="16"/>
        </w:rPr>
        <w:t>M.S.</w:t>
      </w:r>
      <w:r>
        <w:rPr>
          <w:color w:val="545456"/>
          <w:spacing w:val="-10"/>
          <w:sz w:val="16"/>
        </w:rPr>
        <w:t xml:space="preserve"> </w:t>
      </w:r>
      <w:proofErr w:type="spellStart"/>
      <w:r>
        <w:rPr>
          <w:color w:val="545456"/>
          <w:spacing w:val="-1"/>
          <w:sz w:val="16"/>
        </w:rPr>
        <w:t>Wesnaes</w:t>
      </w:r>
      <w:proofErr w:type="spellEnd"/>
      <w:r>
        <w:rPr>
          <w:color w:val="545456"/>
          <w:spacing w:val="-1"/>
          <w:sz w:val="16"/>
        </w:rPr>
        <w:t>,</w:t>
      </w:r>
      <w:r>
        <w:rPr>
          <w:color w:val="545456"/>
          <w:spacing w:val="-9"/>
          <w:sz w:val="16"/>
        </w:rPr>
        <w:t xml:space="preserve"> </w:t>
      </w:r>
      <w:r>
        <w:rPr>
          <w:color w:val="545456"/>
          <w:spacing w:val="-1"/>
          <w:sz w:val="16"/>
        </w:rPr>
        <w:t>“Data</w:t>
      </w:r>
      <w:r>
        <w:rPr>
          <w:color w:val="545456"/>
          <w:spacing w:val="-10"/>
          <w:sz w:val="16"/>
        </w:rPr>
        <w:t xml:space="preserve"> </w:t>
      </w:r>
      <w:r>
        <w:rPr>
          <w:color w:val="545456"/>
          <w:sz w:val="16"/>
        </w:rPr>
        <w:t>quality</w:t>
      </w:r>
      <w:r>
        <w:rPr>
          <w:color w:val="545456"/>
          <w:spacing w:val="-9"/>
          <w:sz w:val="16"/>
        </w:rPr>
        <w:t xml:space="preserve"> </w:t>
      </w:r>
      <w:r>
        <w:rPr>
          <w:color w:val="545456"/>
          <w:sz w:val="16"/>
        </w:rPr>
        <w:t>management</w:t>
      </w:r>
      <w:r>
        <w:rPr>
          <w:color w:val="545456"/>
          <w:spacing w:val="-10"/>
          <w:sz w:val="16"/>
        </w:rPr>
        <w:t xml:space="preserve"> </w:t>
      </w:r>
      <w:r>
        <w:rPr>
          <w:color w:val="545456"/>
          <w:sz w:val="16"/>
        </w:rPr>
        <w:t>for</w:t>
      </w:r>
      <w:r>
        <w:rPr>
          <w:color w:val="545456"/>
          <w:spacing w:val="-9"/>
          <w:sz w:val="16"/>
        </w:rPr>
        <w:t xml:space="preserve"> </w:t>
      </w:r>
      <w:r>
        <w:rPr>
          <w:color w:val="545456"/>
          <w:sz w:val="16"/>
        </w:rPr>
        <w:t>life</w:t>
      </w:r>
      <w:r>
        <w:rPr>
          <w:color w:val="545456"/>
          <w:spacing w:val="-10"/>
          <w:sz w:val="16"/>
        </w:rPr>
        <w:t xml:space="preserve"> </w:t>
      </w:r>
      <w:r>
        <w:rPr>
          <w:color w:val="545456"/>
          <w:sz w:val="16"/>
        </w:rPr>
        <w:t>cycle</w:t>
      </w:r>
      <w:r>
        <w:rPr>
          <w:color w:val="545456"/>
          <w:spacing w:val="-9"/>
          <w:sz w:val="16"/>
        </w:rPr>
        <w:t xml:space="preserve"> </w:t>
      </w:r>
      <w:r>
        <w:rPr>
          <w:color w:val="545456"/>
          <w:sz w:val="16"/>
        </w:rPr>
        <w:t>inventories</w:t>
      </w:r>
      <w:r>
        <w:rPr>
          <w:color w:val="545456"/>
          <w:spacing w:val="-10"/>
          <w:sz w:val="16"/>
        </w:rPr>
        <w:t xml:space="preserve"> </w:t>
      </w:r>
      <w:r>
        <w:rPr>
          <w:color w:val="545456"/>
          <w:sz w:val="16"/>
        </w:rPr>
        <w:t>-</w:t>
      </w:r>
      <w:r>
        <w:rPr>
          <w:color w:val="545456"/>
          <w:spacing w:val="-9"/>
          <w:sz w:val="16"/>
        </w:rPr>
        <w:t xml:space="preserve"> </w:t>
      </w:r>
      <w:r>
        <w:rPr>
          <w:color w:val="545456"/>
          <w:sz w:val="16"/>
        </w:rPr>
        <w:t>an</w:t>
      </w:r>
      <w:r>
        <w:rPr>
          <w:color w:val="545456"/>
          <w:spacing w:val="-9"/>
          <w:sz w:val="16"/>
        </w:rPr>
        <w:t xml:space="preserve"> </w:t>
      </w:r>
      <w:r>
        <w:rPr>
          <w:color w:val="545456"/>
          <w:sz w:val="16"/>
        </w:rPr>
        <w:t>example</w:t>
      </w:r>
      <w:r>
        <w:rPr>
          <w:color w:val="545456"/>
          <w:spacing w:val="-10"/>
          <w:sz w:val="16"/>
        </w:rPr>
        <w:t xml:space="preserve"> </w:t>
      </w:r>
      <w:r>
        <w:rPr>
          <w:color w:val="545456"/>
          <w:sz w:val="16"/>
        </w:rPr>
        <w:t>of</w:t>
      </w:r>
      <w:r>
        <w:rPr>
          <w:color w:val="545456"/>
          <w:spacing w:val="-9"/>
          <w:sz w:val="16"/>
        </w:rPr>
        <w:t xml:space="preserve"> </w:t>
      </w:r>
      <w:r>
        <w:rPr>
          <w:color w:val="545456"/>
          <w:sz w:val="16"/>
        </w:rPr>
        <w:t>using</w:t>
      </w:r>
      <w:r>
        <w:rPr>
          <w:color w:val="545456"/>
          <w:spacing w:val="-10"/>
          <w:sz w:val="16"/>
        </w:rPr>
        <w:t xml:space="preserve"> </w:t>
      </w:r>
      <w:r>
        <w:rPr>
          <w:color w:val="545456"/>
          <w:sz w:val="16"/>
        </w:rPr>
        <w:t>data</w:t>
      </w:r>
      <w:r>
        <w:rPr>
          <w:color w:val="545456"/>
          <w:spacing w:val="-9"/>
          <w:sz w:val="16"/>
        </w:rPr>
        <w:t xml:space="preserve"> </w:t>
      </w:r>
      <w:r>
        <w:rPr>
          <w:color w:val="545456"/>
          <w:sz w:val="16"/>
        </w:rPr>
        <w:t>quality</w:t>
      </w:r>
      <w:r>
        <w:rPr>
          <w:color w:val="545456"/>
          <w:spacing w:val="-40"/>
          <w:sz w:val="16"/>
        </w:rPr>
        <w:t xml:space="preserve"> </w:t>
      </w:r>
      <w:r>
        <w:rPr>
          <w:color w:val="545456"/>
          <w:sz w:val="16"/>
        </w:rPr>
        <w:t>indicators,”</w:t>
      </w:r>
      <w:r>
        <w:rPr>
          <w:color w:val="545456"/>
          <w:spacing w:val="-9"/>
          <w:sz w:val="16"/>
        </w:rPr>
        <w:t xml:space="preserve"> </w:t>
      </w:r>
      <w:r>
        <w:rPr>
          <w:color w:val="545456"/>
          <w:sz w:val="16"/>
        </w:rPr>
        <w:t>Journal</w:t>
      </w:r>
      <w:r>
        <w:rPr>
          <w:color w:val="545456"/>
          <w:spacing w:val="-8"/>
          <w:sz w:val="16"/>
        </w:rPr>
        <w:t xml:space="preserve"> </w:t>
      </w:r>
      <w:r>
        <w:rPr>
          <w:color w:val="545456"/>
          <w:sz w:val="16"/>
        </w:rPr>
        <w:t>of</w:t>
      </w:r>
      <w:r>
        <w:rPr>
          <w:color w:val="545456"/>
          <w:spacing w:val="-8"/>
          <w:sz w:val="16"/>
        </w:rPr>
        <w:t xml:space="preserve"> </w:t>
      </w:r>
      <w:r>
        <w:rPr>
          <w:color w:val="545456"/>
          <w:sz w:val="16"/>
        </w:rPr>
        <w:t>Cleaner</w:t>
      </w:r>
      <w:r>
        <w:rPr>
          <w:color w:val="545456"/>
          <w:spacing w:val="-8"/>
          <w:sz w:val="16"/>
        </w:rPr>
        <w:t xml:space="preserve"> </w:t>
      </w:r>
      <w:r>
        <w:rPr>
          <w:color w:val="545456"/>
          <w:sz w:val="16"/>
        </w:rPr>
        <w:t>Production.</w:t>
      </w:r>
      <w:r>
        <w:rPr>
          <w:color w:val="545456"/>
          <w:spacing w:val="-8"/>
          <w:sz w:val="16"/>
        </w:rPr>
        <w:t xml:space="preserve"> </w:t>
      </w:r>
      <w:r>
        <w:rPr>
          <w:color w:val="545456"/>
          <w:sz w:val="16"/>
        </w:rPr>
        <w:t>4</w:t>
      </w:r>
      <w:r>
        <w:rPr>
          <w:color w:val="545456"/>
          <w:spacing w:val="-8"/>
          <w:sz w:val="16"/>
        </w:rPr>
        <w:t xml:space="preserve"> </w:t>
      </w:r>
      <w:r>
        <w:rPr>
          <w:color w:val="545456"/>
          <w:sz w:val="16"/>
        </w:rPr>
        <w:t>no.</w:t>
      </w:r>
      <w:r>
        <w:rPr>
          <w:color w:val="545456"/>
          <w:spacing w:val="-8"/>
          <w:sz w:val="16"/>
        </w:rPr>
        <w:t xml:space="preserve"> </w:t>
      </w:r>
      <w:r>
        <w:rPr>
          <w:color w:val="545456"/>
          <w:sz w:val="16"/>
        </w:rPr>
        <w:t>3-4</w:t>
      </w:r>
      <w:r>
        <w:rPr>
          <w:color w:val="545456"/>
          <w:spacing w:val="-9"/>
          <w:sz w:val="16"/>
        </w:rPr>
        <w:t xml:space="preserve"> </w:t>
      </w:r>
      <w:r>
        <w:rPr>
          <w:color w:val="545456"/>
          <w:sz w:val="16"/>
        </w:rPr>
        <w:t>(1996):</w:t>
      </w:r>
      <w:r>
        <w:rPr>
          <w:color w:val="545456"/>
          <w:spacing w:val="-8"/>
          <w:sz w:val="16"/>
        </w:rPr>
        <w:t xml:space="preserve"> </w:t>
      </w:r>
      <w:r>
        <w:rPr>
          <w:color w:val="545456"/>
          <w:sz w:val="16"/>
        </w:rPr>
        <w:t>167-174.</w:t>
      </w:r>
    </w:p>
    <w:p w14:paraId="14EEE185" w14:textId="77777777" w:rsidR="0055291C" w:rsidRDefault="0055291C">
      <w:pPr>
        <w:pStyle w:val="a3"/>
        <w:rPr>
          <w:sz w:val="20"/>
          <w:lang w:eastAsia="ja-JP"/>
        </w:rPr>
      </w:pPr>
    </w:p>
    <w:p w14:paraId="2B4E5A39" w14:textId="77777777" w:rsidR="0055291C" w:rsidRDefault="0055291C">
      <w:pPr>
        <w:pStyle w:val="a3"/>
        <w:rPr>
          <w:sz w:val="20"/>
          <w:lang w:eastAsia="ja-JP"/>
        </w:rPr>
      </w:pPr>
    </w:p>
    <w:p w14:paraId="77E80B4E" w14:textId="77777777" w:rsidR="0055291C" w:rsidRDefault="0055291C">
      <w:pPr>
        <w:pStyle w:val="a3"/>
        <w:rPr>
          <w:sz w:val="20"/>
          <w:lang w:eastAsia="ja-JP"/>
        </w:rPr>
      </w:pPr>
    </w:p>
    <w:p w14:paraId="1C069DEF" w14:textId="77777777" w:rsidR="0055291C" w:rsidRDefault="0055291C">
      <w:pPr>
        <w:pStyle w:val="a3"/>
        <w:rPr>
          <w:sz w:val="20"/>
          <w:lang w:eastAsia="ja-JP"/>
        </w:rPr>
      </w:pPr>
    </w:p>
    <w:p w14:paraId="44E59132" w14:textId="77777777" w:rsidR="0055291C" w:rsidRDefault="0055291C">
      <w:pPr>
        <w:pStyle w:val="a3"/>
        <w:spacing w:before="7"/>
        <w:rPr>
          <w:sz w:val="21"/>
          <w:lang w:eastAsia="ja-JP"/>
        </w:rPr>
      </w:pPr>
    </w:p>
    <w:p w14:paraId="354AC1BC" w14:textId="13B71F5D" w:rsidR="0055291C" w:rsidRPr="00F14391" w:rsidRDefault="00F14391" w:rsidP="00F14391">
      <w:pPr>
        <w:pStyle w:val="a3"/>
        <w:spacing w:before="103" w:line="268" w:lineRule="auto"/>
        <w:ind w:left="507" w:right="687"/>
        <w:rPr>
          <w:color w:val="545456"/>
        </w:rPr>
        <w:sectPr w:rsidR="0055291C" w:rsidRPr="00F14391">
          <w:headerReference w:type="even" r:id="rId195"/>
          <w:headerReference w:type="default" r:id="rId196"/>
          <w:footerReference w:type="even" r:id="rId197"/>
          <w:footerReference w:type="default" r:id="rId198"/>
          <w:type w:val="continuous"/>
          <w:pgSz w:w="12240" w:h="15840"/>
          <w:pgMar w:top="740" w:right="0" w:bottom="280" w:left="0" w:header="0" w:footer="859" w:gutter="0"/>
          <w:cols w:num="5" w:space="720" w:equalWidth="0">
            <w:col w:w="3579" w:space="40"/>
            <w:col w:w="1939" w:space="39"/>
            <w:col w:w="1316" w:space="39"/>
            <w:col w:w="2196" w:space="39"/>
            <w:col w:w="3053"/>
          </w:cols>
        </w:sectPr>
      </w:pPr>
      <w:r>
        <w:rPr>
          <w:noProof/>
          <w:color w:val="545456"/>
        </w:rPr>
        <w:lastRenderedPageBreak/>
        <mc:AlternateContent>
          <mc:Choice Requires="wpg">
            <w:drawing>
              <wp:anchor distT="0" distB="0" distL="114300" distR="114300" simplePos="0" relativeHeight="251482624" behindDoc="0" locked="0" layoutInCell="1" allowOverlap="1" wp14:anchorId="5A38F145" wp14:editId="329B2F44">
                <wp:simplePos x="0" y="0"/>
                <wp:positionH relativeFrom="column">
                  <wp:posOffset>393700</wp:posOffset>
                </wp:positionH>
                <wp:positionV relativeFrom="paragraph">
                  <wp:posOffset>95250</wp:posOffset>
                </wp:positionV>
                <wp:extent cx="6649085" cy="5778500"/>
                <wp:effectExtent l="0" t="0" r="0" b="0"/>
                <wp:wrapTopAndBottom/>
                <wp:docPr id="205" name="グループ化 205"/>
                <wp:cNvGraphicFramePr/>
                <a:graphic xmlns:a="http://schemas.openxmlformats.org/drawingml/2006/main">
                  <a:graphicData uri="http://schemas.microsoft.com/office/word/2010/wordprocessingGroup">
                    <wpg:wgp>
                      <wpg:cNvGrpSpPr/>
                      <wpg:grpSpPr>
                        <a:xfrm>
                          <a:off x="0" y="0"/>
                          <a:ext cx="6649085" cy="5778500"/>
                          <a:chOff x="0" y="0"/>
                          <a:chExt cx="6649085" cy="5778500"/>
                        </a:xfrm>
                      </wpg:grpSpPr>
                      <pic:pic xmlns:pic="http://schemas.openxmlformats.org/drawingml/2006/picture">
                        <pic:nvPicPr>
                          <pic:cNvPr id="203" name="図 203"/>
                          <pic:cNvPicPr>
                            <a:picLocks noChangeAspect="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298450"/>
                            <a:ext cx="6649085" cy="5480050"/>
                          </a:xfrm>
                          <a:prstGeom prst="rect">
                            <a:avLst/>
                          </a:prstGeom>
                          <a:noFill/>
                          <a:ln>
                            <a:noFill/>
                          </a:ln>
                        </pic:spPr>
                      </pic:pic>
                      <wps:wsp>
                        <wps:cNvPr id="204" name="テキスト ボックス 204"/>
                        <wps:cNvSpPr txBox="1"/>
                        <wps:spPr>
                          <a:xfrm>
                            <a:off x="279400" y="0"/>
                            <a:ext cx="4413250" cy="298450"/>
                          </a:xfrm>
                          <a:prstGeom prst="rect">
                            <a:avLst/>
                          </a:prstGeom>
                          <a:noFill/>
                          <a:ln w="6350">
                            <a:noFill/>
                          </a:ln>
                        </wps:spPr>
                        <wps:txbx>
                          <w:txbxContent>
                            <w:p w14:paraId="4D248328" w14:textId="0F043AF9" w:rsidR="00F14391" w:rsidRPr="00F14391" w:rsidRDefault="00F14391">
                              <w:pPr>
                                <w:rPr>
                                  <w:b/>
                                  <w:bCs/>
                                  <w:sz w:val="19"/>
                                  <w:szCs w:val="19"/>
                                  <w:lang w:eastAsia="ja-JP"/>
                                </w:rPr>
                              </w:pPr>
                              <w:r w:rsidRPr="00F14391">
                                <w:rPr>
                                  <w:rFonts w:ascii="ＭＳ ゴシック" w:eastAsia="ＭＳ ゴシック" w:hAnsi="ＭＳ ゴシック" w:cs="ＭＳ ゴシック" w:hint="eastAsia"/>
                                  <w:b/>
                                  <w:bCs/>
                                  <w:color w:val="00ACA1"/>
                                  <w:sz w:val="19"/>
                                  <w:szCs w:val="19"/>
                                  <w:lang w:eastAsia="ja-JP"/>
                                </w:rPr>
                                <w:t>表</w:t>
                              </w:r>
                              <w:r w:rsidRPr="00F14391">
                                <w:rPr>
                                  <w:b/>
                                  <w:bCs/>
                                  <w:color w:val="00ACA1"/>
                                  <w:sz w:val="19"/>
                                  <w:szCs w:val="19"/>
                                  <w:lang w:eastAsia="ja-JP"/>
                                </w:rPr>
                                <w:t xml:space="preserve"> [8.2] </w:t>
                              </w:r>
                              <w:r w:rsidRPr="00F14391">
                                <w:rPr>
                                  <w:rFonts w:ascii="ＭＳ ゴシック" w:eastAsia="ＭＳ ゴシック" w:hAnsi="ＭＳ ゴシック" w:cs="ＭＳ ゴシック" w:hint="eastAsia"/>
                                  <w:b/>
                                  <w:bCs/>
                                  <w:sz w:val="19"/>
                                  <w:szCs w:val="19"/>
                                  <w:lang w:eastAsia="ja-JP"/>
                                </w:rPr>
                                <w:t>定性的データ品質評価を行うための採点基準例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A38F145" id="グループ化 205" o:spid="_x0000_s1116" style="position:absolute;left:0;text-align:left;margin-left:31pt;margin-top:7.5pt;width:523.55pt;height:455pt;z-index:251482624" coordsize="66490,57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">
                <v:shape id="図 203" o:spid="_x0000_s1117" type="#_x0000_t75" style="position:absolute;top:2984;width:66490;height:54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">
                  <v:imagedata r:id="rId200" o:title=""/>
                </v:shape>
                <v:shape id="テキスト ボックス 204" o:spid="_x0000_s1118" type="#_x0000_t202" style="position:absolute;left:2794;width:44132;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" filled="f" stroked="f" strokeweight=".5pt">
                  <v:textbox>
                    <w:txbxContent>
                      <w:p w14:paraId="4D248328" w14:textId="0F043AF9" w:rsidR="00F14391" w:rsidRPr="00F14391" w:rsidRDefault="00F14391">
                        <w:pPr>
                          <w:rPr>
                            <w:b/>
                            <w:bCs/>
                            <w:sz w:val="19"/>
                            <w:szCs w:val="19"/>
                            <w:lang w:eastAsia="ja-JP"/>
                          </w:rPr>
                        </w:pPr>
                        <w:r w:rsidRPr="00F14391">
                          <w:rPr>
                            <w:rFonts w:ascii="ＭＳ ゴシック" w:eastAsia="ＭＳ ゴシック" w:hAnsi="ＭＳ ゴシック" w:cs="ＭＳ ゴシック" w:hint="eastAsia"/>
                            <w:b/>
                            <w:bCs/>
                            <w:color w:val="00ACA1"/>
                            <w:sz w:val="19"/>
                            <w:szCs w:val="19"/>
                            <w:lang w:eastAsia="ja-JP"/>
                          </w:rPr>
                          <w:t>表</w:t>
                        </w:r>
                        <w:r w:rsidRPr="00F14391">
                          <w:rPr>
                            <w:b/>
                            <w:bCs/>
                            <w:color w:val="00ACA1"/>
                            <w:sz w:val="19"/>
                            <w:szCs w:val="19"/>
                            <w:lang w:eastAsia="ja-JP"/>
                          </w:rPr>
                          <w:t xml:space="preserve"> [8.2] </w:t>
                        </w:r>
                        <w:r w:rsidRPr="00F14391">
                          <w:rPr>
                            <w:rFonts w:ascii="ＭＳ ゴシック" w:eastAsia="ＭＳ ゴシック" w:hAnsi="ＭＳ ゴシック" w:cs="ＭＳ ゴシック" w:hint="eastAsia"/>
                            <w:b/>
                            <w:bCs/>
                            <w:sz w:val="19"/>
                            <w:szCs w:val="19"/>
                            <w:lang w:eastAsia="ja-JP"/>
                          </w:rPr>
                          <w:t>定性的データ品質評価を行うための採点基準例</w:t>
                        </w:r>
                      </w:p>
                    </w:txbxContent>
                  </v:textbox>
                </v:shape>
                <w10:wrap type="topAndBottom"/>
              </v:group>
            </w:pict>
          </mc:Fallback>
        </mc:AlternateContent>
      </w:r>
    </w:p>
    <w:p w14:paraId="1653CFAB" w14:textId="733AFACA" w:rsidR="0055291C" w:rsidRDefault="00F23C61">
      <w:pPr>
        <w:spacing w:before="102"/>
        <w:ind w:left="1201"/>
        <w:rPr>
          <w:sz w:val="16"/>
        </w:rPr>
      </w:pPr>
      <w:r>
        <w:rPr>
          <w:color w:val="545456"/>
          <w:w w:val="95"/>
          <w:sz w:val="16"/>
        </w:rPr>
        <w:t>Adapted</w:t>
      </w:r>
      <w:r>
        <w:rPr>
          <w:color w:val="545456"/>
          <w:spacing w:val="8"/>
          <w:w w:val="95"/>
          <w:sz w:val="16"/>
        </w:rPr>
        <w:t xml:space="preserve"> </w:t>
      </w:r>
      <w:r>
        <w:rPr>
          <w:color w:val="545456"/>
          <w:w w:val="95"/>
          <w:sz w:val="16"/>
        </w:rPr>
        <w:t>from</w:t>
      </w:r>
      <w:r>
        <w:rPr>
          <w:color w:val="545456"/>
          <w:spacing w:val="7"/>
          <w:w w:val="95"/>
          <w:sz w:val="16"/>
        </w:rPr>
        <w:t xml:space="preserve"> </w:t>
      </w:r>
      <w:proofErr w:type="spellStart"/>
      <w:r>
        <w:rPr>
          <w:color w:val="545456"/>
          <w:w w:val="95"/>
          <w:sz w:val="16"/>
        </w:rPr>
        <w:t>Weidema</w:t>
      </w:r>
      <w:proofErr w:type="spellEnd"/>
      <w:r>
        <w:rPr>
          <w:color w:val="545456"/>
          <w:spacing w:val="8"/>
          <w:w w:val="95"/>
          <w:sz w:val="16"/>
        </w:rPr>
        <w:t xml:space="preserve"> </w:t>
      </w:r>
      <w:r>
        <w:rPr>
          <w:color w:val="545456"/>
          <w:w w:val="95"/>
          <w:sz w:val="16"/>
        </w:rPr>
        <w:t>and</w:t>
      </w:r>
      <w:r>
        <w:rPr>
          <w:color w:val="545456"/>
          <w:spacing w:val="7"/>
          <w:w w:val="95"/>
          <w:sz w:val="16"/>
        </w:rPr>
        <w:t xml:space="preserve"> </w:t>
      </w:r>
      <w:proofErr w:type="spellStart"/>
      <w:r>
        <w:rPr>
          <w:color w:val="545456"/>
          <w:w w:val="95"/>
          <w:sz w:val="16"/>
        </w:rPr>
        <w:t>Wesnaes</w:t>
      </w:r>
      <w:proofErr w:type="spellEnd"/>
      <w:r>
        <w:rPr>
          <w:color w:val="545456"/>
          <w:w w:val="95"/>
          <w:sz w:val="16"/>
        </w:rPr>
        <w:t>,</w:t>
      </w:r>
      <w:r>
        <w:rPr>
          <w:color w:val="545456"/>
          <w:spacing w:val="8"/>
          <w:w w:val="95"/>
          <w:sz w:val="16"/>
        </w:rPr>
        <w:t xml:space="preserve"> </w:t>
      </w:r>
      <w:r>
        <w:rPr>
          <w:color w:val="545456"/>
          <w:w w:val="95"/>
          <w:sz w:val="16"/>
        </w:rPr>
        <w:t>1996.</w:t>
      </w:r>
      <w:r w:rsidR="00F14391">
        <w:rPr>
          <w:rFonts w:ascii="ＭＳ ゴシック" w:eastAsia="ＭＳ ゴシック" w:hAnsi="ＭＳ ゴシック" w:cs="ＭＳ ゴシック" w:hint="eastAsia"/>
          <w:color w:val="545456"/>
          <w:w w:val="95"/>
          <w:sz w:val="16"/>
          <w:lang w:eastAsia="ja-JP"/>
        </w:rPr>
        <w:t>より</w:t>
      </w:r>
    </w:p>
    <w:p w14:paraId="2852815B" w14:textId="77777777" w:rsidR="0055291C" w:rsidRDefault="00F23C61">
      <w:pPr>
        <w:pStyle w:val="a3"/>
        <w:spacing w:before="2"/>
        <w:rPr>
          <w:sz w:val="14"/>
        </w:rPr>
      </w:pPr>
      <w:r>
        <w:rPr>
          <w:noProof/>
        </w:rPr>
        <w:drawing>
          <wp:anchor distT="0" distB="0" distL="0" distR="0" simplePos="0" relativeHeight="251429376" behindDoc="0" locked="0" layoutInCell="1" allowOverlap="1" wp14:anchorId="375F0C5C" wp14:editId="2C0ABC7A">
            <wp:simplePos x="0" y="0"/>
            <wp:positionH relativeFrom="page">
              <wp:posOffset>720001</wp:posOffset>
            </wp:positionH>
            <wp:positionV relativeFrom="paragraph">
              <wp:posOffset>117400</wp:posOffset>
            </wp:positionV>
            <wp:extent cx="6322261" cy="2660332"/>
            <wp:effectExtent l="0" t="0" r="0" b="0"/>
            <wp:wrapTopAndBottom/>
            <wp:docPr id="23"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80.jpeg"/>
                    <pic:cNvPicPr/>
                  </pic:nvPicPr>
                  <pic:blipFill>
                    <a:blip r:embed="rId201" cstate="print"/>
                    <a:stretch>
                      <a:fillRect/>
                    </a:stretch>
                  </pic:blipFill>
                  <pic:spPr>
                    <a:xfrm>
                      <a:off x="0" y="0"/>
                      <a:ext cx="6322261" cy="2660332"/>
                    </a:xfrm>
                    <a:prstGeom prst="rect">
                      <a:avLst/>
                    </a:prstGeom>
                  </pic:spPr>
                </pic:pic>
              </a:graphicData>
            </a:graphic>
          </wp:anchor>
        </w:drawing>
      </w:r>
    </w:p>
    <w:p w14:paraId="00393650" w14:textId="77777777" w:rsidR="0055291C" w:rsidRDefault="0055291C">
      <w:pPr>
        <w:rPr>
          <w:sz w:val="14"/>
        </w:rPr>
        <w:sectPr w:rsidR="0055291C">
          <w:type w:val="continuous"/>
          <w:pgSz w:w="12240" w:h="15840"/>
          <w:pgMar w:top="740" w:right="0" w:bottom="280" w:left="0" w:header="0" w:footer="859" w:gutter="0"/>
          <w:cols w:space="720"/>
        </w:sectPr>
      </w:pPr>
    </w:p>
    <w:p w14:paraId="2DE53BA8" w14:textId="77777777" w:rsidR="0055291C" w:rsidRDefault="0055291C">
      <w:pPr>
        <w:pStyle w:val="a3"/>
        <w:rPr>
          <w:sz w:val="20"/>
        </w:rPr>
      </w:pPr>
    </w:p>
    <w:p w14:paraId="4E2E7665" w14:textId="77777777" w:rsidR="0055291C" w:rsidRDefault="0055291C">
      <w:pPr>
        <w:pStyle w:val="a3"/>
        <w:rPr>
          <w:sz w:val="20"/>
        </w:rPr>
      </w:pPr>
    </w:p>
    <w:p w14:paraId="6780EB2A" w14:textId="77777777" w:rsidR="0055291C" w:rsidRDefault="0055291C">
      <w:pPr>
        <w:pStyle w:val="a3"/>
        <w:rPr>
          <w:sz w:val="20"/>
        </w:rPr>
      </w:pPr>
    </w:p>
    <w:p w14:paraId="57CA885E" w14:textId="77777777" w:rsidR="0055291C" w:rsidRDefault="0055291C">
      <w:pPr>
        <w:pStyle w:val="a3"/>
        <w:rPr>
          <w:sz w:val="20"/>
        </w:rPr>
      </w:pPr>
    </w:p>
    <w:p w14:paraId="0FDE5D63" w14:textId="77777777" w:rsidR="0055291C" w:rsidRDefault="0055291C">
      <w:pPr>
        <w:pStyle w:val="a3"/>
        <w:rPr>
          <w:sz w:val="20"/>
        </w:rPr>
      </w:pPr>
    </w:p>
    <w:p w14:paraId="60B14D45" w14:textId="77777777" w:rsidR="0055291C" w:rsidRDefault="0055291C">
      <w:pPr>
        <w:pStyle w:val="a3"/>
        <w:rPr>
          <w:sz w:val="20"/>
        </w:rPr>
      </w:pPr>
    </w:p>
    <w:p w14:paraId="0CEE33A6" w14:textId="77777777" w:rsidR="0055291C" w:rsidRDefault="0055291C">
      <w:pPr>
        <w:pStyle w:val="a3"/>
        <w:spacing w:before="1"/>
        <w:rPr>
          <w:sz w:val="29"/>
        </w:rPr>
      </w:pPr>
    </w:p>
    <w:p w14:paraId="29402A24" w14:textId="590FE78C" w:rsidR="0055291C" w:rsidRDefault="00000000">
      <w:pPr>
        <w:pStyle w:val="6"/>
        <w:rPr>
          <w:lang w:eastAsia="ja-JP"/>
        </w:rPr>
      </w:pPr>
      <w:r>
        <w:pict w14:anchorId="01E579D8">
          <v:shape id="docshape896" o:spid="_x0000_s2921" style="position:absolute;left:0;text-align:left;margin-left:580.75pt;margin-top:-84.35pt;width:31.3pt;height:285.85pt;z-index:251598336;mso-position-horizontal-relative:page" coordorigin="11615,-1687" coordsize="626,5717" path="m12240,-1687r-625,l11615,3802r3,131l11643,4000r67,25l11842,4029r398,l12240,-1687xe" fillcolor="#00aca1" stroked="f">
            <v:path arrowok="t"/>
            <w10:wrap anchorx="page"/>
          </v:shape>
        </w:pict>
      </w:r>
      <w:r>
        <w:pict w14:anchorId="5B7FFB1B">
          <v:shape id="docshape897" o:spid="_x0000_s2920" type="#_x0000_t202" style="position:absolute;left:0;text-align:left;margin-left:585.65pt;margin-top:50.7pt;width:17.7pt;height:119.1pt;z-index:251599360;mso-position-horizontal-relative:page" filled="f" stroked="f">
            <v:textbox style="layout-flow:vertical;mso-layout-flow-alt:bottom-to-top;mso-next-textbox:#docshape897" inset="0,0,0,0">
              <w:txbxContent>
                <w:p w14:paraId="1CFA5E7E"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v:shape>
        </w:pict>
      </w:r>
      <w:r w:rsidR="00B03E8D">
        <w:rPr>
          <w:rFonts w:ascii="ＭＳ 明朝" w:eastAsia="ＭＳ 明朝" w:hAnsi="ＭＳ 明朝" w:cs="ＭＳ 明朝" w:hint="eastAsia"/>
          <w:color w:val="00ACA1"/>
          <w:w w:val="95"/>
          <w:lang w:eastAsia="ja-JP"/>
        </w:rPr>
        <w:t>表</w:t>
      </w:r>
      <w:r w:rsidR="00F23C61">
        <w:rPr>
          <w:color w:val="00ACA1"/>
          <w:spacing w:val="5"/>
          <w:w w:val="95"/>
          <w:lang w:eastAsia="ja-JP"/>
        </w:rPr>
        <w:t xml:space="preserve"> </w:t>
      </w:r>
      <w:r w:rsidR="00F23C61">
        <w:rPr>
          <w:color w:val="00ACA1"/>
          <w:w w:val="95"/>
          <w:lang w:eastAsia="ja-JP"/>
        </w:rPr>
        <w:t>[8.3]</w:t>
      </w:r>
      <w:r w:rsidR="00F23C61">
        <w:rPr>
          <w:color w:val="00ACA1"/>
          <w:spacing w:val="6"/>
          <w:w w:val="95"/>
          <w:lang w:eastAsia="ja-JP"/>
        </w:rPr>
        <w:t xml:space="preserve"> </w:t>
      </w:r>
      <w:r w:rsidR="00904C6F" w:rsidRPr="00A20F72">
        <w:rPr>
          <w:rFonts w:ascii="ＭＳ ゴシック" w:eastAsia="ＭＳ ゴシック" w:hAnsi="ＭＳ ゴシック" w:cs="ＭＳ 明朝" w:hint="eastAsia"/>
          <w:lang w:eastAsia="ja-JP"/>
        </w:rPr>
        <w:t>重要なプロセスのデータソース、品質、及び改善努力に関する報告書の例</w:t>
      </w:r>
    </w:p>
    <w:p w14:paraId="1D9D81D2" w14:textId="77777777" w:rsidR="0055291C" w:rsidRDefault="00000000">
      <w:pPr>
        <w:pStyle w:val="a3"/>
        <w:spacing w:before="4"/>
        <w:rPr>
          <w:rFonts w:ascii="Arial"/>
          <w:b/>
          <w:sz w:val="16"/>
          <w:lang w:eastAsia="ja-JP"/>
        </w:rPr>
      </w:pPr>
      <w:r>
        <w:pict w14:anchorId="57D11805">
          <v:group id="docshapegroup898" o:spid="_x0000_s2916" style="position:absolute;margin-left:56.7pt;margin-top:10.6pt;width:114.2pt;height:224.7pt;z-index:-251489792;mso-wrap-distance-left:0;mso-wrap-distance-right:0;mso-position-horizontal-relative:page" coordorigin="1134,212" coordsize="2284,4494">
            <v:shape id="docshape899" o:spid="_x0000_s2919" style="position:absolute;left:1133;top:212;width:2281;height:714" coordorigin="1134,212" coordsize="2281,714" path="m3244,212r-1940,l1206,235r-51,28l1137,318r-3,99l1134,926r2280,l3414,417r-2,-118l3393,238r-50,-22l3244,212xe" fillcolor="#00aca1" stroked="f">
              <v:path arrowok="t"/>
            </v:shape>
            <v:shape id="docshape900" o:spid="_x0000_s2918" style="position:absolute;left:1136;top:985;width:2281;height:3720" coordorigin="1137,985" coordsize="2281,3720" path="m3417,985r-2280,l1137,4535r2,99l1158,4684r50,19l1307,4705r1940,l3345,4703r51,-19l3415,4634r2,-99l3417,985xe" fillcolor="#f3f4f4" stroked="f">
              <v:path arrowok="t"/>
            </v:shape>
            <v:shape id="docshape901" o:spid="_x0000_s2917" type="#_x0000_t202" style="position:absolute;left:1133;top:212;width:2284;height:4494" filled="f" stroked="f">
              <v:textbox style="mso-next-textbox:#docshape901" inset="0,0,0,0">
                <w:txbxContent>
                  <w:p w14:paraId="5F5C9B48" w14:textId="7A81A920" w:rsidR="0055291C" w:rsidRDefault="00904C6F">
                    <w:pPr>
                      <w:spacing w:before="108" w:line="249" w:lineRule="auto"/>
                      <w:ind w:left="139" w:right="259"/>
                      <w:rPr>
                        <w:rFonts w:ascii="ＭＳ ゴシック" w:eastAsia="ＭＳ ゴシック" w:hAnsi="ＭＳ ゴシック" w:cs="ＭＳ ゴシック"/>
                        <w:b/>
                        <w:i/>
                        <w:color w:val="FFFFFF"/>
                        <w:lang w:eastAsia="ja-JP"/>
                      </w:rPr>
                    </w:pPr>
                    <w:r>
                      <w:rPr>
                        <w:rFonts w:ascii="ＭＳ ゴシック" w:eastAsia="ＭＳ ゴシック" w:hAnsi="ＭＳ ゴシック" w:cs="ＭＳ ゴシック" w:hint="eastAsia"/>
                        <w:b/>
                        <w:i/>
                        <w:color w:val="FFFFFF"/>
                        <w:lang w:eastAsia="ja-JP"/>
                      </w:rPr>
                      <w:t>重要なプロセス名</w:t>
                    </w:r>
                  </w:p>
                  <w:p w14:paraId="5B4234A6" w14:textId="77777777" w:rsidR="00904C6F" w:rsidRDefault="00904C6F">
                    <w:pPr>
                      <w:spacing w:before="108" w:line="249" w:lineRule="auto"/>
                      <w:ind w:left="139" w:right="259"/>
                      <w:rPr>
                        <w:rFonts w:ascii="Arial"/>
                        <w:b/>
                        <w:i/>
                        <w:lang w:eastAsia="ja-JP"/>
                      </w:rPr>
                    </w:pPr>
                  </w:p>
                  <w:p w14:paraId="7EBE10F7" w14:textId="6A22E649" w:rsidR="0055291C" w:rsidRDefault="00904C6F">
                    <w:pPr>
                      <w:spacing w:before="155" w:line="264" w:lineRule="auto"/>
                      <w:ind w:left="139"/>
                      <w:rPr>
                        <w:rFonts w:ascii="Arial"/>
                        <w:b/>
                        <w:sz w:val="19"/>
                        <w:lang w:eastAsia="ja-JP"/>
                      </w:rPr>
                    </w:pPr>
                    <w:r>
                      <w:rPr>
                        <w:rFonts w:ascii="ＭＳ ゴシック" w:eastAsia="ＭＳ ゴシック" w:hAnsi="ＭＳ ゴシック" w:cs="ＭＳ ゴシック" w:hint="eastAsia"/>
                        <w:lang w:eastAsia="ja-JP"/>
                      </w:rPr>
                      <w:t>物流センターから小売店への果物製品の輸送</w:t>
                    </w:r>
                  </w:p>
                </w:txbxContent>
              </v:textbox>
            </v:shape>
            <w10:wrap type="topAndBottom" anchorx="page"/>
          </v:group>
        </w:pict>
      </w:r>
      <w:r>
        <w:pict w14:anchorId="0B93672A">
          <v:group id="docshapegroup902" o:spid="_x0000_s2911" style="position:absolute;margin-left:184.75pt;margin-top:10.6pt;width:114.2pt;height:224.7pt;z-index:-251488768;mso-wrap-distance-left:0;mso-wrap-distance-right:0;mso-position-horizontal-relative:page" coordorigin="3695,212" coordsize="2284,4494">
            <v:shape id="docshape903" o:spid="_x0000_s2915" style="position:absolute;left:3694;top:212;width:2281;height:714" coordorigin="3695,212" coordsize="2281,714" path="m5805,212r-1940,l3767,235r-51,28l3698,318r-3,99l3695,926r2280,l5975,417r-2,-118l5954,238r-50,-22l5805,212xe" fillcolor="#00aca1" stroked="f">
              <v:path arrowok="t"/>
            </v:shape>
            <v:shape id="docshape904" o:spid="_x0000_s2914" style="position:absolute;left:3697;top:985;width:2281;height:3720" coordorigin="3698,985" coordsize="2281,3720" path="m5978,985r-2280,l3698,4535r2,99l3719,4684r51,19l3868,4705r1940,l5907,4703r50,-19l5976,4634r2,-99l5978,985xe" fillcolor="#f3f4f4" stroked="f">
              <v:path arrowok="t"/>
            </v:shape>
            <v:shape id="docshape905" o:spid="_x0000_s2913" type="#_x0000_t202" style="position:absolute;left:3837;top:322;width:1350;height:247" filled="f" stroked="f">
              <v:textbox style="mso-next-textbox:#docshape905" inset="0,0,0,0">
                <w:txbxContent>
                  <w:p w14:paraId="2AA50E81" w14:textId="4F5C723B" w:rsidR="0055291C" w:rsidRDefault="00904C6F">
                    <w:pPr>
                      <w:spacing w:line="247" w:lineRule="exact"/>
                      <w:rPr>
                        <w:rFonts w:ascii="Arial"/>
                        <w:b/>
                        <w:i/>
                      </w:rPr>
                    </w:pPr>
                    <w:r>
                      <w:rPr>
                        <w:rFonts w:ascii="ＭＳ ゴシック" w:eastAsia="ＭＳ ゴシック" w:hAnsi="ＭＳ ゴシック" w:cs="ＭＳ ゴシック" w:hint="eastAsia"/>
                        <w:b/>
                        <w:i/>
                        <w:color w:val="FFFFFF"/>
                        <w:w w:val="95"/>
                        <w:lang w:eastAsia="ja-JP"/>
                      </w:rPr>
                      <w:t>データソース</w:t>
                    </w:r>
                  </w:p>
                </w:txbxContent>
              </v:textbox>
            </v:shape>
            <v:shape id="docshape906" o:spid="_x0000_s2912" type="#_x0000_t202" style="position:absolute;left:3837;top:1003;width:2134;height:1893" filled="f" stroked="f">
              <v:textbox style="mso-next-textbox:#docshape906" inset="0,0,0,0">
                <w:txbxContent>
                  <w:p w14:paraId="0569A144" w14:textId="5CDAC3C5" w:rsidR="0055291C" w:rsidRPr="00B64F09" w:rsidRDefault="00727DA1">
                    <w:pPr>
                      <w:spacing w:before="2" w:line="268" w:lineRule="auto"/>
                      <w:ind w:right="195"/>
                      <w:rPr>
                        <w:rFonts w:ascii="ＭＳ ゴシック" w:eastAsia="ＭＳ ゴシック" w:hAnsi="ＭＳ ゴシック"/>
                        <w:sz w:val="19"/>
                        <w:lang w:eastAsia="ja-JP"/>
                      </w:rPr>
                    </w:pPr>
                    <w:r w:rsidRPr="00B64F09">
                      <w:rPr>
                        <w:rFonts w:ascii="ＭＳ ゴシック" w:eastAsia="ＭＳ ゴシック" w:hAnsi="ＭＳ ゴシック" w:cs="ＭＳ ゴシック" w:hint="eastAsia"/>
                        <w:color w:val="545456"/>
                        <w:sz w:val="19"/>
                        <w:lang w:eastAsia="ja-JP"/>
                      </w:rPr>
                      <w:t>活動データ</w:t>
                    </w:r>
                    <w:r w:rsidR="00F23C61" w:rsidRPr="00B64F09">
                      <w:rPr>
                        <w:rFonts w:ascii="ＭＳ ゴシック" w:eastAsia="ＭＳ ゴシック" w:hAnsi="ＭＳ ゴシック"/>
                        <w:color w:val="545456"/>
                        <w:sz w:val="19"/>
                        <w:lang w:eastAsia="ja-JP"/>
                      </w:rPr>
                      <w:t xml:space="preserve">: </w:t>
                    </w:r>
                    <w:r w:rsidRPr="00B64F09">
                      <w:rPr>
                        <w:rFonts w:ascii="ＭＳ ゴシック" w:eastAsia="ＭＳ ゴシック" w:hAnsi="ＭＳ ゴシック" w:cs="ＭＳ ゴシック" w:hint="eastAsia"/>
                        <w:color w:val="545456"/>
                        <w:sz w:val="19"/>
                        <w:lang w:eastAsia="ja-JP"/>
                      </w:rPr>
                      <w:t>ドイツ</w:t>
                    </w:r>
                    <w:r w:rsidR="00B64F09" w:rsidRPr="00B64F09">
                      <w:rPr>
                        <w:rFonts w:ascii="ＭＳ ゴシック" w:eastAsia="ＭＳ ゴシック" w:hAnsi="ＭＳ ゴシック" w:cs="ＭＳ ゴシック" w:hint="eastAsia"/>
                        <w:color w:val="545456"/>
                        <w:sz w:val="19"/>
                        <w:lang w:eastAsia="ja-JP"/>
                      </w:rPr>
                      <w:t>の</w:t>
                    </w:r>
                    <w:r w:rsidRPr="00B64F09">
                      <w:rPr>
                        <w:rFonts w:ascii="ＭＳ ゴシック" w:eastAsia="ＭＳ ゴシック" w:hAnsi="ＭＳ ゴシック" w:cs="ＭＳ ゴシック" w:hint="eastAsia"/>
                        <w:color w:val="545456"/>
                        <w:sz w:val="19"/>
                        <w:lang w:eastAsia="ja-JP"/>
                      </w:rPr>
                      <w:t>農産物平均移動距離</w:t>
                    </w:r>
                  </w:p>
                  <w:p w14:paraId="405C5A10" w14:textId="2A938692" w:rsidR="0055291C" w:rsidRPr="00B64F09" w:rsidRDefault="00B64F09">
                    <w:pPr>
                      <w:spacing w:before="117" w:line="268" w:lineRule="auto"/>
                      <w:ind w:right="195"/>
                      <w:rPr>
                        <w:rFonts w:ascii="ＭＳ ゴシック" w:eastAsia="ＭＳ ゴシック" w:hAnsi="ＭＳ ゴシック"/>
                        <w:sz w:val="19"/>
                        <w:lang w:eastAsia="ja-JP"/>
                      </w:rPr>
                    </w:pPr>
                    <w:r>
                      <w:rPr>
                        <w:rFonts w:ascii="ＭＳ ゴシック" w:eastAsia="ＭＳ ゴシック" w:hAnsi="ＭＳ ゴシック" w:cs="ＭＳ ゴシック" w:hint="eastAsia"/>
                        <w:color w:val="545456"/>
                        <w:w w:val="95"/>
                        <w:sz w:val="19"/>
                        <w:lang w:eastAsia="ja-JP"/>
                      </w:rPr>
                      <w:t>出典</w:t>
                    </w:r>
                    <w:r w:rsidR="00F23C61" w:rsidRPr="00B64F09">
                      <w:rPr>
                        <w:rFonts w:ascii="ＭＳ ゴシック" w:eastAsia="ＭＳ ゴシック" w:hAnsi="ＭＳ ゴシック"/>
                        <w:color w:val="545456"/>
                        <w:w w:val="95"/>
                        <w:sz w:val="19"/>
                        <w:lang w:eastAsia="ja-JP"/>
                      </w:rPr>
                      <w:t>:</w:t>
                    </w:r>
                    <w:r w:rsidR="00F23C61" w:rsidRPr="00B64F09">
                      <w:rPr>
                        <w:rFonts w:ascii="ＭＳ ゴシック" w:eastAsia="ＭＳ ゴシック" w:hAnsi="ＭＳ ゴシック"/>
                        <w:color w:val="545456"/>
                        <w:spacing w:val="4"/>
                        <w:w w:val="95"/>
                        <w:sz w:val="19"/>
                        <w:lang w:eastAsia="ja-JP"/>
                      </w:rPr>
                      <w:t xml:space="preserve"> </w:t>
                    </w:r>
                    <w:r w:rsidR="00727DA1" w:rsidRPr="00B64F09">
                      <w:rPr>
                        <w:rFonts w:ascii="ＭＳ ゴシック" w:eastAsia="ＭＳ ゴシック" w:hAnsi="ＭＳ ゴシック" w:cs="ＭＳ ゴシック" w:hint="eastAsia"/>
                        <w:color w:val="545456"/>
                        <w:w w:val="95"/>
                        <w:sz w:val="16"/>
                        <w:szCs w:val="20"/>
                        <w:lang w:eastAsia="ja-JP"/>
                      </w:rPr>
                      <w:t>(社)</w:t>
                    </w:r>
                    <w:r w:rsidR="00727DA1" w:rsidRPr="00B64F09">
                      <w:rPr>
                        <w:rFonts w:ascii="ＭＳ ゴシック" w:eastAsia="ＭＳ ゴシック" w:hAnsi="ＭＳ ゴシック" w:cs="ＭＳ ゴシック" w:hint="eastAsia"/>
                        <w:color w:val="545456"/>
                        <w:w w:val="95"/>
                        <w:sz w:val="19"/>
                        <w:lang w:eastAsia="ja-JP"/>
                      </w:rPr>
                      <w:t>トラック協会</w:t>
                    </w:r>
                  </w:p>
                  <w:p w14:paraId="31F7DFAB" w14:textId="0708660F" w:rsidR="0055291C" w:rsidRPr="00B64F09" w:rsidRDefault="00727DA1">
                    <w:pPr>
                      <w:spacing w:before="89" w:line="240" w:lineRule="atLeast"/>
                      <w:rPr>
                        <w:rFonts w:ascii="ＭＳ ゴシック" w:eastAsia="ＭＳ ゴシック" w:hAnsi="ＭＳ ゴシック"/>
                        <w:sz w:val="19"/>
                        <w:lang w:eastAsia="ja-JP"/>
                      </w:rPr>
                    </w:pPr>
                    <w:r w:rsidRPr="00B64F09">
                      <w:rPr>
                        <w:rFonts w:ascii="ＭＳ ゴシック" w:eastAsia="ＭＳ ゴシック" w:hAnsi="ＭＳ ゴシック" w:cs="ＭＳ ゴシック" w:hint="eastAsia"/>
                        <w:color w:val="545456"/>
                        <w:w w:val="95"/>
                        <w:sz w:val="19"/>
                        <w:lang w:eastAsia="ja-JP"/>
                      </w:rPr>
                      <w:t>排出因子</w:t>
                    </w:r>
                    <w:r w:rsidR="00F23C61" w:rsidRPr="00B64F09">
                      <w:rPr>
                        <w:rFonts w:ascii="ＭＳ ゴシック" w:eastAsia="ＭＳ ゴシック" w:hAnsi="ＭＳ ゴシック"/>
                        <w:color w:val="545456"/>
                        <w:w w:val="95"/>
                        <w:sz w:val="19"/>
                        <w:lang w:eastAsia="ja-JP"/>
                      </w:rPr>
                      <w:t xml:space="preserve">: </w:t>
                    </w:r>
                    <w:r w:rsidRPr="00B64F09">
                      <w:rPr>
                        <w:rFonts w:ascii="ＭＳ ゴシック" w:eastAsia="ＭＳ ゴシック" w:hAnsi="ＭＳ ゴシック" w:cs="ＭＳ ゴシック" w:hint="eastAsia"/>
                        <w:color w:val="545456"/>
                        <w:w w:val="95"/>
                        <w:sz w:val="19"/>
                        <w:lang w:eastAsia="ja-JP"/>
                      </w:rPr>
                      <w:t>英環境・食糧・農村地域省(</w:t>
                    </w:r>
                    <w:r w:rsidRPr="00B64F09">
                      <w:rPr>
                        <w:rFonts w:ascii="ＭＳ ゴシック" w:eastAsia="ＭＳ ゴシック" w:hAnsi="ＭＳ ゴシック" w:cs="ＭＳ ゴシック"/>
                        <w:color w:val="545456"/>
                        <w:w w:val="95"/>
                        <w:sz w:val="19"/>
                        <w:lang w:eastAsia="ja-JP"/>
                      </w:rPr>
                      <w:t>DEFRA)</w:t>
                    </w:r>
                    <w:r w:rsidRPr="00B64F09">
                      <w:rPr>
                        <w:rFonts w:ascii="ＭＳ ゴシック" w:eastAsia="ＭＳ ゴシック" w:hAnsi="ＭＳ ゴシック" w:cs="ＭＳ ゴシック" w:hint="eastAsia"/>
                        <w:color w:val="545456"/>
                        <w:w w:val="95"/>
                        <w:sz w:val="19"/>
                        <w:lang w:eastAsia="ja-JP"/>
                      </w:rPr>
                      <w:t>の貨物輸送量</w:t>
                    </w:r>
                  </w:p>
                </w:txbxContent>
              </v:textbox>
            </v:shape>
            <w10:wrap type="topAndBottom" anchorx="page"/>
          </v:group>
        </w:pict>
      </w:r>
      <w:r>
        <w:pict w14:anchorId="30E96696">
          <v:group id="docshapegroup907" o:spid="_x0000_s2906" style="position:absolute;margin-left:313.1pt;margin-top:10.6pt;width:114.2pt;height:224.7pt;z-index:-251487744;mso-wrap-distance-left:0;mso-wrap-distance-right:0;mso-position-horizontal-relative:page" coordorigin="6262,212" coordsize="2284,4494">
            <v:shape id="docshape908" o:spid="_x0000_s2910" style="position:absolute;left:6261;top:212;width:2281;height:714" coordorigin="6262,212" coordsize="2281,714" path="m8372,212r-1940,l6333,235r-50,28l6264,318r-2,99l6262,926r2280,l8542,417r-2,-118l8521,238r-51,-22l8372,212xe" fillcolor="#00aca1" stroked="f">
              <v:path arrowok="t"/>
            </v:shape>
            <v:shape id="docshape909" o:spid="_x0000_s2909" style="position:absolute;left:6264;top:985;width:2281;height:3720" coordorigin="6265,985" coordsize="2281,3720" path="m8545,985r-2280,l6265,4535r2,99l6286,4684r50,19l6435,4705r1940,l8473,4703r51,-19l8542,4634r3,-99l8545,985xe" fillcolor="#f3f4f4" stroked="f">
              <v:path arrowok="t"/>
            </v:shape>
            <v:shape id="docshape910" o:spid="_x0000_s2908" type="#_x0000_t202" style="position:absolute;left:6401;top:322;width:1298;height:247" filled="f" stroked="f">
              <v:textbox style="mso-next-textbox:#docshape910" inset="0,0,0,0">
                <w:txbxContent>
                  <w:p w14:paraId="4B7F4E3C" w14:textId="402AC38B" w:rsidR="0055291C" w:rsidRDefault="00904C6F">
                    <w:pPr>
                      <w:spacing w:line="247" w:lineRule="exact"/>
                      <w:rPr>
                        <w:rFonts w:ascii="Arial"/>
                        <w:b/>
                        <w:i/>
                      </w:rPr>
                    </w:pPr>
                    <w:r>
                      <w:rPr>
                        <w:rFonts w:ascii="ＭＳ ゴシック" w:eastAsia="ＭＳ ゴシック" w:hAnsi="ＭＳ ゴシック" w:cs="ＭＳ ゴシック" w:hint="eastAsia"/>
                        <w:b/>
                        <w:i/>
                        <w:color w:val="FFFFFF"/>
                        <w:lang w:eastAsia="ja-JP"/>
                      </w:rPr>
                      <w:t>データ品質</w:t>
                    </w:r>
                  </w:p>
                </w:txbxContent>
              </v:textbox>
            </v:shape>
            <v:shape id="docshape911" o:spid="_x0000_s2907" type="#_x0000_t202" style="position:absolute;left:6401;top:1003;width:1949;height:3453" filled="f" stroked="f">
              <v:textbox style="mso-next-textbox:#docshape911" inset="0,0,0,0">
                <w:txbxContent>
                  <w:p w14:paraId="7C009723" w14:textId="6116DB3A" w:rsidR="0055291C" w:rsidRDefault="00B64F09" w:rsidP="00B64F09">
                    <w:pPr>
                      <w:spacing w:before="2" w:line="268" w:lineRule="auto"/>
                      <w:ind w:right="155"/>
                      <w:rPr>
                        <w:sz w:val="19"/>
                        <w:lang w:eastAsia="ja-JP"/>
                      </w:rPr>
                    </w:pPr>
                    <w:r>
                      <w:rPr>
                        <w:rFonts w:ascii="ＭＳ ゴシック" w:eastAsia="ＭＳ ゴシック" w:hAnsi="ＭＳ ゴシック" w:cs="ＭＳ ゴシック" w:hint="eastAsia"/>
                        <w:color w:val="545456"/>
                        <w:sz w:val="19"/>
                        <w:lang w:eastAsia="ja-JP"/>
                      </w:rPr>
                      <w:t>活動データは製品の実際の輸送距離を反映したものでも、当社の出荷の効率化を実践したものでもない。</w:t>
                    </w:r>
                  </w:p>
                  <w:p w14:paraId="3DB30C5B" w14:textId="76BB6E9F" w:rsidR="0055291C" w:rsidRDefault="00B64F09">
                    <w:pPr>
                      <w:spacing w:before="86" w:line="240" w:lineRule="atLeast"/>
                      <w:ind w:right="15"/>
                      <w:rPr>
                        <w:sz w:val="19"/>
                        <w:lang w:eastAsia="ja-JP"/>
                      </w:rPr>
                    </w:pPr>
                    <w:r>
                      <w:rPr>
                        <w:rFonts w:ascii="ＭＳ ゴシック" w:eastAsia="ＭＳ ゴシック" w:hAnsi="ＭＳ ゴシック" w:cs="ＭＳ ゴシック" w:hint="eastAsia"/>
                        <w:color w:val="545456"/>
                        <w:spacing w:val="-3"/>
                        <w:sz w:val="19"/>
                        <w:lang w:eastAsia="ja-JP"/>
                      </w:rPr>
                      <w:t>交通機関の排出係数は英国の交通機関に特化したものであり、ドイツのものではない（地理的指標のスコアが低い）。</w:t>
                    </w:r>
                  </w:p>
                </w:txbxContent>
              </v:textbox>
            </v:shape>
            <w10:wrap type="topAndBottom" anchorx="page"/>
          </v:group>
        </w:pict>
      </w:r>
      <w:r>
        <w:pict w14:anchorId="05116868">
          <v:group id="docshapegroup912" o:spid="_x0000_s2902" style="position:absolute;margin-left:441pt;margin-top:10.6pt;width:114.2pt;height:224.7pt;z-index:-251486720;mso-wrap-distance-left:0;mso-wrap-distance-right:0;mso-position-horizontal-relative:page" coordorigin="8820,212" coordsize="2284,4494">
            <v:shape id="docshape913" o:spid="_x0000_s2905" style="position:absolute;left:8820;top:212;width:2281;height:714" coordorigin="8820,212" coordsize="2281,714" path="m10930,212r-1940,l8892,235r-51,28l8823,318r-3,99l8820,926r2280,l11100,417r-2,-118l11079,238r-50,-22l10930,212xe" fillcolor="#00aca1" stroked="f">
              <v:path arrowok="t"/>
            </v:shape>
            <v:shape id="docshape914" o:spid="_x0000_s2904" style="position:absolute;left:8822;top:985;width:2281;height:3720" coordorigin="8823,985" coordsize="2281,3720" path="m11103,985r-2280,l8823,4535r2,99l8844,4684r51,19l8993,4705r1940,l11032,4703r50,-19l11101,4634r2,-99l11103,985xe" fillcolor="#f3f4f4" stroked="f">
              <v:path arrowok="t"/>
            </v:shape>
            <v:shape id="docshape915" o:spid="_x0000_s2903" type="#_x0000_t202" style="position:absolute;left:8820;top:212;width:2284;height:4494" filled="f" stroked="f">
              <v:textbox style="mso-next-textbox:#docshape915" inset="0,0,0,0">
                <w:txbxContent>
                  <w:p w14:paraId="772846EA" w14:textId="6332EE47" w:rsidR="0055291C" w:rsidRDefault="00904C6F">
                    <w:pPr>
                      <w:spacing w:before="108" w:line="249" w:lineRule="auto"/>
                      <w:ind w:left="119" w:right="259"/>
                      <w:rPr>
                        <w:rFonts w:ascii="Arial"/>
                        <w:b/>
                        <w:i/>
                        <w:lang w:eastAsia="ja-JP"/>
                      </w:rPr>
                    </w:pPr>
                    <w:r>
                      <w:rPr>
                        <w:rFonts w:ascii="ＭＳ ゴシック" w:eastAsia="ＭＳ ゴシック" w:hAnsi="ＭＳ ゴシック" w:cs="ＭＳ ゴシック" w:hint="eastAsia"/>
                        <w:b/>
                        <w:i/>
                        <w:color w:val="FFFFFF"/>
                        <w:spacing w:val="-7"/>
                        <w:lang w:eastAsia="ja-JP"/>
                      </w:rPr>
                      <w:t>データ品質向上への取り組み</w:t>
                    </w:r>
                  </w:p>
                  <w:p w14:paraId="5F357445" w14:textId="2AA095E3" w:rsidR="0055291C" w:rsidRPr="009B57A0" w:rsidRDefault="009B57A0">
                    <w:pPr>
                      <w:spacing w:before="158" w:line="268" w:lineRule="auto"/>
                      <w:ind w:left="176" w:right="233"/>
                      <w:rPr>
                        <w:sz w:val="19"/>
                        <w:szCs w:val="19"/>
                        <w:lang w:eastAsia="ja-JP"/>
                      </w:rPr>
                    </w:pPr>
                    <w:r>
                      <w:rPr>
                        <w:rFonts w:ascii="ＭＳ ゴシック" w:eastAsia="ＭＳ ゴシック" w:hAnsi="ＭＳ ゴシック" w:cs="ＭＳ ゴシック" w:hint="eastAsia"/>
                        <w:sz w:val="19"/>
                        <w:szCs w:val="19"/>
                        <w:lang w:eastAsia="ja-JP"/>
                      </w:rPr>
                      <w:t>ドイツにおける</w:t>
                    </w:r>
                    <w:r w:rsidRPr="009B57A0">
                      <w:rPr>
                        <w:rFonts w:ascii="ＭＳ ゴシック" w:eastAsia="ＭＳ ゴシック" w:hAnsi="ＭＳ ゴシック" w:cs="ＭＳ ゴシック" w:hint="eastAsia"/>
                        <w:sz w:val="19"/>
                        <w:szCs w:val="19"/>
                        <w:lang w:eastAsia="ja-JP"/>
                      </w:rPr>
                      <w:t>トラック輸送の排出係数を</w:t>
                    </w:r>
                    <w:r>
                      <w:rPr>
                        <w:rFonts w:ascii="ＭＳ ゴシック" w:eastAsia="ＭＳ ゴシック" w:hAnsi="ＭＳ ゴシック" w:cs="ＭＳ ゴシック" w:hint="eastAsia"/>
                        <w:sz w:val="19"/>
                        <w:szCs w:val="19"/>
                        <w:lang w:eastAsia="ja-JP"/>
                      </w:rPr>
                      <w:t>算出</w:t>
                    </w:r>
                    <w:r w:rsidRPr="009B57A0">
                      <w:rPr>
                        <w:rFonts w:ascii="ＭＳ ゴシック" w:eastAsia="ＭＳ ゴシック" w:hAnsi="ＭＳ ゴシック" w:cs="ＭＳ ゴシック" w:hint="eastAsia"/>
                        <w:sz w:val="19"/>
                        <w:szCs w:val="19"/>
                        <w:lang w:eastAsia="ja-JP"/>
                      </w:rPr>
                      <w:t>するため、製品走行距離に関する社内データ収集の取り組みを</w:t>
                    </w:r>
                    <w:r>
                      <w:rPr>
                        <w:rFonts w:ascii="ＭＳ ゴシック" w:eastAsia="ＭＳ ゴシック" w:hAnsi="ＭＳ ゴシック" w:cs="ＭＳ ゴシック" w:hint="eastAsia"/>
                        <w:sz w:val="19"/>
                        <w:szCs w:val="19"/>
                        <w:lang w:eastAsia="ja-JP"/>
                      </w:rPr>
                      <w:t>行って</w:t>
                    </w:r>
                    <w:r w:rsidRPr="009B57A0">
                      <w:rPr>
                        <w:rFonts w:ascii="ＭＳ ゴシック" w:eastAsia="ＭＳ ゴシック" w:hAnsi="ＭＳ ゴシック" w:cs="ＭＳ ゴシック" w:hint="eastAsia"/>
                        <w:sz w:val="19"/>
                        <w:szCs w:val="19"/>
                        <w:lang w:eastAsia="ja-JP"/>
                      </w:rPr>
                      <w:t>い</w:t>
                    </w:r>
                    <w:r>
                      <w:rPr>
                        <w:rFonts w:ascii="ＭＳ ゴシック" w:eastAsia="ＭＳ ゴシック" w:hAnsi="ＭＳ ゴシック" w:cs="ＭＳ ゴシック" w:hint="eastAsia"/>
                        <w:sz w:val="19"/>
                        <w:szCs w:val="19"/>
                        <w:lang w:eastAsia="ja-JP"/>
                      </w:rPr>
                      <w:t>る</w:t>
                    </w:r>
                    <w:r w:rsidRPr="009B57A0">
                      <w:rPr>
                        <w:rFonts w:ascii="ＭＳ ゴシック" w:eastAsia="ＭＳ ゴシック" w:hAnsi="ＭＳ ゴシック" w:cs="ＭＳ ゴシック" w:hint="eastAsia"/>
                        <w:sz w:val="19"/>
                        <w:szCs w:val="19"/>
                        <w:lang w:eastAsia="ja-JP"/>
                      </w:rPr>
                      <w:t>。</w:t>
                    </w:r>
                  </w:p>
                </w:txbxContent>
              </v:textbox>
            </v:shape>
            <w10:wrap type="topAndBottom" anchorx="page"/>
          </v:group>
        </w:pict>
      </w:r>
    </w:p>
    <w:p w14:paraId="3E8A077E" w14:textId="77777777" w:rsidR="0055291C" w:rsidRDefault="0055291C">
      <w:pPr>
        <w:pStyle w:val="a3"/>
        <w:rPr>
          <w:rFonts w:ascii="Arial"/>
          <w:b/>
          <w:sz w:val="20"/>
          <w:lang w:eastAsia="ja-JP"/>
        </w:rPr>
      </w:pPr>
    </w:p>
    <w:p w14:paraId="504E3B13" w14:textId="77777777" w:rsidR="0055291C" w:rsidRDefault="0055291C">
      <w:pPr>
        <w:pStyle w:val="a3"/>
        <w:spacing w:before="9"/>
        <w:rPr>
          <w:rFonts w:ascii="Arial"/>
          <w:b/>
          <w:sz w:val="17"/>
          <w:lang w:eastAsia="ja-JP"/>
        </w:rPr>
      </w:pPr>
    </w:p>
    <w:p w14:paraId="643D1A9F" w14:textId="77777777" w:rsidR="0055291C" w:rsidRDefault="0055291C">
      <w:pPr>
        <w:rPr>
          <w:rFonts w:ascii="Arial"/>
          <w:sz w:val="17"/>
          <w:lang w:eastAsia="ja-JP"/>
        </w:rPr>
        <w:sectPr w:rsidR="0055291C">
          <w:pgSz w:w="12240" w:h="15840"/>
          <w:pgMar w:top="0" w:right="0" w:bottom="1040" w:left="0" w:header="0" w:footer="859" w:gutter="0"/>
          <w:cols w:space="720"/>
        </w:sectPr>
      </w:pPr>
    </w:p>
    <w:p w14:paraId="173333FC" w14:textId="3CD104F8" w:rsidR="0055291C" w:rsidRDefault="00904C6F">
      <w:pPr>
        <w:pStyle w:val="a3"/>
        <w:spacing w:before="102" w:line="312" w:lineRule="auto"/>
        <w:ind w:left="1133"/>
        <w:rPr>
          <w:lang w:eastAsia="ja-JP"/>
        </w:rPr>
      </w:pPr>
      <w:r w:rsidRPr="00904C6F">
        <w:rPr>
          <w:rFonts w:ascii="ＭＳ ゴシック" w:eastAsia="ＭＳ ゴシック" w:hAnsi="ＭＳ ゴシック" w:cs="ＭＳ ゴシック" w:hint="eastAsia"/>
          <w:color w:val="545456"/>
          <w:lang w:eastAsia="ja-JP"/>
        </w:rPr>
        <w:t>企業はデータの個々の状況を考慮する必要があ</w:t>
      </w:r>
      <w:r>
        <w:rPr>
          <w:rFonts w:ascii="ＭＳ ゴシック" w:eastAsia="ＭＳ ゴシック" w:hAnsi="ＭＳ ゴシック" w:cs="ＭＳ ゴシック" w:hint="eastAsia"/>
          <w:color w:val="545456"/>
          <w:lang w:eastAsia="ja-JP"/>
        </w:rPr>
        <w:t>ります</w:t>
      </w:r>
      <w:r w:rsidRPr="00904C6F">
        <w:rPr>
          <w:color w:val="545456"/>
          <w:lang w:eastAsia="ja-JP"/>
        </w:rPr>
        <w:t>(</w:t>
      </w:r>
      <w:r w:rsidR="0027297E">
        <w:rPr>
          <w:rFonts w:ascii="ＭＳ ゴシック" w:eastAsia="ＭＳ ゴシック" w:hAnsi="ＭＳ ゴシック" w:cs="ＭＳ ゴシック" w:hint="eastAsia"/>
          <w:color w:val="545456"/>
          <w:lang w:eastAsia="ja-JP"/>
        </w:rPr>
        <w:t>不確実性</w:t>
      </w:r>
      <w:r w:rsidRPr="00904C6F">
        <w:rPr>
          <w:rFonts w:ascii="ＭＳ ゴシック" w:eastAsia="ＭＳ ゴシック" w:hAnsi="ＭＳ ゴシック" w:cs="ＭＳ ゴシック" w:hint="eastAsia"/>
          <w:color w:val="545456"/>
          <w:lang w:eastAsia="ja-JP"/>
        </w:rPr>
        <w:t>に関する要求事項やガイダンスについては第</w:t>
      </w:r>
      <w:r w:rsidRPr="00904C6F">
        <w:rPr>
          <w:color w:val="545456"/>
          <w:lang w:eastAsia="ja-JP"/>
        </w:rPr>
        <w:t>10</w:t>
      </w:r>
      <w:r w:rsidRPr="00904C6F">
        <w:rPr>
          <w:rFonts w:ascii="ＭＳ ゴシック" w:eastAsia="ＭＳ ゴシック" w:hAnsi="ＭＳ ゴシック" w:cs="ＭＳ ゴシック" w:hint="eastAsia"/>
          <w:color w:val="545456"/>
          <w:lang w:eastAsia="ja-JP"/>
        </w:rPr>
        <w:t>章を参照</w:t>
      </w:r>
      <w:r w:rsidR="009B57A0">
        <w:rPr>
          <w:rFonts w:ascii="ＭＳ ゴシック" w:eastAsia="ＭＳ ゴシック" w:hAnsi="ＭＳ ゴシック" w:cs="ＭＳ ゴシック" w:hint="eastAsia"/>
          <w:color w:val="545456"/>
          <w:lang w:eastAsia="ja-JP"/>
        </w:rPr>
        <w:t>してください</w:t>
      </w:r>
      <w:r w:rsidRPr="00904C6F">
        <w:rPr>
          <w:color w:val="545456"/>
          <w:lang w:eastAsia="ja-JP"/>
        </w:rPr>
        <w:t>)</w:t>
      </w:r>
      <w:r w:rsidRPr="00904C6F">
        <w:rPr>
          <w:rFonts w:ascii="ＭＳ ゴシック" w:eastAsia="ＭＳ ゴシック" w:hAnsi="ＭＳ ゴシック" w:cs="ＭＳ ゴシック" w:hint="eastAsia"/>
          <w:color w:val="545456"/>
          <w:lang w:eastAsia="ja-JP"/>
        </w:rPr>
        <w:t>。</w:t>
      </w:r>
    </w:p>
    <w:p w14:paraId="0C03910D" w14:textId="03994DCF" w:rsidR="0055291C" w:rsidRDefault="009B57A0" w:rsidP="009B57A0">
      <w:pPr>
        <w:pStyle w:val="a3"/>
        <w:spacing w:before="2" w:line="312" w:lineRule="auto"/>
        <w:ind w:left="1133" w:right="100" w:firstLineChars="100" w:firstLine="190"/>
        <w:rPr>
          <w:lang w:eastAsia="ja-JP"/>
        </w:rPr>
      </w:pPr>
      <w:r>
        <w:rPr>
          <w:rFonts w:ascii="ＭＳ ゴシック" w:eastAsia="ＭＳ ゴシック" w:hAnsi="ＭＳ ゴシック" w:cs="ＭＳ ゴシック" w:hint="eastAsia"/>
          <w:lang w:eastAsia="ja-JP"/>
        </w:rPr>
        <w:t>企業が報告書内の個々のデータの不確実性を知らない場合、不確実性のレベルを推定するためにデータ品質指標スコアを使用することができます。このアプロー</w:t>
      </w:r>
      <w:r>
        <w:rPr>
          <w:lang w:eastAsia="ja-JP"/>
        </w:rPr>
        <w:t xml:space="preserve"> </w:t>
      </w:r>
      <w:r>
        <w:rPr>
          <w:rFonts w:ascii="ＭＳ ゴシック" w:eastAsia="ＭＳ ゴシック" w:hAnsi="ＭＳ ゴシック" w:cs="ＭＳ ゴシック" w:hint="eastAsia"/>
          <w:lang w:eastAsia="ja-JP"/>
        </w:rPr>
        <w:t>チに関する情報は、第10章を参照してください。その他の</w:t>
      </w:r>
      <w:r w:rsidR="0027297E">
        <w:rPr>
          <w:rFonts w:ascii="ＭＳ ゴシック" w:eastAsia="ＭＳ ゴシック" w:hAnsi="ＭＳ ゴシック" w:cs="ＭＳ ゴシック" w:hint="eastAsia"/>
          <w:lang w:eastAsia="ja-JP"/>
        </w:rPr>
        <w:t>不確実性</w:t>
      </w:r>
      <w:r>
        <w:rPr>
          <w:rFonts w:ascii="ＭＳ ゴシック" w:eastAsia="ＭＳ ゴシック" w:hAnsi="ＭＳ ゴシック" w:cs="ＭＳ ゴシック" w:hint="eastAsia"/>
          <w:lang w:eastAsia="ja-JP"/>
        </w:rPr>
        <w:t>計算のガイダンスとツールは、</w:t>
      </w:r>
      <w:r>
        <w:rPr>
          <w:lang w:eastAsia="ja-JP"/>
        </w:rPr>
        <w:t>(www.ghgprotocol.org)</w:t>
      </w:r>
      <w:r>
        <w:rPr>
          <w:rFonts w:ascii="ＭＳ ゴシック" w:eastAsia="ＭＳ ゴシック" w:hAnsi="ＭＳ ゴシック" w:cs="ＭＳ ゴシック" w:hint="eastAsia"/>
          <w:lang w:eastAsia="ja-JP"/>
        </w:rPr>
        <w:t>で入手できます。</w:t>
      </w:r>
    </w:p>
    <w:p w14:paraId="7FE060C2" w14:textId="42A38C37" w:rsidR="0055291C" w:rsidRDefault="009B57A0">
      <w:pPr>
        <w:pStyle w:val="7"/>
        <w:numPr>
          <w:ilvl w:val="2"/>
          <w:numId w:val="46"/>
        </w:numPr>
        <w:tabs>
          <w:tab w:val="left" w:pos="1853"/>
          <w:tab w:val="left" w:pos="1854"/>
        </w:tabs>
        <w:spacing w:before="129" w:line="292" w:lineRule="auto"/>
        <w:ind w:left="1853" w:right="12" w:hanging="720"/>
        <w:jc w:val="left"/>
        <w:rPr>
          <w:lang w:eastAsia="ja-JP"/>
        </w:rPr>
      </w:pPr>
      <w:r>
        <w:rPr>
          <w:rFonts w:ascii="ＭＳ 明朝" w:eastAsia="ＭＳ 明朝" w:hAnsi="ＭＳ 明朝" w:cs="ＭＳ 明朝" w:hint="eastAsia"/>
          <w:color w:val="00B8B1"/>
          <w:spacing w:val="-1"/>
          <w:lang w:eastAsia="ja-JP"/>
        </w:rPr>
        <w:t>重要な</w:t>
      </w:r>
      <w:r>
        <w:rPr>
          <w:rFonts w:ascii="ＭＳ 明朝" w:eastAsia="ＭＳ 明朝" w:hAnsi="ＭＳ 明朝" w:cs="ＭＳ 明朝" w:hint="eastAsia"/>
          <w:color w:val="00B8B1"/>
          <w:w w:val="95"/>
          <w:lang w:eastAsia="ja-JP"/>
        </w:rPr>
        <w:t>プロセスのデータ品質に関する</w:t>
      </w:r>
      <w:r w:rsidR="005E11F1">
        <w:rPr>
          <w:rFonts w:ascii="ＭＳ 明朝" w:eastAsia="ＭＳ 明朝" w:hAnsi="ＭＳ 明朝" w:cs="ＭＳ 明朝" w:hint="eastAsia"/>
          <w:color w:val="00B8B1"/>
          <w:w w:val="95"/>
          <w:lang w:eastAsia="ja-JP"/>
        </w:rPr>
        <w:t>報告</w:t>
      </w:r>
    </w:p>
    <w:p w14:paraId="5DECE5CA" w14:textId="73A0155A" w:rsidR="005E11F1" w:rsidRDefault="005E11F1" w:rsidP="005E11F1">
      <w:pPr>
        <w:pStyle w:val="a3"/>
        <w:spacing w:before="11" w:line="312" w:lineRule="auto"/>
        <w:ind w:left="1133" w:right="163" w:firstLineChars="100" w:firstLine="190"/>
        <w:rPr>
          <w:color w:val="545456"/>
          <w:w w:val="105"/>
          <w:lang w:eastAsia="ja-JP"/>
        </w:rPr>
      </w:pPr>
      <w:r>
        <w:rPr>
          <w:rFonts w:ascii="ＭＳ ゴシック" w:eastAsia="ＭＳ ゴシック" w:hAnsi="ＭＳ ゴシック" w:cs="ＭＳ ゴシック" w:hint="eastAsia"/>
          <w:lang w:eastAsia="ja-JP"/>
        </w:rPr>
        <w:t>企業は、重要なプロセスについて、データソース、デ</w:t>
      </w:r>
      <w:r>
        <w:rPr>
          <w:lang w:eastAsia="ja-JP"/>
        </w:rPr>
        <w:t xml:space="preserve"> </w:t>
      </w:r>
      <w:r>
        <w:rPr>
          <w:rFonts w:ascii="ＭＳ ゴシック" w:eastAsia="ＭＳ ゴシック" w:hAnsi="ＭＳ ゴシック" w:cs="ＭＳ ゴシック" w:hint="eastAsia"/>
          <w:lang w:eastAsia="ja-JP"/>
        </w:rPr>
        <w:t>―タ品質、およびデータ品質を改善するための取り組みについて報告することが求められています。</w:t>
      </w:r>
      <w:r>
        <w:rPr>
          <w:rFonts w:ascii="ＭＳ ゴシック" w:eastAsia="ＭＳ ゴシック" w:hAnsi="ＭＳ ゴシック" w:cs="ＭＳ ゴシック" w:hint="eastAsia"/>
          <w:color w:val="545456"/>
          <w:lang w:eastAsia="ja-JP"/>
        </w:rPr>
        <w:t>表8.3はその一例です。</w:t>
      </w:r>
    </w:p>
    <w:p w14:paraId="628F482A" w14:textId="3993BC00" w:rsidR="0055291C" w:rsidRDefault="005E11F1" w:rsidP="005E11F1">
      <w:pPr>
        <w:pStyle w:val="a3"/>
        <w:spacing w:before="1" w:line="312" w:lineRule="auto"/>
        <w:ind w:left="1133" w:right="163" w:firstLineChars="100" w:firstLine="199"/>
        <w:rPr>
          <w:lang w:eastAsia="ja-JP"/>
        </w:rPr>
      </w:pPr>
      <w:r w:rsidRPr="005E11F1">
        <w:rPr>
          <w:rFonts w:ascii="ＭＳ ゴシック" w:eastAsia="ＭＳ ゴシック" w:hAnsi="ＭＳ ゴシック" w:cs="ＭＳ ゴシック" w:hint="eastAsia"/>
          <w:color w:val="545456"/>
          <w:w w:val="105"/>
          <w:lang w:eastAsia="ja-JP"/>
        </w:rPr>
        <w:t>重要なプロセスを特定するために、スクリーニングのステップに含まれる基準が役に立ちます。</w:t>
      </w:r>
    </w:p>
    <w:p w14:paraId="6C6B192D" w14:textId="77777777" w:rsidR="005E11F1" w:rsidRPr="005E11F1" w:rsidRDefault="005E11F1">
      <w:pPr>
        <w:pStyle w:val="a5"/>
        <w:numPr>
          <w:ilvl w:val="2"/>
          <w:numId w:val="46"/>
        </w:numPr>
        <w:tabs>
          <w:tab w:val="left" w:pos="1853"/>
          <w:tab w:val="left" w:pos="1854"/>
        </w:tabs>
        <w:spacing w:before="128" w:line="309" w:lineRule="auto"/>
        <w:ind w:left="1133" w:right="537" w:firstLine="0"/>
        <w:jc w:val="left"/>
        <w:rPr>
          <w:sz w:val="19"/>
          <w:lang w:eastAsia="ja-JP"/>
        </w:rPr>
      </w:pPr>
      <w:r>
        <w:rPr>
          <w:rFonts w:ascii="ＭＳ ゴシック" w:eastAsia="ＭＳ ゴシック" w:hAnsi="ＭＳ ゴシック" w:cs="ＭＳ ゴシック" w:hint="eastAsia"/>
          <w:b/>
          <w:i/>
          <w:color w:val="00B8B1"/>
          <w:spacing w:val="-1"/>
          <w:sz w:val="20"/>
          <w:lang w:eastAsia="ja-JP"/>
        </w:rPr>
        <w:t>データ品質に関するその他の考慮事項</w:t>
      </w:r>
    </w:p>
    <w:p w14:paraId="2DD07004" w14:textId="5BEF3DDB" w:rsidR="0055291C" w:rsidRPr="005E11F1" w:rsidRDefault="00F23C61" w:rsidP="005E11F1">
      <w:pPr>
        <w:pStyle w:val="a5"/>
        <w:tabs>
          <w:tab w:val="left" w:pos="1853"/>
          <w:tab w:val="left" w:pos="1854"/>
        </w:tabs>
        <w:spacing w:before="128" w:line="309" w:lineRule="auto"/>
        <w:ind w:left="1133" w:right="537" w:firstLine="0"/>
        <w:rPr>
          <w:sz w:val="19"/>
          <w:szCs w:val="19"/>
          <w:lang w:eastAsia="ja-JP"/>
        </w:rPr>
      </w:pPr>
      <w:r>
        <w:rPr>
          <w:rFonts w:ascii="Arial"/>
          <w:b/>
          <w:i/>
          <w:color w:val="00B8B1"/>
          <w:spacing w:val="-53"/>
          <w:sz w:val="20"/>
          <w:lang w:eastAsia="ja-JP"/>
        </w:rPr>
        <w:t xml:space="preserve"> </w:t>
      </w:r>
      <w:r w:rsidR="005E11F1" w:rsidRPr="005E11F1">
        <w:rPr>
          <w:rFonts w:ascii="ＭＳ ゴシック" w:eastAsia="ＭＳ ゴシック" w:hAnsi="ＭＳ ゴシック" w:cs="ＭＳ ゴシック" w:hint="eastAsia"/>
          <w:sz w:val="19"/>
          <w:szCs w:val="19"/>
          <w:lang w:eastAsia="ja-JP"/>
        </w:rPr>
        <w:t>表</w:t>
      </w:r>
      <w:r w:rsidR="005E11F1" w:rsidRPr="005E11F1">
        <w:rPr>
          <w:sz w:val="19"/>
          <w:szCs w:val="19"/>
          <w:lang w:eastAsia="ja-JP"/>
        </w:rPr>
        <w:t>8.1</w:t>
      </w:r>
      <w:r w:rsidR="005E11F1" w:rsidRPr="005E11F1">
        <w:rPr>
          <w:rFonts w:ascii="ＭＳ ゴシック" w:eastAsia="ＭＳ ゴシック" w:hAnsi="ＭＳ ゴシック" w:cs="ＭＳ ゴシック" w:hint="eastAsia"/>
          <w:sz w:val="19"/>
          <w:szCs w:val="19"/>
          <w:lang w:eastAsia="ja-JP"/>
        </w:rPr>
        <w:t>のデータ品質指標に加えて、企業は以下の品質に関する事項を考慮する必要があ</w:t>
      </w:r>
      <w:r w:rsidR="007F7CCF">
        <w:rPr>
          <w:rFonts w:ascii="ＭＳ ゴシック" w:eastAsia="ＭＳ ゴシック" w:hAnsi="ＭＳ ゴシック" w:cs="ＭＳ ゴシック" w:hint="eastAsia"/>
          <w:sz w:val="19"/>
          <w:szCs w:val="19"/>
          <w:lang w:eastAsia="ja-JP"/>
        </w:rPr>
        <w:t>ります</w:t>
      </w:r>
      <w:r w:rsidR="005E11F1" w:rsidRPr="005E11F1">
        <w:rPr>
          <w:rFonts w:ascii="ＭＳ ゴシック" w:eastAsia="ＭＳ ゴシック" w:hAnsi="ＭＳ ゴシック" w:cs="ＭＳ ゴシック" w:hint="eastAsia"/>
          <w:sz w:val="19"/>
          <w:szCs w:val="19"/>
          <w:lang w:eastAsia="ja-JP"/>
        </w:rPr>
        <w:t>。</w:t>
      </w:r>
    </w:p>
    <w:p w14:paraId="30660D7D" w14:textId="70843C00" w:rsidR="0055291C" w:rsidRDefault="00F23C61">
      <w:pPr>
        <w:spacing w:before="108"/>
        <w:ind w:left="269"/>
        <w:rPr>
          <w:rFonts w:ascii="Arial"/>
          <w:b/>
          <w:i/>
          <w:sz w:val="18"/>
          <w:lang w:eastAsia="ja-JP"/>
        </w:rPr>
      </w:pPr>
      <w:r>
        <w:rPr>
          <w:lang w:eastAsia="ja-JP"/>
        </w:rPr>
        <w:br w:type="column"/>
      </w:r>
      <w:r w:rsidR="007F7CCF">
        <w:rPr>
          <w:rFonts w:ascii="ＭＳ ゴシック" w:eastAsia="ＭＳ ゴシック" w:hAnsi="ＭＳ ゴシック" w:cs="ＭＳ ゴシック" w:hint="eastAsia"/>
          <w:b/>
          <w:i/>
          <w:color w:val="7F3F98"/>
          <w:sz w:val="18"/>
          <w:lang w:eastAsia="ja-JP"/>
        </w:rPr>
        <w:t>割り当てデータ</w:t>
      </w:r>
    </w:p>
    <w:p w14:paraId="2FFF4394" w14:textId="3EEDE4AA" w:rsidR="0055291C" w:rsidRDefault="00A478A4" w:rsidP="00A478A4">
      <w:pPr>
        <w:pStyle w:val="a3"/>
        <w:spacing w:before="3" w:line="312" w:lineRule="auto"/>
        <w:ind w:left="269" w:right="1240" w:firstLineChars="100" w:firstLine="190"/>
        <w:rPr>
          <w:lang w:eastAsia="ja-JP"/>
        </w:rPr>
      </w:pPr>
      <w:r>
        <w:rPr>
          <w:rFonts w:ascii="ＭＳ ゴシック" w:eastAsia="ＭＳ ゴシック" w:hAnsi="ＭＳ ゴシック" w:cs="ＭＳ ゴシック" w:hint="eastAsia"/>
          <w:lang w:eastAsia="ja-JP"/>
        </w:rPr>
        <w:t>割り当てが必要なデータよりも、割り当てを回避するために収集されたデータの方が望ましいといえます。例えば、他のデータ品質指標がほぼ同じであれば、工程レベルで収集され、割り当てを必要としないデータの方が、調査対象製品と工場の間で割り当てが必要な工場レベルのデータより望ましいといえます。</w:t>
      </w:r>
      <w:r>
        <w:rPr>
          <w:lang w:eastAsia="ja-JP"/>
        </w:rPr>
        <w:t xml:space="preserve"> </w:t>
      </w:r>
      <w:r>
        <w:rPr>
          <w:rFonts w:ascii="ＭＳ ゴシック" w:eastAsia="ＭＳ ゴシック" w:hAnsi="ＭＳ ゴシック" w:cs="ＭＳ ゴシック" w:hint="eastAsia"/>
          <w:lang w:eastAsia="ja-JP"/>
        </w:rPr>
        <w:t>他の要件とガイダンスについては、第</w:t>
      </w:r>
      <w:r>
        <w:rPr>
          <w:lang w:eastAsia="ja-JP"/>
        </w:rPr>
        <w:t>9</w:t>
      </w:r>
      <w:r>
        <w:rPr>
          <w:rFonts w:ascii="ＭＳ ゴシック" w:eastAsia="ＭＳ ゴシック" w:hAnsi="ＭＳ ゴシック" w:cs="ＭＳ ゴシック" w:hint="eastAsia"/>
          <w:lang w:eastAsia="ja-JP"/>
        </w:rPr>
        <w:t>章を参照してください。</w:t>
      </w:r>
    </w:p>
    <w:p w14:paraId="6ED0590F" w14:textId="18A30E3D" w:rsidR="0055291C" w:rsidRDefault="00A478A4">
      <w:pPr>
        <w:spacing w:before="147"/>
        <w:ind w:left="269"/>
        <w:rPr>
          <w:rFonts w:ascii="Arial"/>
          <w:b/>
          <w:i/>
          <w:sz w:val="18"/>
          <w:lang w:eastAsia="ja-JP"/>
        </w:rPr>
      </w:pPr>
      <w:r>
        <w:rPr>
          <w:rFonts w:ascii="ＭＳ ゴシック" w:eastAsia="ＭＳ ゴシック" w:hAnsi="ＭＳ ゴシック" w:cs="ＭＳ ゴシック" w:hint="eastAsia"/>
          <w:b/>
          <w:i/>
          <w:color w:val="7F3F98"/>
          <w:sz w:val="18"/>
          <w:lang w:eastAsia="ja-JP"/>
        </w:rPr>
        <w:t>データの透明性</w:t>
      </w:r>
    </w:p>
    <w:p w14:paraId="49F57B8D" w14:textId="68E8E7BE" w:rsidR="0055291C" w:rsidRDefault="00A478A4" w:rsidP="00A20F72">
      <w:pPr>
        <w:pStyle w:val="a3"/>
        <w:spacing w:before="67" w:line="312" w:lineRule="auto"/>
        <w:ind w:left="269" w:right="1192" w:firstLineChars="100" w:firstLine="190"/>
        <w:rPr>
          <w:lang w:eastAsia="ja-JP"/>
        </w:rPr>
      </w:pPr>
      <w:r>
        <w:rPr>
          <w:rFonts w:ascii="ＭＳ ゴシック" w:eastAsia="ＭＳ ゴシック" w:hAnsi="ＭＳ ゴシック" w:cs="ＭＳ ゴシック" w:hint="eastAsia"/>
          <w:lang w:eastAsia="ja-JP"/>
        </w:rPr>
        <w:t>企業は、データ品質指標でデータを評価するのに十</w:t>
      </w:r>
      <w:r>
        <w:rPr>
          <w:lang w:eastAsia="ja-JP"/>
        </w:rPr>
        <w:t xml:space="preserve"> </w:t>
      </w:r>
      <w:r>
        <w:rPr>
          <w:rFonts w:ascii="ＭＳ ゴシック" w:eastAsia="ＭＳ ゴシック" w:hAnsi="ＭＳ ゴシック" w:cs="ＭＳ ゴシック" w:hint="eastAsia"/>
          <w:lang w:eastAsia="ja-JP"/>
        </w:rPr>
        <w:t>分な情報を持っている</w:t>
      </w:r>
      <w:r w:rsidR="00A20F72">
        <w:rPr>
          <w:rFonts w:ascii="ＭＳ ゴシック" w:eastAsia="ＭＳ ゴシック" w:hAnsi="ＭＳ ゴシック" w:cs="ＭＳ ゴシック" w:hint="eastAsia"/>
          <w:lang w:eastAsia="ja-JP"/>
        </w:rPr>
        <w:t>べきです</w:t>
      </w:r>
      <w:r>
        <w:rPr>
          <w:rFonts w:ascii="ＭＳ ゴシック" w:eastAsia="ＭＳ ゴシック" w:hAnsi="ＭＳ ゴシック" w:cs="ＭＳ ゴシック" w:hint="eastAsia"/>
          <w:lang w:eastAsia="ja-JP"/>
        </w:rPr>
        <w:t>。収集手順、品質管理、関連するデータの仮定について十分な情報がない場合、企業は他に十分な品質のデータがない</w:t>
      </w:r>
      <w:r w:rsidR="00A20F72">
        <w:rPr>
          <w:rFonts w:ascii="ＭＳ ゴシック" w:eastAsia="ＭＳ ゴシック" w:hAnsi="ＭＳ ゴシック" w:cs="ＭＳ ゴシック" w:hint="eastAsia"/>
          <w:lang w:eastAsia="ja-JP"/>
        </w:rPr>
        <w:t>とき</w:t>
      </w:r>
      <w:r>
        <w:rPr>
          <w:rFonts w:ascii="ＭＳ ゴシック" w:eastAsia="ＭＳ ゴシック" w:hAnsi="ＭＳ ゴシック" w:cs="ＭＳ ゴシック" w:hint="eastAsia"/>
          <w:lang w:eastAsia="ja-JP"/>
        </w:rPr>
        <w:t>にのみ、そのデータを使用する</w:t>
      </w:r>
      <w:r w:rsidR="00A20F72">
        <w:rPr>
          <w:rFonts w:ascii="ＭＳ ゴシック" w:eastAsia="ＭＳ ゴシック" w:hAnsi="ＭＳ ゴシック" w:cs="ＭＳ ゴシック" w:hint="eastAsia"/>
          <w:lang w:eastAsia="ja-JP"/>
        </w:rPr>
        <w:t>べきでしょう</w:t>
      </w:r>
      <w:r>
        <w:rPr>
          <w:rFonts w:ascii="ＭＳ ゴシック" w:eastAsia="ＭＳ ゴシック" w:hAnsi="ＭＳ ゴシック" w:cs="ＭＳ ゴシック" w:hint="eastAsia"/>
          <w:lang w:eastAsia="ja-JP"/>
        </w:rPr>
        <w:t>。</w:t>
      </w:r>
    </w:p>
    <w:p w14:paraId="6991A7A9" w14:textId="3AF938E8" w:rsidR="0055291C" w:rsidRDefault="00A20F72">
      <w:pPr>
        <w:spacing w:before="149"/>
        <w:ind w:left="269"/>
        <w:rPr>
          <w:rFonts w:ascii="Arial"/>
          <w:b/>
          <w:i/>
          <w:sz w:val="18"/>
          <w:lang w:eastAsia="ja-JP"/>
        </w:rPr>
      </w:pPr>
      <w:r>
        <w:rPr>
          <w:rFonts w:ascii="ＭＳ ゴシック" w:eastAsia="ＭＳ ゴシック" w:hAnsi="ＭＳ ゴシック" w:cs="ＭＳ ゴシック" w:hint="eastAsia"/>
          <w:b/>
          <w:i/>
          <w:color w:val="7F3F98"/>
          <w:sz w:val="18"/>
          <w:lang w:eastAsia="ja-JP"/>
        </w:rPr>
        <w:t>不確実性</w:t>
      </w:r>
    </w:p>
    <w:p w14:paraId="13D9FDA0" w14:textId="0BA59DE8" w:rsidR="0055291C" w:rsidRDefault="00A20F72" w:rsidP="00A20F72">
      <w:pPr>
        <w:pStyle w:val="a3"/>
        <w:spacing w:before="66" w:line="312" w:lineRule="auto"/>
        <w:ind w:left="269" w:right="1572" w:firstLineChars="100" w:firstLine="190"/>
        <w:jc w:val="both"/>
        <w:rPr>
          <w:lang w:eastAsia="ja-JP"/>
        </w:rPr>
      </w:pPr>
      <w:r>
        <w:rPr>
          <w:rFonts w:ascii="ＭＳ ゴシック" w:eastAsia="ＭＳ ゴシック" w:hAnsi="ＭＳ ゴシック" w:cs="ＭＳ ゴシック" w:hint="eastAsia"/>
          <w:lang w:eastAsia="ja-JP"/>
        </w:rPr>
        <w:t>不確実性の高いデータは、インベントリの全体的な品質に悪影響を与える可能性があります。不確実性の詳細については、第</w:t>
      </w:r>
      <w:r>
        <w:rPr>
          <w:lang w:eastAsia="ja-JP"/>
        </w:rPr>
        <w:t>10</w:t>
      </w:r>
      <w:r>
        <w:rPr>
          <w:rFonts w:ascii="ＭＳ ゴシック" w:eastAsia="ＭＳ ゴシック" w:hAnsi="ＭＳ ゴシック" w:cs="ＭＳ ゴシック" w:hint="eastAsia"/>
          <w:lang w:eastAsia="ja-JP"/>
        </w:rPr>
        <w:t>章に記載されています。</w:t>
      </w:r>
    </w:p>
    <w:p w14:paraId="2CE3A6F0" w14:textId="77777777" w:rsidR="0055291C" w:rsidRDefault="0055291C">
      <w:pPr>
        <w:spacing w:line="312" w:lineRule="auto"/>
        <w:jc w:val="both"/>
        <w:rPr>
          <w:lang w:eastAsia="ja-JP"/>
        </w:rPr>
        <w:sectPr w:rsidR="0055291C">
          <w:type w:val="continuous"/>
          <w:pgSz w:w="12240" w:h="15840"/>
          <w:pgMar w:top="740" w:right="0" w:bottom="280" w:left="0" w:header="0" w:footer="859" w:gutter="0"/>
          <w:cols w:num="2" w:space="720" w:equalWidth="0">
            <w:col w:w="5966" w:space="40"/>
            <w:col w:w="6234"/>
          </w:cols>
        </w:sectPr>
      </w:pPr>
    </w:p>
    <w:p w14:paraId="3488076D" w14:textId="77777777" w:rsidR="0055291C" w:rsidRDefault="0055291C">
      <w:pPr>
        <w:pStyle w:val="a3"/>
        <w:rPr>
          <w:sz w:val="20"/>
          <w:lang w:eastAsia="ja-JP"/>
        </w:rPr>
      </w:pPr>
    </w:p>
    <w:p w14:paraId="6191A9F3" w14:textId="77777777" w:rsidR="0055291C" w:rsidRDefault="0055291C">
      <w:pPr>
        <w:pStyle w:val="a3"/>
        <w:rPr>
          <w:sz w:val="20"/>
          <w:lang w:eastAsia="ja-JP"/>
        </w:rPr>
      </w:pPr>
    </w:p>
    <w:p w14:paraId="2C31C8D0" w14:textId="77777777" w:rsidR="0055291C" w:rsidRDefault="0055291C">
      <w:pPr>
        <w:pStyle w:val="a3"/>
        <w:rPr>
          <w:sz w:val="20"/>
          <w:lang w:eastAsia="ja-JP"/>
        </w:rPr>
      </w:pPr>
    </w:p>
    <w:p w14:paraId="0CF19EDE" w14:textId="77777777" w:rsidR="0055291C" w:rsidRDefault="0055291C">
      <w:pPr>
        <w:pStyle w:val="a3"/>
        <w:rPr>
          <w:sz w:val="20"/>
          <w:lang w:eastAsia="ja-JP"/>
        </w:rPr>
      </w:pPr>
    </w:p>
    <w:p w14:paraId="2C68732E" w14:textId="77777777" w:rsidR="0055291C" w:rsidRDefault="0055291C">
      <w:pPr>
        <w:pStyle w:val="a3"/>
        <w:spacing w:before="7"/>
        <w:rPr>
          <w:sz w:val="21"/>
          <w:lang w:eastAsia="ja-JP"/>
        </w:rPr>
      </w:pPr>
    </w:p>
    <w:p w14:paraId="3E177EF5" w14:textId="05CAF26C" w:rsidR="0055291C" w:rsidRDefault="00A20F72">
      <w:pPr>
        <w:pStyle w:val="6"/>
        <w:spacing w:before="1"/>
        <w:rPr>
          <w:lang w:eastAsia="ja-JP"/>
        </w:rPr>
      </w:pPr>
      <w:r>
        <w:rPr>
          <w:rFonts w:ascii="ＭＳ 明朝" w:eastAsia="ＭＳ 明朝" w:hAnsi="ＭＳ 明朝" w:cs="ＭＳ 明朝" w:hint="eastAsia"/>
          <w:color w:val="00ACA1"/>
          <w:lang w:eastAsia="ja-JP"/>
        </w:rPr>
        <w:t>図</w:t>
      </w:r>
      <w:r w:rsidR="00F23C61">
        <w:rPr>
          <w:color w:val="00ACA1"/>
          <w:spacing w:val="-13"/>
          <w:lang w:eastAsia="ja-JP"/>
        </w:rPr>
        <w:t xml:space="preserve"> </w:t>
      </w:r>
      <w:r w:rsidR="00F23C61">
        <w:rPr>
          <w:color w:val="00ACA1"/>
          <w:lang w:eastAsia="ja-JP"/>
        </w:rPr>
        <w:t>[8.2]</w:t>
      </w:r>
      <w:r w:rsidR="00F23C61">
        <w:rPr>
          <w:color w:val="00ACA1"/>
          <w:spacing w:val="-13"/>
          <w:lang w:eastAsia="ja-JP"/>
        </w:rPr>
        <w:t xml:space="preserve"> </w:t>
      </w:r>
      <w:r>
        <w:rPr>
          <w:rFonts w:ascii="ＭＳ 明朝" w:eastAsia="ＭＳ 明朝" w:hAnsi="ＭＳ 明朝" w:cs="ＭＳ 明朝" w:hint="eastAsia"/>
          <w:color w:val="00ACA1"/>
          <w:spacing w:val="-13"/>
          <w:lang w:eastAsia="ja-JP"/>
        </w:rPr>
        <w:t xml:space="preserve">　</w:t>
      </w:r>
      <w:r w:rsidRPr="00A20F72">
        <w:rPr>
          <w:rFonts w:ascii="ＭＳ ゴシック" w:eastAsia="ＭＳ ゴシック" w:hAnsi="ＭＳ ゴシック" w:cs="ＭＳ 明朝" w:hint="eastAsia"/>
          <w:spacing w:val="-13"/>
          <w:lang w:eastAsia="ja-JP"/>
        </w:rPr>
        <w:t>データギャップを埋めるための決定木</w:t>
      </w:r>
    </w:p>
    <w:p w14:paraId="79F46D82" w14:textId="44542B1D" w:rsidR="0055291C" w:rsidRPr="00881FBE" w:rsidRDefault="00000000" w:rsidP="00881FBE">
      <w:pPr>
        <w:pStyle w:val="a3"/>
        <w:spacing w:before="3"/>
        <w:rPr>
          <w:rFonts w:ascii="Arial"/>
          <w:b/>
          <w:sz w:val="25"/>
          <w:lang w:eastAsia="ja-JP"/>
        </w:rPr>
      </w:pPr>
      <w:r>
        <w:pict w14:anchorId="07DEFE14">
          <v:group id="docshapegroup916" o:spid="_x0000_s2886" style="position:absolute;margin-left:123.15pt;margin-top:15.7pt;width:370.45pt;height:189.2pt;z-index:-251485696;mso-wrap-distance-left:0;mso-wrap-distance-right:0;mso-position-horizontal-relative:page" coordorigin="2463,314" coordsize="7409,3784">
            <v:shape id="docshape917" o:spid="_x0000_s2901" style="position:absolute;left:3462;top:594;width:2786;height:3288" coordorigin="3462,594" coordsize="2786,3288" o:spt="100" adj="0,,0" path="m3744,1891r-2,-15l3731,1867r-19,-4l3669,1863r,-1070l3537,793r-1,1069l3494,1862r-19,4l3464,1875r-2,15l3470,1907r106,151l3591,2072r16,4l3624,2071r14,-14l3737,1909r7,-18xm6246,731r-5,-17l6227,700,6079,602r-18,-8l6046,596r-10,11l6033,626r,43l4510,669r,133l6032,802r,42l6036,863r9,11l6059,876r18,-8l6228,762r14,-15l6246,731xm6247,3708r-5,-20l6227,3671,6069,3554r-19,-9l6035,3547r-11,13l6020,3583r-2,53l3748,3636r-33,-8l3689,3608r-19,-30l3664,3541r,-787l3523,2754r1,944l3530,3735r18,31l3575,3786r33,8l6019,3793r,51l6023,3866r10,13l6048,3881r19,-9l6228,3745r15,-17l6247,3708xe" fillcolor="#b8babd" stroked="f">
              <v:stroke joinstyle="round"/>
              <v:formulas/>
              <v:path arrowok="t" o:connecttype="segments"/>
            </v:shape>
            <v:shape id="docshape918" o:spid="_x0000_s2900" style="position:absolute;left:2466;top:318;width:2284;height:737" coordorigin="2466,318" coordsize="2284,737" path="m4579,318r-1943,l2538,321r-51,18l2469,390r-3,98l2466,885r3,98l2487,1034r51,18l2636,1055r1943,l4678,1052r50,-18l4747,983r2,-98l4749,488r-2,-98l4728,339r-50,-18l4579,318xe" fillcolor="#00aca1" stroked="f">
              <v:path arrowok="t"/>
            </v:shape>
            <v:shape id="docshape919" o:spid="_x0000_s2899" style="position:absolute;left:4509;top:2394;width:1737;height:282" coordorigin="4510,2394" coordsize="1737,282" path="m6061,2394r-15,2l6036,2407r-3,19l6033,2469r-1523,l4510,2602r1522,l6032,2644r4,19l6045,2674r14,2l6077,2668r151,-106l6242,2547r4,-16l6241,2514r-14,-14l6079,2402r-18,-8xe" fillcolor="#b8babd" stroked="f">
              <v:path arrowok="t"/>
            </v:shape>
            <v:shape id="docshape920" o:spid="_x0000_s2898" style="position:absolute;left:2463;top:314;width:7409;height:3784" coordorigin="2463,314" coordsize="7409,3784" o:spt="100" adj="0,,0" path="m4744,2288r-3,-98l4723,2139r-51,-18l4574,2118r-1941,l2535,2121r-50,18l2466,2190r-3,98l2463,2685r3,98l2485,2834r50,18l2633,2855r1941,l4672,2852r51,-18l4741,2783r3,-98l4744,2288xm9851,2204r-3,-98l9830,2055r-51,-18l9681,2034r-3223,l6359,2037r-50,18l6290,2106r-3,98l6287,2771r3,98l6309,2920r50,18l6458,2941r3223,l9779,2938r51,-18l9848,2869r3,-98l9851,2204xm9872,3361r-3,-98l9850,3212r-50,-18l9702,3191r-3224,l6380,3194r-51,18l6311,3263r-3,98l6308,3928r3,98l6329,4077r51,18l6478,4098r3224,l9800,4095r50,-18l9869,4026r3,-98l9872,3361xm9872,485r-3,-99l9850,336r-50,-19l9702,314r-3232,l6372,317r-51,19l6303,386r-3,99l6300,881r3,99l6321,1030r51,19l6470,1051r3232,l9800,1049r50,-19l9869,980r3,-99l9872,485xe" fillcolor="#00aca1" stroked="f">
              <v:stroke joinstyle="round"/>
              <v:formulas/>
              <v:path arrowok="t" o:connecttype="segments"/>
            </v:shape>
            <v:shape id="docshape921" o:spid="_x0000_s2897" style="position:absolute;left:5019;top:413;width:633;height:2447" coordorigin="5019,414" coordsize="633,2447" o:spt="100" adj="0,,0" path="m5623,741r-22,-29l5622,683r-26,-24l5611,627r-31,-18l5589,574r-34,-12l5557,526r-35,-6l5517,485r-36,1l5470,452r-35,8l5417,429r-33,14l5361,416r-30,20l5303,414r-25,25l5247,423r-20,29l5193,442r-14,33l5143,471r-7,35l5100,510r-1,35l5065,555r6,35l5039,607r13,33l5024,662r19,30l5019,719r24,27l5025,777r29,21l5042,832r32,15l5069,882r35,9l5105,927r36,2l5149,964r35,-4l5199,992r34,-11l5254,1011r31,-18l5311,1018r27,-23l5368,1015r23,-28l5424,1000r17,-31l5476,976r11,-34l5522,942r4,-36l5562,900r-3,-36l5592,851r-9,-34l5613,797r-16,-32l5623,741xm5651,2583r-21,-29l5651,2525r-27,-24l5639,2469r-31,-19l5617,2416r-33,-13l5585,2368r-35,-6l5545,2327r-35,1l5498,2294r-35,8l5445,2271r-32,14l5389,2258r-29,20l5332,2256r-25,25l5275,2265r-20,29l5221,2284r-14,33l5171,2313r-7,35l5128,2352r,35l5093,2397r6,35l5068,2449r12,33l5052,2504r19,30l5047,2561r25,27l5053,2618r29,22l5070,2673r33,16l5097,2724r35,9l5133,2769r36,2l5177,2806r36,-4l5228,2834r34,-11l5282,2852r31,-17l5339,2860r28,-23l5397,2857r22,-28l5452,2842r17,-31l5504,2818r11,-34l5551,2784r4,-36l5590,2742r-3,-36l5620,2693r-9,-34l5641,2639r-16,-32l5651,2583xe" fillcolor="#f47836" stroked="f">
              <v:stroke joinstyle="round"/>
              <v:formulas/>
              <v:path arrowok="t" o:connecttype="segments"/>
            </v:shape>
            <v:shape id="docshape922" o:spid="_x0000_s2896" style="position:absolute;left:3309;top:1133;width:2328;height:2849" coordorigin="3309,1134" coordsize="2328,2849" o:spt="100" adj="0,,0" path="m3913,1461r-21,-29l3913,1403r-27,-24l3901,1347r-31,-18l3879,1294r-33,-12l3847,1246r-35,-6l3807,1205r-36,1l3760,1172r-35,8l3707,1149r-32,14l3651,1136r-29,20l3594,1134r-25,25l3537,1143r-20,29l3483,1162r-14,33l3433,1191r-7,35l3390,1230r,35l3355,1275r6,35l3330,1327r12,33l3314,1382r19,30l3309,1439r25,27l3315,1497r29,21l3332,1552r33,15l3359,1602r35,9l3395,1647r36,2l3439,1684r36,-4l3489,1712r35,-11l3544,1731r31,-18l3601,1738r28,-23l3659,1735r22,-28l3714,1720r17,-31l3766,1696r11,-34l3813,1662r4,-36l3852,1620r-3,-36l3882,1571r-9,-34l3903,1517r-16,-32l3913,1461xm5637,3705r-21,-28l5636,3648r-26,-24l5625,3591r-31,-18l5603,3538r-34,-12l5571,3490r-35,-5l5531,3449r-36,1l5484,3416r-35,8l5431,3393r-33,14l5375,3380r-29,20l5318,3378r-25,26l5261,3387r-20,30l5207,3407r-14,32l5157,3436r-7,35l5114,3474r,36l5079,3520r6,35l5053,3571r13,34l5038,3627r19,30l5033,3684r24,26l5039,3741r29,21l5056,3796r32,15l5083,3847r35,9l5119,3892r36,2l5163,3929r36,-5l5213,3957r34,-11l5268,3975r31,-17l5325,3983r27,-23l5382,3979r23,-28l5438,3965r17,-32l5490,3940r11,-34l5537,3906r4,-35l5576,3864r-3,-35l5606,3816r-9,-35l5627,3762r-16,-32l5637,3705xe" fillcolor="#4f84c4" stroked="f">
              <v:stroke joinstyle="round"/>
              <v:formulas/>
              <v:path arrowok="t" o:connecttype="segments"/>
            </v:shape>
            <v:shape id="docshape923" o:spid="_x0000_s2895" type="#_x0000_t202" style="position:absolute;left:2559;top:589;width:2093;height:202" filled="f" stroked="f">
              <v:textbox style="mso-next-textbox:#docshape923" inset="0,0,0,0">
                <w:txbxContent>
                  <w:p w14:paraId="28E4C81C" w14:textId="075CB3A1" w:rsidR="0055291C" w:rsidRDefault="00A20F72">
                    <w:pPr>
                      <w:spacing w:line="202" w:lineRule="exact"/>
                      <w:rPr>
                        <w:rFonts w:ascii="Arial"/>
                        <w:b/>
                        <w:i/>
                        <w:sz w:val="18"/>
                      </w:rPr>
                    </w:pPr>
                    <w:r>
                      <w:rPr>
                        <w:rFonts w:ascii="ＭＳ ゴシック" w:eastAsia="ＭＳ ゴシック" w:hAnsi="ＭＳ ゴシック" w:cs="ＭＳ ゴシック" w:hint="eastAsia"/>
                        <w:b/>
                        <w:i/>
                        <w:color w:val="FFFFFF"/>
                        <w:spacing w:val="-2"/>
                        <w:sz w:val="18"/>
                        <w:lang w:eastAsia="ja-JP"/>
                      </w:rPr>
                      <w:t>代替データはあるか</w:t>
                    </w:r>
                    <w:r w:rsidR="00F23C61">
                      <w:rPr>
                        <w:rFonts w:ascii="Arial"/>
                        <w:b/>
                        <w:i/>
                        <w:color w:val="FFFFFF"/>
                        <w:spacing w:val="-2"/>
                        <w:sz w:val="18"/>
                      </w:rPr>
                      <w:t>?</w:t>
                    </w:r>
                  </w:p>
                </w:txbxContent>
              </v:textbox>
            </v:shape>
            <v:shape id="docshape924" o:spid="_x0000_s2894" type="#_x0000_t202" style="position:absolute;left:5179;top:599;width:295;height:202" filled="f" stroked="f">
              <v:textbox style="mso-next-textbox:#docshape924" inset="0,0,0,0">
                <w:txbxContent>
                  <w:p w14:paraId="2E81601D" w14:textId="77777777" w:rsidR="0055291C" w:rsidRDefault="00F23C61">
                    <w:pPr>
                      <w:spacing w:line="202" w:lineRule="exact"/>
                      <w:rPr>
                        <w:rFonts w:ascii="Arial"/>
                        <w:b/>
                        <w:i/>
                        <w:sz w:val="18"/>
                      </w:rPr>
                    </w:pPr>
                    <w:r>
                      <w:rPr>
                        <w:rFonts w:ascii="Arial"/>
                        <w:b/>
                        <w:i/>
                        <w:color w:val="FFFFFF"/>
                        <w:w w:val="95"/>
                        <w:sz w:val="18"/>
                      </w:rPr>
                      <w:t>yes</w:t>
                    </w:r>
                  </w:p>
                </w:txbxContent>
              </v:textbox>
            </v:shape>
            <v:shape id="docshape925" o:spid="_x0000_s2893" type="#_x0000_t202" style="position:absolute;left:6547;top:606;width:3086;height:202" filled="f" stroked="f">
              <v:textbox style="mso-next-textbox:#docshape925" inset="0,0,0,0">
                <w:txbxContent>
                  <w:p w14:paraId="250CC09E" w14:textId="38728EC2" w:rsidR="0055291C" w:rsidRDefault="00A20F72">
                    <w:pPr>
                      <w:spacing w:line="202" w:lineRule="exact"/>
                      <w:rPr>
                        <w:rFonts w:ascii="Arial"/>
                        <w:b/>
                        <w:i/>
                        <w:sz w:val="18"/>
                        <w:lang w:eastAsia="ja-JP"/>
                      </w:rPr>
                    </w:pPr>
                    <w:r>
                      <w:rPr>
                        <w:rFonts w:ascii="ＭＳ ゴシック" w:eastAsia="ＭＳ ゴシック" w:hAnsi="ＭＳ ゴシック" w:cs="ＭＳ ゴシック" w:hint="eastAsia"/>
                        <w:b/>
                        <w:i/>
                        <w:color w:val="FFFFFF"/>
                        <w:sz w:val="18"/>
                        <w:lang w:eastAsia="ja-JP"/>
                      </w:rPr>
                      <w:t>そのデータでギャップを埋める</w:t>
                    </w:r>
                  </w:p>
                </w:txbxContent>
              </v:textbox>
            </v:shape>
            <v:shape id="docshape926" o:spid="_x0000_s2892" type="#_x0000_t202" style="position:absolute;left:3505;top:1319;width:222;height:202" filled="f" stroked="f">
              <v:textbox style="mso-next-textbox:#docshape926" inset="0,0,0,0">
                <w:txbxContent>
                  <w:p w14:paraId="2278943C" w14:textId="77777777" w:rsidR="0055291C" w:rsidRDefault="00F23C61">
                    <w:pPr>
                      <w:spacing w:line="202" w:lineRule="exact"/>
                      <w:rPr>
                        <w:rFonts w:ascii="Arial"/>
                        <w:b/>
                        <w:i/>
                        <w:sz w:val="18"/>
                      </w:rPr>
                    </w:pPr>
                    <w:r>
                      <w:rPr>
                        <w:rFonts w:ascii="Arial"/>
                        <w:b/>
                        <w:i/>
                        <w:color w:val="FFFFFF"/>
                        <w:w w:val="95"/>
                        <w:sz w:val="18"/>
                      </w:rPr>
                      <w:t>no</w:t>
                    </w:r>
                  </w:p>
                </w:txbxContent>
              </v:textbox>
            </v:shape>
            <v:shape id="docshape927" o:spid="_x0000_s2891" type="#_x0000_t202" style="position:absolute;left:2608;top:2269;width:2993;height:422;mso-wrap-style:square" filled="f" stroked="f">
              <v:textbox style="mso-next-textbox:#docshape927" inset="0,0,0,0">
                <w:txbxContent>
                  <w:p w14:paraId="18C99DAC" w14:textId="77777777" w:rsidR="00946F8C" w:rsidRDefault="00946F8C">
                    <w:pPr>
                      <w:spacing w:line="254" w:lineRule="auto"/>
                      <w:ind w:left="223" w:hanging="224"/>
                      <w:rPr>
                        <w:rFonts w:ascii="ＭＳ ゴシック" w:eastAsia="ＭＳ ゴシック" w:hAnsi="ＭＳ ゴシック" w:cs="ＭＳ ゴシック"/>
                        <w:b/>
                        <w:i/>
                        <w:color w:val="FFFFFF"/>
                        <w:spacing w:val="-1"/>
                        <w:w w:val="95"/>
                        <w:sz w:val="18"/>
                        <w:lang w:eastAsia="ja-JP"/>
                      </w:rPr>
                    </w:pPr>
                    <w:r>
                      <w:rPr>
                        <w:rFonts w:ascii="ＭＳ ゴシック" w:eastAsia="ＭＳ ゴシック" w:hAnsi="ＭＳ ゴシック" w:cs="ＭＳ ゴシック" w:hint="eastAsia"/>
                        <w:b/>
                        <w:i/>
                        <w:color w:val="FFFFFF"/>
                        <w:spacing w:val="-1"/>
                        <w:w w:val="95"/>
                        <w:sz w:val="18"/>
                        <w:lang w:eastAsia="ja-JP"/>
                      </w:rPr>
                      <w:t>その工程は重要でないと</w:t>
                    </w:r>
                  </w:p>
                  <w:p w14:paraId="2CC44961" w14:textId="757B5DC7" w:rsidR="0055291C" w:rsidRDefault="00946F8C">
                    <w:pPr>
                      <w:spacing w:line="254" w:lineRule="auto"/>
                      <w:ind w:left="223" w:hanging="224"/>
                      <w:rPr>
                        <w:rFonts w:ascii="Arial"/>
                        <w:b/>
                        <w:i/>
                        <w:sz w:val="18"/>
                        <w:lang w:eastAsia="ja-JP"/>
                      </w:rPr>
                    </w:pPr>
                    <w:r>
                      <w:rPr>
                        <w:rFonts w:ascii="ＭＳ ゴシック" w:eastAsia="ＭＳ ゴシック" w:hAnsi="ＭＳ ゴシック" w:cs="ＭＳ ゴシック" w:hint="eastAsia"/>
                        <w:b/>
                        <w:i/>
                        <w:color w:val="FFFFFF"/>
                        <w:spacing w:val="-1"/>
                        <w:w w:val="95"/>
                        <w:sz w:val="18"/>
                        <w:lang w:eastAsia="ja-JP"/>
                      </w:rPr>
                      <w:t>推定されるか</w:t>
                    </w:r>
                    <w:r w:rsidR="00F23C61">
                      <w:rPr>
                        <w:rFonts w:ascii="Arial"/>
                        <w:b/>
                        <w:i/>
                        <w:color w:val="FFFFFF"/>
                        <w:spacing w:val="-1"/>
                        <w:w w:val="95"/>
                        <w:sz w:val="18"/>
                        <w:lang w:eastAsia="ja-JP"/>
                      </w:rPr>
                      <w:t>?</w:t>
                    </w:r>
                  </w:p>
                </w:txbxContent>
              </v:textbox>
            </v:shape>
            <v:shape id="docshape928" o:spid="_x0000_s2890" type="#_x0000_t202" style="position:absolute;left:5207;top:2441;width:295;height:202" filled="f" stroked="f">
              <v:textbox style="mso-next-textbox:#docshape928" inset="0,0,0,0">
                <w:txbxContent>
                  <w:p w14:paraId="08478084" w14:textId="77777777" w:rsidR="0055291C" w:rsidRDefault="00F23C61">
                    <w:pPr>
                      <w:spacing w:line="202" w:lineRule="exact"/>
                      <w:rPr>
                        <w:rFonts w:ascii="Arial"/>
                        <w:b/>
                        <w:i/>
                        <w:sz w:val="18"/>
                      </w:rPr>
                    </w:pPr>
                    <w:r>
                      <w:rPr>
                        <w:rFonts w:ascii="Arial"/>
                        <w:b/>
                        <w:i/>
                        <w:color w:val="FFFFFF"/>
                        <w:w w:val="95"/>
                        <w:sz w:val="18"/>
                      </w:rPr>
                      <w:t>yes</w:t>
                    </w:r>
                  </w:p>
                </w:txbxContent>
              </v:textbox>
            </v:shape>
            <v:shape id="docshape929" o:spid="_x0000_s2889" type="#_x0000_t202" style="position:absolute;left:7148;top:2161;width:1858;height:682;v-text-anchor:middle" filled="f" stroked="f">
              <v:textbox style="mso-next-textbox:#docshape929" inset="0,0,0,0">
                <w:txbxContent>
                  <w:p w14:paraId="5DD8A039" w14:textId="648EFBF8" w:rsidR="0055291C" w:rsidRDefault="00946F8C">
                    <w:pPr>
                      <w:spacing w:line="161" w:lineRule="exact"/>
                      <w:ind w:left="-1" w:right="18"/>
                      <w:jc w:val="center"/>
                      <w:rPr>
                        <w:rFonts w:ascii="Arial"/>
                        <w:b/>
                        <w:i/>
                        <w:sz w:val="18"/>
                        <w:lang w:eastAsia="ja-JP"/>
                      </w:rPr>
                    </w:pPr>
                    <w:r>
                      <w:rPr>
                        <w:rFonts w:ascii="ＭＳ ゴシック" w:eastAsia="ＭＳ ゴシック" w:hAnsi="ＭＳ ゴシック" w:cs="ＭＳ ゴシック" w:hint="eastAsia"/>
                        <w:b/>
                        <w:i/>
                        <w:color w:val="FFFFFF"/>
                        <w:spacing w:val="-1"/>
                        <w:w w:val="95"/>
                        <w:sz w:val="18"/>
                        <w:lang w:eastAsia="ja-JP"/>
                      </w:rPr>
                      <w:t>報告書内でデータギャップについて情報開示及び正当化を行う</w:t>
                    </w:r>
                  </w:p>
                </w:txbxContent>
              </v:textbox>
            </v:shape>
            <v:shape id="docshape930" o:spid="_x0000_s2888" type="#_x0000_t202" style="position:absolute;left:5229;top:3563;width:222;height:202" filled="f" stroked="f">
              <v:textbox style="mso-next-textbox:#docshape930" inset="0,0,0,0">
                <w:txbxContent>
                  <w:p w14:paraId="1E56251E" w14:textId="77777777" w:rsidR="0055291C" w:rsidRDefault="00F23C61">
                    <w:pPr>
                      <w:spacing w:line="202" w:lineRule="exact"/>
                      <w:rPr>
                        <w:rFonts w:ascii="Arial"/>
                        <w:b/>
                        <w:i/>
                        <w:sz w:val="18"/>
                      </w:rPr>
                    </w:pPr>
                    <w:r>
                      <w:rPr>
                        <w:rFonts w:ascii="Arial"/>
                        <w:b/>
                        <w:i/>
                        <w:color w:val="FFFFFF"/>
                        <w:w w:val="95"/>
                        <w:sz w:val="18"/>
                      </w:rPr>
                      <w:t>no</w:t>
                    </w:r>
                  </w:p>
                </w:txbxContent>
              </v:textbox>
            </v:shape>
            <v:shape id="docshape931" o:spid="_x0000_s2887" type="#_x0000_t202" style="position:absolute;left:6899;top:3278;width:2396;height:742;v-text-anchor:middle" filled="f" stroked="f">
              <v:textbox style="mso-next-textbox:#docshape931" inset="0,0,0,0">
                <w:txbxContent>
                  <w:p w14:paraId="5EADA6CB" w14:textId="77777777" w:rsidR="00946F8C" w:rsidRDefault="00946F8C">
                    <w:pPr>
                      <w:spacing w:line="208" w:lineRule="auto"/>
                      <w:ind w:right="18"/>
                      <w:jc w:val="center"/>
                      <w:rPr>
                        <w:rFonts w:ascii="ＭＳ ゴシック" w:eastAsia="ＭＳ ゴシック" w:hAnsi="ＭＳ ゴシック" w:cs="ＭＳ ゴシック"/>
                        <w:b/>
                        <w:i/>
                        <w:color w:val="FFFFFF"/>
                        <w:spacing w:val="-3"/>
                        <w:sz w:val="18"/>
                        <w:lang w:eastAsia="ja-JP"/>
                      </w:rPr>
                    </w:pPr>
                    <w:r>
                      <w:rPr>
                        <w:rFonts w:ascii="ＭＳ ゴシック" w:eastAsia="ＭＳ ゴシック" w:hAnsi="ＭＳ ゴシック" w:cs="ＭＳ ゴシック" w:hint="eastAsia"/>
                        <w:b/>
                        <w:i/>
                        <w:color w:val="FFFFFF"/>
                        <w:spacing w:val="-3"/>
                        <w:sz w:val="18"/>
                        <w:lang w:eastAsia="ja-JP"/>
                      </w:rPr>
                      <w:t>新しい情報を集めるか</w:t>
                    </w:r>
                  </w:p>
                  <w:p w14:paraId="03FE333A" w14:textId="42374DBA" w:rsidR="0055291C" w:rsidRDefault="00946F8C">
                    <w:pPr>
                      <w:spacing w:line="208" w:lineRule="auto"/>
                      <w:ind w:right="18"/>
                      <w:jc w:val="center"/>
                      <w:rPr>
                        <w:rFonts w:ascii="Arial"/>
                        <w:b/>
                        <w:i/>
                        <w:sz w:val="18"/>
                        <w:lang w:eastAsia="ja-JP"/>
                      </w:rPr>
                    </w:pPr>
                    <w:r>
                      <w:rPr>
                        <w:rFonts w:ascii="ＭＳ ゴシック" w:eastAsia="ＭＳ ゴシック" w:hAnsi="ＭＳ ゴシック" w:cs="ＭＳ ゴシック" w:hint="eastAsia"/>
                        <w:b/>
                        <w:i/>
                        <w:color w:val="FFFFFF"/>
                        <w:spacing w:val="-3"/>
                        <w:sz w:val="18"/>
                        <w:lang w:eastAsia="ja-JP"/>
                      </w:rPr>
                      <w:t>推定データを含める</w:t>
                    </w:r>
                  </w:p>
                </w:txbxContent>
              </v:textbox>
            </v:shape>
            <w10:wrap type="topAndBottom" anchorx="page"/>
          </v:group>
        </w:pict>
      </w:r>
    </w:p>
    <w:p w14:paraId="311A0957" w14:textId="77777777" w:rsidR="0055291C" w:rsidRDefault="0055291C">
      <w:pPr>
        <w:pStyle w:val="a3"/>
        <w:spacing w:before="5"/>
        <w:rPr>
          <w:rFonts w:ascii="Arial"/>
          <w:b/>
          <w:sz w:val="25"/>
          <w:lang w:eastAsia="ja-JP"/>
        </w:rPr>
      </w:pPr>
    </w:p>
    <w:p w14:paraId="4EE524D9" w14:textId="77777777" w:rsidR="0055291C" w:rsidRDefault="0055291C">
      <w:pPr>
        <w:rPr>
          <w:rFonts w:ascii="Arial"/>
          <w:sz w:val="25"/>
          <w:lang w:eastAsia="ja-JP"/>
        </w:rPr>
        <w:sectPr w:rsidR="0055291C">
          <w:pgSz w:w="12240" w:h="15840"/>
          <w:pgMar w:top="620" w:right="0" w:bottom="1040" w:left="0" w:header="0" w:footer="859" w:gutter="0"/>
          <w:cols w:space="720"/>
        </w:sectPr>
      </w:pPr>
    </w:p>
    <w:p w14:paraId="47C3754B" w14:textId="586F7611" w:rsidR="0055291C" w:rsidRPr="00946F8C" w:rsidRDefault="00946F8C">
      <w:pPr>
        <w:pStyle w:val="7"/>
        <w:numPr>
          <w:ilvl w:val="2"/>
          <w:numId w:val="46"/>
        </w:numPr>
        <w:tabs>
          <w:tab w:val="left" w:pos="1879"/>
          <w:tab w:val="left" w:pos="1880"/>
        </w:tabs>
        <w:spacing w:before="99"/>
        <w:ind w:left="1879" w:hanging="769"/>
        <w:jc w:val="left"/>
        <w:rPr>
          <w:color w:val="00ACA1"/>
        </w:rPr>
      </w:pPr>
      <w:r w:rsidRPr="00946F8C">
        <w:rPr>
          <w:rFonts w:ascii="ＭＳ 明朝" w:eastAsia="ＭＳ 明朝" w:hAnsi="ＭＳ 明朝" w:cs="ＭＳ 明朝" w:hint="eastAsia"/>
          <w:color w:val="00ACA1"/>
          <w:lang w:eastAsia="ja-JP"/>
        </w:rPr>
        <w:t>データギャップ</w:t>
      </w:r>
    </w:p>
    <w:p w14:paraId="30779DA2" w14:textId="0EDAD487" w:rsidR="0055291C" w:rsidRDefault="00946F8C" w:rsidP="00671DD2">
      <w:pPr>
        <w:pStyle w:val="a3"/>
        <w:spacing w:before="63" w:line="312" w:lineRule="auto"/>
        <w:ind w:left="1111" w:right="-6" w:firstLineChars="100" w:firstLine="190"/>
        <w:rPr>
          <w:lang w:eastAsia="ja-JP"/>
        </w:rPr>
      </w:pPr>
      <w:r>
        <w:rPr>
          <w:rFonts w:ascii="ＭＳ ゴシック" w:eastAsia="ＭＳ ゴシック" w:hAnsi="ＭＳ ゴシック" w:cs="ＭＳ ゴシック" w:hint="eastAsia"/>
          <w:lang w:eastAsia="ja-JP"/>
        </w:rPr>
        <w:t>データギャップは、製品のライフサイクルにおける所定の工程を十分に代表する一次データまたは二次データが存在しない場合に生じ</w:t>
      </w:r>
      <w:r w:rsidR="00671DD2">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。データが欠落しているほとんどの工程では、合理的な推定値を提供するのに十分な情報を得ることが可能であるはずで</w:t>
      </w:r>
      <w:r w:rsidR="00671DD2">
        <w:rPr>
          <w:rFonts w:ascii="ＭＳ ゴシック" w:eastAsia="ＭＳ ゴシック" w:hAnsi="ＭＳ ゴシック" w:cs="ＭＳ ゴシック" w:hint="eastAsia"/>
          <w:lang w:eastAsia="ja-JP"/>
        </w:rPr>
        <w:t>す</w:t>
      </w:r>
      <w:r>
        <w:rPr>
          <w:rFonts w:ascii="ＭＳ ゴシック" w:eastAsia="ＭＳ ゴシック" w:hAnsi="ＭＳ ゴシック" w:cs="ＭＳ ゴシック" w:hint="eastAsia"/>
          <w:lang w:eastAsia="ja-JP"/>
        </w:rPr>
        <w:t>。従って、データギャップは</w:t>
      </w:r>
      <w:r w:rsidR="00671DD2">
        <w:rPr>
          <w:rFonts w:ascii="ＭＳ ゴシック" w:eastAsia="ＭＳ ゴシック" w:hAnsi="ＭＳ ゴシック" w:cs="ＭＳ ゴシック" w:hint="eastAsia"/>
          <w:lang w:eastAsia="ja-JP"/>
        </w:rPr>
        <w:t>、</w:t>
      </w:r>
      <w:r>
        <w:rPr>
          <w:rFonts w:ascii="ＭＳ ゴシック" w:eastAsia="ＭＳ ゴシック" w:hAnsi="ＭＳ ゴシック" w:cs="ＭＳ ゴシック" w:hint="eastAsia"/>
          <w:lang w:eastAsia="ja-JP"/>
        </w:rPr>
        <w:t>あったとしても</w:t>
      </w:r>
      <w:r w:rsidR="00671DD2">
        <w:rPr>
          <w:rFonts w:ascii="ＭＳ ゴシック" w:eastAsia="ＭＳ ゴシック" w:hAnsi="ＭＳ ゴシック" w:cs="ＭＳ ゴシック" w:hint="eastAsia"/>
          <w:lang w:eastAsia="ja-JP"/>
        </w:rPr>
        <w:t>ごく僅かのはずです</w:t>
      </w:r>
      <w:r>
        <w:rPr>
          <w:rFonts w:ascii="ＭＳ ゴシック" w:eastAsia="ＭＳ ゴシック" w:hAnsi="ＭＳ ゴシック" w:cs="ＭＳ ゴシック" w:hint="eastAsia"/>
          <w:lang w:eastAsia="ja-JP"/>
        </w:rPr>
        <w:t>。</w:t>
      </w:r>
      <w:r>
        <w:rPr>
          <w:lang w:eastAsia="ja-JP"/>
        </w:rPr>
        <w:t xml:space="preserve"> </w:t>
      </w:r>
      <w:r>
        <w:rPr>
          <w:rFonts w:ascii="ＭＳ ゴシック" w:eastAsia="ＭＳ ゴシック" w:hAnsi="ＭＳ ゴシック" w:cs="ＭＳ ゴシック" w:hint="eastAsia"/>
          <w:lang w:eastAsia="ja-JP"/>
        </w:rPr>
        <w:t>以下の項では、代</w:t>
      </w:r>
      <w:r w:rsidR="00ED7AD9">
        <w:rPr>
          <w:rFonts w:ascii="ＭＳ ゴシック" w:eastAsia="ＭＳ ゴシック" w:hAnsi="ＭＳ ゴシック" w:cs="ＭＳ ゴシック" w:hint="eastAsia"/>
          <w:lang w:eastAsia="ja-JP"/>
        </w:rPr>
        <w:t>替</w:t>
      </w:r>
      <w:r>
        <w:rPr>
          <w:rFonts w:ascii="ＭＳ ゴシック" w:eastAsia="ＭＳ ゴシック" w:hAnsi="ＭＳ ゴシック" w:cs="ＭＳ ゴシック" w:hint="eastAsia"/>
          <w:lang w:eastAsia="ja-JP"/>
        </w:rPr>
        <w:t>データ及び推定データを用いて</w:t>
      </w:r>
      <w:r w:rsidR="00671DD2">
        <w:rPr>
          <w:rFonts w:ascii="ＭＳ ゴシック" w:eastAsia="ＭＳ ゴシック" w:hAnsi="ＭＳ ゴシック" w:cs="ＭＳ ゴシック" w:hint="eastAsia"/>
          <w:lang w:eastAsia="ja-JP"/>
        </w:rPr>
        <w:t>、</w:t>
      </w:r>
      <w:r>
        <w:rPr>
          <w:rFonts w:ascii="ＭＳ ゴシック" w:eastAsia="ＭＳ ゴシック" w:hAnsi="ＭＳ ゴシック" w:cs="ＭＳ ゴシック" w:hint="eastAsia"/>
          <w:lang w:eastAsia="ja-JP"/>
        </w:rPr>
        <w:t>ギャップを埋めるための追加ガイダンスを示</w:t>
      </w:r>
      <w:r w:rsidR="00671DD2">
        <w:rPr>
          <w:rFonts w:ascii="ＭＳ ゴシック" w:eastAsia="ＭＳ ゴシック" w:hAnsi="ＭＳ ゴシック" w:cs="ＭＳ ゴシック" w:hint="eastAsia"/>
          <w:lang w:eastAsia="ja-JP"/>
        </w:rPr>
        <w:t>します</w:t>
      </w:r>
      <w:r>
        <w:rPr>
          <w:rFonts w:ascii="ＭＳ ゴシック" w:eastAsia="ＭＳ ゴシック" w:hAnsi="ＭＳ ゴシック" w:cs="ＭＳ ゴシック" w:hint="eastAsia"/>
          <w:lang w:eastAsia="ja-JP"/>
        </w:rPr>
        <w:t>。</w:t>
      </w:r>
    </w:p>
    <w:p w14:paraId="77E70C17" w14:textId="6695EF1D" w:rsidR="0055291C" w:rsidRDefault="00ED7AD9">
      <w:pPr>
        <w:spacing w:before="149"/>
        <w:ind w:left="1111"/>
        <w:rPr>
          <w:rFonts w:ascii="Arial"/>
          <w:b/>
          <w:i/>
          <w:sz w:val="18"/>
          <w:lang w:eastAsia="ja-JP"/>
        </w:rPr>
      </w:pPr>
      <w:r>
        <w:rPr>
          <w:rFonts w:ascii="ＭＳ ゴシック" w:eastAsia="ＭＳ ゴシック" w:hAnsi="ＭＳ ゴシック" w:cs="ＭＳ ゴシック" w:hint="eastAsia"/>
          <w:b/>
          <w:i/>
          <w:color w:val="7F3F98"/>
          <w:sz w:val="18"/>
          <w:lang w:eastAsia="ja-JP"/>
        </w:rPr>
        <w:t>代替データ</w:t>
      </w:r>
    </w:p>
    <w:p w14:paraId="0D85931D" w14:textId="72246FC7" w:rsidR="0055291C" w:rsidRDefault="00ED7AD9" w:rsidP="00907784">
      <w:pPr>
        <w:pStyle w:val="a3"/>
        <w:spacing w:before="2" w:line="312" w:lineRule="auto"/>
        <w:ind w:left="1111" w:right="17" w:firstLineChars="100" w:firstLine="190"/>
        <w:rPr>
          <w:lang w:eastAsia="ja-JP"/>
        </w:rPr>
      </w:pPr>
      <w:r>
        <w:rPr>
          <w:rFonts w:ascii="ＭＳ ゴシック" w:eastAsia="ＭＳ ゴシック" w:hAnsi="ＭＳ ゴシック" w:cs="ＭＳ ゴシック" w:hint="eastAsia"/>
          <w:lang w:eastAsia="ja-JP"/>
        </w:rPr>
        <w:t>代替データは、特定の工程の代用として使用される類似工程のデータです。代替データは、</w:t>
      </w:r>
      <w:r>
        <w:rPr>
          <w:lang w:eastAsia="ja-JP"/>
        </w:rPr>
        <w:t xml:space="preserve"> </w:t>
      </w:r>
      <w:r>
        <w:rPr>
          <w:rFonts w:ascii="ＭＳ ゴシック" w:eastAsia="ＭＳ ゴシック" w:hAnsi="ＭＳ ゴシック" w:cs="ＭＳ ゴシック" w:hint="eastAsia"/>
          <w:lang w:eastAsia="ja-JP"/>
        </w:rPr>
        <w:t>特定の工程を表現するために、外挿、スケールアップ、またはカスタマイズすることができます。製品のライフサイクルにおける調査対象工程の状況に近づけるために、十分な情報が存在する場合、データをカスタマイズすることができます。データは、工程の地理的、技術的、又は他の指標によりよく一致するようにカスタマイズする</w:t>
      </w:r>
      <w:r>
        <w:rPr>
          <w:lang w:eastAsia="ja-JP"/>
        </w:rPr>
        <w:t xml:space="preserve"> </w:t>
      </w:r>
      <w:r>
        <w:rPr>
          <w:rFonts w:ascii="ＭＳ ゴシック" w:eastAsia="ＭＳ ゴシック" w:hAnsi="ＭＳ ゴシック" w:cs="ＭＳ ゴシック" w:hint="eastAsia"/>
          <w:lang w:eastAsia="ja-JP"/>
        </w:rPr>
        <w:t>ことができます。重要なインプッ</w:t>
      </w:r>
      <w:r>
        <w:rPr>
          <w:lang w:eastAsia="ja-JP"/>
        </w:rPr>
        <w:t xml:space="preserve"> </w:t>
      </w:r>
      <w:r>
        <w:rPr>
          <w:rFonts w:ascii="ＭＳ ゴシック" w:eastAsia="ＭＳ ゴシック" w:hAnsi="ＭＳ ゴシック" w:cs="ＭＳ ゴシック" w:hint="eastAsia"/>
          <w:lang w:eastAsia="ja-JP"/>
        </w:rPr>
        <w:t>ト、アウトプット及びその他の測定基準の特定は、製品の報告書が存在しない場合には、他の関連する製品の報告書又はその他の考慮事項（例えば、利害関係者のコンサルタントとの協議）に基づいて行うべきで</w:t>
      </w:r>
      <w:r w:rsidR="00907784">
        <w:rPr>
          <w:rFonts w:ascii="ＭＳ ゴシック" w:eastAsia="ＭＳ ゴシック" w:hAnsi="ＭＳ ゴシック" w:cs="ＭＳ ゴシック" w:hint="eastAsia"/>
          <w:lang w:eastAsia="ja-JP"/>
        </w:rPr>
        <w:t>す</w:t>
      </w:r>
      <w:r>
        <w:rPr>
          <w:rFonts w:ascii="ＭＳ ゴシック" w:eastAsia="ＭＳ ゴシック" w:hAnsi="ＭＳ ゴシック" w:cs="ＭＳ ゴシック" w:hint="eastAsia"/>
          <w:lang w:eastAsia="ja-JP"/>
        </w:rPr>
        <w:t>。代理データの例としては、以下のようなものがあ</w:t>
      </w:r>
      <w:r w:rsidR="00907784">
        <w:rPr>
          <w:rFonts w:ascii="ＭＳ ゴシック" w:eastAsia="ＭＳ ゴシック" w:hAnsi="ＭＳ ゴシック" w:cs="ＭＳ ゴシック" w:hint="eastAsia"/>
          <w:lang w:eastAsia="ja-JP"/>
        </w:rPr>
        <w:t>ります</w:t>
      </w:r>
      <w:r>
        <w:rPr>
          <w:rFonts w:ascii="ＭＳ ゴシック" w:eastAsia="ＭＳ ゴシック" w:hAnsi="ＭＳ ゴシック" w:cs="ＭＳ ゴシック" w:hint="eastAsia"/>
          <w:lang w:eastAsia="ja-JP"/>
        </w:rPr>
        <w:t>。</w:t>
      </w:r>
    </w:p>
    <w:p w14:paraId="586973E9" w14:textId="0CCD3A15" w:rsidR="0055291C" w:rsidRDefault="00907784">
      <w:pPr>
        <w:pStyle w:val="a5"/>
        <w:numPr>
          <w:ilvl w:val="0"/>
          <w:numId w:val="44"/>
        </w:numPr>
        <w:tabs>
          <w:tab w:val="left" w:pos="1134"/>
        </w:tabs>
        <w:spacing w:before="131"/>
        <w:ind w:left="1134" w:hanging="283"/>
        <w:rPr>
          <w:sz w:val="19"/>
          <w:lang w:eastAsia="ja-JP"/>
        </w:rPr>
      </w:pPr>
      <w:r>
        <w:rPr>
          <w:rFonts w:ascii="ＭＳ ゴシック" w:eastAsia="ＭＳ ゴシック" w:hAnsi="ＭＳ ゴシック" w:cs="ＭＳ ゴシック" w:hint="eastAsia"/>
          <w:color w:val="545456"/>
          <w:sz w:val="19"/>
          <w:lang w:eastAsia="ja-JP"/>
        </w:rPr>
        <w:t>リンゴのデータをすべての果物の代理として使用する</w:t>
      </w:r>
    </w:p>
    <w:p w14:paraId="60908A35" w14:textId="0EA4F311" w:rsidR="0055291C" w:rsidRPr="00907784" w:rsidRDefault="00907784">
      <w:pPr>
        <w:pStyle w:val="a5"/>
        <w:numPr>
          <w:ilvl w:val="0"/>
          <w:numId w:val="44"/>
        </w:numPr>
        <w:tabs>
          <w:tab w:val="left" w:pos="1134"/>
        </w:tabs>
        <w:spacing w:before="50" w:line="304" w:lineRule="auto"/>
        <w:ind w:left="1134" w:right="55" w:hanging="283"/>
        <w:rPr>
          <w:sz w:val="19"/>
          <w:szCs w:val="19"/>
          <w:lang w:eastAsia="ja-JP"/>
        </w:rPr>
      </w:pPr>
      <w:r w:rsidRPr="00907784">
        <w:rPr>
          <w:rFonts w:ascii="ＭＳ ゴシック" w:eastAsia="ＭＳ ゴシック" w:hAnsi="ＭＳ ゴシック" w:cs="ＭＳ ゴシック" w:hint="eastAsia"/>
          <w:sz w:val="19"/>
          <w:szCs w:val="19"/>
          <w:lang w:eastAsia="ja-JP"/>
        </w:rPr>
        <w:t>具体的なプラスチックの投入量に関するデータが不明な場合、</w:t>
      </w:r>
      <w:r w:rsidRPr="00907784">
        <w:rPr>
          <w:sz w:val="19"/>
          <w:szCs w:val="19"/>
          <w:lang w:eastAsia="ja-JP"/>
        </w:rPr>
        <w:t>PET</w:t>
      </w:r>
      <w:r w:rsidRPr="00907784">
        <w:rPr>
          <w:rFonts w:ascii="ＭＳ ゴシック" w:eastAsia="ＭＳ ゴシック" w:hAnsi="ＭＳ ゴシック" w:cs="ＭＳ ゴシック" w:hint="eastAsia"/>
          <w:sz w:val="19"/>
          <w:szCs w:val="19"/>
          <w:lang w:eastAsia="ja-JP"/>
        </w:rPr>
        <w:t>樹脂のプロセスに関するデータを使用する</w:t>
      </w:r>
    </w:p>
    <w:p w14:paraId="0E486F9E" w14:textId="2C7A1B28" w:rsidR="00907784" w:rsidRPr="00907784" w:rsidRDefault="00907784">
      <w:pPr>
        <w:pStyle w:val="a5"/>
        <w:numPr>
          <w:ilvl w:val="0"/>
          <w:numId w:val="44"/>
        </w:numPr>
        <w:tabs>
          <w:tab w:val="left" w:pos="1134"/>
        </w:tabs>
        <w:spacing w:before="50" w:line="304" w:lineRule="auto"/>
        <w:ind w:left="1134" w:right="55" w:hanging="283"/>
        <w:rPr>
          <w:sz w:val="19"/>
          <w:szCs w:val="19"/>
          <w:lang w:eastAsia="ja-JP"/>
        </w:rPr>
      </w:pPr>
      <w:r w:rsidRPr="00907784">
        <w:rPr>
          <w:rFonts w:ascii="ＭＳ ゴシック" w:eastAsia="ＭＳ ゴシック" w:hAnsi="ＭＳ ゴシック" w:cs="ＭＳ ゴシック" w:hint="eastAsia"/>
          <w:sz w:val="19"/>
          <w:szCs w:val="19"/>
          <w:lang w:eastAsia="ja-JP"/>
        </w:rPr>
        <w:t>ある地域の電力系統の排出係数を、発電構成の異なる別の地域に適応させる</w:t>
      </w:r>
    </w:p>
    <w:p w14:paraId="702153A0" w14:textId="10D5DCCB" w:rsidR="00907784" w:rsidRPr="00907784" w:rsidRDefault="00907784">
      <w:pPr>
        <w:pStyle w:val="a5"/>
        <w:numPr>
          <w:ilvl w:val="0"/>
          <w:numId w:val="44"/>
        </w:numPr>
        <w:tabs>
          <w:tab w:val="left" w:pos="1134"/>
        </w:tabs>
        <w:spacing w:before="50" w:line="304" w:lineRule="auto"/>
        <w:ind w:left="1134" w:right="55" w:hanging="283"/>
        <w:rPr>
          <w:sz w:val="19"/>
          <w:szCs w:val="19"/>
          <w:lang w:eastAsia="ja-JP"/>
        </w:rPr>
      </w:pPr>
      <w:r w:rsidRPr="00907784">
        <w:rPr>
          <w:rFonts w:ascii="ＭＳ ゴシック" w:eastAsia="ＭＳ ゴシック" w:hAnsi="ＭＳ ゴシック" w:cs="ＭＳ ゴシック" w:hint="eastAsia"/>
          <w:sz w:val="19"/>
          <w:szCs w:val="19"/>
          <w:lang w:eastAsia="ja-JP"/>
        </w:rPr>
        <w:t>他の製品のライフサイクルのある工程で消費される材料量を、調査対象製品の類似工程に合わせてカスタマイズする</w:t>
      </w:r>
    </w:p>
    <w:p w14:paraId="351B8193" w14:textId="1E50AB29" w:rsidR="0055291C" w:rsidRDefault="0055291C" w:rsidP="00907784">
      <w:pPr>
        <w:tabs>
          <w:tab w:val="left" w:pos="1134"/>
        </w:tabs>
        <w:rPr>
          <w:sz w:val="19"/>
          <w:lang w:eastAsia="ja-JP"/>
        </w:rPr>
      </w:pPr>
    </w:p>
    <w:p w14:paraId="7B46C5A8" w14:textId="3B68C82F" w:rsidR="0055291C" w:rsidRDefault="00907784" w:rsidP="00907784">
      <w:pPr>
        <w:spacing w:before="142"/>
        <w:ind w:left="709" w:rightChars="292" w:right="642"/>
        <w:rPr>
          <w:rFonts w:ascii="Arial"/>
          <w:b/>
          <w:i/>
          <w:sz w:val="18"/>
          <w:lang w:eastAsia="ja-JP"/>
        </w:rPr>
      </w:pPr>
      <w:r>
        <w:rPr>
          <w:rFonts w:ascii="ＭＳ ゴシック" w:eastAsia="ＭＳ ゴシック" w:hAnsi="ＭＳ ゴシック" w:cs="ＭＳ ゴシック" w:hint="eastAsia"/>
          <w:b/>
          <w:i/>
          <w:color w:val="7F3F98"/>
          <w:sz w:val="18"/>
          <w:lang w:eastAsia="ja-JP"/>
        </w:rPr>
        <w:t>推定データ</w:t>
      </w:r>
    </w:p>
    <w:p w14:paraId="2650A4CE" w14:textId="60DAF682" w:rsidR="0055291C" w:rsidRDefault="00907784" w:rsidP="00907784">
      <w:pPr>
        <w:pStyle w:val="a3"/>
        <w:spacing w:before="1" w:line="312" w:lineRule="auto"/>
        <w:ind w:left="709" w:rightChars="292" w:right="642" w:firstLineChars="100" w:firstLine="190"/>
        <w:rPr>
          <w:lang w:eastAsia="ja-JP"/>
        </w:rPr>
      </w:pPr>
      <w:r>
        <w:rPr>
          <w:rFonts w:ascii="ＭＳ ゴシック" w:eastAsia="ＭＳ ゴシック" w:hAnsi="ＭＳ ゴシック" w:cs="ＭＳ ゴシック" w:hint="eastAsia"/>
          <w:lang w:eastAsia="ja-JP"/>
        </w:rPr>
        <w:t>データギャップを埋めるための</w:t>
      </w:r>
      <w:r w:rsidR="00881FBE">
        <w:rPr>
          <w:rFonts w:ascii="ＭＳ ゴシック" w:eastAsia="ＭＳ ゴシック" w:hAnsi="ＭＳ ゴシック" w:cs="ＭＳ ゴシック" w:hint="eastAsia"/>
          <w:lang w:eastAsia="ja-JP"/>
        </w:rPr>
        <w:t>代替</w:t>
      </w:r>
      <w:r>
        <w:rPr>
          <w:rFonts w:ascii="ＭＳ ゴシック" w:eastAsia="ＭＳ ゴシック" w:hAnsi="ＭＳ ゴシック" w:cs="ＭＳ ゴシック" w:hint="eastAsia"/>
          <w:lang w:eastAsia="ja-JP"/>
        </w:rPr>
        <w:t>データを収集できない場合、企業はデータを推定し、重要性を判断する必要があります。推定データに基づいてプロセスが重要でないと判断された場合</w:t>
      </w:r>
      <w:r>
        <w:rPr>
          <w:lang w:eastAsia="ja-JP"/>
        </w:rPr>
        <w:t xml:space="preserve"> </w:t>
      </w:r>
      <w:r>
        <w:rPr>
          <w:rFonts w:ascii="ＭＳ ゴシック" w:eastAsia="ＭＳ ゴシック" w:hAnsi="ＭＳ ゴシック" w:cs="ＭＳ ゴシック" w:hint="eastAsia"/>
          <w:lang w:eastAsia="ja-JP"/>
        </w:rPr>
        <w:t>、そのプロセスは、</w:t>
      </w:r>
      <w:r w:rsidR="00881FBE">
        <w:rPr>
          <w:rFonts w:ascii="ＭＳ ゴシック" w:eastAsia="ＭＳ ゴシック" w:hAnsi="ＭＳ ゴシック" w:cs="ＭＳ ゴシック" w:hint="eastAsia"/>
          <w:lang w:eastAsia="ja-JP"/>
        </w:rPr>
        <w:t>排出量</w:t>
      </w:r>
      <w:r>
        <w:rPr>
          <w:rFonts w:ascii="ＭＳ ゴシック" w:eastAsia="ＭＳ ゴシック" w:hAnsi="ＭＳ ゴシック" w:cs="ＭＳ ゴシック" w:hint="eastAsia"/>
          <w:lang w:eastAsia="ja-JP"/>
        </w:rPr>
        <w:t>の結果から除外することが</w:t>
      </w:r>
      <w:r w:rsidR="00881FBE">
        <w:rPr>
          <w:rFonts w:ascii="ＭＳ ゴシック" w:eastAsia="ＭＳ ゴシック" w:hAnsi="ＭＳ ゴシック" w:cs="ＭＳ ゴシック" w:hint="eastAsia"/>
          <w:lang w:eastAsia="ja-JP"/>
        </w:rPr>
        <w:t>できます</w:t>
      </w:r>
      <w:r>
        <w:rPr>
          <w:lang w:eastAsia="ja-JP"/>
        </w:rPr>
        <w:t xml:space="preserve"> </w:t>
      </w:r>
      <w:r>
        <w:rPr>
          <w:rFonts w:ascii="ＭＳ ゴシック" w:eastAsia="ＭＳ ゴシック" w:hAnsi="ＭＳ ゴシック" w:cs="ＭＳ ゴシック" w:hint="eastAsia"/>
          <w:lang w:eastAsia="ja-JP"/>
        </w:rPr>
        <w:t>。有意性がないと判断するための基準については、</w:t>
      </w:r>
      <w:r>
        <w:rPr>
          <w:lang w:eastAsia="ja-JP"/>
        </w:rPr>
        <w:t xml:space="preserve"> 7</w:t>
      </w:r>
      <w:r>
        <w:rPr>
          <w:rFonts w:ascii="ＭＳ ゴシック" w:eastAsia="ＭＳ ゴシック" w:hAnsi="ＭＳ ゴシック" w:cs="ＭＳ ゴシック" w:hint="eastAsia"/>
          <w:lang w:eastAsia="ja-JP"/>
        </w:rPr>
        <w:t>章に概説されてい</w:t>
      </w:r>
      <w:r w:rsidR="00881FBE">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w:t>
      </w:r>
    </w:p>
    <w:p w14:paraId="7ECF46C1" w14:textId="68D6156A" w:rsidR="0055291C" w:rsidRDefault="00881FBE" w:rsidP="00881FBE">
      <w:pPr>
        <w:pStyle w:val="a3"/>
        <w:spacing w:before="141" w:line="312" w:lineRule="auto"/>
        <w:ind w:left="709" w:rightChars="292" w:right="642" w:firstLineChars="100" w:firstLine="190"/>
        <w:rPr>
          <w:lang w:eastAsia="ja-JP"/>
        </w:rPr>
      </w:pPr>
      <w:r>
        <w:rPr>
          <w:rFonts w:ascii="ＭＳ ゴシック" w:eastAsia="ＭＳ ゴシック" w:hAnsi="ＭＳ ゴシック" w:cs="ＭＳ ゴシック" w:hint="eastAsia"/>
          <w:lang w:eastAsia="ja-JP"/>
        </w:rPr>
        <w:t>データ品質の評価を支援するため、データギャップを</w:t>
      </w:r>
      <w:r>
        <w:rPr>
          <w:lang w:eastAsia="ja-JP"/>
        </w:rPr>
        <w:t xml:space="preserve"> </w:t>
      </w:r>
      <w:r>
        <w:rPr>
          <w:rFonts w:ascii="ＭＳ ゴシック" w:eastAsia="ＭＳ ゴシック" w:hAnsi="ＭＳ ゴシック" w:cs="ＭＳ ゴシック" w:hint="eastAsia"/>
          <w:lang w:eastAsia="ja-JP"/>
        </w:rPr>
        <w:t>埋める際に行った仮定と、製品インベントリの最終結果に対する予想される影響を文書化する必要があります。図</w:t>
      </w:r>
      <w:r>
        <w:rPr>
          <w:lang w:eastAsia="ja-JP"/>
        </w:rPr>
        <w:t>8.2</w:t>
      </w:r>
      <w:r>
        <w:rPr>
          <w:rFonts w:ascii="ＭＳ ゴシック" w:eastAsia="ＭＳ ゴシック" w:hAnsi="ＭＳ ゴシック" w:cs="ＭＳ ゴシック" w:hint="eastAsia"/>
          <w:lang w:eastAsia="ja-JP"/>
        </w:rPr>
        <w:t>は、代理データまたは推定データを用いてデータギャップを埋めるためのガイダンスを示しています。</w:t>
      </w:r>
    </w:p>
    <w:p w14:paraId="70DA44BC" w14:textId="2B578997" w:rsidR="0055291C" w:rsidRDefault="00881FBE">
      <w:pPr>
        <w:pStyle w:val="7"/>
        <w:numPr>
          <w:ilvl w:val="2"/>
          <w:numId w:val="46"/>
        </w:numPr>
        <w:tabs>
          <w:tab w:val="left" w:pos="1045"/>
        </w:tabs>
        <w:ind w:left="709" w:rightChars="292" w:right="642" w:hanging="142"/>
        <w:jc w:val="left"/>
      </w:pPr>
      <w:r>
        <w:rPr>
          <w:rFonts w:ascii="ＭＳ 明朝" w:eastAsia="ＭＳ 明朝" w:hAnsi="ＭＳ 明朝" w:cs="ＭＳ 明朝" w:hint="eastAsia"/>
          <w:color w:val="00B8B1"/>
          <w:lang w:eastAsia="ja-JP"/>
        </w:rPr>
        <w:t>データ品質の向上</w:t>
      </w:r>
    </w:p>
    <w:p w14:paraId="008BCC6C" w14:textId="15EA4771" w:rsidR="0055291C" w:rsidRDefault="00881FBE" w:rsidP="002E4CDA">
      <w:pPr>
        <w:pStyle w:val="a3"/>
        <w:spacing w:before="62" w:line="312" w:lineRule="auto"/>
        <w:ind w:left="709" w:rightChars="292" w:right="642" w:firstLineChars="100" w:firstLine="190"/>
        <w:rPr>
          <w:lang w:eastAsia="ja-JP"/>
        </w:rPr>
      </w:pPr>
      <w:r>
        <w:rPr>
          <w:rFonts w:ascii="ＭＳ ゴシック" w:eastAsia="ＭＳ ゴシック" w:hAnsi="ＭＳ ゴシック" w:cs="ＭＳ ゴシック" w:hint="eastAsia"/>
          <w:lang w:eastAsia="ja-JP"/>
        </w:rPr>
        <w:t>データの収集とその品質の評価は、報告書の全体的なデータ品質を向上させるため</w:t>
      </w:r>
      <w:r w:rsidR="002C6825">
        <w:rPr>
          <w:rFonts w:ascii="ＭＳ ゴシック" w:eastAsia="ＭＳ ゴシック" w:hAnsi="ＭＳ ゴシック" w:cs="ＭＳ ゴシック" w:hint="eastAsia"/>
          <w:lang w:eastAsia="ja-JP"/>
        </w:rPr>
        <w:t>に必要な</w:t>
      </w:r>
      <w:r>
        <w:rPr>
          <w:rFonts w:ascii="ＭＳ ゴシック" w:eastAsia="ＭＳ ゴシック" w:hAnsi="ＭＳ ゴシック" w:cs="ＭＳ ゴシック" w:hint="eastAsia"/>
          <w:lang w:eastAsia="ja-JP"/>
        </w:rPr>
        <w:t>反復過程です。データ品質指標を使用してデータソースが低品質であると特定された場合、企業は特定の工程のデータを再収集する必要があります。データ品質</w:t>
      </w:r>
      <w:r w:rsidR="002C6825">
        <w:rPr>
          <w:rFonts w:ascii="ＭＳ ゴシック" w:eastAsia="ＭＳ ゴシック" w:hAnsi="ＭＳ ゴシック" w:cs="ＭＳ ゴシック" w:hint="eastAsia"/>
          <w:lang w:eastAsia="ja-JP"/>
        </w:rPr>
        <w:t>の</w:t>
      </w:r>
      <w:r>
        <w:rPr>
          <w:rFonts w:ascii="ＭＳ ゴシック" w:eastAsia="ＭＳ ゴシック" w:hAnsi="ＭＳ ゴシック" w:cs="ＭＳ ゴシック" w:hint="eastAsia"/>
          <w:lang w:eastAsia="ja-JP"/>
        </w:rPr>
        <w:t>改善</w:t>
      </w:r>
      <w:r w:rsidR="002C6825">
        <w:rPr>
          <w:rFonts w:ascii="ＭＳ ゴシック" w:eastAsia="ＭＳ ゴシック" w:hAnsi="ＭＳ ゴシック" w:cs="ＭＳ ゴシック" w:hint="eastAsia"/>
          <w:lang w:eastAsia="ja-JP"/>
        </w:rPr>
        <w:t>に</w:t>
      </w:r>
      <w:r>
        <w:rPr>
          <w:rFonts w:ascii="ＭＳ ゴシック" w:eastAsia="ＭＳ ゴシック" w:hAnsi="ＭＳ ゴシック" w:cs="ＭＳ ゴシック" w:hint="eastAsia"/>
          <w:lang w:eastAsia="ja-JP"/>
        </w:rPr>
        <w:t>は、以下の手順が有効です。</w:t>
      </w:r>
    </w:p>
    <w:p w14:paraId="0E2E02E9"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886" w:space="40"/>
            <w:col w:w="6314"/>
          </w:cols>
        </w:sectPr>
      </w:pPr>
    </w:p>
    <w:p w14:paraId="1632568D" w14:textId="77777777" w:rsidR="0055291C" w:rsidRDefault="0055291C">
      <w:pPr>
        <w:pStyle w:val="a3"/>
        <w:rPr>
          <w:sz w:val="20"/>
          <w:lang w:eastAsia="ja-JP"/>
        </w:rPr>
      </w:pPr>
    </w:p>
    <w:p w14:paraId="242F1D27" w14:textId="77777777" w:rsidR="0055291C" w:rsidRDefault="0055291C">
      <w:pPr>
        <w:pStyle w:val="a3"/>
        <w:rPr>
          <w:sz w:val="20"/>
          <w:lang w:eastAsia="ja-JP"/>
        </w:rPr>
      </w:pPr>
    </w:p>
    <w:p w14:paraId="3E7E2CA9" w14:textId="77777777" w:rsidR="0055291C" w:rsidRDefault="0055291C">
      <w:pPr>
        <w:pStyle w:val="a3"/>
        <w:rPr>
          <w:sz w:val="20"/>
          <w:lang w:eastAsia="ja-JP"/>
        </w:rPr>
      </w:pPr>
    </w:p>
    <w:p w14:paraId="0984162B" w14:textId="77777777" w:rsidR="0055291C" w:rsidRDefault="0055291C">
      <w:pPr>
        <w:pStyle w:val="a3"/>
        <w:rPr>
          <w:sz w:val="20"/>
          <w:lang w:eastAsia="ja-JP"/>
        </w:rPr>
      </w:pPr>
    </w:p>
    <w:p w14:paraId="2B53256C" w14:textId="77777777" w:rsidR="0055291C" w:rsidRDefault="0055291C">
      <w:pPr>
        <w:pStyle w:val="a3"/>
        <w:rPr>
          <w:sz w:val="20"/>
          <w:lang w:eastAsia="ja-JP"/>
        </w:rPr>
      </w:pPr>
    </w:p>
    <w:p w14:paraId="2FCF63BF" w14:textId="77777777" w:rsidR="0055291C" w:rsidRDefault="0055291C">
      <w:pPr>
        <w:pStyle w:val="a3"/>
        <w:rPr>
          <w:sz w:val="20"/>
          <w:lang w:eastAsia="ja-JP"/>
        </w:rPr>
      </w:pPr>
    </w:p>
    <w:p w14:paraId="4232631D" w14:textId="77777777" w:rsidR="0055291C" w:rsidRDefault="0055291C">
      <w:pPr>
        <w:pStyle w:val="a3"/>
        <w:rPr>
          <w:sz w:val="20"/>
          <w:lang w:eastAsia="ja-JP"/>
        </w:rPr>
      </w:pPr>
    </w:p>
    <w:p w14:paraId="22112960" w14:textId="77777777" w:rsidR="0055291C" w:rsidRDefault="0055291C">
      <w:pPr>
        <w:pStyle w:val="a3"/>
        <w:rPr>
          <w:sz w:val="20"/>
          <w:lang w:eastAsia="ja-JP"/>
        </w:rPr>
      </w:pPr>
    </w:p>
    <w:p w14:paraId="076D198D" w14:textId="77777777" w:rsidR="0055291C" w:rsidRDefault="0055291C">
      <w:pPr>
        <w:pStyle w:val="a3"/>
        <w:rPr>
          <w:sz w:val="20"/>
          <w:lang w:eastAsia="ja-JP"/>
        </w:rPr>
      </w:pPr>
    </w:p>
    <w:p w14:paraId="7F79E93F" w14:textId="77777777" w:rsidR="0055291C" w:rsidRDefault="0055291C">
      <w:pPr>
        <w:pStyle w:val="a3"/>
        <w:rPr>
          <w:sz w:val="20"/>
          <w:lang w:eastAsia="ja-JP"/>
        </w:rPr>
      </w:pPr>
    </w:p>
    <w:p w14:paraId="02F60A7B" w14:textId="77777777" w:rsidR="0055291C" w:rsidRDefault="0055291C">
      <w:pPr>
        <w:pStyle w:val="a3"/>
        <w:rPr>
          <w:sz w:val="20"/>
          <w:lang w:eastAsia="ja-JP"/>
        </w:rPr>
      </w:pPr>
    </w:p>
    <w:p w14:paraId="33FCB613" w14:textId="77777777" w:rsidR="0055291C" w:rsidRDefault="0055291C">
      <w:pPr>
        <w:pStyle w:val="a3"/>
        <w:rPr>
          <w:sz w:val="20"/>
          <w:lang w:eastAsia="ja-JP"/>
        </w:rPr>
      </w:pPr>
    </w:p>
    <w:p w14:paraId="00E1C2E3" w14:textId="77777777" w:rsidR="0055291C" w:rsidRDefault="0055291C">
      <w:pPr>
        <w:pStyle w:val="a3"/>
        <w:rPr>
          <w:sz w:val="20"/>
          <w:lang w:eastAsia="ja-JP"/>
        </w:rPr>
      </w:pPr>
    </w:p>
    <w:p w14:paraId="6FFE299F" w14:textId="77777777" w:rsidR="0055291C" w:rsidRDefault="0055291C">
      <w:pPr>
        <w:pStyle w:val="a3"/>
        <w:rPr>
          <w:sz w:val="20"/>
          <w:lang w:eastAsia="ja-JP"/>
        </w:rPr>
      </w:pPr>
    </w:p>
    <w:p w14:paraId="048FAA95" w14:textId="77777777" w:rsidR="0055291C" w:rsidRDefault="0055291C">
      <w:pPr>
        <w:pStyle w:val="a3"/>
        <w:rPr>
          <w:sz w:val="20"/>
          <w:lang w:eastAsia="ja-JP"/>
        </w:rPr>
      </w:pPr>
    </w:p>
    <w:p w14:paraId="168FD1DA" w14:textId="77777777" w:rsidR="0055291C" w:rsidRDefault="0055291C">
      <w:pPr>
        <w:pStyle w:val="a3"/>
        <w:rPr>
          <w:sz w:val="20"/>
          <w:lang w:eastAsia="ja-JP"/>
        </w:rPr>
      </w:pPr>
    </w:p>
    <w:p w14:paraId="267242C2" w14:textId="77777777" w:rsidR="0055291C" w:rsidRDefault="0055291C">
      <w:pPr>
        <w:pStyle w:val="a3"/>
        <w:rPr>
          <w:sz w:val="20"/>
          <w:lang w:eastAsia="ja-JP"/>
        </w:rPr>
      </w:pPr>
    </w:p>
    <w:p w14:paraId="0877C68D" w14:textId="77777777" w:rsidR="0055291C" w:rsidRDefault="0055291C">
      <w:pPr>
        <w:pStyle w:val="a3"/>
        <w:rPr>
          <w:sz w:val="20"/>
          <w:lang w:eastAsia="ja-JP"/>
        </w:rPr>
      </w:pPr>
    </w:p>
    <w:p w14:paraId="7608B9EE" w14:textId="77777777" w:rsidR="0055291C" w:rsidRDefault="0055291C">
      <w:pPr>
        <w:pStyle w:val="a3"/>
        <w:rPr>
          <w:sz w:val="20"/>
          <w:lang w:eastAsia="ja-JP"/>
        </w:rPr>
      </w:pPr>
    </w:p>
    <w:p w14:paraId="47D1CDD5" w14:textId="77777777" w:rsidR="0055291C" w:rsidRDefault="0055291C">
      <w:pPr>
        <w:pStyle w:val="a3"/>
        <w:rPr>
          <w:sz w:val="20"/>
          <w:lang w:eastAsia="ja-JP"/>
        </w:rPr>
      </w:pPr>
    </w:p>
    <w:p w14:paraId="56D22D48" w14:textId="77777777" w:rsidR="0055291C" w:rsidRDefault="0055291C">
      <w:pPr>
        <w:pStyle w:val="a3"/>
        <w:rPr>
          <w:sz w:val="20"/>
          <w:lang w:eastAsia="ja-JP"/>
        </w:rPr>
      </w:pPr>
    </w:p>
    <w:p w14:paraId="5820193E" w14:textId="77777777" w:rsidR="0055291C" w:rsidRDefault="0055291C">
      <w:pPr>
        <w:pStyle w:val="a3"/>
        <w:rPr>
          <w:sz w:val="20"/>
          <w:lang w:eastAsia="ja-JP"/>
        </w:rPr>
      </w:pPr>
    </w:p>
    <w:p w14:paraId="6275438D" w14:textId="77777777" w:rsidR="0055291C" w:rsidRDefault="0055291C">
      <w:pPr>
        <w:pStyle w:val="a3"/>
        <w:rPr>
          <w:sz w:val="20"/>
          <w:lang w:eastAsia="ja-JP"/>
        </w:rPr>
      </w:pPr>
    </w:p>
    <w:p w14:paraId="47AD64DE" w14:textId="77777777" w:rsidR="0055291C" w:rsidRDefault="0055291C">
      <w:pPr>
        <w:pStyle w:val="a3"/>
        <w:rPr>
          <w:sz w:val="20"/>
          <w:lang w:eastAsia="ja-JP"/>
        </w:rPr>
      </w:pPr>
    </w:p>
    <w:p w14:paraId="62038106" w14:textId="77777777" w:rsidR="0055291C" w:rsidRDefault="0055291C">
      <w:pPr>
        <w:pStyle w:val="a3"/>
        <w:rPr>
          <w:sz w:val="20"/>
          <w:lang w:eastAsia="ja-JP"/>
        </w:rPr>
      </w:pPr>
    </w:p>
    <w:p w14:paraId="3B799DFE" w14:textId="77777777" w:rsidR="0055291C" w:rsidRDefault="0055291C">
      <w:pPr>
        <w:pStyle w:val="a3"/>
        <w:rPr>
          <w:sz w:val="20"/>
          <w:lang w:eastAsia="ja-JP"/>
        </w:rPr>
      </w:pPr>
    </w:p>
    <w:p w14:paraId="43AEF8CF" w14:textId="77777777" w:rsidR="0055291C" w:rsidRDefault="0055291C">
      <w:pPr>
        <w:pStyle w:val="a3"/>
        <w:rPr>
          <w:sz w:val="20"/>
          <w:lang w:eastAsia="ja-JP"/>
        </w:rPr>
      </w:pPr>
    </w:p>
    <w:p w14:paraId="2A8BE761" w14:textId="77777777" w:rsidR="0055291C" w:rsidRDefault="0055291C">
      <w:pPr>
        <w:pStyle w:val="a3"/>
        <w:rPr>
          <w:sz w:val="20"/>
          <w:lang w:eastAsia="ja-JP"/>
        </w:rPr>
      </w:pPr>
    </w:p>
    <w:p w14:paraId="54384755" w14:textId="77777777" w:rsidR="0055291C" w:rsidRDefault="0055291C">
      <w:pPr>
        <w:pStyle w:val="a3"/>
        <w:rPr>
          <w:sz w:val="20"/>
          <w:lang w:eastAsia="ja-JP"/>
        </w:rPr>
      </w:pPr>
    </w:p>
    <w:p w14:paraId="0E157295" w14:textId="77777777" w:rsidR="0055291C" w:rsidRDefault="0055291C">
      <w:pPr>
        <w:pStyle w:val="a3"/>
        <w:rPr>
          <w:sz w:val="20"/>
          <w:lang w:eastAsia="ja-JP"/>
        </w:rPr>
      </w:pPr>
    </w:p>
    <w:p w14:paraId="67D9646A" w14:textId="77777777" w:rsidR="0055291C" w:rsidRDefault="0055291C">
      <w:pPr>
        <w:pStyle w:val="a3"/>
        <w:rPr>
          <w:sz w:val="20"/>
          <w:lang w:eastAsia="ja-JP"/>
        </w:rPr>
      </w:pPr>
    </w:p>
    <w:p w14:paraId="19EE2FBF" w14:textId="77777777" w:rsidR="0055291C" w:rsidRDefault="0055291C">
      <w:pPr>
        <w:pStyle w:val="a3"/>
        <w:rPr>
          <w:sz w:val="20"/>
          <w:lang w:eastAsia="ja-JP"/>
        </w:rPr>
      </w:pPr>
    </w:p>
    <w:p w14:paraId="61AA61D1" w14:textId="77777777" w:rsidR="0055291C" w:rsidRDefault="0055291C">
      <w:pPr>
        <w:pStyle w:val="a3"/>
        <w:rPr>
          <w:sz w:val="20"/>
          <w:lang w:eastAsia="ja-JP"/>
        </w:rPr>
      </w:pPr>
    </w:p>
    <w:p w14:paraId="607767F0" w14:textId="77777777" w:rsidR="0055291C" w:rsidRDefault="0055291C">
      <w:pPr>
        <w:pStyle w:val="a3"/>
        <w:rPr>
          <w:sz w:val="20"/>
          <w:lang w:eastAsia="ja-JP"/>
        </w:rPr>
      </w:pPr>
    </w:p>
    <w:p w14:paraId="5FDB5A4C" w14:textId="77777777" w:rsidR="0055291C" w:rsidRDefault="0055291C">
      <w:pPr>
        <w:pStyle w:val="a3"/>
        <w:rPr>
          <w:sz w:val="20"/>
          <w:lang w:eastAsia="ja-JP"/>
        </w:rPr>
      </w:pPr>
    </w:p>
    <w:p w14:paraId="7D23F5F7" w14:textId="77777777" w:rsidR="0055291C" w:rsidRDefault="0055291C">
      <w:pPr>
        <w:pStyle w:val="a3"/>
        <w:rPr>
          <w:sz w:val="20"/>
          <w:lang w:eastAsia="ja-JP"/>
        </w:rPr>
      </w:pPr>
    </w:p>
    <w:p w14:paraId="679FF532" w14:textId="77777777" w:rsidR="0055291C" w:rsidRDefault="0055291C">
      <w:pPr>
        <w:pStyle w:val="a3"/>
        <w:rPr>
          <w:sz w:val="20"/>
          <w:lang w:eastAsia="ja-JP"/>
        </w:rPr>
      </w:pPr>
    </w:p>
    <w:p w14:paraId="7E8E71BA" w14:textId="77777777" w:rsidR="0055291C" w:rsidRDefault="0055291C">
      <w:pPr>
        <w:pStyle w:val="a3"/>
        <w:rPr>
          <w:sz w:val="20"/>
          <w:lang w:eastAsia="ja-JP"/>
        </w:rPr>
      </w:pPr>
    </w:p>
    <w:p w14:paraId="39ADE25C" w14:textId="77777777" w:rsidR="0055291C" w:rsidRDefault="0055291C">
      <w:pPr>
        <w:pStyle w:val="a3"/>
        <w:rPr>
          <w:sz w:val="20"/>
          <w:lang w:eastAsia="ja-JP"/>
        </w:rPr>
      </w:pPr>
    </w:p>
    <w:p w14:paraId="5ED1AB94" w14:textId="77777777" w:rsidR="0055291C" w:rsidRDefault="0055291C">
      <w:pPr>
        <w:pStyle w:val="a3"/>
        <w:spacing w:before="4"/>
        <w:rPr>
          <w:sz w:val="21"/>
          <w:lang w:eastAsia="ja-JP"/>
        </w:rPr>
      </w:pPr>
    </w:p>
    <w:p w14:paraId="2CB02389" w14:textId="77777777" w:rsidR="0055291C" w:rsidRDefault="0055291C">
      <w:pPr>
        <w:rPr>
          <w:sz w:val="21"/>
          <w:lang w:eastAsia="ja-JP"/>
        </w:rPr>
        <w:sectPr w:rsidR="0055291C">
          <w:pgSz w:w="12240" w:h="15840"/>
          <w:pgMar w:top="0" w:right="0" w:bottom="1040" w:left="0" w:header="0" w:footer="859" w:gutter="0"/>
          <w:cols w:space="720"/>
        </w:sectPr>
      </w:pPr>
    </w:p>
    <w:p w14:paraId="7C4FFF48" w14:textId="0078F713" w:rsidR="0055291C" w:rsidRDefault="00000000">
      <w:pPr>
        <w:pStyle w:val="a3"/>
        <w:spacing w:before="145" w:line="312" w:lineRule="auto"/>
        <w:ind w:left="1853" w:right="303" w:hanging="720"/>
        <w:rPr>
          <w:lang w:eastAsia="ja-JP"/>
        </w:rPr>
      </w:pPr>
      <w:r>
        <w:pict w14:anchorId="10C603C2">
          <v:group id="docshapegroup932" o:spid="_x0000_s2883" style="position:absolute;left:0;text-align:left;margin-left:56.15pt;margin-top:0;width:555.9pt;height:446.1pt;z-index:251600384;mso-position-horizontal-relative:page;mso-position-vertical-relative:page" coordorigin="1123" coordsize="11118,8922">
            <v:shape id="docshape933" o:spid="_x0000_s2885" type="#_x0000_t75" style="position:absolute;left:1122;top:1700;width:11118;height:7221">
              <v:imagedata r:id="rId202" o:title=""/>
            </v:shape>
            <v:shape id="docshape934" o:spid="_x0000_s2884" style="position:absolute;left:11614;width:626;height:5717" coordorigin="11615" coordsize="626,5717" path="m12240,r-625,l11615,5489r3,131l11643,5688r67,25l11842,5716r398,l12240,xe" fillcolor="#00aca1" stroked="f">
              <v:path arrowok="t"/>
            </v:shape>
            <w10:wrap anchorx="page" anchory="page"/>
          </v:group>
        </w:pict>
      </w:r>
      <w:r>
        <w:pict w14:anchorId="178AEFB0">
          <v:shape id="docshape935" o:spid="_x0000_s2882" type="#_x0000_t202" style="position:absolute;left:0;text-align:left;margin-left:585.65pt;margin-top:135.1pt;width:17.7pt;height:119.1pt;z-index:251601408;mso-position-horizontal-relative:page;mso-position-vertical-relative:page" filled="f" stroked="f">
            <v:textbox style="layout-flow:vertical;mso-layout-flow-alt:bottom-to-top;mso-next-textbox:#docshape935" inset="0,0,0,0">
              <w:txbxContent>
                <w:p w14:paraId="78ABDAA9"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anchory="page"/>
          </v:shape>
        </w:pict>
      </w:r>
      <w:r w:rsidR="00F23C61">
        <w:rPr>
          <w:rFonts w:ascii="Arial"/>
          <w:b/>
          <w:color w:val="00ACA1"/>
          <w:lang w:eastAsia="ja-JP"/>
        </w:rPr>
        <w:t>Step 1:</w:t>
      </w:r>
      <w:r w:rsidR="00F23C61">
        <w:rPr>
          <w:rFonts w:ascii="Arial"/>
          <w:b/>
          <w:color w:val="00ACA1"/>
          <w:spacing w:val="1"/>
          <w:lang w:eastAsia="ja-JP"/>
        </w:rPr>
        <w:t xml:space="preserve"> </w:t>
      </w:r>
      <w:r w:rsidR="002C6825">
        <w:rPr>
          <w:rFonts w:ascii="ＭＳ ゴシック" w:eastAsia="ＭＳ ゴシック" w:hAnsi="ＭＳ ゴシック" w:cs="ＭＳ ゴシック" w:hint="eastAsia"/>
          <w:lang w:eastAsia="ja-JP"/>
        </w:rPr>
        <w:t>データ品質評価結果を用いて、製品のGHG排出量における低品質のデータソースを特定する</w:t>
      </w:r>
      <w:r w:rsidR="002C6825">
        <w:rPr>
          <w:rFonts w:ascii="ＭＳ ゴシック" w:eastAsia="ＭＳ ゴシック" w:hAnsi="ＭＳ ゴシック" w:cs="ＭＳ ゴシック" w:hint="eastAsia"/>
          <w:color w:val="545456"/>
          <w:lang w:eastAsia="ja-JP"/>
        </w:rPr>
        <w:t>。</w:t>
      </w:r>
    </w:p>
    <w:p w14:paraId="2401560F" w14:textId="2E46CBC8" w:rsidR="0055291C" w:rsidRDefault="00F23C61">
      <w:pPr>
        <w:pStyle w:val="a3"/>
        <w:spacing w:before="137" w:line="312" w:lineRule="auto"/>
        <w:ind w:left="1853" w:hanging="720"/>
        <w:rPr>
          <w:lang w:eastAsia="ja-JP"/>
        </w:rPr>
      </w:pPr>
      <w:r>
        <w:rPr>
          <w:rFonts w:ascii="Arial"/>
          <w:b/>
          <w:color w:val="00ACA1"/>
          <w:lang w:eastAsia="ja-JP"/>
        </w:rPr>
        <w:t xml:space="preserve">Step 2:  </w:t>
      </w:r>
      <w:r w:rsidR="002C6825">
        <w:rPr>
          <w:rFonts w:ascii="ＭＳ ゴシック" w:eastAsia="ＭＳ ゴシック" w:hAnsi="ＭＳ ゴシック" w:cs="ＭＳ ゴシック" w:hint="eastAsia"/>
          <w:lang w:eastAsia="ja-JP"/>
        </w:rPr>
        <w:t>リソースの許す限り、低品質のデータ源について新しいデータを収集する。スクリーニングを通じて重要であると認識された低品質データの情報源は、優先的に収集されるべきである。</w:t>
      </w:r>
    </w:p>
    <w:p w14:paraId="624F3C50" w14:textId="4DE294D7" w:rsidR="0055291C" w:rsidRDefault="00F23C61">
      <w:pPr>
        <w:pStyle w:val="a3"/>
        <w:spacing w:before="138" w:line="312" w:lineRule="auto"/>
        <w:ind w:left="1853" w:right="7" w:hanging="720"/>
        <w:rPr>
          <w:lang w:eastAsia="ja-JP"/>
        </w:rPr>
      </w:pPr>
      <w:r>
        <w:rPr>
          <w:rFonts w:ascii="Arial"/>
          <w:b/>
          <w:color w:val="00ACA1"/>
          <w:lang w:eastAsia="ja-JP"/>
        </w:rPr>
        <w:t>Step 3:</w:t>
      </w:r>
      <w:r>
        <w:rPr>
          <w:rFonts w:ascii="Arial"/>
          <w:b/>
          <w:color w:val="00ACA1"/>
          <w:spacing w:val="1"/>
          <w:lang w:eastAsia="ja-JP"/>
        </w:rPr>
        <w:t xml:space="preserve"> </w:t>
      </w:r>
      <w:r w:rsidR="002C6825">
        <w:rPr>
          <w:rFonts w:ascii="ＭＳ ゴシック" w:eastAsia="ＭＳ ゴシック" w:hAnsi="ＭＳ ゴシック" w:cs="ＭＳ ゴシック" w:hint="eastAsia"/>
          <w:lang w:eastAsia="ja-JP"/>
        </w:rPr>
        <w:t>新しいデータを評価する。元のデータより品質が高ければ、そのデータを使用する。データの品質が高くない場合は、既存のデータを使用するか、新しいデータを収集する。</w:t>
      </w:r>
    </w:p>
    <w:p w14:paraId="14C9B21D" w14:textId="467711F4" w:rsidR="0055291C" w:rsidRDefault="00F23C61">
      <w:pPr>
        <w:pStyle w:val="a3"/>
        <w:spacing w:before="137"/>
        <w:ind w:left="1133"/>
        <w:rPr>
          <w:lang w:eastAsia="ja-JP"/>
        </w:rPr>
      </w:pPr>
      <w:r>
        <w:rPr>
          <w:rFonts w:ascii="Arial"/>
          <w:b/>
          <w:color w:val="00ACA1"/>
          <w:w w:val="95"/>
          <w:lang w:eastAsia="ja-JP"/>
        </w:rPr>
        <w:t>Step</w:t>
      </w:r>
      <w:r>
        <w:rPr>
          <w:rFonts w:ascii="Arial"/>
          <w:b/>
          <w:color w:val="00ACA1"/>
          <w:spacing w:val="-4"/>
          <w:w w:val="95"/>
          <w:lang w:eastAsia="ja-JP"/>
        </w:rPr>
        <w:t xml:space="preserve"> </w:t>
      </w:r>
      <w:r>
        <w:rPr>
          <w:rFonts w:ascii="Arial"/>
          <w:b/>
          <w:color w:val="00ACA1"/>
          <w:w w:val="95"/>
          <w:lang w:eastAsia="ja-JP"/>
        </w:rPr>
        <w:t>4:</w:t>
      </w:r>
      <w:r>
        <w:rPr>
          <w:rFonts w:ascii="Arial"/>
          <w:b/>
          <w:color w:val="00ACA1"/>
          <w:spacing w:val="35"/>
          <w:w w:val="95"/>
          <w:lang w:eastAsia="ja-JP"/>
        </w:rPr>
        <w:t xml:space="preserve"> </w:t>
      </w:r>
      <w:r w:rsidR="002C6825">
        <w:rPr>
          <w:rFonts w:ascii="ＭＳ ゴシック" w:eastAsia="ＭＳ ゴシック" w:hAnsi="ＭＳ ゴシック" w:cs="ＭＳ ゴシック" w:hint="eastAsia"/>
          <w:lang w:eastAsia="ja-JP"/>
        </w:rPr>
        <w:t>必要に応じて、またリソースの許す限り、これを繰り返す。</w:t>
      </w:r>
    </w:p>
    <w:p w14:paraId="18C2CF57" w14:textId="77777777" w:rsidR="0055291C" w:rsidRDefault="0055291C">
      <w:pPr>
        <w:pStyle w:val="a3"/>
        <w:spacing w:before="1"/>
        <w:rPr>
          <w:sz w:val="18"/>
          <w:lang w:eastAsia="ja-JP"/>
        </w:rPr>
      </w:pPr>
    </w:p>
    <w:p w14:paraId="1CC75127" w14:textId="47087EE9" w:rsidR="002C6825" w:rsidRDefault="002C6825" w:rsidP="00DB3710">
      <w:pPr>
        <w:pStyle w:val="a3"/>
        <w:spacing w:line="312" w:lineRule="auto"/>
        <w:ind w:left="851" w:right="233" w:firstLineChars="100" w:firstLine="190"/>
        <w:rPr>
          <w:color w:val="545456"/>
          <w:lang w:eastAsia="ja-JP"/>
        </w:rPr>
      </w:pPr>
      <w:r>
        <w:rPr>
          <w:rFonts w:ascii="ＭＳ ゴシック" w:eastAsia="ＭＳ ゴシック" w:hAnsi="ＭＳ ゴシック" w:cs="ＭＳ ゴシック" w:hint="eastAsia"/>
          <w:lang w:eastAsia="ja-JP"/>
        </w:rPr>
        <w:t>企業が以降の報告でデータソースを変更する場合、この変更によってベース</w:t>
      </w:r>
      <w:r w:rsidR="00DB3710">
        <w:rPr>
          <w:rFonts w:ascii="ＭＳ ゴシック" w:eastAsia="ＭＳ ゴシック" w:hAnsi="ＭＳ ゴシック" w:cs="ＭＳ ゴシック" w:hint="eastAsia"/>
          <w:lang w:eastAsia="ja-JP"/>
        </w:rPr>
        <w:t>となる排出量</w:t>
      </w:r>
      <w:r>
        <w:rPr>
          <w:rFonts w:ascii="ＭＳ ゴシック" w:eastAsia="ＭＳ ゴシック" w:hAnsi="ＭＳ ゴシック" w:cs="ＭＳ ゴシック" w:hint="eastAsia"/>
          <w:lang w:eastAsia="ja-JP"/>
        </w:rPr>
        <w:t>を更新する必要が</w:t>
      </w:r>
      <w:r w:rsidR="00DB3710">
        <w:rPr>
          <w:rFonts w:ascii="ＭＳ ゴシック" w:eastAsia="ＭＳ ゴシック" w:hAnsi="ＭＳ ゴシック" w:cs="ＭＳ ゴシック" w:hint="eastAsia"/>
          <w:lang w:eastAsia="ja-JP"/>
        </w:rPr>
        <w:t>あ</w:t>
      </w:r>
      <w:r>
        <w:rPr>
          <w:rFonts w:ascii="ＭＳ ゴシック" w:eastAsia="ＭＳ ゴシック" w:hAnsi="ＭＳ ゴシック" w:cs="ＭＳ ゴシック" w:hint="eastAsia"/>
          <w:lang w:eastAsia="ja-JP"/>
        </w:rPr>
        <w:t>るか評価する必要があります（詳細は</w:t>
      </w:r>
      <w:r>
        <w:rPr>
          <w:lang w:eastAsia="ja-JP"/>
        </w:rPr>
        <w:t>14</w:t>
      </w:r>
      <w:r>
        <w:rPr>
          <w:rFonts w:ascii="ＭＳ ゴシック" w:eastAsia="ＭＳ ゴシック" w:hAnsi="ＭＳ ゴシック" w:cs="ＭＳ ゴシック" w:hint="eastAsia"/>
          <w:lang w:eastAsia="ja-JP"/>
        </w:rPr>
        <w:t>章を参照）。</w:t>
      </w:r>
    </w:p>
    <w:p w14:paraId="7B4A7B45" w14:textId="19C7A7B6" w:rsidR="0055291C" w:rsidRPr="003F5D25" w:rsidRDefault="00DB3710" w:rsidP="003F5D25">
      <w:pPr>
        <w:pStyle w:val="3"/>
        <w:ind w:left="851"/>
        <w:rPr>
          <w:color w:val="00ACA1"/>
          <w:lang w:eastAsia="ja-JP"/>
        </w:rPr>
      </w:pPr>
      <w:r w:rsidRPr="003F5D25">
        <w:rPr>
          <w:rFonts w:ascii="ＭＳ 明朝" w:eastAsia="ＭＳ 明朝" w:hAnsi="ＭＳ 明朝" w:cs="ＭＳ 明朝" w:hint="eastAsia"/>
          <w:color w:val="00ACA1"/>
          <w:lang w:eastAsia="ja-JP"/>
        </w:rPr>
        <w:t>脚注</w:t>
      </w:r>
    </w:p>
    <w:p w14:paraId="591F43C7" w14:textId="01B2B42D" w:rsidR="00DB3710" w:rsidRPr="003F5D25" w:rsidRDefault="00DB3710">
      <w:pPr>
        <w:pStyle w:val="a5"/>
        <w:numPr>
          <w:ilvl w:val="0"/>
          <w:numId w:val="82"/>
        </w:numPr>
        <w:spacing w:line="345" w:lineRule="auto"/>
        <w:ind w:left="709" w:right="374" w:hanging="283"/>
        <w:rPr>
          <w:rFonts w:ascii="ＭＳ ゴシック" w:eastAsia="ＭＳ ゴシック" w:hAnsi="ＭＳ ゴシック"/>
          <w:sz w:val="18"/>
          <w:szCs w:val="18"/>
          <w:lang w:eastAsia="ja-JP"/>
        </w:rPr>
      </w:pPr>
      <w:r w:rsidRPr="003F5D25">
        <w:rPr>
          <w:rFonts w:ascii="ＭＳ ゴシック" w:eastAsia="ＭＳ ゴシック" w:hAnsi="ＭＳ ゴシック"/>
          <w:sz w:val="18"/>
          <w:szCs w:val="18"/>
          <w:lang w:eastAsia="ja-JP"/>
        </w:rPr>
        <w:t>UNEP and SETAC</w:t>
      </w:r>
      <w:r w:rsidRPr="003F5D25">
        <w:rPr>
          <w:rFonts w:ascii="ＭＳ ゴシック" w:eastAsia="ＭＳ ゴシック" w:hAnsi="ＭＳ ゴシック" w:cs="ＭＳ ゴシック" w:hint="eastAsia"/>
          <w:sz w:val="18"/>
          <w:szCs w:val="18"/>
          <w:lang w:eastAsia="ja-JP"/>
        </w:rPr>
        <w:t>、</w:t>
      </w:r>
      <w:r w:rsidRPr="003F5D25">
        <w:rPr>
          <w:rFonts w:ascii="ＭＳ ゴシック" w:eastAsia="ＭＳ ゴシック" w:hAnsi="ＭＳ ゴシック"/>
          <w:sz w:val="18"/>
          <w:szCs w:val="18"/>
        </w:rPr>
        <w:t>Global Guidance Principles for Life Cycle Assessment Databases</w:t>
      </w:r>
      <w:r w:rsidRPr="003F5D25">
        <w:rPr>
          <w:rFonts w:ascii="ＭＳ ゴシック" w:eastAsia="ＭＳ ゴシック" w:hAnsi="ＭＳ ゴシック" w:cs="ＭＳ ゴシック" w:hint="eastAsia"/>
          <w:sz w:val="18"/>
          <w:szCs w:val="18"/>
          <w:lang w:eastAsia="ja-JP"/>
        </w:rPr>
        <w:t>、</w:t>
      </w:r>
      <w:r w:rsidRPr="003F5D25">
        <w:rPr>
          <w:rFonts w:ascii="ＭＳ ゴシック" w:eastAsia="ＭＳ ゴシック" w:hAnsi="ＭＳ ゴシック"/>
          <w:sz w:val="18"/>
          <w:szCs w:val="18"/>
          <w:lang w:eastAsia="ja-JP"/>
        </w:rPr>
        <w:t>2011</w:t>
      </w:r>
    </w:p>
    <w:p w14:paraId="508B27BB" w14:textId="0E79BAF7" w:rsidR="009863CC" w:rsidRPr="003F5D25" w:rsidRDefault="00DB3710">
      <w:pPr>
        <w:pStyle w:val="a5"/>
        <w:numPr>
          <w:ilvl w:val="0"/>
          <w:numId w:val="82"/>
        </w:numPr>
        <w:spacing w:line="345" w:lineRule="auto"/>
        <w:ind w:left="709" w:right="374" w:hanging="283"/>
        <w:rPr>
          <w:sz w:val="18"/>
          <w:szCs w:val="18"/>
          <w:lang w:eastAsia="ja-JP"/>
        </w:rPr>
      </w:pPr>
      <w:r w:rsidRPr="003F5D25">
        <w:rPr>
          <w:rFonts w:ascii="ＭＳ ゴシック" w:eastAsia="ＭＳ ゴシック" w:hAnsi="ＭＳ ゴシック" w:cs="ＭＳ ゴシック" w:hint="eastAsia"/>
          <w:sz w:val="18"/>
          <w:szCs w:val="18"/>
          <w:lang w:eastAsia="ja-JP"/>
        </w:rPr>
        <w:t>会社の管理下にある非</w:t>
      </w:r>
      <w:r w:rsidR="009863CC" w:rsidRPr="003F5D25">
        <w:rPr>
          <w:rFonts w:ascii="ＭＳ ゴシック" w:eastAsia="ＭＳ ゴシック" w:hAnsi="ＭＳ ゴシック" w:cs="ＭＳ ゴシック" w:hint="eastAsia"/>
          <w:sz w:val="18"/>
          <w:szCs w:val="18"/>
          <w:lang w:eastAsia="ja-JP"/>
        </w:rPr>
        <w:t>帰属</w:t>
      </w:r>
      <w:r w:rsidRPr="003F5D25">
        <w:rPr>
          <w:rFonts w:ascii="ＭＳ ゴシック" w:eastAsia="ＭＳ ゴシック" w:hAnsi="ＭＳ ゴシック" w:cs="ＭＳ ゴシック" w:hint="eastAsia"/>
          <w:sz w:val="18"/>
          <w:szCs w:val="18"/>
          <w:lang w:eastAsia="ja-JP"/>
        </w:rPr>
        <w:t>プロセスは、利用可能な一次データがなくても</w:t>
      </w:r>
      <w:r w:rsidR="009863CC" w:rsidRPr="003F5D25">
        <w:rPr>
          <w:rFonts w:ascii="ＭＳ ゴシック" w:eastAsia="ＭＳ ゴシック" w:hAnsi="ＭＳ ゴシック" w:cs="ＭＳ ゴシック" w:hint="eastAsia"/>
          <w:sz w:val="18"/>
          <w:szCs w:val="18"/>
          <w:lang w:eastAsia="ja-JP"/>
        </w:rPr>
        <w:t>報告書</w:t>
      </w:r>
      <w:r w:rsidRPr="003F5D25">
        <w:rPr>
          <w:rFonts w:ascii="ＭＳ ゴシック" w:eastAsia="ＭＳ ゴシック" w:hAnsi="ＭＳ ゴシック" w:cs="ＭＳ ゴシック" w:hint="eastAsia"/>
          <w:sz w:val="18"/>
          <w:szCs w:val="18"/>
          <w:lang w:eastAsia="ja-JP"/>
        </w:rPr>
        <w:t>に含めることができ</w:t>
      </w:r>
      <w:r w:rsidR="003F5D25" w:rsidRPr="003F5D25">
        <w:rPr>
          <w:rFonts w:ascii="ＭＳ ゴシック" w:eastAsia="ＭＳ ゴシック" w:hAnsi="ＭＳ ゴシック" w:cs="ＭＳ ゴシック" w:hint="eastAsia"/>
          <w:sz w:val="18"/>
          <w:szCs w:val="18"/>
          <w:lang w:eastAsia="ja-JP"/>
        </w:rPr>
        <w:t>ます</w:t>
      </w:r>
      <w:r w:rsidR="009863CC" w:rsidRPr="003F5D25">
        <w:rPr>
          <w:rFonts w:ascii="ＭＳ ゴシック" w:eastAsia="ＭＳ ゴシック" w:hAnsi="ＭＳ ゴシック" w:cs="ＭＳ ゴシック" w:hint="eastAsia"/>
          <w:sz w:val="18"/>
          <w:szCs w:val="18"/>
          <w:lang w:eastAsia="ja-JP"/>
        </w:rPr>
        <w:t>。報告書</w:t>
      </w:r>
      <w:r w:rsidRPr="003F5D25">
        <w:rPr>
          <w:rFonts w:ascii="ＭＳ ゴシック" w:eastAsia="ＭＳ ゴシック" w:hAnsi="ＭＳ ゴシック" w:cs="ＭＳ ゴシック" w:hint="eastAsia"/>
          <w:sz w:val="18"/>
          <w:szCs w:val="18"/>
          <w:lang w:eastAsia="ja-JP"/>
        </w:rPr>
        <w:t>に非</w:t>
      </w:r>
      <w:r w:rsidR="009863CC" w:rsidRPr="003F5D25">
        <w:rPr>
          <w:rFonts w:ascii="ＭＳ ゴシック" w:eastAsia="ＭＳ ゴシック" w:hAnsi="ＭＳ ゴシック" w:cs="ＭＳ ゴシック" w:hint="eastAsia"/>
          <w:sz w:val="18"/>
          <w:szCs w:val="18"/>
          <w:lang w:eastAsia="ja-JP"/>
        </w:rPr>
        <w:t>帰属</w:t>
      </w:r>
      <w:r w:rsidRPr="003F5D25">
        <w:rPr>
          <w:rFonts w:ascii="ＭＳ ゴシック" w:eastAsia="ＭＳ ゴシック" w:hAnsi="ＭＳ ゴシック" w:cs="ＭＳ ゴシック" w:hint="eastAsia"/>
          <w:sz w:val="18"/>
          <w:szCs w:val="18"/>
          <w:lang w:eastAsia="ja-JP"/>
        </w:rPr>
        <w:t>プロセスを含めることは本基準の要件ではないため、品質データ収集の一般的なルー</w:t>
      </w:r>
      <w:r w:rsidR="009863CC" w:rsidRPr="003F5D25">
        <w:rPr>
          <w:rFonts w:ascii="ＭＳ ゴシック" w:eastAsia="ＭＳ ゴシック" w:hAnsi="ＭＳ ゴシック" w:cs="ＭＳ ゴシック" w:hint="eastAsia"/>
          <w:sz w:val="18"/>
          <w:szCs w:val="18"/>
          <w:lang w:eastAsia="ja-JP"/>
        </w:rPr>
        <w:t>ル</w:t>
      </w:r>
      <w:r w:rsidRPr="003F5D25">
        <w:rPr>
          <w:rFonts w:ascii="ＭＳ ゴシック" w:eastAsia="ＭＳ ゴシック" w:hAnsi="ＭＳ ゴシック" w:cs="ＭＳ ゴシック" w:hint="eastAsia"/>
          <w:sz w:val="18"/>
          <w:szCs w:val="18"/>
          <w:lang w:eastAsia="ja-JP"/>
        </w:rPr>
        <w:t>が適用される場合、これは予期されることであ</w:t>
      </w:r>
      <w:r w:rsidR="003F5D25" w:rsidRPr="003F5D25">
        <w:rPr>
          <w:rFonts w:ascii="ＭＳ ゴシック" w:eastAsia="ＭＳ ゴシック" w:hAnsi="ＭＳ ゴシック" w:cs="ＭＳ ゴシック" w:hint="eastAsia"/>
          <w:sz w:val="18"/>
          <w:szCs w:val="18"/>
          <w:lang w:eastAsia="ja-JP"/>
        </w:rPr>
        <w:t>ります</w:t>
      </w:r>
      <w:r w:rsidRPr="003F5D25">
        <w:rPr>
          <w:rFonts w:ascii="ＭＳ ゴシック" w:eastAsia="ＭＳ ゴシック" w:hAnsi="ＭＳ ゴシック" w:cs="ＭＳ ゴシック" w:hint="eastAsia"/>
          <w:sz w:val="18"/>
          <w:szCs w:val="18"/>
          <w:lang w:eastAsia="ja-JP"/>
        </w:rPr>
        <w:t>。</w:t>
      </w:r>
    </w:p>
    <w:p w14:paraId="2281115E" w14:textId="437AF548" w:rsidR="009863CC" w:rsidRPr="003F5D25" w:rsidRDefault="00DB3710">
      <w:pPr>
        <w:pStyle w:val="a5"/>
        <w:numPr>
          <w:ilvl w:val="0"/>
          <w:numId w:val="82"/>
        </w:numPr>
        <w:spacing w:line="345" w:lineRule="auto"/>
        <w:ind w:left="709" w:right="374" w:hanging="283"/>
        <w:rPr>
          <w:sz w:val="18"/>
          <w:szCs w:val="18"/>
          <w:lang w:eastAsia="ja-JP"/>
        </w:rPr>
      </w:pPr>
      <w:r w:rsidRPr="003F5D25">
        <w:rPr>
          <w:rFonts w:ascii="ＭＳ ゴシック" w:eastAsia="ＭＳ ゴシック" w:hAnsi="ＭＳ ゴシック" w:cs="ＭＳ ゴシック" w:hint="eastAsia"/>
          <w:sz w:val="18"/>
          <w:szCs w:val="18"/>
          <w:lang w:eastAsia="ja-JP"/>
        </w:rPr>
        <w:t>検証は、現場での確認、計算の見直し、マスバランス計算</w:t>
      </w:r>
      <w:r w:rsidRPr="003F5D25">
        <w:rPr>
          <w:sz w:val="18"/>
          <w:szCs w:val="18"/>
          <w:lang w:eastAsia="ja-JP"/>
        </w:rPr>
        <w:t xml:space="preserve"> </w:t>
      </w:r>
      <w:r w:rsidRPr="003F5D25">
        <w:rPr>
          <w:rFonts w:ascii="ＭＳ ゴシック" w:eastAsia="ＭＳ ゴシック" w:hAnsi="ＭＳ ゴシック" w:cs="ＭＳ ゴシック" w:hint="eastAsia"/>
          <w:sz w:val="18"/>
          <w:szCs w:val="18"/>
          <w:lang w:eastAsia="ja-JP"/>
        </w:rPr>
        <w:t>、他の情報源とのクロスチェックなど、いくつかの方法で行うことができ</w:t>
      </w:r>
      <w:r w:rsidR="003F5D25" w:rsidRPr="003F5D25">
        <w:rPr>
          <w:rFonts w:ascii="ＭＳ ゴシック" w:eastAsia="ＭＳ ゴシック" w:hAnsi="ＭＳ ゴシック" w:cs="ＭＳ ゴシック" w:hint="eastAsia"/>
          <w:sz w:val="18"/>
          <w:szCs w:val="18"/>
          <w:lang w:eastAsia="ja-JP"/>
        </w:rPr>
        <w:t>ます。</w:t>
      </w:r>
      <w:r w:rsidRPr="003F5D25">
        <w:rPr>
          <w:sz w:val="18"/>
          <w:szCs w:val="18"/>
          <w:lang w:eastAsia="ja-JP"/>
        </w:rPr>
        <w:t xml:space="preserve"> </w:t>
      </w:r>
    </w:p>
    <w:p w14:paraId="2EB6B3A7" w14:textId="641971E4" w:rsidR="009863CC" w:rsidRPr="003F5D25" w:rsidRDefault="00DB3710">
      <w:pPr>
        <w:pStyle w:val="a5"/>
        <w:numPr>
          <w:ilvl w:val="0"/>
          <w:numId w:val="82"/>
        </w:numPr>
        <w:spacing w:line="345" w:lineRule="auto"/>
        <w:ind w:left="709" w:right="374" w:hanging="283"/>
        <w:rPr>
          <w:sz w:val="18"/>
          <w:szCs w:val="18"/>
          <w:lang w:eastAsia="ja-JP"/>
        </w:rPr>
      </w:pPr>
      <w:r w:rsidRPr="003F5D25">
        <w:rPr>
          <w:rFonts w:ascii="ＭＳ ゴシック" w:eastAsia="ＭＳ ゴシック" w:hAnsi="ＭＳ ゴシック" w:cs="ＭＳ ゴシック" w:hint="eastAsia"/>
          <w:sz w:val="18"/>
          <w:szCs w:val="18"/>
          <w:lang w:eastAsia="ja-JP"/>
        </w:rPr>
        <w:t>検証は、現場での確認、再計算、マスバランス、他の情報源とのクロスチェックなど、いくつかの方法で行うことができ</w:t>
      </w:r>
      <w:r w:rsidR="003F5D25" w:rsidRPr="003F5D25">
        <w:rPr>
          <w:rFonts w:ascii="ＭＳ ゴシック" w:eastAsia="ＭＳ ゴシック" w:hAnsi="ＭＳ ゴシック" w:cs="ＭＳ ゴシック" w:hint="eastAsia"/>
          <w:sz w:val="18"/>
          <w:szCs w:val="18"/>
          <w:lang w:eastAsia="ja-JP"/>
        </w:rPr>
        <w:t>ます。</w:t>
      </w:r>
    </w:p>
    <w:p w14:paraId="042842D5" w14:textId="67E58D90" w:rsidR="0055291C" w:rsidRPr="003F5D25" w:rsidRDefault="00DB3710">
      <w:pPr>
        <w:pStyle w:val="a5"/>
        <w:numPr>
          <w:ilvl w:val="0"/>
          <w:numId w:val="82"/>
        </w:numPr>
        <w:spacing w:line="345" w:lineRule="auto"/>
        <w:ind w:left="709" w:right="374" w:hanging="283"/>
        <w:rPr>
          <w:sz w:val="18"/>
          <w:szCs w:val="18"/>
          <w:lang w:eastAsia="ja-JP"/>
        </w:rPr>
      </w:pPr>
      <w:r w:rsidRPr="003F5D25">
        <w:rPr>
          <w:sz w:val="18"/>
          <w:szCs w:val="18"/>
          <w:lang w:eastAsia="ja-JP"/>
        </w:rPr>
        <w:t xml:space="preserve"> </w:t>
      </w:r>
      <w:r w:rsidRPr="003F5D25">
        <w:rPr>
          <w:rFonts w:ascii="ＭＳ ゴシック" w:eastAsia="ＭＳ ゴシック" w:hAnsi="ＭＳ ゴシック" w:cs="ＭＳ ゴシック" w:hint="eastAsia"/>
          <w:sz w:val="18"/>
          <w:szCs w:val="18"/>
          <w:lang w:eastAsia="ja-JP"/>
        </w:rPr>
        <w:t>計算の根拠が測定値（例：投入量の測定値）の場合</w:t>
      </w:r>
      <w:r w:rsidRPr="003F5D25">
        <w:rPr>
          <w:sz w:val="18"/>
          <w:szCs w:val="18"/>
          <w:lang w:eastAsia="ja-JP"/>
        </w:rPr>
        <w:t xml:space="preserve"> </w:t>
      </w:r>
      <w:r w:rsidRPr="003F5D25">
        <w:rPr>
          <w:rFonts w:ascii="ＭＳ ゴシック" w:eastAsia="ＭＳ ゴシック" w:hAnsi="ＭＳ ゴシック" w:cs="ＭＳ ゴシック" w:hint="eastAsia"/>
          <w:sz w:val="18"/>
          <w:szCs w:val="18"/>
          <w:lang w:eastAsia="ja-JP"/>
        </w:rPr>
        <w:t>、計算値（例：活動量データを用いて計算した排出量）を含</w:t>
      </w:r>
      <w:r w:rsidR="003F5D25" w:rsidRPr="003F5D25">
        <w:rPr>
          <w:rFonts w:ascii="ＭＳ ゴシック" w:eastAsia="ＭＳ ゴシック" w:hAnsi="ＭＳ ゴシック" w:cs="ＭＳ ゴシック" w:hint="eastAsia"/>
          <w:sz w:val="18"/>
          <w:szCs w:val="18"/>
          <w:lang w:eastAsia="ja-JP"/>
        </w:rPr>
        <w:t>みます</w:t>
      </w:r>
      <w:r w:rsidRPr="003F5D25">
        <w:rPr>
          <w:rFonts w:ascii="ＭＳ ゴシック" w:eastAsia="ＭＳ ゴシック" w:hAnsi="ＭＳ ゴシック" w:cs="ＭＳ ゴシック" w:hint="eastAsia"/>
          <w:sz w:val="18"/>
          <w:szCs w:val="18"/>
          <w:lang w:eastAsia="ja-JP"/>
        </w:rPr>
        <w:t>。計算の根拠が一部仮定に基づく場合は</w:t>
      </w:r>
      <w:r w:rsidRPr="003F5D25">
        <w:rPr>
          <w:sz w:val="18"/>
          <w:szCs w:val="18"/>
          <w:lang w:eastAsia="ja-JP"/>
        </w:rPr>
        <w:t xml:space="preserve"> </w:t>
      </w:r>
      <w:r w:rsidRPr="003F5D25">
        <w:rPr>
          <w:rFonts w:ascii="ＭＳ ゴシック" w:eastAsia="ＭＳ ゴシック" w:hAnsi="ＭＳ ゴシック" w:cs="ＭＳ ゴシック" w:hint="eastAsia"/>
          <w:sz w:val="18"/>
          <w:szCs w:val="18"/>
          <w:lang w:eastAsia="ja-JP"/>
        </w:rPr>
        <w:t>、</w:t>
      </w:r>
      <w:r w:rsidR="003F5D25" w:rsidRPr="003F5D25">
        <w:rPr>
          <w:rFonts w:ascii="ＭＳ ゴシック" w:eastAsia="ＭＳ ゴシック" w:hAnsi="ＭＳ ゴシック" w:cs="ＭＳ ゴシック" w:hint="eastAsia"/>
          <w:sz w:val="18"/>
          <w:szCs w:val="18"/>
          <w:lang w:eastAsia="ja-JP"/>
        </w:rPr>
        <w:t>「良い」または「普通」</w:t>
      </w:r>
      <w:r w:rsidRPr="003F5D25">
        <w:rPr>
          <w:rFonts w:ascii="ＭＳ ゴシック" w:eastAsia="ＭＳ ゴシック" w:hAnsi="ＭＳ ゴシック" w:cs="ＭＳ ゴシック" w:hint="eastAsia"/>
          <w:sz w:val="18"/>
          <w:szCs w:val="18"/>
          <w:lang w:eastAsia="ja-JP"/>
        </w:rPr>
        <w:t>と</w:t>
      </w:r>
      <w:r w:rsidR="003F5D25" w:rsidRPr="003F5D25">
        <w:rPr>
          <w:rFonts w:ascii="ＭＳ ゴシック" w:eastAsia="ＭＳ ゴシック" w:hAnsi="ＭＳ ゴシック" w:cs="ＭＳ ゴシック" w:hint="eastAsia"/>
          <w:sz w:val="18"/>
          <w:szCs w:val="18"/>
          <w:lang w:eastAsia="ja-JP"/>
        </w:rPr>
        <w:t>します</w:t>
      </w:r>
      <w:r w:rsidRPr="003F5D25">
        <w:rPr>
          <w:rFonts w:ascii="ＭＳ ゴシック" w:eastAsia="ＭＳ ゴシック" w:hAnsi="ＭＳ ゴシック" w:cs="ＭＳ ゴシック" w:hint="eastAsia"/>
          <w:sz w:val="18"/>
          <w:szCs w:val="18"/>
          <w:lang w:eastAsia="ja-JP"/>
        </w:rPr>
        <w:t>。</w:t>
      </w:r>
    </w:p>
    <w:p w14:paraId="179894D0" w14:textId="77777777" w:rsidR="0055291C" w:rsidRDefault="0055291C">
      <w:pPr>
        <w:spacing w:line="345" w:lineRule="auto"/>
        <w:rPr>
          <w:sz w:val="16"/>
          <w:lang w:eastAsia="ja-JP"/>
        </w:rPr>
        <w:sectPr w:rsidR="0055291C">
          <w:type w:val="continuous"/>
          <w:pgSz w:w="12240" w:h="15840"/>
          <w:pgMar w:top="740" w:right="0" w:bottom="280" w:left="0" w:header="0" w:footer="859" w:gutter="0"/>
          <w:cols w:num="2" w:space="720" w:equalWidth="0">
            <w:col w:w="5903" w:space="40"/>
            <w:col w:w="6297"/>
          </w:cols>
        </w:sectPr>
      </w:pPr>
    </w:p>
    <w:p w14:paraId="5391A237" w14:textId="33A5B099" w:rsidR="0055291C" w:rsidRDefault="00000000">
      <w:pPr>
        <w:tabs>
          <w:tab w:val="left" w:pos="2415"/>
        </w:tabs>
        <w:spacing w:before="74"/>
        <w:ind w:left="1128"/>
        <w:rPr>
          <w:rFonts w:ascii="Arial"/>
          <w:b/>
          <w:i/>
          <w:sz w:val="56"/>
        </w:rPr>
      </w:pPr>
      <w:r>
        <w:lastRenderedPageBreak/>
        <w:pict w14:anchorId="4819EDFB">
          <v:group id="docshapegroup936" o:spid="_x0000_s2878" style="position:absolute;left:0;text-align:left;margin-left:0;margin-top:0;width:612pt;height:11in;z-index:-251570688;mso-position-horizontal-relative:page;mso-position-vertical-relative:page" coordsize="12240,15840">
            <v:shape id="docshape937" o:spid="_x0000_s2881" type="#_x0000_t75" style="position:absolute;width:12240;height:15840">
              <v:imagedata r:id="rId203" o:title=""/>
            </v:shape>
            <v:rect id="docshape938" o:spid="_x0000_s2880" style="position:absolute;width:12240;height:2015" fillcolor="#f3f4f4" stroked="f">
              <v:fill opacity="45875f"/>
            </v:rect>
            <v:shape id="docshape939" o:spid="_x0000_s2879" style="position:absolute;width:2133;height:2015" coordsize="2133,2015" path="m2132,l,,,2014r1892,l2031,2011r71,-27l2129,1913r3,-139l2132,xe" fillcolor="#00aca1" stroked="f">
              <v:path arrowok="t"/>
            </v:shape>
            <w10:wrap anchorx="page" anchory="page"/>
          </v:group>
        </w:pict>
      </w:r>
      <w:r w:rsidR="00F23C61">
        <w:rPr>
          <w:rFonts w:ascii="Arial"/>
          <w:b/>
          <w:i/>
          <w:color w:val="F3F4F4"/>
          <w:sz w:val="64"/>
        </w:rPr>
        <w:t>09</w:t>
      </w:r>
      <w:r w:rsidR="00F23C61">
        <w:rPr>
          <w:rFonts w:ascii="Arial"/>
          <w:b/>
          <w:i/>
          <w:color w:val="F3F4F4"/>
          <w:sz w:val="64"/>
        </w:rPr>
        <w:tab/>
      </w:r>
      <w:r w:rsidR="003A76E5">
        <w:rPr>
          <w:rFonts w:ascii="ＭＳ ゴシック" w:eastAsia="ＭＳ ゴシック" w:hAnsi="ＭＳ ゴシック" w:cs="ＭＳ ゴシック" w:hint="eastAsia"/>
          <w:b/>
          <w:i/>
          <w:color w:val="545456"/>
          <w:sz w:val="56"/>
          <w:lang w:eastAsia="ja-JP"/>
        </w:rPr>
        <w:t>割り当て</w:t>
      </w:r>
    </w:p>
    <w:p w14:paraId="1508E9BB" w14:textId="77777777" w:rsidR="0055291C" w:rsidRDefault="0055291C">
      <w:pPr>
        <w:rPr>
          <w:rFonts w:ascii="Arial"/>
          <w:sz w:val="56"/>
        </w:rPr>
        <w:sectPr w:rsidR="0055291C">
          <w:headerReference w:type="even" r:id="rId204"/>
          <w:footerReference w:type="even" r:id="rId205"/>
          <w:pgSz w:w="12240" w:h="15840"/>
          <w:pgMar w:top="1020" w:right="0" w:bottom="280" w:left="0" w:header="0" w:footer="0" w:gutter="0"/>
          <w:cols w:space="720"/>
        </w:sectPr>
      </w:pPr>
    </w:p>
    <w:p w14:paraId="11FB64EE" w14:textId="77777777" w:rsidR="0055291C" w:rsidRDefault="0055291C">
      <w:pPr>
        <w:pStyle w:val="a3"/>
        <w:rPr>
          <w:rFonts w:ascii="Arial"/>
          <w:b/>
          <w:i/>
          <w:sz w:val="20"/>
        </w:rPr>
      </w:pPr>
    </w:p>
    <w:p w14:paraId="745BC890" w14:textId="77777777" w:rsidR="0055291C" w:rsidRDefault="0055291C">
      <w:pPr>
        <w:pStyle w:val="a3"/>
        <w:rPr>
          <w:rFonts w:ascii="Arial"/>
          <w:b/>
          <w:i/>
          <w:sz w:val="20"/>
        </w:rPr>
      </w:pPr>
    </w:p>
    <w:p w14:paraId="002A2ECF" w14:textId="77777777" w:rsidR="0055291C" w:rsidRDefault="0055291C">
      <w:pPr>
        <w:pStyle w:val="a3"/>
        <w:rPr>
          <w:rFonts w:ascii="Arial"/>
          <w:b/>
          <w:i/>
          <w:sz w:val="20"/>
        </w:rPr>
      </w:pPr>
    </w:p>
    <w:p w14:paraId="6D525D4A" w14:textId="77777777" w:rsidR="0055291C" w:rsidRDefault="0055291C">
      <w:pPr>
        <w:pStyle w:val="a3"/>
        <w:rPr>
          <w:rFonts w:ascii="Arial"/>
          <w:b/>
          <w:i/>
          <w:sz w:val="20"/>
        </w:rPr>
      </w:pPr>
    </w:p>
    <w:p w14:paraId="0BD1D287" w14:textId="77777777" w:rsidR="0055291C" w:rsidRDefault="0055291C">
      <w:pPr>
        <w:pStyle w:val="a3"/>
        <w:rPr>
          <w:rFonts w:ascii="Arial"/>
          <w:b/>
          <w:i/>
          <w:sz w:val="20"/>
        </w:rPr>
      </w:pPr>
    </w:p>
    <w:p w14:paraId="0B864376" w14:textId="77777777" w:rsidR="0055291C" w:rsidRDefault="0055291C">
      <w:pPr>
        <w:pStyle w:val="a3"/>
        <w:rPr>
          <w:rFonts w:ascii="Arial"/>
          <w:b/>
          <w:i/>
          <w:sz w:val="20"/>
        </w:rPr>
      </w:pPr>
    </w:p>
    <w:p w14:paraId="38D6C51C" w14:textId="77777777" w:rsidR="0055291C" w:rsidRDefault="0055291C">
      <w:pPr>
        <w:pStyle w:val="a3"/>
        <w:rPr>
          <w:rFonts w:ascii="Arial"/>
          <w:b/>
          <w:i/>
          <w:sz w:val="20"/>
        </w:rPr>
      </w:pPr>
    </w:p>
    <w:p w14:paraId="22548257" w14:textId="77777777" w:rsidR="0055291C" w:rsidRDefault="0055291C">
      <w:pPr>
        <w:pStyle w:val="a3"/>
        <w:rPr>
          <w:rFonts w:ascii="Arial"/>
          <w:b/>
          <w:i/>
          <w:sz w:val="20"/>
        </w:rPr>
      </w:pPr>
    </w:p>
    <w:p w14:paraId="1F18FBCE" w14:textId="77777777" w:rsidR="0055291C" w:rsidRDefault="0055291C">
      <w:pPr>
        <w:pStyle w:val="a3"/>
        <w:rPr>
          <w:rFonts w:ascii="Arial"/>
          <w:b/>
          <w:i/>
          <w:sz w:val="20"/>
        </w:rPr>
      </w:pPr>
    </w:p>
    <w:p w14:paraId="1C80CA28" w14:textId="77777777" w:rsidR="0055291C" w:rsidRDefault="0055291C">
      <w:pPr>
        <w:pStyle w:val="a3"/>
        <w:rPr>
          <w:rFonts w:ascii="Arial"/>
          <w:b/>
          <w:i/>
          <w:sz w:val="20"/>
        </w:rPr>
      </w:pPr>
    </w:p>
    <w:p w14:paraId="13D81C7A" w14:textId="77777777" w:rsidR="0055291C" w:rsidRDefault="0055291C">
      <w:pPr>
        <w:pStyle w:val="a3"/>
        <w:rPr>
          <w:rFonts w:ascii="Arial"/>
          <w:b/>
          <w:i/>
          <w:sz w:val="20"/>
        </w:rPr>
      </w:pPr>
    </w:p>
    <w:p w14:paraId="64C933C8" w14:textId="77777777" w:rsidR="0055291C" w:rsidRDefault="0055291C">
      <w:pPr>
        <w:pStyle w:val="a3"/>
        <w:rPr>
          <w:rFonts w:ascii="Arial"/>
          <w:b/>
          <w:i/>
          <w:sz w:val="20"/>
        </w:rPr>
      </w:pPr>
    </w:p>
    <w:p w14:paraId="15D47A18" w14:textId="77777777" w:rsidR="0055291C" w:rsidRDefault="0055291C">
      <w:pPr>
        <w:pStyle w:val="a3"/>
        <w:rPr>
          <w:rFonts w:ascii="Arial"/>
          <w:b/>
          <w:i/>
          <w:sz w:val="20"/>
        </w:rPr>
      </w:pPr>
    </w:p>
    <w:p w14:paraId="135C968E" w14:textId="77777777" w:rsidR="0055291C" w:rsidRDefault="0055291C">
      <w:pPr>
        <w:pStyle w:val="a3"/>
        <w:rPr>
          <w:rFonts w:ascii="Arial"/>
          <w:b/>
          <w:i/>
          <w:sz w:val="20"/>
        </w:rPr>
      </w:pPr>
    </w:p>
    <w:p w14:paraId="62088306" w14:textId="77777777" w:rsidR="0055291C" w:rsidRDefault="0055291C">
      <w:pPr>
        <w:pStyle w:val="a3"/>
        <w:rPr>
          <w:rFonts w:ascii="Arial"/>
          <w:b/>
          <w:i/>
          <w:sz w:val="20"/>
        </w:rPr>
      </w:pPr>
    </w:p>
    <w:p w14:paraId="7B977B48" w14:textId="77777777" w:rsidR="0055291C" w:rsidRDefault="0055291C">
      <w:pPr>
        <w:pStyle w:val="a3"/>
        <w:rPr>
          <w:rFonts w:ascii="Arial"/>
          <w:b/>
          <w:i/>
          <w:sz w:val="20"/>
        </w:rPr>
      </w:pPr>
    </w:p>
    <w:p w14:paraId="7D616DE4" w14:textId="77777777" w:rsidR="0055291C" w:rsidRDefault="0055291C">
      <w:pPr>
        <w:pStyle w:val="a3"/>
        <w:rPr>
          <w:rFonts w:ascii="Arial"/>
          <w:b/>
          <w:i/>
          <w:sz w:val="20"/>
        </w:rPr>
      </w:pPr>
    </w:p>
    <w:p w14:paraId="1DC1C408" w14:textId="77777777" w:rsidR="0055291C" w:rsidRDefault="0055291C">
      <w:pPr>
        <w:pStyle w:val="a3"/>
        <w:rPr>
          <w:rFonts w:ascii="Arial"/>
          <w:b/>
          <w:i/>
          <w:sz w:val="20"/>
        </w:rPr>
      </w:pPr>
    </w:p>
    <w:p w14:paraId="2D8A38A8" w14:textId="77777777" w:rsidR="0055291C" w:rsidRDefault="0055291C">
      <w:pPr>
        <w:pStyle w:val="a3"/>
        <w:rPr>
          <w:rFonts w:ascii="Arial"/>
          <w:b/>
          <w:i/>
          <w:sz w:val="20"/>
        </w:rPr>
      </w:pPr>
    </w:p>
    <w:p w14:paraId="2AAC3F07" w14:textId="77777777" w:rsidR="0055291C" w:rsidRDefault="0055291C">
      <w:pPr>
        <w:pStyle w:val="a3"/>
        <w:rPr>
          <w:rFonts w:ascii="Arial"/>
          <w:b/>
          <w:i/>
          <w:sz w:val="20"/>
        </w:rPr>
      </w:pPr>
    </w:p>
    <w:p w14:paraId="2CFAB9A6" w14:textId="77777777" w:rsidR="0055291C" w:rsidRDefault="0055291C">
      <w:pPr>
        <w:pStyle w:val="a3"/>
        <w:rPr>
          <w:rFonts w:ascii="Arial"/>
          <w:b/>
          <w:i/>
          <w:sz w:val="20"/>
        </w:rPr>
      </w:pPr>
    </w:p>
    <w:p w14:paraId="29B0E16F" w14:textId="77777777" w:rsidR="0055291C" w:rsidRDefault="0055291C">
      <w:pPr>
        <w:pStyle w:val="a3"/>
        <w:rPr>
          <w:rFonts w:ascii="Arial"/>
          <w:b/>
          <w:i/>
          <w:sz w:val="20"/>
        </w:rPr>
      </w:pPr>
    </w:p>
    <w:p w14:paraId="01C527C9" w14:textId="77777777" w:rsidR="0055291C" w:rsidRDefault="0055291C">
      <w:pPr>
        <w:pStyle w:val="a3"/>
        <w:rPr>
          <w:rFonts w:ascii="Arial"/>
          <w:b/>
          <w:i/>
          <w:sz w:val="20"/>
        </w:rPr>
      </w:pPr>
    </w:p>
    <w:p w14:paraId="0393EFF0" w14:textId="77777777" w:rsidR="0055291C" w:rsidRDefault="0055291C">
      <w:pPr>
        <w:pStyle w:val="a3"/>
        <w:spacing w:before="4"/>
        <w:rPr>
          <w:rFonts w:ascii="Arial"/>
          <w:b/>
          <w:i/>
          <w:sz w:val="24"/>
        </w:rPr>
      </w:pPr>
    </w:p>
    <w:p w14:paraId="5D687A38" w14:textId="5754637F" w:rsidR="0055291C" w:rsidRDefault="00000000">
      <w:pPr>
        <w:pStyle w:val="a5"/>
        <w:numPr>
          <w:ilvl w:val="1"/>
          <w:numId w:val="41"/>
        </w:numPr>
        <w:tabs>
          <w:tab w:val="left" w:pos="1854"/>
        </w:tabs>
        <w:spacing w:before="99"/>
        <w:ind w:hanging="721"/>
        <w:jc w:val="both"/>
        <w:rPr>
          <w:rFonts w:ascii="Arial"/>
          <w:b/>
          <w:i/>
          <w:sz w:val="24"/>
        </w:rPr>
      </w:pPr>
      <w:r>
        <w:pict w14:anchorId="25CB951F">
          <v:group id="docshapegroup942" o:spid="_x0000_s2874" style="position:absolute;left:0;text-align:left;margin-left:253.7pt;margin-top:-278.75pt;width:358.55pt;height:382.95pt;z-index:-251569664;mso-position-horizontal-relative:page" coordorigin="5074,-5575" coordsize="7171,7659">
            <v:shape id="docshape943" o:spid="_x0000_s2877" style="position:absolute;left:11614;top:-5570;width:626;height:5717" coordorigin="11615,-5570" coordsize="626,5717" path="m12240,-5570r-625,l11615,-80r3,131l11643,118r67,25l11842,146r398,l12240,-5570xe" fillcolor="#00aca1" stroked="f">
              <v:path arrowok="t"/>
            </v:shape>
            <v:shape id="docshape944" o:spid="_x0000_s2876" style="position:absolute;left:5079;top:-5570;width:7161;height:7649" coordorigin="5079,-5570" coordsize="7161,7649" o:spt="100" adj="0,,0" path="m6524,-5570r-36,32l6436,-5488r-51,49l5945,-4933r-301,460l5472,-4139r-55,128l8039,-4215r1645,189l10536,-3715r244,164l10738,-3615r-44,-64l10650,-3743r-46,-64l10558,-3870r-48,-64l10462,-3997r-50,-62l10362,-4121r-52,-62l10258,-4245r-52,-61l10152,-4367r-54,-60l10044,-4487r-55,-59l9933,-4605r-56,-58l9821,-4721r-56,-57l9708,-4835r-57,-56l9595,-4946r-57,-55l8910,-5563r-9,-7m8810,-5570r1022,862l10860,-3426r380,816l11295,-2324r16,-75l11327,-2474r14,-76l11354,-2627r13,-78l11378,-2783r11,-78l11398,-2940r9,-79l11415,-3099r8,-80l11429,-3259r6,-80l11440,-3420r4,-80l11448,-3580r3,-81l11453,-3741r1,-80l11456,-3901r,-79l11456,-4059r-1,-79l11454,-4217r-42,-835l11360,-5570t-49,l11452,-3804r-191,1625l10946,-1337r-166,241l10845,-1138r65,-43l10975,-1225r64,-45l11103,-1316r64,-47l11231,-1411r63,-49l11358,-1510r62,-50l11483,-1612r62,-52l11606,-1717r61,-53l11728,-1824r60,-54l11847,-1933r59,-55l11965,-2043r58,-56l12080,-2155r56,-56l12192,-2267r48,-49m12240,-2369r-289,334l10653,-1019r-826,375l9538,-589r75,16l9690,-558r77,14l9845,-531r78,12l10002,-507r80,10l10162,-487r80,9l10323,-470r81,7l10485,-457r81,6l10647,-446r81,4l10810,-438r81,3l10972,-433r81,1l11134,-430r81,l11295,-430r80,-1l11454,-432r786,-38m11244,1745r81,-34l11405,1675r78,-36l11560,1601r75,-39l11708,1523r73,-41l11851,1441r70,-43l11988,1355r67,-44l12120,1266r63,-45l12240,1178t,-1707l11038,-435,9392,-624,8540,-935r-244,-164l8338,-1034r44,64l8426,-907r46,64l8518,-779r48,63l8615,-653r49,62l8715,-529r51,62l8818,-405r53,61l8924,-283r54,60l9033,-163r55,59l9143,-45r56,59l9255,71r57,58l9368,185r57,56l9482,296r57,55l10166,913r546,441l11098,1642r146,103m7833,1743r82,33l7996,1807r82,28l8159,1862r80,26l8319,1911r80,22l8479,1953r79,18l8637,1988r78,15l8793,2017r77,12l8946,2040r76,9l9098,2057r75,7l9247,2069r74,4l9393,2076r73,2l9537,2079r674,-51l10752,1913r361,-116l11244,1745,9243,58,8215,-1225r-380,-815l7781,-2326r-17,75l7749,-2176r-14,77l7721,-2022r-12,77l7697,-1867r-10,78l7677,-1710r-9,80l7660,-1551r-7,80l7646,-1391r-5,80l7636,-1230r-5,80l7628,-1070r-3,81l7622,-909r-1,80l7620,-749r-1,79l7619,-590r1,79l7621,-433r42,836l7735,1096r68,472l7833,1743m5418,-640r34,81l5488,-481r37,77l5563,-328r39,74l5642,-181r42,71l5726,-41r43,69l5813,94r44,66l5903,224r46,62l5996,347r47,60l6091,466r48,57l6188,578r49,55l6286,686r50,52l6386,788r513,434l7364,1519r338,170l7833,1743,7626,-846r190,-1625l8132,-3314r165,-240l8232,-3512r-65,42l8103,-3426r-65,46l7974,-3334r-64,47l7846,-3239r-63,49l7720,-3140r-63,50l7595,-3038r-62,52l7472,-2933r-61,53l7350,-2826r-60,54l7230,-2717r-59,55l7113,-2607r-58,56l6998,-2495r-57,56l6885,-2383r-55,56l6261,-1706r-447,540l5522,-784r-104,144m5417,-4011r-33,81l5353,-3849r-29,80l5297,-3689r-25,80l5248,-3530r-22,79l5206,-3372r-18,78l5171,-3216r-16,77l5142,-3062r-13,77l5119,-2910r-10,76l5101,-2760r-7,74l5089,-2612r-4,72l5082,-2468r-2,72l5079,-2326r52,666l5247,-1125r117,356l5418,-640,7125,-2615,8424,-3631r826,-376l9539,-4061r-76,-16l9387,-4092r-78,-14l9232,-4119r-79,-12l9074,-4143r-79,-10l8915,-4163r-81,-9l8754,-4179r-81,-8l8592,-4193r-81,-6l8429,-4204r-81,-4l8267,-4211r-82,-3l8104,-4217r-81,-1l7942,-4219r-80,-1l7781,-4220r-79,1l7622,-4218r-846,41l6074,-4106r-479,66l5417,-4011e" filled="f" strokecolor="#d9dadc" strokeweight=".5pt">
              <v:stroke joinstyle="round"/>
              <v:formulas/>
              <v:path arrowok="t" o:connecttype="segments"/>
            </v:shape>
            <v:shape id="docshape945" o:spid="_x0000_s2875" style="position:absolute;left:11614;top:-5570;width:626;height:5717" coordorigin="11615,-5570" coordsize="626,5717" path="m12240,-5570r-625,l11615,-80r3,131l11643,118r67,25l11842,146r398,l12240,-5570xe" fillcolor="#7f3f98" stroked="f">
              <v:path arrowok="t"/>
            </v:shape>
            <w10:wrap anchorx="page"/>
          </v:group>
        </w:pict>
      </w:r>
      <w:r>
        <w:pict w14:anchorId="0E247F10">
          <v:shape id="docshape946" o:spid="_x0000_s2873" type="#_x0000_t202" style="position:absolute;left:0;text-align:left;margin-left:585.65pt;margin-top:-228.95pt;width:17.7pt;height:204.65pt;z-index:251602432;mso-position-horizontal-relative:page" filled="f" stroked="f">
            <v:textbox style="layout-flow:vertical;mso-layout-flow-alt:bottom-to-top;mso-next-textbox:#docshape946" inset="0,0,0,0">
              <w:txbxContent>
                <w:p w14:paraId="6AB58D9C" w14:textId="77777777" w:rsidR="0055291C" w:rsidRDefault="00F23C61">
                  <w:pPr>
                    <w:tabs>
                      <w:tab w:val="left" w:pos="4072"/>
                    </w:tabs>
                    <w:spacing w:before="18"/>
                    <w:ind w:left="20"/>
                    <w:rPr>
                      <w:rFonts w:ascii="Arial"/>
                      <w:b/>
                      <w:i/>
                      <w:sz w:val="28"/>
                    </w:rPr>
                  </w:pPr>
                  <w:r>
                    <w:rPr>
                      <w:rFonts w:ascii="Arial"/>
                      <w:b/>
                      <w:i/>
                      <w:color w:val="F3F4F4"/>
                      <w:spacing w:val="-159"/>
                      <w:w w:val="92"/>
                      <w:sz w:val="28"/>
                    </w:rPr>
                    <w:t>g</w:t>
                  </w:r>
                  <w:r>
                    <w:rPr>
                      <w:rFonts w:ascii="Arial"/>
                      <w:b/>
                      <w:i/>
                      <w:color w:val="F3F4F4"/>
                      <w:w w:val="109"/>
                      <w:sz w:val="28"/>
                      <w:shd w:val="clear" w:color="auto" w:fill="7F3F98"/>
                    </w:rPr>
                    <w:t>r</w:t>
                  </w:r>
                  <w:r>
                    <w:rPr>
                      <w:rFonts w:ascii="Arial"/>
                      <w:b/>
                      <w:i/>
                      <w:color w:val="F3F4F4"/>
                      <w:sz w:val="28"/>
                      <w:shd w:val="clear" w:color="auto" w:fill="7F3F98"/>
                    </w:rPr>
                    <w:t xml:space="preserve"> </w:t>
                  </w:r>
                  <w:r>
                    <w:rPr>
                      <w:rFonts w:ascii="Arial"/>
                      <w:b/>
                      <w:i/>
                      <w:color w:val="F3F4F4"/>
                      <w:spacing w:val="6"/>
                      <w:sz w:val="28"/>
                      <w:shd w:val="clear" w:color="auto" w:fill="7F3F98"/>
                    </w:rPr>
                    <w:t xml:space="preserve"> </w:t>
                  </w:r>
                  <w:proofErr w:type="spellStart"/>
                  <w:r>
                    <w:rPr>
                      <w:rFonts w:ascii="Arial"/>
                      <w:b/>
                      <w:i/>
                      <w:color w:val="F3F4F4"/>
                      <w:spacing w:val="-104"/>
                      <w:w w:val="95"/>
                      <w:sz w:val="28"/>
                      <w:shd w:val="clear" w:color="auto" w:fill="7F3F98"/>
                    </w:rPr>
                    <w:t>e</w:t>
                  </w:r>
                  <w:r>
                    <w:rPr>
                      <w:rFonts w:ascii="Arial"/>
                      <w:b/>
                      <w:i/>
                      <w:color w:val="F3F4F4"/>
                      <w:w w:val="95"/>
                      <w:sz w:val="28"/>
                      <w:shd w:val="clear" w:color="auto" w:fill="7F3F98"/>
                    </w:rPr>
                    <w:t>u</w:t>
                  </w:r>
                  <w:proofErr w:type="spellEnd"/>
                  <w:r>
                    <w:rPr>
                      <w:rFonts w:ascii="Arial"/>
                      <w:b/>
                      <w:i/>
                      <w:color w:val="F3F4F4"/>
                      <w:spacing w:val="30"/>
                      <w:sz w:val="28"/>
                      <w:shd w:val="clear" w:color="auto" w:fill="7F3F98"/>
                    </w:rPr>
                    <w:t xml:space="preserve"> </w:t>
                  </w:r>
                  <w:r>
                    <w:rPr>
                      <w:rFonts w:ascii="Arial"/>
                      <w:b/>
                      <w:i/>
                      <w:color w:val="F3F4F4"/>
                      <w:spacing w:val="-102"/>
                      <w:w w:val="93"/>
                      <w:sz w:val="28"/>
                      <w:shd w:val="clear" w:color="auto" w:fill="7F3F98"/>
                    </w:rPr>
                    <w:t>q</w:t>
                  </w:r>
                  <w:r>
                    <w:rPr>
                      <w:rFonts w:ascii="Arial"/>
                      <w:b/>
                      <w:i/>
                      <w:color w:val="F3F4F4"/>
                      <w:w w:val="101"/>
                      <w:sz w:val="28"/>
                      <w:shd w:val="clear" w:color="auto" w:fill="7F3F98"/>
                    </w:rPr>
                    <w:t>i</w:t>
                  </w:r>
                  <w:r>
                    <w:rPr>
                      <w:rFonts w:ascii="Arial"/>
                      <w:b/>
                      <w:i/>
                      <w:color w:val="F3F4F4"/>
                      <w:sz w:val="28"/>
                      <w:shd w:val="clear" w:color="auto" w:fill="7F3F98"/>
                    </w:rPr>
                    <w:t xml:space="preserve"> </w:t>
                  </w:r>
                  <w:r>
                    <w:rPr>
                      <w:rFonts w:ascii="Arial"/>
                      <w:b/>
                      <w:i/>
                      <w:color w:val="F3F4F4"/>
                      <w:spacing w:val="12"/>
                      <w:sz w:val="28"/>
                      <w:shd w:val="clear" w:color="auto" w:fill="7F3F98"/>
                    </w:rPr>
                    <w:t xml:space="preserve"> </w:t>
                  </w:r>
                  <w:r>
                    <w:rPr>
                      <w:rFonts w:ascii="Arial"/>
                      <w:b/>
                      <w:i/>
                      <w:color w:val="F3F4F4"/>
                      <w:spacing w:val="-144"/>
                      <w:w w:val="96"/>
                      <w:sz w:val="28"/>
                      <w:shd w:val="clear" w:color="auto" w:fill="7F3F98"/>
                    </w:rPr>
                    <w:t>d</w:t>
                  </w:r>
                  <w:r>
                    <w:rPr>
                      <w:rFonts w:ascii="Arial"/>
                      <w:b/>
                      <w:i/>
                      <w:color w:val="F3F4F4"/>
                      <w:w w:val="95"/>
                      <w:sz w:val="28"/>
                      <w:shd w:val="clear" w:color="auto" w:fill="7F3F98"/>
                    </w:rPr>
                    <w:t>u</w:t>
                  </w:r>
                  <w:r>
                    <w:rPr>
                      <w:rFonts w:ascii="Arial"/>
                      <w:b/>
                      <w:i/>
                      <w:color w:val="F3F4F4"/>
                      <w:sz w:val="28"/>
                      <w:shd w:val="clear" w:color="auto" w:fill="7F3F98"/>
                    </w:rPr>
                    <w:t xml:space="preserve"> </w:t>
                  </w:r>
                  <w:r>
                    <w:rPr>
                      <w:rFonts w:ascii="Arial"/>
                      <w:b/>
                      <w:i/>
                      <w:color w:val="F3F4F4"/>
                      <w:spacing w:val="-7"/>
                      <w:sz w:val="28"/>
                      <w:shd w:val="clear" w:color="auto" w:fill="7F3F98"/>
                    </w:rPr>
                    <w:t xml:space="preserve"> </w:t>
                  </w:r>
                  <w:r>
                    <w:rPr>
                      <w:rFonts w:ascii="Arial"/>
                      <w:b/>
                      <w:i/>
                      <w:color w:val="F3F4F4"/>
                      <w:spacing w:val="-146"/>
                      <w:w w:val="105"/>
                      <w:sz w:val="28"/>
                      <w:shd w:val="clear" w:color="auto" w:fill="7F3F98"/>
                    </w:rPr>
                    <w:t>a</w:t>
                  </w:r>
                  <w:r>
                    <w:rPr>
                      <w:rFonts w:ascii="Arial"/>
                      <w:b/>
                      <w:i/>
                      <w:color w:val="F3F4F4"/>
                      <w:w w:val="101"/>
                      <w:sz w:val="28"/>
                      <w:shd w:val="clear" w:color="auto" w:fill="7F3F98"/>
                    </w:rPr>
                    <w:t>i</w:t>
                  </w:r>
                  <w:r>
                    <w:rPr>
                      <w:rFonts w:ascii="Arial"/>
                      <w:b/>
                      <w:i/>
                      <w:color w:val="F3F4F4"/>
                      <w:sz w:val="28"/>
                      <w:shd w:val="clear" w:color="auto" w:fill="7F3F98"/>
                    </w:rPr>
                    <w:t xml:space="preserve"> </w:t>
                  </w:r>
                  <w:r>
                    <w:rPr>
                      <w:rFonts w:ascii="Arial"/>
                      <w:b/>
                      <w:i/>
                      <w:color w:val="F3F4F4"/>
                      <w:spacing w:val="12"/>
                      <w:sz w:val="28"/>
                      <w:shd w:val="clear" w:color="auto" w:fill="7F3F98"/>
                    </w:rPr>
                    <w:t xml:space="preserve"> </w:t>
                  </w:r>
                  <w:proofErr w:type="spellStart"/>
                  <w:r>
                    <w:rPr>
                      <w:rFonts w:ascii="Arial"/>
                      <w:b/>
                      <w:i/>
                      <w:color w:val="F3F4F4"/>
                      <w:spacing w:val="-54"/>
                      <w:w w:val="109"/>
                      <w:sz w:val="28"/>
                      <w:shd w:val="clear" w:color="auto" w:fill="7F3F98"/>
                    </w:rPr>
                    <w:t>r</w:t>
                  </w:r>
                  <w:r>
                    <w:rPr>
                      <w:rFonts w:ascii="Arial"/>
                      <w:b/>
                      <w:i/>
                      <w:color w:val="F3F4F4"/>
                      <w:w w:val="92"/>
                      <w:sz w:val="28"/>
                      <w:shd w:val="clear" w:color="auto" w:fill="7F3F98"/>
                    </w:rPr>
                    <w:t>n</w:t>
                  </w:r>
                  <w:proofErr w:type="spellEnd"/>
                  <w:r>
                    <w:rPr>
                      <w:rFonts w:ascii="Arial"/>
                      <w:b/>
                      <w:i/>
                      <w:color w:val="F3F4F4"/>
                      <w:spacing w:val="-21"/>
                      <w:sz w:val="28"/>
                      <w:shd w:val="clear" w:color="auto" w:fill="7F3F98"/>
                    </w:rPr>
                    <w:t xml:space="preserve"> </w:t>
                  </w:r>
                  <w:proofErr w:type="spellStart"/>
                  <w:r>
                    <w:rPr>
                      <w:rFonts w:ascii="Arial"/>
                      <w:b/>
                      <w:i/>
                      <w:color w:val="F3F4F4"/>
                      <w:spacing w:val="-38"/>
                      <w:w w:val="95"/>
                      <w:sz w:val="28"/>
                      <w:shd w:val="clear" w:color="auto" w:fill="7F3F98"/>
                    </w:rPr>
                    <w:t>e</w:t>
                  </w:r>
                  <w:r>
                    <w:rPr>
                      <w:rFonts w:ascii="Arial"/>
                      <w:b/>
                      <w:i/>
                      <w:color w:val="F3F4F4"/>
                      <w:w w:val="86"/>
                      <w:sz w:val="28"/>
                      <w:shd w:val="clear" w:color="auto" w:fill="7F3F98"/>
                    </w:rPr>
                    <w:t>c</w:t>
                  </w:r>
                  <w:proofErr w:type="spellEnd"/>
                  <w:r>
                    <w:rPr>
                      <w:rFonts w:ascii="Arial"/>
                      <w:b/>
                      <w:i/>
                      <w:color w:val="F3F4F4"/>
                      <w:spacing w:val="-7"/>
                      <w:sz w:val="28"/>
                      <w:shd w:val="clear" w:color="auto" w:fill="7F3F98"/>
                    </w:rPr>
                    <w:t xml:space="preserve"> </w:t>
                  </w:r>
                  <w:r>
                    <w:rPr>
                      <w:rFonts w:ascii="Arial"/>
                      <w:b/>
                      <w:i/>
                      <w:color w:val="F3F4F4"/>
                      <w:spacing w:val="-147"/>
                      <w:w w:val="95"/>
                      <w:sz w:val="28"/>
                      <w:shd w:val="clear" w:color="auto" w:fill="7F3F98"/>
                    </w:rPr>
                    <w:t>m</w:t>
                  </w:r>
                  <w:r>
                    <w:rPr>
                      <w:rFonts w:ascii="Arial"/>
                      <w:b/>
                      <w:i/>
                      <w:color w:val="F3F4F4"/>
                      <w:w w:val="95"/>
                      <w:sz w:val="28"/>
                      <w:shd w:val="clear" w:color="auto" w:fill="7F3F98"/>
                    </w:rPr>
                    <w:t>e</w:t>
                  </w:r>
                  <w:r>
                    <w:rPr>
                      <w:rFonts w:ascii="Arial"/>
                      <w:b/>
                      <w:i/>
                      <w:color w:val="F3F4F4"/>
                      <w:sz w:val="28"/>
                      <w:shd w:val="clear" w:color="auto" w:fill="7F3F98"/>
                    </w:rPr>
                    <w:t xml:space="preserve"> </w:t>
                  </w:r>
                  <w:r>
                    <w:rPr>
                      <w:rFonts w:ascii="Arial"/>
                      <w:b/>
                      <w:i/>
                      <w:color w:val="F3F4F4"/>
                      <w:spacing w:val="10"/>
                      <w:sz w:val="28"/>
                      <w:shd w:val="clear" w:color="auto" w:fill="7F3F98"/>
                    </w:rPr>
                    <w:t xml:space="preserve"> </w:t>
                  </w:r>
                  <w:r>
                    <w:rPr>
                      <w:rFonts w:ascii="Arial"/>
                      <w:b/>
                      <w:i/>
                      <w:color w:val="F3F4F4"/>
                      <w:w w:val="95"/>
                      <w:sz w:val="28"/>
                      <w:shd w:val="clear" w:color="auto" w:fill="7F3F98"/>
                    </w:rPr>
                    <w:t>e</w:t>
                  </w:r>
                  <w:r>
                    <w:rPr>
                      <w:rFonts w:ascii="Arial"/>
                      <w:b/>
                      <w:i/>
                      <w:color w:val="F3F4F4"/>
                      <w:sz w:val="28"/>
                      <w:shd w:val="clear" w:color="auto" w:fill="7F3F98"/>
                    </w:rPr>
                    <w:t xml:space="preserve"> </w:t>
                  </w:r>
                  <w:r>
                    <w:rPr>
                      <w:rFonts w:ascii="Arial"/>
                      <w:b/>
                      <w:i/>
                      <w:color w:val="F3F4F4"/>
                      <w:spacing w:val="12"/>
                      <w:sz w:val="28"/>
                      <w:shd w:val="clear" w:color="auto" w:fill="7F3F98"/>
                    </w:rPr>
                    <w:t xml:space="preserve"> </w:t>
                  </w:r>
                  <w:r>
                    <w:rPr>
                      <w:rFonts w:ascii="Arial"/>
                      <w:b/>
                      <w:i/>
                      <w:color w:val="F3F4F4"/>
                      <w:w w:val="92"/>
                      <w:sz w:val="28"/>
                      <w:shd w:val="clear" w:color="auto" w:fill="7F3F98"/>
                    </w:rPr>
                    <w:t>n</w:t>
                  </w:r>
                  <w:r>
                    <w:rPr>
                      <w:rFonts w:ascii="Arial"/>
                      <w:b/>
                      <w:i/>
                      <w:color w:val="F3F4F4"/>
                      <w:sz w:val="28"/>
                      <w:shd w:val="clear" w:color="auto" w:fill="7F3F98"/>
                    </w:rPr>
                    <w:t xml:space="preserve"> </w:t>
                  </w:r>
                  <w:r>
                    <w:rPr>
                      <w:rFonts w:ascii="Arial"/>
                      <w:b/>
                      <w:i/>
                      <w:color w:val="F3F4F4"/>
                      <w:spacing w:val="12"/>
                      <w:sz w:val="28"/>
                      <w:shd w:val="clear" w:color="auto" w:fill="7F3F98"/>
                    </w:rPr>
                    <w:t xml:space="preserve"> </w:t>
                  </w:r>
                  <w:r>
                    <w:rPr>
                      <w:rFonts w:ascii="Arial"/>
                      <w:b/>
                      <w:i/>
                      <w:color w:val="F3F4F4"/>
                      <w:w w:val="124"/>
                      <w:sz w:val="28"/>
                      <w:shd w:val="clear" w:color="auto" w:fill="7F3F98"/>
                    </w:rPr>
                    <w:t>t</w:t>
                  </w:r>
                  <w:r>
                    <w:rPr>
                      <w:rFonts w:ascii="Arial"/>
                      <w:b/>
                      <w:i/>
                      <w:color w:val="F3F4F4"/>
                      <w:sz w:val="28"/>
                      <w:shd w:val="clear" w:color="auto" w:fill="7F3F98"/>
                    </w:rPr>
                    <w:t xml:space="preserve"> </w:t>
                  </w:r>
                  <w:r>
                    <w:rPr>
                      <w:rFonts w:ascii="Arial"/>
                      <w:b/>
                      <w:i/>
                      <w:color w:val="F3F4F4"/>
                      <w:spacing w:val="12"/>
                      <w:sz w:val="28"/>
                      <w:shd w:val="clear" w:color="auto" w:fill="7F3F98"/>
                    </w:rPr>
                    <w:t xml:space="preserve"> </w:t>
                  </w:r>
                  <w:r>
                    <w:rPr>
                      <w:rFonts w:ascii="Arial"/>
                      <w:b/>
                      <w:i/>
                      <w:color w:val="F3F4F4"/>
                      <w:w w:val="86"/>
                      <w:sz w:val="28"/>
                      <w:shd w:val="clear" w:color="auto" w:fill="7F3F98"/>
                    </w:rPr>
                    <w:t>s</w:t>
                  </w:r>
                  <w:r>
                    <w:rPr>
                      <w:rFonts w:ascii="Arial"/>
                      <w:b/>
                      <w:i/>
                      <w:color w:val="F3F4F4"/>
                      <w:sz w:val="28"/>
                      <w:shd w:val="clear" w:color="auto" w:fill="7F3F98"/>
                    </w:rPr>
                    <w:tab/>
                  </w:r>
                </w:p>
              </w:txbxContent>
            </v:textbox>
            <w10:wrap anchorx="page"/>
          </v:shape>
        </w:pict>
      </w:r>
      <w:r>
        <w:pict w14:anchorId="292B3027">
          <v:shape id="docshape947" o:spid="_x0000_s2872" type="#_x0000_t202" style="position:absolute;left:0;text-align:left;margin-left:51.05pt;margin-top:11.55pt;width:20.8pt;height:81.4pt;z-index:-251568640;mso-position-horizontal-relative:page" filled="f" stroked="f">
            <v:textbox style="mso-next-textbox:#docshape947" inset="0,0,0,0">
              <w:txbxContent>
                <w:p w14:paraId="5EB2216E" w14:textId="77777777" w:rsidR="0055291C" w:rsidRDefault="00F23C61">
                  <w:pPr>
                    <w:spacing w:line="1628" w:lineRule="exact"/>
                    <w:rPr>
                      <w:rFonts w:ascii="Arial"/>
                      <w:b/>
                      <w:i/>
                      <w:sz w:val="145"/>
                    </w:rPr>
                  </w:pPr>
                  <w:r>
                    <w:rPr>
                      <w:rFonts w:ascii="Arial"/>
                      <w:b/>
                      <w:i/>
                      <w:color w:val="00ACA1"/>
                      <w:w w:val="103"/>
                      <w:sz w:val="145"/>
                    </w:rPr>
                    <w:t>I</w:t>
                  </w:r>
                </w:p>
              </w:txbxContent>
            </v:textbox>
            <w10:wrap anchorx="page"/>
          </v:shape>
        </w:pict>
      </w:r>
      <w:r w:rsidR="003A76E5">
        <w:rPr>
          <w:rFonts w:ascii="ＭＳ ゴシック" w:eastAsia="ＭＳ ゴシック" w:hAnsi="ＭＳ ゴシック" w:cs="ＭＳ ゴシック" w:hint="eastAsia"/>
          <w:b/>
          <w:i/>
          <w:color w:val="00ACA1"/>
          <w:sz w:val="24"/>
          <w:lang w:eastAsia="ja-JP"/>
        </w:rPr>
        <w:t>はじめに</w:t>
      </w:r>
    </w:p>
    <w:p w14:paraId="1846CEAB" w14:textId="52DC53E9" w:rsidR="0055291C" w:rsidRDefault="003A76E5" w:rsidP="003A76E5">
      <w:pPr>
        <w:spacing w:before="1" w:line="364" w:lineRule="auto"/>
        <w:ind w:left="1133" w:right="1132" w:firstLineChars="100" w:firstLine="220"/>
        <w:jc w:val="both"/>
        <w:rPr>
          <w:rFonts w:ascii="Arial"/>
          <w:b/>
          <w:i/>
          <w:sz w:val="24"/>
          <w:lang w:eastAsia="ja-JP"/>
        </w:rPr>
      </w:pPr>
      <w:r>
        <w:rPr>
          <w:rFonts w:ascii="ＭＳ ゴシック" w:eastAsia="ＭＳ ゴシック" w:hAnsi="ＭＳ ゴシック" w:cs="ＭＳ ゴシック" w:hint="eastAsia"/>
          <w:lang w:eastAsia="ja-JP"/>
        </w:rPr>
        <w:t>ほとんどの製品のライフサイクルにおいて、複数の価値ある製品を投入または生産し、</w:t>
      </w:r>
      <w:r>
        <w:rPr>
          <w:lang w:eastAsia="ja-JP"/>
        </w:rPr>
        <w:t xml:space="preserve"> </w:t>
      </w:r>
      <w:r>
        <w:rPr>
          <w:rFonts w:ascii="ＭＳ ゴシック" w:eastAsia="ＭＳ ゴシック" w:hAnsi="ＭＳ ゴシック" w:cs="ＭＳ ゴシック" w:hint="eastAsia"/>
          <w:lang w:eastAsia="ja-JP"/>
        </w:rPr>
        <w:t>個々の投入または生産レベルでのデータ収集が不可能な共通のプロセスが少なくとも</w:t>
      </w:r>
      <w:r>
        <w:rPr>
          <w:lang w:eastAsia="ja-JP"/>
        </w:rPr>
        <w:t>1</w:t>
      </w:r>
      <w:r>
        <w:rPr>
          <w:rFonts w:ascii="ＭＳ ゴシック" w:eastAsia="ＭＳ ゴシック" w:hAnsi="ＭＳ ゴシック" w:cs="ＭＳ ゴシック" w:hint="eastAsia"/>
          <w:lang w:eastAsia="ja-JP"/>
        </w:rPr>
        <w:t>つは存在</w:t>
      </w:r>
      <w:r w:rsidR="006469D8">
        <w:rPr>
          <w:rFonts w:ascii="ＭＳ ゴシック" w:eastAsia="ＭＳ ゴシック" w:hAnsi="ＭＳ ゴシック" w:cs="ＭＳ ゴシック" w:hint="eastAsia"/>
          <w:lang w:eastAsia="ja-JP"/>
        </w:rPr>
        <w:t>します</w:t>
      </w:r>
      <w:r>
        <w:rPr>
          <w:rFonts w:ascii="ＭＳ ゴシック" w:eastAsia="ＭＳ ゴシック" w:hAnsi="ＭＳ ゴシック" w:cs="ＭＳ ゴシック" w:hint="eastAsia"/>
          <w:lang w:eastAsia="ja-JP"/>
        </w:rPr>
        <w:t>。このような状況では、総排出量または総排出物量は、複数の</w:t>
      </w:r>
      <w:r w:rsidR="006469D8">
        <w:rPr>
          <w:rFonts w:ascii="ＭＳ ゴシック" w:eastAsia="ＭＳ ゴシック" w:hAnsi="ＭＳ ゴシック" w:cs="ＭＳ ゴシック" w:hint="eastAsia"/>
          <w:lang w:eastAsia="ja-JP"/>
        </w:rPr>
        <w:t>投入工程</w:t>
      </w:r>
      <w:r>
        <w:rPr>
          <w:rFonts w:ascii="ＭＳ ゴシック" w:eastAsia="ＭＳ ゴシック" w:hAnsi="ＭＳ ゴシック" w:cs="ＭＳ ゴシック" w:hint="eastAsia"/>
          <w:lang w:eastAsia="ja-JP"/>
        </w:rPr>
        <w:t>と</w:t>
      </w:r>
      <w:r w:rsidR="006469D8">
        <w:rPr>
          <w:rFonts w:ascii="ＭＳ ゴシック" w:eastAsia="ＭＳ ゴシック" w:hAnsi="ＭＳ ゴシック" w:cs="ＭＳ ゴシック" w:hint="eastAsia"/>
          <w:lang w:eastAsia="ja-JP"/>
        </w:rPr>
        <w:t>生産工程</w:t>
      </w:r>
      <w:r>
        <w:rPr>
          <w:rFonts w:ascii="ＭＳ ゴシック" w:eastAsia="ＭＳ ゴシック" w:hAnsi="ＭＳ ゴシック" w:cs="ＭＳ ゴシック" w:hint="eastAsia"/>
          <w:lang w:eastAsia="ja-JP"/>
        </w:rPr>
        <w:t>に分割する必要があります。この</w:t>
      </w:r>
      <w:r w:rsidR="006469D8">
        <w:rPr>
          <w:rFonts w:ascii="ＭＳ ゴシック" w:eastAsia="ＭＳ ゴシック" w:hAnsi="ＭＳ ゴシック" w:cs="ＭＳ ゴシック" w:hint="eastAsia"/>
          <w:lang w:eastAsia="ja-JP"/>
        </w:rPr>
        <w:t>「割り当て」</w:t>
      </w:r>
      <w:r>
        <w:rPr>
          <w:rFonts w:ascii="ＭＳ ゴシック" w:eastAsia="ＭＳ ゴシック" w:hAnsi="ＭＳ ゴシック" w:cs="ＭＳ ゴシック" w:hint="eastAsia"/>
          <w:lang w:eastAsia="ja-JP"/>
        </w:rPr>
        <w:t>は、</w:t>
      </w:r>
      <w:r w:rsidR="006469D8">
        <w:rPr>
          <w:rFonts w:ascii="ＭＳ ゴシック" w:eastAsia="ＭＳ ゴシック" w:hAnsi="ＭＳ ゴシック" w:cs="ＭＳ ゴシック" w:hint="eastAsia"/>
          <w:lang w:eastAsia="ja-JP"/>
        </w:rPr>
        <w:t>算出において重要</w:t>
      </w:r>
      <w:r>
        <w:rPr>
          <w:rFonts w:ascii="ＭＳ ゴシック" w:eastAsia="ＭＳ ゴシック" w:hAnsi="ＭＳ ゴシック" w:cs="ＭＳ ゴシック" w:hint="eastAsia"/>
          <w:lang w:eastAsia="ja-JP"/>
        </w:rPr>
        <w:t>かつ時には困難な要素として知られてい</w:t>
      </w:r>
      <w:r w:rsidR="006469D8">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。排出量や除去量を調査対象製品に正確に割り当てることは、</w:t>
      </w:r>
      <w:r>
        <w:rPr>
          <w:lang w:eastAsia="ja-JP"/>
        </w:rPr>
        <w:t>GHG</w:t>
      </w:r>
      <w:r w:rsidR="006469D8">
        <w:rPr>
          <w:rFonts w:ascii="ＭＳ ゴシック" w:eastAsia="ＭＳ ゴシック" w:hAnsi="ＭＳ ゴシック" w:cs="ＭＳ ゴシック" w:hint="eastAsia"/>
          <w:lang w:eastAsia="ja-JP"/>
        </w:rPr>
        <w:t>算出</w:t>
      </w:r>
      <w:r>
        <w:rPr>
          <w:rFonts w:ascii="ＭＳ ゴシック" w:eastAsia="ＭＳ ゴシック" w:hAnsi="ＭＳ ゴシック" w:cs="ＭＳ ゴシック" w:hint="eastAsia"/>
          <w:lang w:eastAsia="ja-JP"/>
        </w:rPr>
        <w:t>の品質を維持するためには不可欠で</w:t>
      </w:r>
      <w:r w:rsidR="006469D8">
        <w:rPr>
          <w:rFonts w:ascii="ＭＳ ゴシック" w:eastAsia="ＭＳ ゴシック" w:hAnsi="ＭＳ ゴシック" w:cs="ＭＳ ゴシック" w:hint="eastAsia"/>
          <w:lang w:eastAsia="ja-JP"/>
        </w:rPr>
        <w:t>す。</w:t>
      </w:r>
    </w:p>
    <w:p w14:paraId="6F7331D6" w14:textId="77777777" w:rsidR="0055291C" w:rsidRDefault="0055291C">
      <w:pPr>
        <w:pStyle w:val="a3"/>
        <w:rPr>
          <w:rFonts w:ascii="Arial"/>
          <w:b/>
          <w:i/>
          <w:sz w:val="20"/>
          <w:lang w:eastAsia="ja-JP"/>
        </w:rPr>
      </w:pPr>
    </w:p>
    <w:p w14:paraId="314BD607" w14:textId="77777777" w:rsidR="0055291C" w:rsidRDefault="0055291C">
      <w:pPr>
        <w:rPr>
          <w:rFonts w:ascii="Arial"/>
          <w:sz w:val="20"/>
          <w:lang w:eastAsia="ja-JP"/>
        </w:rPr>
        <w:sectPr w:rsidR="0055291C">
          <w:headerReference w:type="default" r:id="rId206"/>
          <w:footerReference w:type="even" r:id="rId207"/>
          <w:footerReference w:type="default" r:id="rId208"/>
          <w:pgSz w:w="12240" w:h="15840"/>
          <w:pgMar w:top="0" w:right="0" w:bottom="1040" w:left="0" w:header="0" w:footer="859" w:gutter="0"/>
          <w:pgNumType w:start="61"/>
          <w:cols w:space="720"/>
        </w:sectPr>
      </w:pPr>
    </w:p>
    <w:p w14:paraId="455EAAFA" w14:textId="77777777" w:rsidR="0055291C" w:rsidRDefault="0055291C">
      <w:pPr>
        <w:pStyle w:val="a3"/>
        <w:spacing w:before="1"/>
        <w:rPr>
          <w:rFonts w:ascii="Arial"/>
          <w:b/>
          <w:i/>
          <w:sz w:val="21"/>
          <w:lang w:eastAsia="ja-JP"/>
        </w:rPr>
      </w:pPr>
    </w:p>
    <w:p w14:paraId="5BD209E4" w14:textId="28AB7593" w:rsidR="0055291C" w:rsidRDefault="00802E1A" w:rsidP="00802E1A">
      <w:pPr>
        <w:pStyle w:val="a3"/>
        <w:spacing w:line="312" w:lineRule="auto"/>
        <w:ind w:left="1133" w:right="278" w:firstLineChars="100" w:firstLine="190"/>
        <w:rPr>
          <w:lang w:eastAsia="ja-JP"/>
        </w:rPr>
      </w:pPr>
      <w:r>
        <w:rPr>
          <w:rFonts w:ascii="ＭＳ ゴシック" w:eastAsia="ＭＳ ゴシック" w:hAnsi="ＭＳ ゴシック" w:cs="ＭＳ ゴシック" w:hint="eastAsia"/>
          <w:lang w:eastAsia="ja-JP"/>
        </w:rPr>
        <w:t>この規格は、共通のプロセスから生産される</w:t>
      </w:r>
      <w:r>
        <w:rPr>
          <w:lang w:eastAsia="ja-JP"/>
        </w:rPr>
        <w:t>2</w:t>
      </w:r>
      <w:r>
        <w:rPr>
          <w:rFonts w:ascii="ＭＳ ゴシック" w:eastAsia="ＭＳ ゴシック" w:hAnsi="ＭＳ ゴシック" w:cs="ＭＳ ゴシック" w:hint="eastAsia"/>
          <w:lang w:eastAsia="ja-JP"/>
        </w:rPr>
        <w:t>種類の製品を定義しています。</w:t>
      </w:r>
    </w:p>
    <w:p w14:paraId="29DA27A8" w14:textId="01C0C3BD" w:rsidR="00802E1A" w:rsidRPr="00802E1A" w:rsidRDefault="00802E1A">
      <w:pPr>
        <w:pStyle w:val="a3"/>
        <w:numPr>
          <w:ilvl w:val="0"/>
          <w:numId w:val="75"/>
        </w:numPr>
        <w:spacing w:before="143" w:line="312" w:lineRule="auto"/>
        <w:ind w:right="-10"/>
        <w:rPr>
          <w:lang w:eastAsia="ja-JP"/>
        </w:rPr>
      </w:pPr>
      <w:r>
        <w:rPr>
          <w:lang w:eastAsia="ja-JP"/>
        </w:rPr>
        <w:t>GHG</w:t>
      </w:r>
      <w:r>
        <w:rPr>
          <w:rFonts w:ascii="ＭＳ ゴシック" w:eastAsia="ＭＳ ゴシック" w:hAnsi="ＭＳ ゴシック" w:cs="ＭＳ ゴシック" w:hint="eastAsia"/>
          <w:lang w:eastAsia="ja-JP"/>
        </w:rPr>
        <w:t>報告書作成の対象となる調査対象製品</w:t>
      </w:r>
    </w:p>
    <w:p w14:paraId="3C58A2F6" w14:textId="181CC7A8" w:rsidR="00802E1A" w:rsidRPr="00802E1A" w:rsidRDefault="00802E1A">
      <w:pPr>
        <w:pStyle w:val="a3"/>
        <w:numPr>
          <w:ilvl w:val="0"/>
          <w:numId w:val="75"/>
        </w:numPr>
        <w:spacing w:before="143" w:line="312" w:lineRule="auto"/>
        <w:ind w:right="-10"/>
        <w:rPr>
          <w:lang w:eastAsia="ja-JP"/>
        </w:rPr>
      </w:pPr>
      <w:r>
        <w:rPr>
          <w:rFonts w:ascii="ＭＳ ゴシック" w:eastAsia="ＭＳ ゴシック" w:hAnsi="ＭＳ ゴシック" w:cs="ＭＳ ゴシック" w:hint="eastAsia"/>
          <w:lang w:eastAsia="ja-JP"/>
        </w:rPr>
        <w:t>他の製品のライフサイクルへの投入物としての価値を持つ副産物</w:t>
      </w:r>
    </w:p>
    <w:p w14:paraId="16751B80" w14:textId="7727666D" w:rsidR="0055291C" w:rsidRDefault="00802E1A" w:rsidP="00802E1A">
      <w:pPr>
        <w:pStyle w:val="a3"/>
        <w:spacing w:before="1"/>
        <w:ind w:left="1133" w:rightChars="52" w:right="114" w:firstLineChars="100" w:firstLine="190"/>
        <w:rPr>
          <w:lang w:eastAsia="ja-JP"/>
        </w:rPr>
      </w:pPr>
      <w:r>
        <w:rPr>
          <w:rFonts w:ascii="ＭＳ ゴシック" w:eastAsia="ＭＳ ゴシック" w:hAnsi="ＭＳ ゴシック" w:cs="ＭＳ ゴシック" w:hint="eastAsia"/>
          <w:lang w:eastAsia="ja-JP"/>
        </w:rPr>
        <w:t>共通プロセスへの入力とは、サービス、材料、またはエネルギー入力です。出力とは、中間製品、最終製品</w:t>
      </w:r>
      <w:r>
        <w:rPr>
          <w:lang w:eastAsia="ja-JP"/>
        </w:rPr>
        <w:t xml:space="preserve"> </w:t>
      </w:r>
      <w:r>
        <w:rPr>
          <w:rFonts w:ascii="ＭＳ ゴシック" w:eastAsia="ＭＳ ゴシック" w:hAnsi="ＭＳ ゴシック" w:cs="ＭＳ ゴシック" w:hint="eastAsia"/>
          <w:lang w:eastAsia="ja-JP"/>
        </w:rPr>
        <w:t>、エネルギー出力（電気や地域熱など）、または廃棄物です。典型的な共通プロセスを図9.1に示します。</w:t>
      </w:r>
    </w:p>
    <w:p w14:paraId="25ACC369" w14:textId="77777777" w:rsidR="0055291C" w:rsidRDefault="00F23C61">
      <w:pPr>
        <w:spacing w:before="5"/>
        <w:rPr>
          <w:sz w:val="21"/>
          <w:lang w:eastAsia="ja-JP"/>
        </w:rPr>
      </w:pPr>
      <w:r>
        <w:rPr>
          <w:lang w:eastAsia="ja-JP"/>
        </w:rPr>
        <w:br w:type="column"/>
      </w:r>
    </w:p>
    <w:p w14:paraId="3E331270" w14:textId="277B85BE" w:rsidR="0055291C" w:rsidRDefault="00802E1A" w:rsidP="000400FF">
      <w:pPr>
        <w:pStyle w:val="a3"/>
        <w:spacing w:before="4"/>
        <w:ind w:left="294" w:rightChars="338" w:right="744" w:firstLineChars="100" w:firstLine="190"/>
        <w:rPr>
          <w:lang w:eastAsia="ja-JP"/>
        </w:rPr>
        <w:sectPr w:rsidR="0055291C">
          <w:type w:val="continuous"/>
          <w:pgSz w:w="12240" w:h="15840"/>
          <w:pgMar w:top="740" w:right="0" w:bottom="280" w:left="0" w:header="0" w:footer="655" w:gutter="0"/>
          <w:cols w:num="2" w:space="720" w:equalWidth="0">
            <w:col w:w="5927" w:space="40"/>
            <w:col w:w="6273"/>
          </w:cols>
        </w:sectPr>
      </w:pPr>
      <w:r>
        <w:rPr>
          <w:rFonts w:ascii="ＭＳ ゴシック" w:eastAsia="ＭＳ ゴシック" w:hAnsi="ＭＳ ゴシック" w:cs="ＭＳ ゴシック" w:hint="eastAsia"/>
          <w:lang w:eastAsia="ja-JP"/>
        </w:rPr>
        <w:t>この章では、企業が算出の一般的なプロセスに対応するために、最も適切な割当方法を選択するための要件とガイダンスを提供します。さらに、割り当てを回避または実行するために利用できる方法の定義と例を示します。この章の最後には、割り当て方法の選択方法などの指針が示されてい</w:t>
      </w:r>
      <w:r w:rsidR="000400FF">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。簡略化のため、以下の方法と例は、排出量にのみ焦点を</w:t>
      </w:r>
      <w:r w:rsidR="000400FF">
        <w:rPr>
          <w:rFonts w:ascii="ＭＳ ゴシック" w:eastAsia="ＭＳ ゴシック" w:hAnsi="ＭＳ ゴシック" w:cs="ＭＳ ゴシック" w:hint="eastAsia"/>
          <w:lang w:eastAsia="ja-JP"/>
        </w:rPr>
        <w:t>当てて</w:t>
      </w:r>
      <w:r>
        <w:rPr>
          <w:rFonts w:ascii="ＭＳ ゴシック" w:eastAsia="ＭＳ ゴシック" w:hAnsi="ＭＳ ゴシック" w:cs="ＭＳ ゴシック" w:hint="eastAsia"/>
          <w:lang w:eastAsia="ja-JP"/>
        </w:rPr>
        <w:t>い</w:t>
      </w:r>
      <w:r w:rsidR="000400FF">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。しかし、除去量もまた、同じ要件とガイダンスに従って割り当てられます。</w:t>
      </w:r>
    </w:p>
    <w:p w14:paraId="48573571" w14:textId="77777777" w:rsidR="0055291C" w:rsidRDefault="0055291C">
      <w:pPr>
        <w:pStyle w:val="a3"/>
        <w:rPr>
          <w:sz w:val="20"/>
          <w:lang w:eastAsia="ja-JP"/>
        </w:rPr>
      </w:pPr>
    </w:p>
    <w:p w14:paraId="54AA1953" w14:textId="77777777" w:rsidR="0055291C" w:rsidRDefault="0055291C">
      <w:pPr>
        <w:pStyle w:val="a3"/>
        <w:rPr>
          <w:sz w:val="20"/>
          <w:lang w:eastAsia="ja-JP"/>
        </w:rPr>
      </w:pPr>
    </w:p>
    <w:p w14:paraId="1C9A66DC" w14:textId="77777777" w:rsidR="0055291C" w:rsidRDefault="0055291C">
      <w:pPr>
        <w:pStyle w:val="a3"/>
        <w:rPr>
          <w:sz w:val="20"/>
          <w:lang w:eastAsia="ja-JP"/>
        </w:rPr>
      </w:pPr>
    </w:p>
    <w:p w14:paraId="6A68DA5D" w14:textId="21D34489" w:rsidR="0055291C" w:rsidRDefault="001832F9">
      <w:pPr>
        <w:pStyle w:val="a3"/>
        <w:spacing w:before="7"/>
        <w:rPr>
          <w:sz w:val="29"/>
          <w:lang w:eastAsia="ja-JP"/>
        </w:rPr>
      </w:pPr>
      <w:r>
        <w:rPr>
          <w:rFonts w:ascii="ＭＳ ゴシック" w:eastAsia="ＭＳ ゴシック" w:hAnsi="ＭＳ ゴシック" w:cs="ＭＳ ゴシック" w:hint="eastAsia"/>
          <w:b/>
          <w:noProof/>
          <w:color w:val="00ACA1"/>
          <w:sz w:val="20"/>
          <w:lang w:eastAsia="ja-JP"/>
        </w:rPr>
        <mc:AlternateContent>
          <mc:Choice Requires="wps">
            <w:drawing>
              <wp:anchor distT="0" distB="0" distL="114300" distR="114300" simplePos="0" relativeHeight="251484672" behindDoc="0" locked="0" layoutInCell="1" allowOverlap="1" wp14:anchorId="6817FF45" wp14:editId="39E3AD8F">
                <wp:simplePos x="0" y="0"/>
                <wp:positionH relativeFrom="column">
                  <wp:posOffset>4006850</wp:posOffset>
                </wp:positionH>
                <wp:positionV relativeFrom="paragraph">
                  <wp:posOffset>527685</wp:posOffset>
                </wp:positionV>
                <wp:extent cx="2923540" cy="946150"/>
                <wp:effectExtent l="0" t="0" r="0" b="6350"/>
                <wp:wrapNone/>
                <wp:docPr id="94" name="四角形: 角を丸くする 94"/>
                <wp:cNvGraphicFramePr/>
                <a:graphic xmlns:a="http://schemas.openxmlformats.org/drawingml/2006/main">
                  <a:graphicData uri="http://schemas.microsoft.com/office/word/2010/wordprocessingShape">
                    <wps:wsp>
                      <wps:cNvSpPr/>
                      <wps:spPr>
                        <a:xfrm>
                          <a:off x="0" y="0"/>
                          <a:ext cx="2923540" cy="946150"/>
                        </a:xfrm>
                        <a:prstGeom prst="roundRect">
                          <a:avLst>
                            <a:gd name="adj" fmla="val 11636"/>
                          </a:avLst>
                        </a:prstGeom>
                        <a:solidFill>
                          <a:srgbClr val="70029C">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26A289" w14:textId="544036AB" w:rsidR="001832F9" w:rsidRPr="001832F9" w:rsidRDefault="001832F9" w:rsidP="001832F9">
                            <w:pPr>
                              <w:spacing w:line="278" w:lineRule="auto"/>
                              <w:ind w:left="142" w:right="-83"/>
                              <w:rPr>
                                <w:b/>
                                <w:i/>
                                <w:iCs/>
                                <w:color w:val="000000" w:themeColor="text1"/>
                                <w:sz w:val="19"/>
                                <w:szCs w:val="19"/>
                                <w:lang w:eastAsia="ja-JP"/>
                              </w:rPr>
                            </w:pPr>
                            <w:r w:rsidRPr="001832F9">
                              <w:rPr>
                                <w:rFonts w:ascii="ＭＳ ゴシック" w:eastAsia="ＭＳ ゴシック" w:hAnsi="ＭＳ ゴシック" w:cs="ＭＳ ゴシック" w:hint="eastAsia"/>
                                <w:b/>
                                <w:i/>
                                <w:iCs/>
                                <w:color w:val="000000" w:themeColor="text1"/>
                                <w:sz w:val="19"/>
                                <w:szCs w:val="19"/>
                                <w:lang w:eastAsia="ja-JP"/>
                              </w:rPr>
                              <w:t>企業は、算出の対象製品及び副産物の総排出・削減量への寄与を正確に反映するように、排出量と除去量を割り当てしなければならない。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17FF45" id="四角形: 角を丸くする 94" o:spid="_x0000_s1119" style="position:absolute;margin-left:315.5pt;margin-top:41.55pt;width:230.2pt;height:74.5pt;z-index:2514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6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" fillcolor="#70029c" stroked="f" strokeweight="2pt">
                <v:fill opacity="16448f"/>
                <v:textbox>
                  <w:txbxContent>
                    <w:p w14:paraId="2326A289" w14:textId="544036AB" w:rsidR="001832F9" w:rsidRPr="001832F9" w:rsidRDefault="001832F9" w:rsidP="001832F9">
                      <w:pPr>
                        <w:spacing w:line="278" w:lineRule="auto"/>
                        <w:ind w:left="142" w:right="-83"/>
                        <w:rPr>
                          <w:b/>
                          <w:i/>
                          <w:iCs/>
                          <w:color w:val="000000" w:themeColor="text1"/>
                          <w:sz w:val="19"/>
                          <w:szCs w:val="19"/>
                          <w:lang w:eastAsia="ja-JP"/>
                        </w:rPr>
                      </w:pPr>
                      <w:r w:rsidRPr="001832F9">
                        <w:rPr>
                          <w:rFonts w:ascii="ＭＳ ゴシック" w:eastAsia="ＭＳ ゴシック" w:hAnsi="ＭＳ ゴシック" w:cs="ＭＳ ゴシック" w:hint="eastAsia"/>
                          <w:b/>
                          <w:i/>
                          <w:iCs/>
                          <w:color w:val="000000" w:themeColor="text1"/>
                          <w:sz w:val="19"/>
                          <w:szCs w:val="19"/>
                          <w:lang w:eastAsia="ja-JP"/>
                        </w:rPr>
                        <w:t>企業は、算出の対象製品及び副産物の総排出・削減量への寄与を正確に反映するように、排出量と除去量を割り当てしなければならない。</w:t>
                      </w:r>
                    </w:p>
                  </w:txbxContent>
                </v:textbox>
              </v:roundrect>
            </w:pict>
          </mc:Fallback>
        </mc:AlternateContent>
      </w:r>
    </w:p>
    <w:p w14:paraId="538E16D3" w14:textId="77777777" w:rsidR="0055291C" w:rsidRDefault="0055291C">
      <w:pPr>
        <w:rPr>
          <w:sz w:val="29"/>
          <w:lang w:eastAsia="ja-JP"/>
        </w:rPr>
        <w:sectPr w:rsidR="0055291C">
          <w:headerReference w:type="even" r:id="rId209"/>
          <w:pgSz w:w="12240" w:h="15840"/>
          <w:pgMar w:top="620" w:right="0" w:bottom="840" w:left="0" w:header="0" w:footer="655" w:gutter="0"/>
          <w:cols w:space="720"/>
        </w:sectPr>
      </w:pPr>
    </w:p>
    <w:p w14:paraId="0D0E6BDB" w14:textId="58A17A7F" w:rsidR="0055291C" w:rsidRDefault="000400FF" w:rsidP="00456BE0">
      <w:pPr>
        <w:spacing w:before="136" w:line="292" w:lineRule="auto"/>
        <w:ind w:left="1276" w:hanging="708"/>
        <w:rPr>
          <w:rFonts w:ascii="Arial"/>
          <w:b/>
          <w:sz w:val="11"/>
          <w:lang w:eastAsia="ja-JP"/>
        </w:rPr>
      </w:pPr>
      <w:r>
        <w:rPr>
          <w:rFonts w:ascii="ＭＳ ゴシック" w:eastAsia="ＭＳ ゴシック" w:hAnsi="ＭＳ ゴシック" w:cs="ＭＳ ゴシック" w:hint="eastAsia"/>
          <w:b/>
          <w:color w:val="00ACA1"/>
          <w:w w:val="95"/>
          <w:sz w:val="20"/>
          <w:lang w:eastAsia="ja-JP"/>
        </w:rPr>
        <w:t>図</w:t>
      </w:r>
      <w:r w:rsidR="00F23C61">
        <w:rPr>
          <w:rFonts w:ascii="Arial"/>
          <w:b/>
          <w:color w:val="00ACA1"/>
          <w:spacing w:val="27"/>
          <w:w w:val="95"/>
          <w:sz w:val="20"/>
          <w:lang w:eastAsia="ja-JP"/>
        </w:rPr>
        <w:t xml:space="preserve"> </w:t>
      </w:r>
      <w:r w:rsidR="00F23C61">
        <w:rPr>
          <w:rFonts w:ascii="Arial"/>
          <w:b/>
          <w:color w:val="00ACA1"/>
          <w:w w:val="95"/>
          <w:sz w:val="20"/>
          <w:lang w:eastAsia="ja-JP"/>
        </w:rPr>
        <w:t>[9.1]</w:t>
      </w:r>
      <w:r w:rsidR="00F23C61">
        <w:rPr>
          <w:rFonts w:ascii="Arial"/>
          <w:b/>
          <w:color w:val="00ACA1"/>
          <w:spacing w:val="28"/>
          <w:w w:val="95"/>
          <w:sz w:val="20"/>
          <w:lang w:eastAsia="ja-JP"/>
        </w:rPr>
        <w:t xml:space="preserve"> </w:t>
      </w:r>
      <w:r>
        <w:rPr>
          <w:rFonts w:ascii="ＭＳ ゴシック" w:eastAsia="ＭＳ ゴシック" w:hAnsi="ＭＳ ゴシック" w:cs="ＭＳ ゴシック" w:hint="eastAsia"/>
          <w:lang w:eastAsia="ja-JP"/>
        </w:rPr>
        <w:t>割り当てが必要な一般的な共通</w:t>
      </w:r>
      <w:r w:rsidR="00456BE0">
        <w:rPr>
          <w:rFonts w:ascii="ＭＳ ゴシック" w:eastAsia="ＭＳ ゴシック" w:hAnsi="ＭＳ ゴシック" w:cs="ＭＳ ゴシック" w:hint="eastAsia"/>
          <w:lang w:eastAsia="ja-JP"/>
        </w:rPr>
        <w:t>過程</w:t>
      </w:r>
      <w:r>
        <w:rPr>
          <w:rFonts w:ascii="ＭＳ ゴシック" w:eastAsia="ＭＳ ゴシック" w:hAnsi="ＭＳ ゴシック" w:cs="ＭＳ ゴシック" w:hint="eastAsia"/>
          <w:lang w:eastAsia="ja-JP"/>
        </w:rPr>
        <w:t>の例示</w:t>
      </w:r>
      <w:r w:rsidR="007C49B2">
        <w:rPr>
          <w:rFonts w:asciiTheme="minorEastAsia" w:eastAsiaTheme="minorEastAsia" w:hAnsiTheme="minorEastAsia" w:hint="eastAsia"/>
          <w:b/>
          <w:color w:val="545456"/>
          <w:position w:val="7"/>
          <w:sz w:val="11"/>
          <w:lang w:eastAsia="ja-JP"/>
        </w:rPr>
        <w:t>１</w:t>
      </w:r>
    </w:p>
    <w:p w14:paraId="7D4C63CE" w14:textId="2A9A8999" w:rsidR="0055291C" w:rsidRDefault="00F23C61">
      <w:pPr>
        <w:pStyle w:val="3"/>
        <w:numPr>
          <w:ilvl w:val="1"/>
          <w:numId w:val="41"/>
        </w:numPr>
        <w:tabs>
          <w:tab w:val="left" w:pos="1256"/>
          <w:tab w:val="left" w:pos="1257"/>
        </w:tabs>
        <w:ind w:left="1256" w:hanging="721"/>
        <w:jc w:val="left"/>
      </w:pPr>
      <w:r>
        <w:rPr>
          <w:color w:val="00ACA1"/>
          <w:spacing w:val="-10"/>
          <w:w w:val="90"/>
          <w:lang w:eastAsia="ja-JP"/>
        </w:rPr>
        <w:br w:type="column"/>
      </w:r>
      <w:r w:rsidR="001832F9">
        <w:rPr>
          <w:rFonts w:ascii="ＭＳ 明朝" w:eastAsia="ＭＳ 明朝" w:hAnsi="ＭＳ 明朝" w:cs="ＭＳ 明朝" w:hint="eastAsia"/>
          <w:color w:val="00ACA1"/>
          <w:lang w:eastAsia="ja-JP"/>
        </w:rPr>
        <w:t>要求事項</w:t>
      </w:r>
    </w:p>
    <w:p w14:paraId="769DDF54" w14:textId="77777777" w:rsidR="0055291C" w:rsidRDefault="0055291C">
      <w:pPr>
        <w:sectPr w:rsidR="0055291C">
          <w:type w:val="continuous"/>
          <w:pgSz w:w="12240" w:h="15840"/>
          <w:pgMar w:top="740" w:right="0" w:bottom="280" w:left="0" w:header="0" w:footer="859" w:gutter="0"/>
          <w:cols w:num="2" w:space="720" w:equalWidth="0">
            <w:col w:w="5724" w:space="40"/>
            <w:col w:w="6476"/>
          </w:cols>
        </w:sectPr>
      </w:pPr>
    </w:p>
    <w:p w14:paraId="218D7F58" w14:textId="1ECAB26C" w:rsidR="0055291C" w:rsidRDefault="0055291C">
      <w:pPr>
        <w:pStyle w:val="a3"/>
        <w:spacing w:before="4"/>
        <w:rPr>
          <w:rFonts w:ascii="Arial"/>
          <w:b/>
          <w:i/>
          <w:sz w:val="15"/>
        </w:rPr>
      </w:pPr>
    </w:p>
    <w:p w14:paraId="4C5B271D" w14:textId="4DFADED7" w:rsidR="0055291C" w:rsidRDefault="00000000">
      <w:pPr>
        <w:pStyle w:val="a3"/>
        <w:ind w:left="2895"/>
        <w:rPr>
          <w:rFonts w:ascii="Arial"/>
          <w:sz w:val="20"/>
        </w:rPr>
      </w:pPr>
      <w:r>
        <w:rPr>
          <w:rFonts w:ascii="Arial"/>
          <w:sz w:val="20"/>
        </w:rPr>
      </w:r>
      <w:r>
        <w:rPr>
          <w:rFonts w:ascii="Arial"/>
          <w:sz w:val="20"/>
        </w:rPr>
        <w:pict w14:anchorId="38F082B0">
          <v:group id="docshapegroup950" o:spid="_x0000_s2869" style="width:67.15pt;height:67.2pt;mso-position-horizontal-relative:char;mso-position-vertical-relative:line" coordsize="1343,1344">
            <v:shape id="docshape951" o:spid="_x0000_s2871" style="position:absolute;width:1343;height:1344" coordsize="1343,1344" path="m632,l577,56,506,20,462,86,386,63r-31,73l276,128r-17,78l180,213r-1,80l102,315r14,78l45,429r28,74l11,552r41,68l,680r54,58l14,807r64,47l51,929r72,34l111,1042r77,20l191,1141r80,6l289,1224r79,-10l401,1287r75,-25l522,1327r69,-39l649,1344r61,-51l776,1336r51,-62l900,1304r38,-70l1016,1250r24,-76l1119,1174r9,-79l1206,1081r-6,-79l1274,972r-21,-76l1320,853r-35,-71l1343,727r-48,-63l1341,599r-59,-53l1316,474r-68,-41l1267,356r-75,-27l1196,249r-78,-13l1107,158r-80,2l1002,85r-78,17l885,33,812,65,760,5,695,49,632,xe" fillcolor="#7d7f82" stroked="f">
              <v:path arrowok="t"/>
            </v:shape>
            <v:shape id="docshape952" o:spid="_x0000_s2870" type="#_x0000_t202" style="position:absolute;width:1343;height:1344" filled="f" stroked="f">
              <v:textbox style="mso-next-textbox:#docshape952" inset="0,0,0,0">
                <w:txbxContent>
                  <w:p w14:paraId="4CC0FC17" w14:textId="77777777" w:rsidR="0055291C" w:rsidRDefault="0055291C">
                    <w:pPr>
                      <w:rPr>
                        <w:rFonts w:ascii="Arial"/>
                        <w:b/>
                        <w:i/>
                        <w:sz w:val="20"/>
                      </w:rPr>
                    </w:pPr>
                  </w:p>
                  <w:p w14:paraId="2293D87F" w14:textId="77777777" w:rsidR="0055291C" w:rsidRDefault="0055291C">
                    <w:pPr>
                      <w:rPr>
                        <w:rFonts w:ascii="Arial"/>
                        <w:b/>
                        <w:i/>
                        <w:sz w:val="28"/>
                      </w:rPr>
                    </w:pPr>
                  </w:p>
                  <w:p w14:paraId="1CE54752" w14:textId="1116BB41" w:rsidR="0055291C" w:rsidRDefault="000400FF">
                    <w:pPr>
                      <w:ind w:left="253"/>
                      <w:rPr>
                        <w:rFonts w:ascii="Arial"/>
                        <w:b/>
                        <w:i/>
                        <w:sz w:val="18"/>
                      </w:rPr>
                    </w:pPr>
                    <w:r>
                      <w:rPr>
                        <w:rFonts w:ascii="ＭＳ ゴシック" w:eastAsia="ＭＳ ゴシック" w:hAnsi="ＭＳ ゴシック" w:cs="ＭＳ ゴシック" w:hint="eastAsia"/>
                        <w:b/>
                        <w:i/>
                        <w:color w:val="FFFFFF"/>
                        <w:sz w:val="18"/>
                        <w:lang w:eastAsia="ja-JP"/>
                      </w:rPr>
                      <w:t>排出</w:t>
                    </w:r>
                  </w:p>
                </w:txbxContent>
              </v:textbox>
            </v:shape>
            <w10:anchorlock/>
          </v:group>
        </w:pict>
      </w:r>
    </w:p>
    <w:p w14:paraId="5FF85CB3" w14:textId="18AA6A6B" w:rsidR="0055291C" w:rsidRDefault="00000000" w:rsidP="001832F9">
      <w:pPr>
        <w:pStyle w:val="a3"/>
        <w:spacing w:before="140" w:line="312" w:lineRule="auto"/>
        <w:ind w:left="6300" w:right="1204" w:firstLineChars="100" w:firstLine="190"/>
        <w:rPr>
          <w:lang w:eastAsia="ja-JP"/>
        </w:rPr>
      </w:pPr>
      <w:r>
        <w:pict w14:anchorId="0E5CE335">
          <v:group id="docshapegroup956" o:spid="_x0000_s2847" style="position:absolute;left:0;text-align:left;margin-left:55.3pt;margin-top:2.3pt;width:243.1pt;height:188.25pt;z-index:251603456;mso-position-horizontal-relative:page" coordorigin="1103,46" coordsize="4862,3765">
            <v:shape id="docshape957" o:spid="_x0000_s2865" style="position:absolute;left:2294;top:46;width:1402;height:1167" coordorigin="2294,46" coordsize="1402,1167" o:spt="100" adj="0,,0" path="m2831,1019r-7,-22l2805,978,2608,846r-24,-10l2564,839r-13,15l2546,879r,57l2325,936r-12,3l2304,945r-7,10l2295,967r-1,114l2297,1094r6,10l2313,1110r12,3l2545,1114r,56l2550,1195r13,15l2582,1212r23,-10l2806,1060r19,-19l2831,1019xm3696,295r-11,-23l3544,71,3524,52r-22,-6l3480,53r-19,19l3330,269r-10,24l3323,313r14,13l3363,331r57,l3419,551r3,12l3429,573r10,7l3451,582r114,l3577,580r10,-7l3594,564r2,-13l3597,331r57,1l3679,327r14,-13l3696,295xe" fillcolor="#b8babd" stroked="f">
              <v:stroke joinstyle="round"/>
              <v:formulas/>
              <v:path arrowok="t" o:connecttype="segments"/>
            </v:shape>
            <v:shape id="docshape958" o:spid="_x0000_s2864" style="position:absolute;left:1102;top:535;width:1282;height:936" coordorigin="1103,535" coordsize="1282,936" path="m2215,535r-942,l1174,538r-50,19l1105,607r-2,98l1103,1301r2,98l1124,1450r50,18l1273,1471r942,l2313,1468r50,-18l2382,1399r3,-98l2385,705r-3,-98l2363,557r-50,-19l2215,535xe" fillcolor="#00aca1" stroked="f">
              <v:path arrowok="t"/>
            </v:shape>
            <v:shape id="docshape959" o:spid="_x0000_s2863" style="position:absolute;left:4083;top:836;width:537;height:376" coordorigin="4083,836" coordsize="537,376" path="m4373,836r-20,3l4340,854r-5,25l4335,936r-221,l4083,1081r3,13l4092,1104r10,6l4114,1113r220,1l4334,1170r5,25l4352,1210r19,2l4394,1202r201,-142l4614,1041r6,-22l4613,997r-19,-19l4396,846r-23,-10xe" fillcolor="#b8babd" stroked="f">
              <v:path arrowok="t"/>
            </v:shape>
            <v:shape id="docshape960" o:spid="_x0000_s2862" style="position:absolute;left:4682;top:535;width:1282;height:936" coordorigin="4682,535" coordsize="1282,936" path="m5794,535r-942,l4754,538r-51,19l4685,607r-3,98l4682,1301r3,98l4703,1450r51,18l4852,1471r942,l5892,1468r51,-18l5961,1399r3,-98l5964,705r-3,-98l5943,557r-51,-19l5794,535xe" fillcolor="#00aca1" stroked="f">
              <v:path arrowok="t"/>
            </v:shape>
            <v:shape id="docshape961" o:spid="_x0000_s2861" style="position:absolute;left:2294;top:2031;width:2326;height:1530" coordorigin="2294,2031" coordsize="2326,1530" o:spt="100" adj="0,,0" path="m2831,3367r-7,-22l2805,3326,2608,3195r-24,-10l2564,3188r-13,14l2546,3228r,57l2325,3284r-12,3l2304,3294r-7,10l2295,3316r-1,114l2297,3442r6,10l2313,3459r12,2l2545,3462r,57l2550,3544r13,14l2582,3561r23,-11l2806,3409r19,-20l2831,3367xm2831,2214r-7,-22l2805,2173,2608,2041r-24,-10l2564,2034r-13,15l2546,2074r,57l2325,2131r-12,2l2304,2140r-7,10l2295,2162r-1,114l2297,2288r6,11l2313,2305r12,3l2545,2308r,57l2550,2390r13,15l2582,2407r23,-10l2806,2255r19,-19l2831,2214xm4620,3367r-7,-22l4594,3326,4396,3195r-23,-10l4353,3188r-13,14l4335,3228r,57l4114,3284r-12,3l4093,3294r-7,10l4084,3316r-1,114l4086,3442r6,10l4102,3459r12,2l4334,3462r,57l4339,3544r13,14l4371,3561r23,-11l4595,3409r19,-20l4620,3367xm4620,2214r-7,-22l4594,2173,4396,2041r-23,-10l4353,2034r-13,15l4335,2074r,57l4114,2131r-12,2l4093,2140r-7,10l4084,2162r-1,114l4086,2288r6,11l4102,2305r12,3l4334,2308r,57l4339,2390r13,15l4371,2407r23,-10l4595,2255r19,-19l4620,2214xe" fillcolor="#b8babd" stroked="f">
              <v:stroke joinstyle="round"/>
              <v:formulas/>
              <v:path arrowok="t" o:connecttype="segments"/>
            </v:shape>
            <v:shape id="docshape962" o:spid="_x0000_s2860" style="position:absolute;left:2889;top:508;width:1282;height:3276" coordorigin="2889,508" coordsize="1282,3276" path="m4001,508r-942,l2961,511r-51,19l2892,580r-3,99l2889,3614r3,98l2910,3763r51,18l3059,3784r942,l4099,3781r51,-18l4168,3712r3,-98l4171,679r-3,-99l4150,530r-51,-19l4001,508xe" fillcolor="#23bcb5" stroked="f">
              <v:path arrowok="t"/>
            </v:shape>
            <v:shape id="docshape963" o:spid="_x0000_s2859" style="position:absolute;left:1102;top:1687;width:4862;height:936" coordorigin="1103,1688" coordsize="4862,936" o:spt="100" adj="0,,0" path="m2385,1858r-3,-99l2363,1709r-50,-19l2215,1688r-942,l1174,1690r-50,19l1105,1759r-2,99l1103,2453r2,98l1124,2602r50,18l1273,2623r942,l2313,2620r50,-18l2382,2551r3,-98l2385,1858xm5964,1858r-3,-99l5943,1709r-51,-19l5794,1688r-942,l4754,1690r-51,19l4685,1759r-3,99l4682,2453r3,98l4703,2602r51,18l4852,2623r942,l5892,2620r51,-18l5961,2551r3,-98l5964,1858xe" fillcolor="#00aca1" stroked="f">
              <v:stroke joinstyle="round"/>
              <v:formulas/>
              <v:path arrowok="t" o:connecttype="segments"/>
            </v:shape>
            <v:shape id="docshape964" o:spid="_x0000_s2858" style="position:absolute;left:1102;top:2875;width:1282;height:936" coordorigin="1103,2875" coordsize="1282,936" path="m2215,2875r-942,l1174,2878r-50,19l1105,2947r-2,98l1103,3641r2,98l1124,3790r50,18l1273,3811r942,l2313,3808r50,-18l2382,3739r3,-98l2385,3045r-3,-98l2363,2897r-50,-19l2215,2875xe" fillcolor="#ffc709" stroked="f">
              <v:path arrowok="t"/>
            </v:shape>
            <v:shape id="docshape965" o:spid="_x0000_s2857" style="position:absolute;left:4682;top:2875;width:1282;height:936" coordorigin="4682,2875" coordsize="1282,936" path="m5794,2875r-942,l4754,2878r-51,19l4685,2947r-3,98l4682,3641r3,98l4703,3790r51,18l4852,3811r942,l5892,3808r51,-18l5961,3739r3,-98l5964,3045r-3,-98l5943,2897r-51,-19l5794,2875xe" fillcolor="#7d7f82" stroked="f">
              <v:path arrowok="t"/>
            </v:shape>
            <v:shape id="docshape966" o:spid="_x0000_s2856" type="#_x0000_t202" style="position:absolute;left:1400;top:105;width:704;height:270" filled="f" stroked="f">
              <v:textbox style="mso-next-textbox:#docshape966" inset="0,0,0,0">
                <w:txbxContent>
                  <w:p w14:paraId="4238C5BF" w14:textId="4E852886" w:rsidR="0055291C" w:rsidRDefault="000400FF">
                    <w:pPr>
                      <w:spacing w:line="269" w:lineRule="exact"/>
                      <w:rPr>
                        <w:rFonts w:ascii="Arial"/>
                        <w:b/>
                        <w:i/>
                        <w:sz w:val="24"/>
                      </w:rPr>
                    </w:pPr>
                    <w:r>
                      <w:rPr>
                        <w:rFonts w:ascii="ＭＳ ゴシック" w:eastAsia="ＭＳ ゴシック" w:hAnsi="ＭＳ ゴシック" w:cs="ＭＳ ゴシック" w:hint="eastAsia"/>
                        <w:b/>
                        <w:i/>
                        <w:color w:val="545456"/>
                        <w:w w:val="95"/>
                        <w:sz w:val="24"/>
                        <w:lang w:eastAsia="ja-JP"/>
                      </w:rPr>
                      <w:t>投入</w:t>
                    </w:r>
                  </w:p>
                </w:txbxContent>
              </v:textbox>
            </v:shape>
            <v:shape id="docshape967" o:spid="_x0000_s2855" type="#_x0000_t202" style="position:absolute;left:4894;top:105;width:875;height:270" filled="f" stroked="f">
              <v:textbox style="mso-next-textbox:#docshape967" inset="0,0,0,0">
                <w:txbxContent>
                  <w:p w14:paraId="04458311" w14:textId="6B4442E7" w:rsidR="0055291C" w:rsidRDefault="000400FF">
                    <w:pPr>
                      <w:spacing w:line="269" w:lineRule="exact"/>
                      <w:rPr>
                        <w:rFonts w:ascii="Arial"/>
                        <w:b/>
                        <w:i/>
                        <w:sz w:val="24"/>
                      </w:rPr>
                    </w:pPr>
                    <w:r>
                      <w:rPr>
                        <w:rFonts w:ascii="ＭＳ ゴシック" w:eastAsia="ＭＳ ゴシック" w:hAnsi="ＭＳ ゴシック" w:cs="ＭＳ ゴシック" w:hint="eastAsia"/>
                        <w:b/>
                        <w:i/>
                        <w:color w:val="545456"/>
                        <w:spacing w:val="-2"/>
                        <w:sz w:val="24"/>
                        <w:lang w:eastAsia="ja-JP"/>
                      </w:rPr>
                      <w:t>生産</w:t>
                    </w:r>
                  </w:p>
                </w:txbxContent>
              </v:textbox>
            </v:shape>
            <v:shape id="docshape968" o:spid="_x0000_s2854" type="#_x0000_t202" style="position:absolute;left:1206;top:827;width:1073;height:422" filled="f" stroked="f">
              <v:textbox style="mso-next-textbox:#docshape968" inset="0,0,0,0">
                <w:txbxContent>
                  <w:p w14:paraId="19FBD15F" w14:textId="0098F83B" w:rsidR="0055291C" w:rsidRDefault="000400FF">
                    <w:pPr>
                      <w:spacing w:line="254" w:lineRule="auto"/>
                      <w:ind w:left="131" w:right="7" w:hanging="132"/>
                      <w:rPr>
                        <w:rFonts w:ascii="Arial"/>
                        <w:b/>
                        <w:i/>
                        <w:sz w:val="18"/>
                      </w:rPr>
                    </w:pPr>
                    <w:r>
                      <w:rPr>
                        <w:rFonts w:ascii="ＭＳ ゴシック" w:eastAsia="ＭＳ ゴシック" w:hAnsi="ＭＳ ゴシック" w:cs="ＭＳ ゴシック" w:hint="eastAsia"/>
                        <w:b/>
                        <w:i/>
                        <w:color w:val="FFFFFF"/>
                        <w:spacing w:val="-2"/>
                        <w:sz w:val="18"/>
                        <w:lang w:eastAsia="ja-JP"/>
                      </w:rPr>
                      <w:t>中間製品</w:t>
                    </w:r>
                    <w:r w:rsidR="00F23C61">
                      <w:rPr>
                        <w:rFonts w:ascii="Arial"/>
                        <w:b/>
                        <w:i/>
                        <w:color w:val="FFFFFF"/>
                        <w:w w:val="95"/>
                        <w:sz w:val="18"/>
                      </w:rPr>
                      <w:t>A</w:t>
                    </w:r>
                  </w:p>
                </w:txbxContent>
              </v:textbox>
            </v:shape>
            <v:shape id="docshape969" o:spid="_x0000_s2853" type="#_x0000_t202" style="position:absolute;left:5001;top:827;width:660;height:422" filled="f" stroked="f">
              <v:textbox style="mso-next-textbox:#docshape969" inset="0,0,0,0">
                <w:txbxContent>
                  <w:p w14:paraId="35034A5B" w14:textId="3ACD0DAF" w:rsidR="0055291C" w:rsidRPr="000400FF" w:rsidRDefault="000400FF">
                    <w:pPr>
                      <w:spacing w:line="254" w:lineRule="auto"/>
                      <w:ind w:right="3" w:firstLine="4"/>
                      <w:rPr>
                        <w:rFonts w:ascii="Arial"/>
                        <w:b/>
                        <w:i/>
                        <w:sz w:val="16"/>
                        <w:szCs w:val="21"/>
                      </w:rPr>
                    </w:pPr>
                    <w:r w:rsidRPr="000400FF">
                      <w:rPr>
                        <w:rFonts w:ascii="ＭＳ ゴシック" w:eastAsia="ＭＳ ゴシック" w:hAnsi="ＭＳ ゴシック" w:cs="ＭＳ ゴシック" w:hint="eastAsia"/>
                        <w:b/>
                        <w:i/>
                        <w:color w:val="FFFFFF"/>
                        <w:spacing w:val="-2"/>
                        <w:sz w:val="16"/>
                        <w:szCs w:val="21"/>
                        <w:lang w:eastAsia="ja-JP"/>
                      </w:rPr>
                      <w:t>対象産物</w:t>
                    </w:r>
                  </w:p>
                </w:txbxContent>
              </v:textbox>
            </v:shape>
            <v:shape id="docshape970" o:spid="_x0000_s2852" type="#_x0000_t202" style="position:absolute;left:1206;top:1979;width:1073;height:422" filled="f" stroked="f">
              <v:textbox style="mso-next-textbox:#docshape970" inset="0,0,0,0">
                <w:txbxContent>
                  <w:p w14:paraId="23C4025E" w14:textId="783D28CD" w:rsidR="0055291C" w:rsidRDefault="000400FF">
                    <w:pPr>
                      <w:spacing w:line="254" w:lineRule="auto"/>
                      <w:ind w:left="136" w:right="7" w:hanging="137"/>
                      <w:rPr>
                        <w:rFonts w:ascii="Arial"/>
                        <w:b/>
                        <w:i/>
                        <w:sz w:val="18"/>
                      </w:rPr>
                    </w:pPr>
                    <w:r>
                      <w:rPr>
                        <w:rFonts w:ascii="ＭＳ ゴシック" w:eastAsia="ＭＳ ゴシック" w:hAnsi="ＭＳ ゴシック" w:cs="ＭＳ ゴシック" w:hint="eastAsia"/>
                        <w:b/>
                        <w:i/>
                        <w:color w:val="FFFFFF"/>
                        <w:spacing w:val="-2"/>
                        <w:sz w:val="18"/>
                        <w:lang w:eastAsia="ja-JP"/>
                      </w:rPr>
                      <w:t>中間製品</w:t>
                    </w:r>
                    <w:r w:rsidR="00F23C61">
                      <w:rPr>
                        <w:rFonts w:ascii="Arial"/>
                        <w:b/>
                        <w:i/>
                        <w:color w:val="FFFFFF"/>
                        <w:spacing w:val="-9"/>
                        <w:w w:val="95"/>
                        <w:sz w:val="18"/>
                      </w:rPr>
                      <w:t xml:space="preserve"> </w:t>
                    </w:r>
                    <w:r w:rsidR="00F23C61">
                      <w:rPr>
                        <w:rFonts w:ascii="Arial"/>
                        <w:b/>
                        <w:i/>
                        <w:color w:val="FFFFFF"/>
                        <w:w w:val="95"/>
                        <w:sz w:val="18"/>
                      </w:rPr>
                      <w:t>B</w:t>
                    </w:r>
                  </w:p>
                </w:txbxContent>
              </v:textbox>
            </v:shape>
            <v:shape id="docshape971" o:spid="_x0000_s2851" type="#_x0000_t202" style="position:absolute;left:3071;top:1804;width:933;height:510" filled="f" stroked="f">
              <v:textbox style="mso-next-textbox:#docshape971" inset="0,0,0,0">
                <w:txbxContent>
                  <w:p w14:paraId="3B2E6815" w14:textId="69D37746" w:rsidR="0055291C" w:rsidRDefault="000400FF">
                    <w:pPr>
                      <w:spacing w:before="28" w:line="208" w:lineRule="auto"/>
                      <w:ind w:left="43" w:right="13" w:hanging="44"/>
                      <w:rPr>
                        <w:rFonts w:ascii="Arial"/>
                        <w:b/>
                        <w:i/>
                        <w:sz w:val="24"/>
                      </w:rPr>
                    </w:pPr>
                    <w:r>
                      <w:rPr>
                        <w:rFonts w:ascii="ＭＳ ゴシック" w:eastAsia="ＭＳ ゴシック" w:hAnsi="ＭＳ ゴシック" w:cs="ＭＳ ゴシック" w:hint="eastAsia"/>
                        <w:b/>
                        <w:i/>
                        <w:color w:val="FFFFFF"/>
                        <w:w w:val="90"/>
                        <w:sz w:val="24"/>
                        <w:lang w:eastAsia="ja-JP"/>
                      </w:rPr>
                      <w:t>共通過程</w:t>
                    </w:r>
                  </w:p>
                </w:txbxContent>
              </v:textbox>
            </v:shape>
            <v:shape id="docshape972" o:spid="_x0000_s2850" type="#_x0000_t202" style="position:absolute;left:4867;top:1979;width:908;height:422;mso-position-horizontal:absolute;v-text-anchor:middle" filled="f" stroked="f">
              <v:textbox style="mso-next-textbox:#docshape972" inset="0,0,0,0">
                <w:txbxContent>
                  <w:p w14:paraId="234209C8" w14:textId="3AB23157" w:rsidR="0055291C" w:rsidRDefault="000400FF">
                    <w:pPr>
                      <w:spacing w:line="254" w:lineRule="auto"/>
                      <w:ind w:left="390" w:right="6" w:hanging="391"/>
                      <w:rPr>
                        <w:rFonts w:ascii="Arial"/>
                        <w:b/>
                        <w:i/>
                        <w:sz w:val="18"/>
                      </w:rPr>
                    </w:pPr>
                    <w:r>
                      <w:rPr>
                        <w:rFonts w:ascii="ＭＳ ゴシック" w:eastAsia="ＭＳ ゴシック" w:hAnsi="ＭＳ ゴシック" w:cs="ＭＳ ゴシック" w:hint="eastAsia"/>
                        <w:b/>
                        <w:i/>
                        <w:color w:val="FFFFFF"/>
                        <w:spacing w:val="-1"/>
                        <w:w w:val="95"/>
                        <w:sz w:val="18"/>
                        <w:lang w:eastAsia="ja-JP"/>
                      </w:rPr>
                      <w:t>副産物</w:t>
                    </w:r>
                    <w:r w:rsidR="00F23C61">
                      <w:rPr>
                        <w:rFonts w:ascii="Arial"/>
                        <w:b/>
                        <w:i/>
                        <w:color w:val="FFFFFF"/>
                        <w:sz w:val="18"/>
                      </w:rPr>
                      <w:t>A</w:t>
                    </w:r>
                  </w:p>
                </w:txbxContent>
              </v:textbox>
            </v:shape>
            <v:shape id="docshape973" o:spid="_x0000_s2849" type="#_x0000_t202" style="position:absolute;left:1219;top:3247;width:1045;height:202" filled="f" stroked="f">
              <v:textbox style="mso-next-textbox:#docshape973" inset="0,0,0,0">
                <w:txbxContent>
                  <w:p w14:paraId="7B1EB764" w14:textId="2CE43DC6" w:rsidR="0055291C" w:rsidRDefault="000400FF">
                    <w:pPr>
                      <w:spacing w:line="202" w:lineRule="exact"/>
                      <w:rPr>
                        <w:rFonts w:ascii="Arial"/>
                        <w:b/>
                        <w:i/>
                        <w:sz w:val="18"/>
                      </w:rPr>
                    </w:pPr>
                    <w:r>
                      <w:rPr>
                        <w:rFonts w:ascii="ＭＳ ゴシック" w:eastAsia="ＭＳ ゴシック" w:hAnsi="ＭＳ ゴシック" w:cs="ＭＳ ゴシック" w:hint="eastAsia"/>
                        <w:b/>
                        <w:i/>
                        <w:color w:val="FFFFFF"/>
                        <w:w w:val="95"/>
                        <w:sz w:val="18"/>
                        <w:lang w:eastAsia="ja-JP"/>
                      </w:rPr>
                      <w:t>エネルギー</w:t>
                    </w:r>
                  </w:p>
                </w:txbxContent>
              </v:textbox>
            </v:shape>
            <v:shape id="docshape974" o:spid="_x0000_s2848" type="#_x0000_t202" style="position:absolute;left:5062;top:3247;width:521;height:202" filled="f" stroked="f">
              <v:textbox style="mso-next-textbox:#docshape974" inset="0,0,0,0">
                <w:txbxContent>
                  <w:p w14:paraId="7DB5A519" w14:textId="792A58AC" w:rsidR="0055291C" w:rsidRDefault="000400FF">
                    <w:pPr>
                      <w:spacing w:line="202" w:lineRule="exact"/>
                      <w:rPr>
                        <w:rFonts w:ascii="Arial"/>
                        <w:b/>
                        <w:i/>
                        <w:sz w:val="18"/>
                      </w:rPr>
                    </w:pPr>
                    <w:r>
                      <w:rPr>
                        <w:rFonts w:ascii="ＭＳ ゴシック" w:eastAsia="ＭＳ ゴシック" w:hAnsi="ＭＳ ゴシック" w:cs="ＭＳ ゴシック" w:hint="eastAsia"/>
                        <w:b/>
                        <w:i/>
                        <w:color w:val="FFFFFF"/>
                        <w:sz w:val="18"/>
                        <w:lang w:eastAsia="ja-JP"/>
                      </w:rPr>
                      <w:t>廃棄</w:t>
                    </w:r>
                  </w:p>
                </w:txbxContent>
              </v:textbox>
            </v:shape>
            <w10:wrap anchorx="page"/>
          </v:group>
        </w:pict>
      </w:r>
      <w:r w:rsidR="001832F9">
        <w:rPr>
          <w:rFonts w:ascii="ＭＳ ゴシック" w:eastAsia="ＭＳ ゴシック" w:hAnsi="ＭＳ ゴシック" w:cs="ＭＳ ゴシック" w:hint="eastAsia"/>
          <w:lang w:eastAsia="ja-JP"/>
        </w:rPr>
        <w:t>第</w:t>
      </w:r>
      <w:r w:rsidR="001832F9">
        <w:rPr>
          <w:lang w:eastAsia="ja-JP"/>
        </w:rPr>
        <w:t>6</w:t>
      </w:r>
      <w:r w:rsidR="001832F9">
        <w:rPr>
          <w:rFonts w:ascii="ＭＳ ゴシック" w:eastAsia="ＭＳ ゴシック" w:hAnsi="ＭＳ ゴシック" w:cs="ＭＳ ゴシック" w:hint="eastAsia"/>
          <w:lang w:eastAsia="ja-JP"/>
        </w:rPr>
        <w:t>章に定義する調査対象製品とは、</w:t>
      </w:r>
      <w:r w:rsidR="001832F9">
        <w:rPr>
          <w:lang w:eastAsia="ja-JP"/>
        </w:rPr>
        <w:t>GHG</w:t>
      </w:r>
      <w:r w:rsidR="001832F9">
        <w:rPr>
          <w:rFonts w:ascii="ＭＳ ゴシック" w:eastAsia="ＭＳ ゴシック" w:hAnsi="ＭＳ ゴシック" w:cs="ＭＳ ゴシック" w:hint="eastAsia"/>
          <w:lang w:eastAsia="ja-JP"/>
        </w:rPr>
        <w:t>排出量算出を実施する製品です。副産物とは、調査対象製品のライフサイクルの中で生産され、他の製品のライフサイクルへの投入物として価値を持つものです。</w:t>
      </w:r>
      <w:r w:rsidR="001832F9">
        <w:rPr>
          <w:lang w:eastAsia="ja-JP"/>
        </w:rPr>
        <w:t xml:space="preserve"> </w:t>
      </w:r>
      <w:r w:rsidR="001832F9">
        <w:rPr>
          <w:rFonts w:ascii="ＭＳ ゴシック" w:eastAsia="ＭＳ ゴシック" w:hAnsi="ＭＳ ゴシック" w:cs="ＭＳ ゴシック" w:hint="eastAsia"/>
          <w:lang w:eastAsia="ja-JP"/>
        </w:rPr>
        <w:t>完全性と正確性の原則を遵守するために、会社は、共通のプロセスにおける総排出量と総削減量に対する研究対象製品と副産物の寄与を正確に反映するように排出量と除去量を配分しなければなりません。経済的価値のない副産物は廃棄物とみなされ、それゆえ排出量と除去量は配分されません</w:t>
      </w:r>
      <w:r w:rsidR="001832F9">
        <w:rPr>
          <w:rFonts w:ascii="ＭＳ ゴシック" w:eastAsia="ＭＳ ゴシック" w:hAnsi="ＭＳ ゴシック" w:cs="ＭＳ ゴシック" w:hint="eastAsia"/>
          <w:color w:val="545456"/>
          <w:lang w:eastAsia="ja-JP"/>
        </w:rPr>
        <w:t>。</w:t>
      </w:r>
    </w:p>
    <w:p w14:paraId="66848CB8" w14:textId="5CC15366" w:rsidR="0055291C" w:rsidRPr="0002463E" w:rsidRDefault="0002463E" w:rsidP="0002463E">
      <w:pPr>
        <w:pStyle w:val="a3"/>
        <w:spacing w:before="11"/>
        <w:rPr>
          <w:lang w:eastAsia="ja-JP"/>
        </w:rPr>
        <w:sectPr w:rsidR="0055291C" w:rsidRPr="0002463E">
          <w:type w:val="continuous"/>
          <w:pgSz w:w="12240" w:h="15840"/>
          <w:pgMar w:top="740" w:right="0" w:bottom="280" w:left="0" w:header="0" w:footer="859" w:gutter="0"/>
          <w:cols w:space="720"/>
        </w:sectPr>
      </w:pPr>
      <w:r>
        <w:rPr>
          <w:rFonts w:ascii="ＭＳ ゴシック" w:eastAsia="ＭＳ ゴシック" w:hAnsi="ＭＳ ゴシック" w:cs="ＭＳ ゴシック" w:hint="eastAsia"/>
          <w:b/>
          <w:noProof/>
          <w:color w:val="00ACA1"/>
          <w:sz w:val="20"/>
          <w:lang w:eastAsia="ja-JP"/>
        </w:rPr>
        <mc:AlternateContent>
          <mc:Choice Requires="wps">
            <w:drawing>
              <wp:anchor distT="0" distB="0" distL="114300" distR="114300" simplePos="0" relativeHeight="251485696" behindDoc="0" locked="0" layoutInCell="1" allowOverlap="1" wp14:anchorId="242E9D8D" wp14:editId="6E8629B4">
                <wp:simplePos x="0" y="0"/>
                <wp:positionH relativeFrom="column">
                  <wp:posOffset>4038600</wp:posOffset>
                </wp:positionH>
                <wp:positionV relativeFrom="paragraph">
                  <wp:posOffset>23495</wp:posOffset>
                </wp:positionV>
                <wp:extent cx="2923540" cy="946150"/>
                <wp:effectExtent l="0" t="0" r="0" b="6350"/>
                <wp:wrapNone/>
                <wp:docPr id="96" name="四角形: 角を丸くする 96"/>
                <wp:cNvGraphicFramePr/>
                <a:graphic xmlns:a="http://schemas.openxmlformats.org/drawingml/2006/main">
                  <a:graphicData uri="http://schemas.microsoft.com/office/word/2010/wordprocessingShape">
                    <wps:wsp>
                      <wps:cNvSpPr/>
                      <wps:spPr>
                        <a:xfrm>
                          <a:off x="0" y="0"/>
                          <a:ext cx="2923540" cy="946150"/>
                        </a:xfrm>
                        <a:prstGeom prst="roundRect">
                          <a:avLst>
                            <a:gd name="adj" fmla="val 11636"/>
                          </a:avLst>
                        </a:prstGeom>
                        <a:solidFill>
                          <a:srgbClr val="70029C">
                            <a:alpha val="25098"/>
                          </a:srgbClr>
                        </a:solidFill>
                        <a:ln w="25400" cap="flat" cmpd="sng" algn="ctr">
                          <a:noFill/>
                          <a:prstDash val="solid"/>
                        </a:ln>
                        <a:effectLst/>
                      </wps:spPr>
                      <wps:txbx>
                        <w:txbxContent>
                          <w:p w14:paraId="7205201B" w14:textId="0D46912B" w:rsidR="0002463E" w:rsidRPr="001832F9" w:rsidRDefault="0002463E" w:rsidP="0002463E">
                            <w:pPr>
                              <w:spacing w:line="278" w:lineRule="auto"/>
                              <w:ind w:left="142" w:right="-83"/>
                              <w:rPr>
                                <w:b/>
                                <w:i/>
                                <w:iCs/>
                                <w:color w:val="000000" w:themeColor="text1"/>
                                <w:sz w:val="19"/>
                                <w:szCs w:val="19"/>
                                <w:lang w:eastAsia="ja-JP"/>
                              </w:rPr>
                            </w:pPr>
                            <w:r w:rsidRPr="0002463E">
                              <w:rPr>
                                <w:rFonts w:ascii="ＭＳ ゴシック" w:eastAsia="ＭＳ ゴシック" w:hAnsi="ＭＳ ゴシック" w:cs="ＭＳ ゴシック" w:hint="eastAsia"/>
                                <w:b/>
                                <w:i/>
                                <w:iCs/>
                                <w:color w:val="000000" w:themeColor="text1"/>
                                <w:sz w:val="19"/>
                                <w:szCs w:val="19"/>
                                <w:lang w:eastAsia="ja-JP"/>
                              </w:rPr>
                              <w:t>企業は、工程の細分化、機能単位の再定義、またはシステム拡張の使用により、可能な限り割り当てを回避しなければならない。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2E9D8D" id="四角形: 角を丸くする 96" o:spid="_x0000_s1120" style="position:absolute;margin-left:318pt;margin-top:1.85pt;width:230.2pt;height:74.5pt;z-index:2514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6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" fillcolor="#70029c" stroked="f" strokeweight="2pt">
                <v:fill opacity="16448f"/>
                <v:textbox>
                  <w:txbxContent>
                    <w:p w14:paraId="7205201B" w14:textId="0D46912B" w:rsidR="0002463E" w:rsidRPr="001832F9" w:rsidRDefault="0002463E" w:rsidP="0002463E">
                      <w:pPr>
                        <w:spacing w:line="278" w:lineRule="auto"/>
                        <w:ind w:left="142" w:right="-83"/>
                        <w:rPr>
                          <w:b/>
                          <w:i/>
                          <w:iCs/>
                          <w:color w:val="000000" w:themeColor="text1"/>
                          <w:sz w:val="19"/>
                          <w:szCs w:val="19"/>
                          <w:lang w:eastAsia="ja-JP"/>
                        </w:rPr>
                      </w:pPr>
                      <w:r w:rsidRPr="0002463E">
                        <w:rPr>
                          <w:rFonts w:ascii="ＭＳ ゴシック" w:eastAsia="ＭＳ ゴシック" w:hAnsi="ＭＳ ゴシック" w:cs="ＭＳ ゴシック" w:hint="eastAsia"/>
                          <w:b/>
                          <w:i/>
                          <w:iCs/>
                          <w:color w:val="000000" w:themeColor="text1"/>
                          <w:sz w:val="19"/>
                          <w:szCs w:val="19"/>
                          <w:lang w:eastAsia="ja-JP"/>
                        </w:rPr>
                        <w:t>企業は、工程の細分化、機能単位の再定義、またはシステム拡張の使用により、可能な限り割り当てを回避しなければならない。</w:t>
                      </w:r>
                    </w:p>
                  </w:txbxContent>
                </v:textbox>
              </v:roundrect>
            </w:pict>
          </mc:Fallback>
        </mc:AlternateContent>
      </w:r>
      <w:r w:rsidR="00F23C61">
        <w:rPr>
          <w:noProof/>
        </w:rPr>
        <w:drawing>
          <wp:anchor distT="0" distB="0" distL="0" distR="0" simplePos="0" relativeHeight="251483648" behindDoc="0" locked="0" layoutInCell="1" allowOverlap="1" wp14:anchorId="3CAA8265" wp14:editId="06710BF0">
            <wp:simplePos x="0" y="0"/>
            <wp:positionH relativeFrom="page">
              <wp:posOffset>720001</wp:posOffset>
            </wp:positionH>
            <wp:positionV relativeFrom="paragraph">
              <wp:posOffset>1265788</wp:posOffset>
            </wp:positionV>
            <wp:extent cx="6327429" cy="3429000"/>
            <wp:effectExtent l="0" t="0" r="0" b="0"/>
            <wp:wrapTopAndBottom/>
            <wp:docPr id="25"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83.png"/>
                    <pic:cNvPicPr/>
                  </pic:nvPicPr>
                  <pic:blipFill>
                    <a:blip r:embed="rId210" cstate="print"/>
                    <a:stretch>
                      <a:fillRect/>
                    </a:stretch>
                  </pic:blipFill>
                  <pic:spPr>
                    <a:xfrm>
                      <a:off x="0" y="0"/>
                      <a:ext cx="6327429" cy="3429000"/>
                    </a:xfrm>
                    <a:prstGeom prst="rect">
                      <a:avLst/>
                    </a:prstGeom>
                  </pic:spPr>
                </pic:pic>
              </a:graphicData>
            </a:graphic>
          </wp:anchor>
        </w:drawing>
      </w:r>
      <w:r w:rsidR="00000000">
        <w:pict w14:anchorId="1D099708">
          <v:shape id="docshape978" o:spid="_x0000_s2843" style="position:absolute;margin-left:56.7pt;margin-top:379.35pt;width:498.65pt;height:.1pt;z-index:-251484672;mso-wrap-distance-left:0;mso-wrap-distance-right:0;mso-position-horizontal-relative:page;mso-position-vertical-relative:text" coordorigin="1134,7587" coordsize="9973,0" path="m1134,7587r9972,e" filled="f" strokecolor="#00aca1" strokeweight=".25pt">
            <v:path arrowok="t"/>
            <w10:wrap type="topAndBottom" anchorx="page"/>
          </v:shape>
        </w:pict>
      </w:r>
    </w:p>
    <w:p w14:paraId="0617653C" w14:textId="77777777" w:rsidR="0055291C" w:rsidRDefault="0055291C">
      <w:pPr>
        <w:pStyle w:val="a3"/>
        <w:rPr>
          <w:sz w:val="20"/>
          <w:lang w:eastAsia="ja-JP"/>
        </w:rPr>
      </w:pPr>
    </w:p>
    <w:p w14:paraId="4A9361F9" w14:textId="77777777" w:rsidR="0055291C" w:rsidRDefault="0055291C">
      <w:pPr>
        <w:pStyle w:val="a3"/>
        <w:rPr>
          <w:sz w:val="20"/>
          <w:lang w:eastAsia="ja-JP"/>
        </w:rPr>
      </w:pPr>
    </w:p>
    <w:p w14:paraId="1322699F" w14:textId="77777777" w:rsidR="0055291C" w:rsidRDefault="0055291C">
      <w:pPr>
        <w:pStyle w:val="a3"/>
        <w:rPr>
          <w:sz w:val="20"/>
          <w:lang w:eastAsia="ja-JP"/>
        </w:rPr>
      </w:pPr>
    </w:p>
    <w:p w14:paraId="2A3ABC46" w14:textId="77777777" w:rsidR="0055291C" w:rsidRDefault="0055291C">
      <w:pPr>
        <w:pStyle w:val="a3"/>
        <w:spacing w:before="4"/>
        <w:rPr>
          <w:sz w:val="24"/>
          <w:lang w:eastAsia="ja-JP"/>
        </w:rPr>
      </w:pPr>
    </w:p>
    <w:p w14:paraId="2A559628" w14:textId="77777777" w:rsidR="0055291C" w:rsidRDefault="00000000">
      <w:pPr>
        <w:spacing w:before="1"/>
        <w:ind w:right="1121"/>
        <w:jc w:val="right"/>
        <w:rPr>
          <w:rFonts w:ascii="Arial"/>
          <w:i/>
          <w:sz w:val="19"/>
          <w:lang w:eastAsia="ja-JP"/>
        </w:rPr>
      </w:pPr>
      <w:r>
        <w:pict w14:anchorId="13F3BEB0">
          <v:shape id="docshape979" o:spid="_x0000_s2842" style="position:absolute;left:0;text-align:left;margin-left:580.75pt;margin-top:-47.75pt;width:31.3pt;height:285.85pt;z-index:251604480;mso-position-horizontal-relative:page" coordorigin="11615,-955" coordsize="626,5717" path="m12240,-955r-625,l11615,4535r3,131l11643,4733r67,25l11842,4761r398,l12240,-955xe" fillcolor="#7f3f98" stroked="f">
            <v:path arrowok="t"/>
            <w10:wrap anchorx="page"/>
          </v:shape>
        </w:pict>
      </w:r>
      <w:r>
        <w:pict w14:anchorId="08E722EF">
          <v:shape id="docshape980" o:spid="_x0000_s2841" type="#_x0000_t202" style="position:absolute;left:0;text-align:left;margin-left:585.65pt;margin-top:25.9pt;width:17.7pt;height:180.55pt;z-index:251605504;mso-position-horizontal-relative:page" filled="f" stroked="f">
            <v:textbox style="layout-flow:vertical;mso-layout-flow-alt:bottom-to-top;mso-next-textbox:#docshape980" inset="0,0,0,0">
              <w:txbxContent>
                <w:p w14:paraId="106FA0BC" w14:textId="77777777" w:rsidR="0055291C" w:rsidRDefault="00F23C61">
                  <w:pPr>
                    <w:spacing w:before="18"/>
                    <w:ind w:left="20"/>
                    <w:rPr>
                      <w:rFonts w:ascii="Arial"/>
                      <w:b/>
                      <w:i/>
                      <w:sz w:val="28"/>
                    </w:rPr>
                  </w:pPr>
                  <w:r>
                    <w:rPr>
                      <w:rFonts w:ascii="Arial"/>
                      <w:b/>
                      <w:i/>
                      <w:color w:val="F3F4F4"/>
                      <w:sz w:val="28"/>
                    </w:rPr>
                    <w:t>r</w:t>
                  </w:r>
                  <w:r>
                    <w:rPr>
                      <w:rFonts w:ascii="Arial"/>
                      <w:b/>
                      <w:i/>
                      <w:color w:val="F3F4F4"/>
                      <w:spacing w:val="79"/>
                      <w:sz w:val="28"/>
                    </w:rPr>
                    <w:t xml:space="preserve"> </w:t>
                  </w:r>
                  <w:r>
                    <w:rPr>
                      <w:rFonts w:ascii="Arial"/>
                      <w:b/>
                      <w:i/>
                      <w:color w:val="F3F4F4"/>
                      <w:sz w:val="28"/>
                    </w:rPr>
                    <w:t>e</w:t>
                  </w:r>
                  <w:r>
                    <w:rPr>
                      <w:rFonts w:ascii="Arial"/>
                      <w:b/>
                      <w:i/>
                      <w:color w:val="F3F4F4"/>
                      <w:spacing w:val="86"/>
                      <w:sz w:val="28"/>
                    </w:rPr>
                    <w:t xml:space="preserve"> </w:t>
                  </w:r>
                  <w:r>
                    <w:rPr>
                      <w:rFonts w:ascii="Arial"/>
                      <w:b/>
                      <w:i/>
                      <w:color w:val="F3F4F4"/>
                      <w:sz w:val="28"/>
                    </w:rPr>
                    <w:t>q</w:t>
                  </w:r>
                  <w:r>
                    <w:rPr>
                      <w:rFonts w:ascii="Arial"/>
                      <w:b/>
                      <w:i/>
                      <w:color w:val="F3F4F4"/>
                      <w:spacing w:val="86"/>
                      <w:sz w:val="28"/>
                    </w:rPr>
                    <w:t xml:space="preserve"> </w:t>
                  </w:r>
                  <w:r>
                    <w:rPr>
                      <w:rFonts w:ascii="Arial"/>
                      <w:b/>
                      <w:i/>
                      <w:color w:val="F3F4F4"/>
                      <w:sz w:val="28"/>
                    </w:rPr>
                    <w:t>u</w:t>
                  </w:r>
                  <w:r>
                    <w:rPr>
                      <w:rFonts w:ascii="Arial"/>
                      <w:b/>
                      <w:i/>
                      <w:color w:val="F3F4F4"/>
                      <w:spacing w:val="86"/>
                      <w:sz w:val="28"/>
                    </w:rPr>
                    <w:t xml:space="preserve"> </w:t>
                  </w:r>
                  <w:proofErr w:type="spellStart"/>
                  <w:r>
                    <w:rPr>
                      <w:rFonts w:ascii="Arial"/>
                      <w:b/>
                      <w:i/>
                      <w:color w:val="F3F4F4"/>
                      <w:sz w:val="28"/>
                    </w:rPr>
                    <w:t>i</w:t>
                  </w:r>
                  <w:proofErr w:type="spellEnd"/>
                  <w:r>
                    <w:rPr>
                      <w:rFonts w:ascii="Arial"/>
                      <w:b/>
                      <w:i/>
                      <w:color w:val="F3F4F4"/>
                      <w:spacing w:val="85"/>
                      <w:sz w:val="28"/>
                    </w:rPr>
                    <w:t xml:space="preserve"> </w:t>
                  </w:r>
                  <w:r>
                    <w:rPr>
                      <w:rFonts w:ascii="Arial"/>
                      <w:b/>
                      <w:i/>
                      <w:color w:val="F3F4F4"/>
                      <w:sz w:val="28"/>
                    </w:rPr>
                    <w:t>r</w:t>
                  </w:r>
                  <w:r>
                    <w:rPr>
                      <w:rFonts w:ascii="Arial"/>
                      <w:b/>
                      <w:i/>
                      <w:color w:val="F3F4F4"/>
                      <w:spacing w:val="80"/>
                      <w:sz w:val="28"/>
                    </w:rPr>
                    <w:t xml:space="preserve"> </w:t>
                  </w:r>
                  <w:r>
                    <w:rPr>
                      <w:rFonts w:ascii="Arial"/>
                      <w:b/>
                      <w:i/>
                      <w:color w:val="F3F4F4"/>
                      <w:sz w:val="28"/>
                    </w:rPr>
                    <w:t>e</w:t>
                  </w:r>
                  <w:r>
                    <w:rPr>
                      <w:rFonts w:ascii="Arial"/>
                      <w:b/>
                      <w:i/>
                      <w:color w:val="F3F4F4"/>
                      <w:spacing w:val="86"/>
                      <w:sz w:val="28"/>
                    </w:rPr>
                    <w:t xml:space="preserve"> </w:t>
                  </w:r>
                  <w:r>
                    <w:rPr>
                      <w:rFonts w:ascii="Arial"/>
                      <w:b/>
                      <w:i/>
                      <w:color w:val="F3F4F4"/>
                      <w:sz w:val="28"/>
                    </w:rPr>
                    <w:t>m</w:t>
                  </w:r>
                  <w:r>
                    <w:rPr>
                      <w:rFonts w:ascii="Arial"/>
                      <w:b/>
                      <w:i/>
                      <w:color w:val="F3F4F4"/>
                      <w:spacing w:val="86"/>
                      <w:sz w:val="28"/>
                    </w:rPr>
                    <w:t xml:space="preserve"> </w:t>
                  </w:r>
                  <w:r>
                    <w:rPr>
                      <w:rFonts w:ascii="Arial"/>
                      <w:b/>
                      <w:i/>
                      <w:color w:val="F3F4F4"/>
                      <w:sz w:val="28"/>
                    </w:rPr>
                    <w:t>e</w:t>
                  </w:r>
                  <w:r>
                    <w:rPr>
                      <w:rFonts w:ascii="Arial"/>
                      <w:b/>
                      <w:i/>
                      <w:color w:val="F3F4F4"/>
                      <w:spacing w:val="85"/>
                      <w:sz w:val="28"/>
                    </w:rPr>
                    <w:t xml:space="preserve"> </w:t>
                  </w:r>
                  <w:r>
                    <w:rPr>
                      <w:rFonts w:ascii="Arial"/>
                      <w:b/>
                      <w:i/>
                      <w:color w:val="F3F4F4"/>
                      <w:sz w:val="28"/>
                    </w:rPr>
                    <w:t>n</w:t>
                  </w:r>
                  <w:r>
                    <w:rPr>
                      <w:rFonts w:ascii="Arial"/>
                      <w:b/>
                      <w:i/>
                      <w:color w:val="F3F4F4"/>
                      <w:spacing w:val="86"/>
                      <w:sz w:val="28"/>
                    </w:rPr>
                    <w:t xml:space="preserve"> </w:t>
                  </w:r>
                  <w:r>
                    <w:rPr>
                      <w:rFonts w:ascii="Arial"/>
                      <w:b/>
                      <w:i/>
                      <w:color w:val="F3F4F4"/>
                      <w:w w:val="105"/>
                      <w:sz w:val="28"/>
                    </w:rPr>
                    <w:t xml:space="preserve">t  </w:t>
                  </w:r>
                  <w:r>
                    <w:rPr>
                      <w:rFonts w:ascii="Arial"/>
                      <w:b/>
                      <w:i/>
                      <w:color w:val="F3F4F4"/>
                      <w:sz w:val="28"/>
                    </w:rPr>
                    <w:t>s</w:t>
                  </w:r>
                </w:p>
              </w:txbxContent>
            </v:textbox>
            <w10:wrap anchorx="page"/>
          </v:shape>
        </w:pict>
      </w:r>
      <w:r w:rsidR="00F23C61">
        <w:rPr>
          <w:rFonts w:ascii="Arial"/>
          <w:b/>
          <w:i/>
          <w:color w:val="7F3F98"/>
          <w:sz w:val="19"/>
          <w:lang w:eastAsia="ja-JP"/>
        </w:rPr>
        <w:t>CHAPTER</w:t>
      </w:r>
      <w:r w:rsidR="00F23C61">
        <w:rPr>
          <w:rFonts w:ascii="Arial"/>
          <w:b/>
          <w:i/>
          <w:color w:val="7F3F98"/>
          <w:spacing w:val="14"/>
          <w:sz w:val="19"/>
          <w:lang w:eastAsia="ja-JP"/>
        </w:rPr>
        <w:t xml:space="preserve"> </w:t>
      </w:r>
      <w:r w:rsidR="00F23C61">
        <w:rPr>
          <w:rFonts w:ascii="Arial"/>
          <w:b/>
          <w:i/>
          <w:color w:val="7F3F98"/>
          <w:sz w:val="19"/>
          <w:lang w:eastAsia="ja-JP"/>
        </w:rPr>
        <w:t>09</w:t>
      </w:r>
      <w:r w:rsidR="00F23C61">
        <w:rPr>
          <w:rFonts w:ascii="Arial"/>
          <w:b/>
          <w:i/>
          <w:color w:val="7F3F98"/>
          <w:spacing w:val="15"/>
          <w:sz w:val="19"/>
          <w:lang w:eastAsia="ja-JP"/>
        </w:rPr>
        <w:t xml:space="preserve"> </w:t>
      </w:r>
      <w:r w:rsidR="00F23C61">
        <w:rPr>
          <w:rFonts w:ascii="Arial"/>
          <w:i/>
          <w:color w:val="545456"/>
          <w:sz w:val="19"/>
          <w:lang w:eastAsia="ja-JP"/>
        </w:rPr>
        <w:t>Allocation</w:t>
      </w:r>
    </w:p>
    <w:p w14:paraId="306E565F" w14:textId="77777777" w:rsidR="0055291C" w:rsidRDefault="0055291C">
      <w:pPr>
        <w:pStyle w:val="a3"/>
        <w:rPr>
          <w:rFonts w:ascii="Arial"/>
          <w:i/>
          <w:sz w:val="20"/>
          <w:lang w:eastAsia="ja-JP"/>
        </w:rPr>
      </w:pPr>
    </w:p>
    <w:p w14:paraId="13F44C30" w14:textId="0DC241BB" w:rsidR="0055291C" w:rsidRDefault="0055291C">
      <w:pPr>
        <w:pStyle w:val="a3"/>
        <w:spacing w:before="5"/>
        <w:rPr>
          <w:rFonts w:ascii="Arial"/>
          <w:i/>
          <w:sz w:val="25"/>
          <w:lang w:eastAsia="ja-JP"/>
        </w:rPr>
      </w:pPr>
    </w:p>
    <w:p w14:paraId="1E1B8077" w14:textId="77777777" w:rsidR="0055291C" w:rsidRDefault="0055291C">
      <w:pPr>
        <w:rPr>
          <w:rFonts w:ascii="Arial"/>
          <w:sz w:val="25"/>
          <w:lang w:eastAsia="ja-JP"/>
        </w:rPr>
        <w:sectPr w:rsidR="0055291C">
          <w:headerReference w:type="default" r:id="rId211"/>
          <w:pgSz w:w="12240" w:h="15840"/>
          <w:pgMar w:top="0" w:right="0" w:bottom="1040" w:left="0" w:header="0" w:footer="859" w:gutter="0"/>
          <w:cols w:space="720"/>
        </w:sectPr>
      </w:pPr>
    </w:p>
    <w:p w14:paraId="201C2375" w14:textId="2F4E4C04" w:rsidR="0055291C" w:rsidRDefault="0002463E">
      <w:pPr>
        <w:pStyle w:val="a3"/>
        <w:spacing w:before="102" w:line="312" w:lineRule="auto"/>
        <w:ind w:left="1133"/>
        <w:jc w:val="both"/>
        <w:rPr>
          <w:lang w:eastAsia="ja-JP"/>
        </w:rPr>
      </w:pPr>
      <w:r>
        <w:rPr>
          <w:rFonts w:ascii="ＭＳ ゴシック" w:eastAsia="ＭＳ ゴシック" w:hAnsi="ＭＳ ゴシック" w:cs="ＭＳ ゴシック" w:hint="eastAsia"/>
          <w:lang w:eastAsia="ja-JP"/>
        </w:rPr>
        <w:t>表</w:t>
      </w:r>
      <w:r>
        <w:rPr>
          <w:lang w:eastAsia="ja-JP"/>
        </w:rPr>
        <w:t>9.1</w:t>
      </w:r>
      <w:r>
        <w:rPr>
          <w:rFonts w:ascii="ＭＳ ゴシック" w:eastAsia="ＭＳ ゴシック" w:hAnsi="ＭＳ ゴシック" w:cs="ＭＳ ゴシック" w:hint="eastAsia"/>
          <w:lang w:eastAsia="ja-JP"/>
        </w:rPr>
        <w:t>は、企業が製品在庫における割り当ての使用を回避または最小化するために使用しなければならない方法を示しています。</w:t>
      </w:r>
    </w:p>
    <w:p w14:paraId="0E81AEF5" w14:textId="7060664B" w:rsidR="0055291C" w:rsidRDefault="00AA0876" w:rsidP="00AA0876">
      <w:pPr>
        <w:pStyle w:val="a3"/>
        <w:spacing w:before="102" w:line="312" w:lineRule="auto"/>
        <w:ind w:left="849" w:right="1351" w:firstLineChars="100" w:firstLine="201"/>
        <w:rPr>
          <w:lang w:eastAsia="ja-JP"/>
        </w:rPr>
        <w:sectPr w:rsidR="0055291C">
          <w:type w:val="continuous"/>
          <w:pgSz w:w="12240" w:h="15840"/>
          <w:pgMar w:top="740" w:right="0" w:bottom="280" w:left="0" w:header="0" w:footer="655" w:gutter="0"/>
          <w:cols w:num="2" w:space="720" w:equalWidth="0">
            <w:col w:w="5373" w:space="40"/>
            <w:col w:w="6827"/>
          </w:cols>
        </w:sectPr>
      </w:pPr>
      <w:r>
        <w:rPr>
          <w:rFonts w:ascii="ＭＳ ゴシック" w:eastAsia="ＭＳ ゴシック" w:hAnsi="ＭＳ ゴシック" w:cs="ＭＳ ゴシック" w:hint="eastAsia"/>
          <w:b/>
          <w:noProof/>
          <w:color w:val="00ACA1"/>
          <w:sz w:val="20"/>
          <w:lang w:eastAsia="ja-JP"/>
        </w:rPr>
        <mc:AlternateContent>
          <mc:Choice Requires="wps">
            <w:drawing>
              <wp:anchor distT="0" distB="0" distL="114300" distR="114300" simplePos="0" relativeHeight="251487744" behindDoc="0" locked="0" layoutInCell="1" allowOverlap="1" wp14:anchorId="42E778AD" wp14:editId="4ECAA68A">
                <wp:simplePos x="0" y="0"/>
                <wp:positionH relativeFrom="column">
                  <wp:posOffset>3962400</wp:posOffset>
                </wp:positionH>
                <wp:positionV relativeFrom="paragraph">
                  <wp:posOffset>5715</wp:posOffset>
                </wp:positionV>
                <wp:extent cx="2923540" cy="730250"/>
                <wp:effectExtent l="0" t="0" r="0" b="0"/>
                <wp:wrapTopAndBottom/>
                <wp:docPr id="100" name="四角形: 角を丸くする 100"/>
                <wp:cNvGraphicFramePr/>
                <a:graphic xmlns:a="http://schemas.openxmlformats.org/drawingml/2006/main">
                  <a:graphicData uri="http://schemas.microsoft.com/office/word/2010/wordprocessingShape">
                    <wps:wsp>
                      <wps:cNvSpPr/>
                      <wps:spPr>
                        <a:xfrm>
                          <a:off x="0" y="0"/>
                          <a:ext cx="2923540" cy="730250"/>
                        </a:xfrm>
                        <a:prstGeom prst="roundRect">
                          <a:avLst>
                            <a:gd name="adj" fmla="val 11636"/>
                          </a:avLst>
                        </a:prstGeom>
                        <a:solidFill>
                          <a:srgbClr val="70029C">
                            <a:alpha val="25098"/>
                          </a:srgbClr>
                        </a:solidFill>
                        <a:ln w="25400" cap="flat" cmpd="sng" algn="ctr">
                          <a:noFill/>
                          <a:prstDash val="solid"/>
                        </a:ln>
                        <a:effectLst/>
                      </wps:spPr>
                      <wps:txbx>
                        <w:txbxContent>
                          <w:p w14:paraId="5B4A5DB0" w14:textId="022E419E" w:rsidR="00AA0876" w:rsidRPr="001832F9" w:rsidRDefault="00AA0876" w:rsidP="00AA0876">
                            <w:pPr>
                              <w:spacing w:line="278" w:lineRule="auto"/>
                              <w:ind w:right="-83"/>
                              <w:rPr>
                                <w:b/>
                                <w:i/>
                                <w:iCs/>
                                <w:color w:val="000000" w:themeColor="text1"/>
                                <w:sz w:val="19"/>
                                <w:szCs w:val="19"/>
                                <w:lang w:eastAsia="ja-JP"/>
                              </w:rPr>
                            </w:pPr>
                            <w:r w:rsidRPr="00AA0876">
                              <w:rPr>
                                <w:rFonts w:ascii="ＭＳ ゴシック" w:eastAsia="ＭＳ ゴシック" w:hAnsi="ＭＳ ゴシック" w:cs="ＭＳ ゴシック" w:hint="eastAsia"/>
                                <w:b/>
                                <w:i/>
                                <w:iCs/>
                                <w:color w:val="000000" w:themeColor="text1"/>
                                <w:sz w:val="19"/>
                                <w:szCs w:val="19"/>
                                <w:lang w:eastAsia="ja-JP"/>
                              </w:rPr>
                              <w:t>企業は、製品のライフサイクルにおける類似のインプットとアウトプットに対して、同じ配分方法を適用しなければならない</w:t>
                            </w:r>
                          </w:p>
                          <w:p w14:paraId="4EF91595" w14:textId="219C46E7" w:rsidR="00AA0876" w:rsidRPr="001832F9" w:rsidRDefault="00AA0876" w:rsidP="00AA0876">
                            <w:pPr>
                              <w:spacing w:line="278" w:lineRule="auto"/>
                              <w:ind w:right="-83"/>
                              <w:rPr>
                                <w:b/>
                                <w:i/>
                                <w:iCs/>
                                <w:color w:val="000000" w:themeColor="text1"/>
                                <w:sz w:val="19"/>
                                <w:szCs w:val="19"/>
                                <w:lang w:eastAsia="ja-JP"/>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E778AD" id="四角形: 角を丸くする 100" o:spid="_x0000_s1121" style="position:absolute;left:0;text-align:left;margin-left:312pt;margin-top:.45pt;width:230.2pt;height:57.5pt;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6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" fillcolor="#70029c" stroked="f" strokeweight="2pt">
                <v:fill opacity="16448f"/>
                <v:textbox>
                  <w:txbxContent>
                    <w:p w14:paraId="5B4A5DB0" w14:textId="022E419E" w:rsidR="00AA0876" w:rsidRPr="001832F9" w:rsidRDefault="00AA0876" w:rsidP="00AA0876">
                      <w:pPr>
                        <w:spacing w:line="278" w:lineRule="auto"/>
                        <w:ind w:right="-83"/>
                        <w:rPr>
                          <w:b/>
                          <w:i/>
                          <w:iCs/>
                          <w:color w:val="000000" w:themeColor="text1"/>
                          <w:sz w:val="19"/>
                          <w:szCs w:val="19"/>
                          <w:lang w:eastAsia="ja-JP"/>
                        </w:rPr>
                      </w:pPr>
                      <w:r w:rsidRPr="00AA0876">
                        <w:rPr>
                          <w:rFonts w:ascii="ＭＳ ゴシック" w:eastAsia="ＭＳ ゴシック" w:hAnsi="ＭＳ ゴシック" w:cs="ＭＳ ゴシック" w:hint="eastAsia"/>
                          <w:b/>
                          <w:i/>
                          <w:iCs/>
                          <w:color w:val="000000" w:themeColor="text1"/>
                          <w:sz w:val="19"/>
                          <w:szCs w:val="19"/>
                          <w:lang w:eastAsia="ja-JP"/>
                        </w:rPr>
                        <w:t>企業は、製品のライフサイクルにおける類似のインプットとアウトプットに対して、同じ配分方法を適用しなければならない</w:t>
                      </w:r>
                    </w:p>
                    <w:p w14:paraId="4EF91595" w14:textId="219C46E7" w:rsidR="00AA0876" w:rsidRPr="001832F9" w:rsidRDefault="00AA0876" w:rsidP="00AA0876">
                      <w:pPr>
                        <w:spacing w:line="278" w:lineRule="auto"/>
                        <w:ind w:right="-83"/>
                        <w:rPr>
                          <w:b/>
                          <w:i/>
                          <w:iCs/>
                          <w:color w:val="000000" w:themeColor="text1"/>
                          <w:sz w:val="19"/>
                          <w:szCs w:val="19"/>
                          <w:lang w:eastAsia="ja-JP"/>
                        </w:rPr>
                      </w:pPr>
                    </w:p>
                  </w:txbxContent>
                </v:textbox>
                <w10:wrap type="topAndBottom"/>
              </v:roundrect>
            </w:pict>
          </mc:Fallback>
        </mc:AlternateContent>
      </w:r>
      <w:r w:rsidR="0002463E">
        <w:rPr>
          <w:rFonts w:ascii="ＭＳ ゴシック" w:eastAsia="ＭＳ ゴシック" w:hAnsi="ＭＳ ゴシック" w:cs="ＭＳ ゴシック" w:hint="eastAsia"/>
          <w:b/>
          <w:noProof/>
          <w:color w:val="00ACA1"/>
          <w:sz w:val="20"/>
          <w:lang w:eastAsia="ja-JP"/>
        </w:rPr>
        <mc:AlternateContent>
          <mc:Choice Requires="wps">
            <w:drawing>
              <wp:anchor distT="0" distB="0" distL="114300" distR="114300" simplePos="0" relativeHeight="251486720" behindDoc="0" locked="0" layoutInCell="1" allowOverlap="1" wp14:anchorId="55E917E8" wp14:editId="2BFAC7AB">
                <wp:simplePos x="0" y="0"/>
                <wp:positionH relativeFrom="column">
                  <wp:posOffset>806450</wp:posOffset>
                </wp:positionH>
                <wp:positionV relativeFrom="paragraph">
                  <wp:posOffset>240665</wp:posOffset>
                </wp:positionV>
                <wp:extent cx="2923540" cy="1651000"/>
                <wp:effectExtent l="0" t="0" r="0" b="6350"/>
                <wp:wrapNone/>
                <wp:docPr id="99" name="四角形: 角を丸くする 99"/>
                <wp:cNvGraphicFramePr/>
                <a:graphic xmlns:a="http://schemas.openxmlformats.org/drawingml/2006/main">
                  <a:graphicData uri="http://schemas.microsoft.com/office/word/2010/wordprocessingShape">
                    <wps:wsp>
                      <wps:cNvSpPr/>
                      <wps:spPr>
                        <a:xfrm>
                          <a:off x="0" y="0"/>
                          <a:ext cx="2923540" cy="1651000"/>
                        </a:xfrm>
                        <a:prstGeom prst="roundRect">
                          <a:avLst>
                            <a:gd name="adj" fmla="val 11636"/>
                          </a:avLst>
                        </a:prstGeom>
                        <a:solidFill>
                          <a:srgbClr val="70029C">
                            <a:alpha val="25098"/>
                          </a:srgbClr>
                        </a:solidFill>
                        <a:ln w="25400" cap="flat" cmpd="sng" algn="ctr">
                          <a:noFill/>
                          <a:prstDash val="solid"/>
                        </a:ln>
                        <a:effectLst/>
                      </wps:spPr>
                      <wps:txbx>
                        <w:txbxContent>
                          <w:p w14:paraId="2F4219F1" w14:textId="7DE1310D" w:rsidR="0002463E" w:rsidRPr="0002463E" w:rsidRDefault="0002463E" w:rsidP="0002463E">
                            <w:pPr>
                              <w:spacing w:line="278" w:lineRule="auto"/>
                              <w:ind w:right="-83"/>
                              <w:rPr>
                                <w:b/>
                                <w:i/>
                                <w:iCs/>
                                <w:color w:val="000000" w:themeColor="text1"/>
                                <w:sz w:val="19"/>
                                <w:szCs w:val="19"/>
                                <w:lang w:eastAsia="ja-JP"/>
                              </w:rPr>
                            </w:pPr>
                            <w:r w:rsidRPr="0002463E">
                              <w:rPr>
                                <w:rFonts w:ascii="ＭＳ ゴシック" w:eastAsia="ＭＳ ゴシック" w:hAnsi="ＭＳ ゴシック" w:cs="ＭＳ ゴシック" w:hint="eastAsia"/>
                                <w:b/>
                                <w:i/>
                                <w:iCs/>
                                <w:color w:val="000000" w:themeColor="text1"/>
                                <w:sz w:val="19"/>
                                <w:szCs w:val="19"/>
                                <w:lang w:eastAsia="ja-JP"/>
                              </w:rPr>
                              <w:t>割り当てが避けられない場合、企業は、調査の対象製品と副産物との間の基礎的な物理的関係に基づいて排出と削減を割り当てなければならない。</w:t>
                            </w:r>
                          </w:p>
                          <w:p w14:paraId="6D146556" w14:textId="43A24ED8" w:rsidR="0002463E" w:rsidRPr="001832F9" w:rsidRDefault="0002463E" w:rsidP="0002463E">
                            <w:pPr>
                              <w:spacing w:line="278" w:lineRule="auto"/>
                              <w:ind w:right="-83"/>
                              <w:rPr>
                                <w:b/>
                                <w:i/>
                                <w:iCs/>
                                <w:color w:val="000000" w:themeColor="text1"/>
                                <w:sz w:val="19"/>
                                <w:szCs w:val="19"/>
                                <w:lang w:eastAsia="ja-JP"/>
                              </w:rPr>
                            </w:pPr>
                            <w:r w:rsidRPr="0002463E">
                              <w:rPr>
                                <w:rFonts w:ascii="ＭＳ ゴシック" w:eastAsia="ＭＳ ゴシック" w:hAnsi="ＭＳ ゴシック" w:cs="ＭＳ ゴシック" w:hint="eastAsia"/>
                                <w:b/>
                                <w:i/>
                                <w:iCs/>
                                <w:color w:val="000000" w:themeColor="text1"/>
                                <w:sz w:val="19"/>
                                <w:szCs w:val="19"/>
                                <w:lang w:eastAsia="ja-JP"/>
                              </w:rPr>
                              <w:t>物理的な関係だけでは確定できない、あるいは配分の基礎として使用できない場合、経済的配分または他の関係を反映した配分方法を選択しなければならない</w:t>
                            </w:r>
                            <w:r>
                              <w:rPr>
                                <w:rFonts w:ascii="ＭＳ ゴシック" w:eastAsia="ＭＳ ゴシック" w:hAnsi="ＭＳ ゴシック" w:cs="ＭＳ ゴシック" w:hint="eastAsia"/>
                                <w:b/>
                                <w:i/>
                                <w:iCs/>
                                <w:color w:val="000000" w:themeColor="text1"/>
                                <w:sz w:val="19"/>
                                <w:szCs w:val="19"/>
                                <w:lang w:eastAsia="ja-JP"/>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E917E8" id="四角形: 角を丸くする 99" o:spid="_x0000_s1122" style="position:absolute;left:0;text-align:left;margin-left:63.5pt;margin-top:18.95pt;width:230.2pt;height:130pt;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6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" fillcolor="#70029c" stroked="f" strokeweight="2pt">
                <v:fill opacity="16448f"/>
                <v:textbox>
                  <w:txbxContent>
                    <w:p w14:paraId="2F4219F1" w14:textId="7DE1310D" w:rsidR="0002463E" w:rsidRPr="0002463E" w:rsidRDefault="0002463E" w:rsidP="0002463E">
                      <w:pPr>
                        <w:spacing w:line="278" w:lineRule="auto"/>
                        <w:ind w:right="-83"/>
                        <w:rPr>
                          <w:b/>
                          <w:i/>
                          <w:iCs/>
                          <w:color w:val="000000" w:themeColor="text1"/>
                          <w:sz w:val="19"/>
                          <w:szCs w:val="19"/>
                          <w:lang w:eastAsia="ja-JP"/>
                        </w:rPr>
                      </w:pPr>
                      <w:r w:rsidRPr="0002463E">
                        <w:rPr>
                          <w:rFonts w:ascii="ＭＳ ゴシック" w:eastAsia="ＭＳ ゴシック" w:hAnsi="ＭＳ ゴシック" w:cs="ＭＳ ゴシック" w:hint="eastAsia"/>
                          <w:b/>
                          <w:i/>
                          <w:iCs/>
                          <w:color w:val="000000" w:themeColor="text1"/>
                          <w:sz w:val="19"/>
                          <w:szCs w:val="19"/>
                          <w:lang w:eastAsia="ja-JP"/>
                        </w:rPr>
                        <w:t>割り当てが避けられない場合、企業は、調査の対象製品と副産物との間の基礎的な物理的関係に基づいて排出と削減を割り当てなければならない。</w:t>
                      </w:r>
                    </w:p>
                    <w:p w14:paraId="6D146556" w14:textId="43A24ED8" w:rsidR="0002463E" w:rsidRPr="001832F9" w:rsidRDefault="0002463E" w:rsidP="0002463E">
                      <w:pPr>
                        <w:spacing w:line="278" w:lineRule="auto"/>
                        <w:ind w:right="-83"/>
                        <w:rPr>
                          <w:b/>
                          <w:i/>
                          <w:iCs/>
                          <w:color w:val="000000" w:themeColor="text1"/>
                          <w:sz w:val="19"/>
                          <w:szCs w:val="19"/>
                          <w:lang w:eastAsia="ja-JP"/>
                        </w:rPr>
                      </w:pPr>
                      <w:r w:rsidRPr="0002463E">
                        <w:rPr>
                          <w:rFonts w:ascii="ＭＳ ゴシック" w:eastAsia="ＭＳ ゴシック" w:hAnsi="ＭＳ ゴシック" w:cs="ＭＳ ゴシック" w:hint="eastAsia"/>
                          <w:b/>
                          <w:i/>
                          <w:iCs/>
                          <w:color w:val="000000" w:themeColor="text1"/>
                          <w:sz w:val="19"/>
                          <w:szCs w:val="19"/>
                          <w:lang w:eastAsia="ja-JP"/>
                        </w:rPr>
                        <w:t>物理的な関係だけでは確定できない、あるいは配分の基礎として使用できない場合、経済的配分または他の関係を反映した配分方法を選択しなければならない</w:t>
                      </w:r>
                      <w:r>
                        <w:rPr>
                          <w:rFonts w:ascii="ＭＳ ゴシック" w:eastAsia="ＭＳ ゴシック" w:hAnsi="ＭＳ ゴシック" w:cs="ＭＳ ゴシック" w:hint="eastAsia"/>
                          <w:b/>
                          <w:i/>
                          <w:iCs/>
                          <w:color w:val="000000" w:themeColor="text1"/>
                          <w:sz w:val="19"/>
                          <w:szCs w:val="19"/>
                          <w:lang w:eastAsia="ja-JP"/>
                        </w:rPr>
                        <w:t>。</w:t>
                      </w:r>
                    </w:p>
                  </w:txbxContent>
                </v:textbox>
              </v:roundrect>
            </w:pict>
          </mc:Fallback>
        </mc:AlternateContent>
      </w:r>
      <w:r w:rsidR="00F23C61">
        <w:rPr>
          <w:lang w:eastAsia="ja-JP"/>
        </w:rPr>
        <w:br w:type="column"/>
      </w:r>
      <w:r>
        <w:rPr>
          <w:rFonts w:ascii="ＭＳ ゴシック" w:eastAsia="ＭＳ ゴシック" w:hAnsi="ＭＳ ゴシック" w:cs="ＭＳ ゴシック" w:hint="eastAsia"/>
          <w:lang w:eastAsia="ja-JP"/>
        </w:rPr>
        <w:t>表</w:t>
      </w:r>
      <w:r>
        <w:rPr>
          <w:lang w:eastAsia="ja-JP"/>
        </w:rPr>
        <w:t xml:space="preserve"> 9.2 </w:t>
      </w:r>
      <w:r>
        <w:rPr>
          <w:rFonts w:ascii="ＭＳ ゴシック" w:eastAsia="ＭＳ ゴシック" w:hAnsi="ＭＳ ゴシック" w:cs="ＭＳ ゴシック" w:hint="eastAsia"/>
          <w:lang w:eastAsia="ja-JP"/>
        </w:rPr>
        <w:t>は、物理的割り当てから順に、企業が割り当てを行うために使用しなければならない方法を示して</w:t>
      </w:r>
      <w:r>
        <w:rPr>
          <w:lang w:eastAsia="ja-JP"/>
        </w:rPr>
        <w:t xml:space="preserve"> </w:t>
      </w:r>
      <w:r>
        <w:rPr>
          <w:rFonts w:ascii="ＭＳ ゴシック" w:eastAsia="ＭＳ ゴシック" w:hAnsi="ＭＳ ゴシック" w:cs="ＭＳ ゴシック" w:hint="eastAsia"/>
          <w:lang w:eastAsia="ja-JP"/>
        </w:rPr>
        <w:t>います。</w:t>
      </w:r>
    </w:p>
    <w:p w14:paraId="2021A7AD" w14:textId="49E646D7" w:rsidR="0055291C" w:rsidRDefault="0055291C">
      <w:pPr>
        <w:pStyle w:val="a3"/>
        <w:ind w:left="6261"/>
        <w:rPr>
          <w:sz w:val="20"/>
          <w:lang w:eastAsia="ja-JP"/>
        </w:rPr>
      </w:pPr>
    </w:p>
    <w:p w14:paraId="462A53F1" w14:textId="77777777" w:rsidR="0055291C" w:rsidRDefault="0055291C">
      <w:pPr>
        <w:pStyle w:val="a3"/>
        <w:spacing w:before="8"/>
        <w:rPr>
          <w:sz w:val="12"/>
          <w:lang w:eastAsia="ja-JP"/>
        </w:rPr>
      </w:pPr>
    </w:p>
    <w:p w14:paraId="60E311F3" w14:textId="0AB97352" w:rsidR="0055291C" w:rsidRDefault="00AA0876" w:rsidP="00AA0876">
      <w:pPr>
        <w:pStyle w:val="a3"/>
        <w:spacing w:before="102" w:line="312" w:lineRule="auto"/>
        <w:ind w:left="6261" w:right="1190" w:firstLineChars="100" w:firstLine="201"/>
        <w:rPr>
          <w:lang w:eastAsia="ja-JP"/>
        </w:rPr>
      </w:pPr>
      <w:r>
        <w:rPr>
          <w:rFonts w:ascii="ＭＳ ゴシック" w:eastAsia="ＭＳ ゴシック" w:hAnsi="ＭＳ ゴシック" w:cs="ＭＳ ゴシック" w:hint="eastAsia"/>
          <w:b/>
          <w:noProof/>
          <w:color w:val="00ACA1"/>
          <w:sz w:val="20"/>
          <w:lang w:eastAsia="ja-JP"/>
        </w:rPr>
        <mc:AlternateContent>
          <mc:Choice Requires="wps">
            <w:drawing>
              <wp:anchor distT="0" distB="0" distL="114300" distR="114300" simplePos="0" relativeHeight="251488768" behindDoc="0" locked="0" layoutInCell="1" allowOverlap="1" wp14:anchorId="72476BF3" wp14:editId="4F63D78B">
                <wp:simplePos x="0" y="0"/>
                <wp:positionH relativeFrom="column">
                  <wp:posOffset>4006850</wp:posOffset>
                </wp:positionH>
                <wp:positionV relativeFrom="paragraph">
                  <wp:posOffset>1181100</wp:posOffset>
                </wp:positionV>
                <wp:extent cx="2923540" cy="889000"/>
                <wp:effectExtent l="0" t="0" r="0" b="6350"/>
                <wp:wrapTopAndBottom/>
                <wp:docPr id="101" name="四角形: 角を丸くする 101"/>
                <wp:cNvGraphicFramePr/>
                <a:graphic xmlns:a="http://schemas.openxmlformats.org/drawingml/2006/main">
                  <a:graphicData uri="http://schemas.microsoft.com/office/word/2010/wordprocessingShape">
                    <wps:wsp>
                      <wps:cNvSpPr/>
                      <wps:spPr>
                        <a:xfrm>
                          <a:off x="0" y="0"/>
                          <a:ext cx="2923540" cy="889000"/>
                        </a:xfrm>
                        <a:prstGeom prst="roundRect">
                          <a:avLst>
                            <a:gd name="adj" fmla="val 11636"/>
                          </a:avLst>
                        </a:prstGeom>
                        <a:solidFill>
                          <a:srgbClr val="70029C">
                            <a:alpha val="25098"/>
                          </a:srgbClr>
                        </a:solidFill>
                        <a:ln w="25400" cap="flat" cmpd="sng" algn="ctr">
                          <a:noFill/>
                          <a:prstDash val="solid"/>
                        </a:ln>
                        <a:effectLst/>
                      </wps:spPr>
                      <wps:txbx>
                        <w:txbxContent>
                          <w:p w14:paraId="4E6BE15A" w14:textId="41D1E563" w:rsidR="00AA0876" w:rsidRPr="00AA0876" w:rsidRDefault="00AA0876" w:rsidP="00AA0876">
                            <w:pPr>
                              <w:spacing w:line="278" w:lineRule="auto"/>
                              <w:ind w:right="-83"/>
                              <w:rPr>
                                <w:b/>
                                <w:i/>
                                <w:iCs/>
                                <w:color w:val="000000" w:themeColor="text1"/>
                                <w:sz w:val="19"/>
                                <w:szCs w:val="19"/>
                                <w:lang w:eastAsia="ja-JP"/>
                              </w:rPr>
                            </w:pPr>
                            <w:r w:rsidRPr="00AA0876">
                              <w:rPr>
                                <w:rFonts w:ascii="ＭＳ ゴシック" w:eastAsia="ＭＳ ゴシック" w:hAnsi="ＭＳ ゴシック" w:cs="ＭＳ ゴシック" w:hint="eastAsia"/>
                                <w:b/>
                                <w:i/>
                                <w:iCs/>
                                <w:color w:val="000000" w:themeColor="text1"/>
                                <w:sz w:val="20"/>
                                <w:lang w:eastAsia="ja-JP"/>
                              </w:rPr>
                              <w:t>リサイクルによる割り当てについては、本基準で規定するクローズドループ近似法またはリサイクル含有率法のいずれかを用いなければならない。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476BF3" id="四角形: 角を丸くする 101" o:spid="_x0000_s1123" style="position:absolute;left:0;text-align:left;margin-left:315.5pt;margin-top:93pt;width:230.2pt;height:70pt;z-index:2514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6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" fillcolor="#70029c" stroked="f" strokeweight="2pt">
                <v:fill opacity="16448f"/>
                <v:textbox>
                  <w:txbxContent>
                    <w:p w14:paraId="4E6BE15A" w14:textId="41D1E563" w:rsidR="00AA0876" w:rsidRPr="00AA0876" w:rsidRDefault="00AA0876" w:rsidP="00AA0876">
                      <w:pPr>
                        <w:spacing w:line="278" w:lineRule="auto"/>
                        <w:ind w:right="-83"/>
                        <w:rPr>
                          <w:b/>
                          <w:i/>
                          <w:iCs/>
                          <w:color w:val="000000" w:themeColor="text1"/>
                          <w:sz w:val="19"/>
                          <w:szCs w:val="19"/>
                          <w:lang w:eastAsia="ja-JP"/>
                        </w:rPr>
                      </w:pPr>
                      <w:r w:rsidRPr="00AA0876">
                        <w:rPr>
                          <w:rFonts w:ascii="ＭＳ ゴシック" w:eastAsia="ＭＳ ゴシック" w:hAnsi="ＭＳ ゴシック" w:cs="ＭＳ ゴシック" w:hint="eastAsia"/>
                          <w:b/>
                          <w:i/>
                          <w:iCs/>
                          <w:color w:val="000000" w:themeColor="text1"/>
                          <w:sz w:val="20"/>
                          <w:lang w:eastAsia="ja-JP"/>
                        </w:rPr>
                        <w:t>リサイクルによる割り当てについては、本基準で規定するクローズドループ近似法またはリサイクル含有率法のいずれかを用いなければならない。</w:t>
                      </w:r>
                    </w:p>
                  </w:txbxContent>
                </v:textbox>
                <w10:wrap type="topAndBottom"/>
              </v:roundrect>
            </w:pict>
          </mc:Fallback>
        </mc:AlternateContent>
      </w:r>
      <w:r>
        <w:rPr>
          <w:rFonts w:ascii="ＭＳ ゴシック" w:eastAsia="ＭＳ ゴシック" w:hAnsi="ＭＳ ゴシック" w:cs="ＭＳ ゴシック" w:hint="eastAsia"/>
          <w:lang w:eastAsia="ja-JP"/>
        </w:rPr>
        <w:t>一貫性の原則を守るため企業は、例えば割り当てられた副産物のアウトプットが、ライフサイクル内の別の</w:t>
      </w:r>
      <w:r>
        <w:rPr>
          <w:lang w:eastAsia="ja-JP"/>
        </w:rPr>
        <w:t xml:space="preserve"> </w:t>
      </w:r>
      <w:r>
        <w:rPr>
          <w:rFonts w:ascii="ＭＳ ゴシック" w:eastAsia="ＭＳ ゴシック" w:hAnsi="ＭＳ ゴシック" w:cs="ＭＳ ゴシック" w:hint="eastAsia"/>
          <w:lang w:eastAsia="ja-JP"/>
        </w:rPr>
        <w:t>プロセスのインプットでもある場合、類似のインプット</w:t>
      </w:r>
      <w:r>
        <w:rPr>
          <w:lang w:eastAsia="ja-JP"/>
        </w:rPr>
        <w:t xml:space="preserve"> </w:t>
      </w:r>
      <w:r>
        <w:rPr>
          <w:rFonts w:ascii="ＭＳ ゴシック" w:eastAsia="ＭＳ ゴシック" w:hAnsi="ＭＳ ゴシック" w:cs="ＭＳ ゴシック" w:hint="eastAsia"/>
          <w:lang w:eastAsia="ja-JP"/>
        </w:rPr>
        <w:t>とアウトプットに同じ割り当て方法を適用しなければな</w:t>
      </w:r>
      <w:r>
        <w:rPr>
          <w:lang w:eastAsia="ja-JP"/>
        </w:rPr>
        <w:t xml:space="preserve"> </w:t>
      </w:r>
      <w:r>
        <w:rPr>
          <w:rFonts w:ascii="ＭＳ ゴシック" w:eastAsia="ＭＳ ゴシック" w:hAnsi="ＭＳ ゴシック" w:cs="ＭＳ ゴシック" w:hint="eastAsia"/>
          <w:lang w:eastAsia="ja-JP"/>
        </w:rPr>
        <w:t>りません。</w:t>
      </w:r>
    </w:p>
    <w:p w14:paraId="02348979" w14:textId="0789CB63" w:rsidR="0055291C" w:rsidRDefault="0055291C">
      <w:pPr>
        <w:pStyle w:val="a3"/>
        <w:spacing w:before="2"/>
        <w:rPr>
          <w:sz w:val="29"/>
          <w:lang w:eastAsia="ja-JP"/>
        </w:rPr>
      </w:pPr>
    </w:p>
    <w:p w14:paraId="348A938A" w14:textId="1A79B8CF" w:rsidR="0055291C" w:rsidRDefault="0055291C">
      <w:pPr>
        <w:pStyle w:val="a3"/>
        <w:spacing w:before="7"/>
        <w:rPr>
          <w:sz w:val="29"/>
          <w:lang w:eastAsia="ja-JP"/>
        </w:rPr>
      </w:pPr>
    </w:p>
    <w:p w14:paraId="434AF1E6" w14:textId="5BA86962" w:rsidR="0055291C" w:rsidRDefault="00F23C61">
      <w:pPr>
        <w:pStyle w:val="6"/>
        <w:ind w:left="1195"/>
        <w:rPr>
          <w:lang w:eastAsia="ja-JP"/>
        </w:rPr>
      </w:pPr>
      <w:r>
        <w:rPr>
          <w:color w:val="00ACA1"/>
          <w:lang w:eastAsia="ja-JP"/>
        </w:rPr>
        <w:t>Table</w:t>
      </w:r>
      <w:r>
        <w:rPr>
          <w:color w:val="00ACA1"/>
          <w:spacing w:val="-14"/>
          <w:lang w:eastAsia="ja-JP"/>
        </w:rPr>
        <w:t xml:space="preserve"> </w:t>
      </w:r>
      <w:r>
        <w:rPr>
          <w:color w:val="00ACA1"/>
          <w:lang w:eastAsia="ja-JP"/>
        </w:rPr>
        <w:t>[9.1]</w:t>
      </w:r>
      <w:r>
        <w:rPr>
          <w:color w:val="00ACA1"/>
          <w:spacing w:val="-14"/>
          <w:lang w:eastAsia="ja-JP"/>
        </w:rPr>
        <w:t xml:space="preserve"> </w:t>
      </w:r>
      <w:r w:rsidR="002B677A">
        <w:rPr>
          <w:rFonts w:ascii="ＭＳ 明朝" w:eastAsia="ＭＳ 明朝" w:hAnsi="ＭＳ 明朝" w:cs="ＭＳ 明朝" w:hint="eastAsia"/>
          <w:color w:val="545456"/>
          <w:lang w:eastAsia="ja-JP"/>
        </w:rPr>
        <w:t>割り当てを防ぐための手法</w:t>
      </w:r>
    </w:p>
    <w:p w14:paraId="2D2ECA17" w14:textId="77777777" w:rsidR="0055291C" w:rsidRDefault="00000000">
      <w:pPr>
        <w:pStyle w:val="a3"/>
        <w:spacing w:before="2"/>
        <w:rPr>
          <w:rFonts w:ascii="Arial"/>
          <w:b/>
          <w:sz w:val="6"/>
          <w:lang w:eastAsia="ja-JP"/>
        </w:rPr>
      </w:pPr>
      <w:r>
        <w:pict w14:anchorId="6CBF8541">
          <v:group id="docshapegroup990" o:spid="_x0000_s2817" style="position:absolute;margin-left:52.25pt;margin-top:4.75pt;width:523.75pt;height:143.05pt;z-index:-251483648;mso-wrap-distance-left:0;mso-wrap-distance-right:0;mso-position-horizontal-relative:page" coordorigin="1045,95" coordsize="10475,2861">
            <v:shape id="docshape991" o:spid="_x0000_s2831" style="position:absolute;left:1154;top:95;width:2281;height:496" coordorigin="1155,95" coordsize="2281,496" path="m3265,95r-1940,l1226,98r-50,18l1157,167r-2,98l1155,590r2280,l3435,265r-3,-98l3414,116,3363,98r-98,-3xe" fillcolor="#00aca1" stroked="f">
              <v:path arrowok="t"/>
            </v:shape>
            <v:shape id="docshape992" o:spid="_x0000_s2830" style="position:absolute;left:1154;top:652;width:2281;height:2303" coordorigin="1155,653" coordsize="2281,2303" path="m3435,653r-2280,l1155,2785r2,98l1176,2934r50,19l1325,2955r1940,l3363,2953r51,-19l3432,2883r3,-98l3435,653xe" fillcolor="#f3f4f4" stroked="f">
              <v:path arrowok="t"/>
            </v:shape>
            <v:shape id="docshape993" o:spid="_x0000_s2829" style="position:absolute;left:3718;top:95;width:7409;height:496" coordorigin="3719,95" coordsize="7409,496" path="m10957,95r-7068,l3790,98r-50,18l3721,167r-2,98l3719,590r7408,l11127,265r-3,-98l11106,116r-51,-18l10957,95xe" fillcolor="#00aca1" stroked="f">
              <v:path arrowok="t"/>
            </v:shape>
            <v:shape id="docshape994" o:spid="_x0000_s2828" style="position:absolute;left:3718;top:652;width:7409;height:2303" coordorigin="3719,653" coordsize="7409,2303" path="m11127,653r-7408,l3719,2785r2,98l3740,2934r50,19l3889,2955r7068,l11055,2953r51,-19l11124,2883r3,-98l11127,653xe" fillcolor="#f3f4f4" stroked="f">
              <v:path arrowok="t"/>
            </v:shape>
            <v:line id="_x0000_s2827" style="position:absolute" from="1045,1202" to="11520,1202" strokecolor="white" strokeweight="2pt"/>
            <v:line id="_x0000_s2826" style="position:absolute" from="1045,1942" to="11520,1942" strokecolor="white" strokeweight="2pt"/>
            <v:shape id="docshape995" o:spid="_x0000_s2825" type="#_x0000_t202" style="position:absolute;left:1287;top:200;width:802;height:247" filled="f" stroked="f">
              <v:textbox style="mso-next-textbox:#docshape995" inset="0,0,0,0">
                <w:txbxContent>
                  <w:p w14:paraId="0525B92C" w14:textId="29949F73" w:rsidR="0055291C" w:rsidRDefault="00A81BA3">
                    <w:pPr>
                      <w:spacing w:line="247" w:lineRule="exact"/>
                      <w:rPr>
                        <w:rFonts w:ascii="Arial"/>
                        <w:b/>
                        <w:i/>
                      </w:rPr>
                    </w:pPr>
                    <w:r>
                      <w:rPr>
                        <w:rFonts w:ascii="ＭＳ ゴシック" w:eastAsia="ＭＳ ゴシック" w:hAnsi="ＭＳ ゴシック" w:cs="ＭＳ ゴシック" w:hint="eastAsia"/>
                        <w:b/>
                        <w:i/>
                        <w:color w:val="FFFFFF"/>
                        <w:lang w:eastAsia="ja-JP"/>
                      </w:rPr>
                      <w:t>方法</w:t>
                    </w:r>
                  </w:p>
                </w:txbxContent>
              </v:textbox>
            </v:shape>
            <v:shape id="docshape996" o:spid="_x0000_s2824" type="#_x0000_t202" style="position:absolute;left:3985;top:200;width:1041;height:247" filled="f" stroked="f">
              <v:textbox style="mso-next-textbox:#docshape996" inset="0,0,0,0">
                <w:txbxContent>
                  <w:p w14:paraId="37A1759F" w14:textId="52DD0BF3" w:rsidR="0055291C" w:rsidRDefault="00A81BA3">
                    <w:pPr>
                      <w:spacing w:line="247" w:lineRule="exact"/>
                      <w:rPr>
                        <w:rFonts w:ascii="Arial"/>
                        <w:b/>
                        <w:i/>
                      </w:rPr>
                    </w:pPr>
                    <w:r>
                      <w:rPr>
                        <w:rFonts w:ascii="ＭＳ ゴシック" w:eastAsia="ＭＳ ゴシック" w:hAnsi="ＭＳ ゴシック" w:cs="ＭＳ ゴシック" w:hint="eastAsia"/>
                        <w:b/>
                        <w:i/>
                        <w:color w:val="FFFFFF"/>
                        <w:lang w:eastAsia="ja-JP"/>
                      </w:rPr>
                      <w:t>定義</w:t>
                    </w:r>
                  </w:p>
                </w:txbxContent>
              </v:textbox>
            </v:shape>
            <v:shape id="docshape997" o:spid="_x0000_s2823" type="#_x0000_t202" style="position:absolute;left:1287;top:834;width:1787;height:213" filled="f" stroked="f">
              <v:textbox style="mso-next-textbox:#docshape997" inset="0,0,0,0">
                <w:txbxContent>
                  <w:p w14:paraId="1267DCDB" w14:textId="60B8DB22" w:rsidR="0055291C" w:rsidRDefault="002B677A">
                    <w:pPr>
                      <w:spacing w:line="213" w:lineRule="exact"/>
                      <w:rPr>
                        <w:rFonts w:ascii="Arial"/>
                        <w:b/>
                        <w:sz w:val="19"/>
                      </w:rPr>
                    </w:pPr>
                    <w:r>
                      <w:rPr>
                        <w:rFonts w:ascii="ＭＳ ゴシック" w:eastAsia="ＭＳ ゴシック" w:hAnsi="ＭＳ ゴシック" w:cs="ＭＳ ゴシック" w:hint="eastAsia"/>
                        <w:b/>
                        <w:color w:val="545456"/>
                        <w:w w:val="95"/>
                        <w:sz w:val="19"/>
                        <w:lang w:eastAsia="ja-JP"/>
                      </w:rPr>
                      <w:t>プロセス細分化</w:t>
                    </w:r>
                  </w:p>
                </w:txbxContent>
              </v:textbox>
            </v:shape>
            <v:shape id="docshape998" o:spid="_x0000_s2822" type="#_x0000_t202" style="position:absolute;left:3985;top:834;width:4171;height:213" filled="f" stroked="f">
              <v:textbox style="mso-next-textbox:#docshape998" inset="0,0,0,0">
                <w:txbxContent>
                  <w:p w14:paraId="04B9F080" w14:textId="00AE49D2" w:rsidR="0055291C" w:rsidRDefault="002B677A">
                    <w:pPr>
                      <w:spacing w:before="2" w:line="211" w:lineRule="exact"/>
                      <w:rPr>
                        <w:sz w:val="19"/>
                        <w:lang w:eastAsia="ja-JP"/>
                      </w:rPr>
                    </w:pPr>
                    <w:r>
                      <w:rPr>
                        <w:rFonts w:ascii="ＭＳ ゴシック" w:eastAsia="ＭＳ ゴシック" w:hAnsi="ＭＳ ゴシック" w:cs="ＭＳ ゴシック" w:hint="eastAsia"/>
                        <w:color w:val="545456"/>
                        <w:sz w:val="19"/>
                        <w:lang w:eastAsia="ja-JP"/>
                      </w:rPr>
                      <w:t>共通工程をサブ工程に分割する。</w:t>
                    </w:r>
                  </w:p>
                </w:txbxContent>
              </v:textbox>
            </v:shape>
            <v:shape id="docshape999" o:spid="_x0000_s2821" type="#_x0000_t202" style="position:absolute;left:1287;top:1374;width:1767;height:453" filled="f" stroked="f">
              <v:textbox style="mso-next-textbox:#docshape999" inset="0,0,0,0">
                <w:txbxContent>
                  <w:p w14:paraId="3EA5069F" w14:textId="76CFDCDF" w:rsidR="0055291C" w:rsidRDefault="002B677A">
                    <w:pPr>
                      <w:spacing w:line="264" w:lineRule="auto"/>
                      <w:rPr>
                        <w:rFonts w:ascii="Arial"/>
                        <w:b/>
                        <w:sz w:val="19"/>
                      </w:rPr>
                    </w:pPr>
                    <w:r>
                      <w:rPr>
                        <w:rFonts w:ascii="ＭＳ ゴシック" w:eastAsia="ＭＳ ゴシック" w:hAnsi="ＭＳ ゴシック" w:cs="ＭＳ ゴシック" w:hint="eastAsia"/>
                        <w:b/>
                        <w:color w:val="545456"/>
                        <w:sz w:val="19"/>
                        <w:lang w:eastAsia="ja-JP"/>
                      </w:rPr>
                      <w:t>分析単位の再定義</w:t>
                    </w:r>
                  </w:p>
                </w:txbxContent>
              </v:textbox>
            </v:shape>
            <v:shape id="docshape1000" o:spid="_x0000_s2820" type="#_x0000_t202" style="position:absolute;left:3985;top:1374;width:6062;height:213" filled="f" stroked="f">
              <v:textbox style="mso-next-textbox:#docshape1000" inset="0,0,0,0">
                <w:txbxContent>
                  <w:p w14:paraId="660DCCAB" w14:textId="3AAE66D0" w:rsidR="0055291C" w:rsidRPr="002B677A" w:rsidRDefault="002B677A">
                    <w:pPr>
                      <w:spacing w:before="2" w:line="211" w:lineRule="exact"/>
                      <w:rPr>
                        <w:sz w:val="19"/>
                        <w:szCs w:val="19"/>
                        <w:lang w:eastAsia="ja-JP"/>
                      </w:rPr>
                    </w:pPr>
                    <w:r w:rsidRPr="002B677A">
                      <w:rPr>
                        <w:rFonts w:ascii="ＭＳ ゴシック" w:eastAsia="ＭＳ ゴシック" w:hAnsi="ＭＳ ゴシック" w:cs="ＭＳ ゴシック" w:hint="eastAsia"/>
                        <w:sz w:val="19"/>
                        <w:szCs w:val="19"/>
                        <w:lang w:eastAsia="ja-JP"/>
                      </w:rPr>
                      <w:t>副産物（付加機能）を機能単位に含める</w:t>
                    </w:r>
                    <w:r>
                      <w:rPr>
                        <w:rFonts w:ascii="ＭＳ ゴシック" w:eastAsia="ＭＳ ゴシック" w:hAnsi="ＭＳ ゴシック" w:cs="ＭＳ ゴシック" w:hint="eastAsia"/>
                        <w:color w:val="545456"/>
                        <w:sz w:val="19"/>
                        <w:szCs w:val="19"/>
                        <w:lang w:eastAsia="ja-JP"/>
                      </w:rPr>
                      <w:t>。</w:t>
                    </w:r>
                  </w:p>
                </w:txbxContent>
              </v:textbox>
            </v:shape>
            <v:shape id="docshape1001" o:spid="_x0000_s2819" type="#_x0000_t202" style="position:absolute;left:1287;top:2094;width:1647;height:213" filled="f" stroked="f">
              <v:textbox style="mso-next-textbox:#docshape1001" inset="0,0,0,0">
                <w:txbxContent>
                  <w:p w14:paraId="38248FE5" w14:textId="244D59CA" w:rsidR="0055291C" w:rsidRDefault="002B677A">
                    <w:pPr>
                      <w:spacing w:line="213" w:lineRule="exact"/>
                      <w:rPr>
                        <w:rFonts w:ascii="Arial"/>
                        <w:b/>
                        <w:sz w:val="19"/>
                      </w:rPr>
                    </w:pPr>
                    <w:r>
                      <w:rPr>
                        <w:rFonts w:ascii="ＭＳ ゴシック" w:eastAsia="ＭＳ ゴシック" w:hAnsi="ＭＳ ゴシック" w:cs="ＭＳ ゴシック" w:hint="eastAsia"/>
                        <w:b/>
                        <w:color w:val="545456"/>
                        <w:w w:val="95"/>
                        <w:sz w:val="19"/>
                        <w:lang w:eastAsia="ja-JP"/>
                      </w:rPr>
                      <w:t>システム拡張</w:t>
                    </w:r>
                  </w:p>
                </w:txbxContent>
              </v:textbox>
            </v:shape>
            <v:shape id="docshape1002" o:spid="_x0000_s2818" type="#_x0000_t202" style="position:absolute;left:3985;top:2094;width:6984;height:693" filled="f" stroked="f">
              <v:textbox style="mso-next-textbox:#docshape1002" inset="0,0,0,0">
                <w:txbxContent>
                  <w:p w14:paraId="2BC6FD8F" w14:textId="3048FE4D" w:rsidR="0055291C" w:rsidRPr="002B677A" w:rsidRDefault="002B677A">
                    <w:pPr>
                      <w:spacing w:line="209" w:lineRule="exact"/>
                      <w:rPr>
                        <w:sz w:val="19"/>
                        <w:szCs w:val="19"/>
                        <w:lang w:eastAsia="ja-JP"/>
                      </w:rPr>
                    </w:pPr>
                    <w:r w:rsidRPr="002B677A">
                      <w:rPr>
                        <w:rFonts w:ascii="ＭＳ ゴシック" w:eastAsia="ＭＳ ゴシック" w:hAnsi="ＭＳ ゴシック" w:cs="ＭＳ ゴシック" w:hint="eastAsia"/>
                        <w:sz w:val="19"/>
                        <w:szCs w:val="19"/>
                        <w:lang w:eastAsia="ja-JP"/>
                      </w:rPr>
                      <w:t>副産物と同じ機能単位を構成する代替製品からの排出量を用いて、副産物の排出量を推定すること。企業が副産物の機能と最終的な用途を直接知っている場合にのみ適用される。</w:t>
                    </w:r>
                  </w:p>
                </w:txbxContent>
              </v:textbox>
            </v:shape>
            <w10:wrap type="topAndBottom" anchorx="page"/>
          </v:group>
        </w:pict>
      </w:r>
    </w:p>
    <w:p w14:paraId="770B9D68" w14:textId="77777777" w:rsidR="0055291C" w:rsidRDefault="0055291C">
      <w:pPr>
        <w:pStyle w:val="a3"/>
        <w:rPr>
          <w:rFonts w:ascii="Arial"/>
          <w:b/>
          <w:sz w:val="20"/>
          <w:lang w:eastAsia="ja-JP"/>
        </w:rPr>
      </w:pPr>
    </w:p>
    <w:p w14:paraId="13A2A2CF" w14:textId="77777777" w:rsidR="0055291C" w:rsidRDefault="0055291C">
      <w:pPr>
        <w:pStyle w:val="a3"/>
        <w:rPr>
          <w:rFonts w:ascii="Arial"/>
          <w:b/>
          <w:sz w:val="20"/>
          <w:lang w:eastAsia="ja-JP"/>
        </w:rPr>
      </w:pPr>
    </w:p>
    <w:p w14:paraId="614C94C5" w14:textId="77777777" w:rsidR="0055291C" w:rsidRDefault="0055291C">
      <w:pPr>
        <w:pStyle w:val="a3"/>
        <w:spacing w:before="10"/>
        <w:rPr>
          <w:rFonts w:ascii="Arial"/>
          <w:b/>
          <w:sz w:val="23"/>
          <w:lang w:eastAsia="ja-JP"/>
        </w:rPr>
      </w:pPr>
    </w:p>
    <w:p w14:paraId="51F444E6" w14:textId="1572A35B" w:rsidR="0055291C" w:rsidRDefault="00F23C61">
      <w:pPr>
        <w:ind w:left="1188"/>
        <w:rPr>
          <w:rFonts w:ascii="Arial"/>
          <w:b/>
          <w:sz w:val="20"/>
          <w:lang w:eastAsia="ja-JP"/>
        </w:rPr>
      </w:pPr>
      <w:r>
        <w:rPr>
          <w:rFonts w:ascii="Arial"/>
          <w:b/>
          <w:color w:val="00ACA1"/>
          <w:sz w:val="20"/>
          <w:lang w:eastAsia="ja-JP"/>
        </w:rPr>
        <w:t>Table</w:t>
      </w:r>
      <w:r>
        <w:rPr>
          <w:rFonts w:ascii="Arial"/>
          <w:b/>
          <w:color w:val="00ACA1"/>
          <w:spacing w:val="-6"/>
          <w:sz w:val="20"/>
          <w:lang w:eastAsia="ja-JP"/>
        </w:rPr>
        <w:t xml:space="preserve"> </w:t>
      </w:r>
      <w:r>
        <w:rPr>
          <w:rFonts w:ascii="Arial"/>
          <w:b/>
          <w:color w:val="00ACA1"/>
          <w:sz w:val="20"/>
          <w:lang w:eastAsia="ja-JP"/>
        </w:rPr>
        <w:t>[9.2]</w:t>
      </w:r>
      <w:r>
        <w:rPr>
          <w:rFonts w:ascii="Arial"/>
          <w:b/>
          <w:color w:val="00ACA1"/>
          <w:spacing w:val="-6"/>
          <w:sz w:val="20"/>
          <w:lang w:eastAsia="ja-JP"/>
        </w:rPr>
        <w:t xml:space="preserve"> </w:t>
      </w:r>
      <w:r w:rsidR="002B677A">
        <w:rPr>
          <w:rFonts w:ascii="ＭＳ ゴシック" w:eastAsia="ＭＳ ゴシック" w:hAnsi="ＭＳ ゴシック" w:cs="ＭＳ ゴシック" w:hint="eastAsia"/>
          <w:b/>
          <w:color w:val="545456"/>
          <w:sz w:val="20"/>
          <w:lang w:eastAsia="ja-JP"/>
        </w:rPr>
        <w:t>割り当ての実施方法</w:t>
      </w:r>
    </w:p>
    <w:p w14:paraId="230404A6" w14:textId="77777777" w:rsidR="0055291C" w:rsidRDefault="00000000">
      <w:pPr>
        <w:pStyle w:val="a3"/>
        <w:spacing w:before="11"/>
        <w:rPr>
          <w:rFonts w:ascii="Arial"/>
          <w:b/>
          <w:sz w:val="7"/>
          <w:lang w:eastAsia="ja-JP"/>
        </w:rPr>
      </w:pPr>
      <w:r>
        <w:pict w14:anchorId="0A67F74B">
          <v:group id="docshapegroup1003" o:spid="_x0000_s2802" style="position:absolute;margin-left:51.9pt;margin-top:5.8pt;width:523.75pt;height:149.05pt;z-index:-251482624;mso-wrap-distance-left:0;mso-wrap-distance-right:0;mso-position-horizontal-relative:page" coordorigin="1038,116" coordsize="10475,2981">
            <v:shape id="docshape1004" o:spid="_x0000_s2816" style="position:absolute;left:1148;top:115;width:2281;height:496" coordorigin="1148,116" coordsize="2281,496" path="m3258,116r-1940,l1220,118r-51,19l1151,187r-3,99l1148,611r2281,l3429,286r-3,-99l3407,137r-50,-19l3258,116xe" fillcolor="#00aca1" stroked="f">
              <v:path arrowok="t"/>
            </v:shape>
            <v:shape id="docshape1005" o:spid="_x0000_s2815" style="position:absolute;left:1148;top:673;width:2281;height:2423" coordorigin="1148,673" coordsize="2281,2423" path="m3429,673r-2281,l1148,2926r3,98l1169,3075r51,18l1318,3096r1940,l3357,3093r50,-18l3426,3024r3,-98l3429,673xe" fillcolor="#f3f4f4" stroked="f">
              <v:path arrowok="t"/>
            </v:shape>
            <v:shape id="docshape1006" o:spid="_x0000_s2814" style="position:absolute;left:3711;top:115;width:7409;height:496" coordorigin="3712,116" coordsize="7409,496" path="m10950,116r-7068,l3784,118r-51,19l3715,187r-3,99l3712,611r7408,l11120,286r-2,-99l11099,137r-50,-19l10950,116xe" fillcolor="#00aca1" stroked="f">
              <v:path arrowok="t"/>
            </v:shape>
            <v:shape id="docshape1007" o:spid="_x0000_s2813" style="position:absolute;left:3711;top:673;width:7409;height:2423" coordorigin="3712,673" coordsize="7409,2423" path="m11120,673r-7408,l3712,2926r3,98l3733,3075r51,18l3882,3096r7068,l11049,3093r50,-18l11118,3024r2,-98l11120,673xe" fillcolor="#f3f4f4" stroked="f">
              <v:path arrowok="t"/>
            </v:shape>
            <v:line id="_x0000_s2812" style="position:absolute" from="1038,1605" to="11513,1605" strokecolor="white" strokeweight="2pt"/>
            <v:line id="_x0000_s2811" style="position:absolute" from="1038,2314" to="11513,2314" strokecolor="white" strokeweight="2pt"/>
            <v:shape id="docshape1008" o:spid="_x0000_s2810" type="#_x0000_t202" style="position:absolute;left:1280;top:220;width:802;height:247" filled="f" stroked="f">
              <v:textbox style="mso-next-textbox:#docshape1008" inset="0,0,0,0">
                <w:txbxContent>
                  <w:p w14:paraId="13C4D9E2" w14:textId="2F7BEBF9" w:rsidR="0055291C" w:rsidRDefault="00A81BA3">
                    <w:pPr>
                      <w:spacing w:line="247" w:lineRule="exact"/>
                      <w:rPr>
                        <w:rFonts w:ascii="Arial"/>
                        <w:b/>
                        <w:i/>
                      </w:rPr>
                    </w:pPr>
                    <w:r>
                      <w:rPr>
                        <w:rFonts w:ascii="ＭＳ ゴシック" w:eastAsia="ＭＳ ゴシック" w:hAnsi="ＭＳ ゴシック" w:cs="ＭＳ ゴシック" w:hint="eastAsia"/>
                        <w:b/>
                        <w:i/>
                        <w:color w:val="FFFFFF"/>
                        <w:lang w:eastAsia="ja-JP"/>
                      </w:rPr>
                      <w:t>方法</w:t>
                    </w:r>
                  </w:p>
                </w:txbxContent>
              </v:textbox>
            </v:shape>
            <v:shape id="docshape1009" o:spid="_x0000_s2809" type="#_x0000_t202" style="position:absolute;left:3979;top:220;width:1041;height:247" filled="f" stroked="f">
              <v:textbox style="mso-next-textbox:#docshape1009" inset="0,0,0,0">
                <w:txbxContent>
                  <w:p w14:paraId="2684DFDC" w14:textId="5E0D76F3" w:rsidR="0055291C" w:rsidRDefault="00A81BA3">
                    <w:pPr>
                      <w:spacing w:line="247" w:lineRule="exact"/>
                      <w:rPr>
                        <w:rFonts w:ascii="Arial"/>
                        <w:b/>
                        <w:i/>
                      </w:rPr>
                    </w:pPr>
                    <w:r>
                      <w:rPr>
                        <w:rFonts w:ascii="ＭＳ ゴシック" w:eastAsia="ＭＳ ゴシック" w:hAnsi="ＭＳ ゴシック" w:cs="ＭＳ ゴシック" w:hint="eastAsia"/>
                        <w:b/>
                        <w:i/>
                        <w:color w:val="FFFFFF"/>
                        <w:lang w:eastAsia="ja-JP"/>
                      </w:rPr>
                      <w:t>定義</w:t>
                    </w:r>
                  </w:p>
                </w:txbxContent>
              </v:textbox>
            </v:shape>
            <v:shape id="docshape1010" o:spid="_x0000_s2808" type="#_x0000_t202" style="position:absolute;left:1280;top:784;width:1706;height:213" filled="f" stroked="f">
              <v:textbox style="mso-next-textbox:#docshape1010" inset="0,0,0,0">
                <w:txbxContent>
                  <w:p w14:paraId="7E1ED8C8" w14:textId="24EECD24" w:rsidR="0055291C" w:rsidRDefault="002B677A">
                    <w:pPr>
                      <w:spacing w:line="213" w:lineRule="exact"/>
                      <w:rPr>
                        <w:rFonts w:ascii="Arial"/>
                        <w:b/>
                        <w:sz w:val="19"/>
                      </w:rPr>
                    </w:pPr>
                    <w:r>
                      <w:rPr>
                        <w:rFonts w:ascii="ＭＳ ゴシック" w:eastAsia="ＭＳ ゴシック" w:hAnsi="ＭＳ ゴシック" w:cs="ＭＳ ゴシック" w:hint="eastAsia"/>
                        <w:b/>
                        <w:color w:val="545456"/>
                        <w:spacing w:val="-1"/>
                        <w:sz w:val="19"/>
                        <w:lang w:eastAsia="ja-JP"/>
                      </w:rPr>
                      <w:t>物理的割り当て</w:t>
                    </w:r>
                  </w:p>
                </w:txbxContent>
              </v:textbox>
            </v:shape>
            <v:shape id="docshape1011" o:spid="_x0000_s2807" type="#_x0000_t202" style="position:absolute;left:3979;top:784;width:6896;height:693" filled="f" stroked="f">
              <v:textbox style="mso-next-textbox:#docshape1011" inset="0,0,0,0">
                <w:txbxContent>
                  <w:p w14:paraId="09B22B0B" w14:textId="16EBA69A" w:rsidR="0055291C" w:rsidRDefault="002B677A">
                    <w:pPr>
                      <w:spacing w:line="209" w:lineRule="exact"/>
                      <w:rPr>
                        <w:sz w:val="19"/>
                        <w:lang w:eastAsia="ja-JP"/>
                      </w:rPr>
                    </w:pPr>
                    <w:r>
                      <w:rPr>
                        <w:rFonts w:ascii="ＭＳ ゴシック" w:eastAsia="ＭＳ ゴシック" w:hAnsi="ＭＳ ゴシック" w:cs="ＭＳ ゴシック" w:hint="eastAsia"/>
                        <w:lang w:eastAsia="ja-JP"/>
                      </w:rPr>
                      <w:t>製品および副産物の量と発生する排出量の間の基礎的な物理的関係に基づいて、システムの入力と排出を割り当てること。</w:t>
                    </w:r>
                  </w:p>
                </w:txbxContent>
              </v:textbox>
            </v:shape>
            <v:shape id="docshape1012" o:spid="_x0000_s2806" type="#_x0000_t202" style="position:absolute;left:1280;top:1705;width:1828;height:213" filled="f" stroked="f">
              <v:textbox style="mso-next-textbox:#docshape1012" inset="0,0,0,0">
                <w:txbxContent>
                  <w:p w14:paraId="4A53C0F8" w14:textId="7196F0FC" w:rsidR="0055291C" w:rsidRDefault="002B677A">
                    <w:pPr>
                      <w:spacing w:line="213" w:lineRule="exact"/>
                      <w:rPr>
                        <w:rFonts w:ascii="Arial"/>
                        <w:b/>
                        <w:sz w:val="19"/>
                      </w:rPr>
                    </w:pPr>
                    <w:r>
                      <w:rPr>
                        <w:rFonts w:ascii="ＭＳ ゴシック" w:eastAsia="ＭＳ ゴシック" w:hAnsi="ＭＳ ゴシック" w:cs="ＭＳ ゴシック" w:hint="eastAsia"/>
                        <w:b/>
                        <w:color w:val="545456"/>
                        <w:w w:val="95"/>
                        <w:sz w:val="19"/>
                        <w:lang w:eastAsia="ja-JP"/>
                      </w:rPr>
                      <w:t>経済的割り当て</w:t>
                    </w:r>
                  </w:p>
                </w:txbxContent>
              </v:textbox>
            </v:shape>
            <v:shape id="docshape1013" o:spid="_x0000_s2805" type="#_x0000_t202" style="position:absolute;left:3979;top:1705;width:6924;height:453" filled="f" stroked="f">
              <v:textbox style="mso-next-textbox:#docshape1013" inset="0,0,0,0">
                <w:txbxContent>
                  <w:p w14:paraId="0686089A" w14:textId="3D1E5F47" w:rsidR="0055291C" w:rsidRDefault="002B677A">
                    <w:pPr>
                      <w:spacing w:before="25" w:line="211" w:lineRule="exact"/>
                      <w:rPr>
                        <w:sz w:val="19"/>
                        <w:lang w:eastAsia="ja-JP"/>
                      </w:rPr>
                    </w:pPr>
                    <w:r>
                      <w:rPr>
                        <w:rFonts w:ascii="ＭＳ ゴシック" w:eastAsia="ＭＳ ゴシック" w:hAnsi="ＭＳ ゴシック" w:cs="ＭＳ ゴシック" w:hint="eastAsia"/>
                        <w:lang w:eastAsia="ja-JP"/>
                      </w:rPr>
                      <w:t>製品および副産物の投入量と排出量を、共通のプロセスから出たときのそれぞれの市場価値に基づいて配分すること。</w:t>
                    </w:r>
                  </w:p>
                </w:txbxContent>
              </v:textbox>
            </v:shape>
            <v:shape id="docshape1014" o:spid="_x0000_s2804" type="#_x0000_t202" style="position:absolute;left:1280;top:2425;width:1793;height:213" filled="f" stroked="f">
              <v:textbox style="mso-next-textbox:#docshape1014" inset="0,0,0,0">
                <w:txbxContent>
                  <w:p w14:paraId="534BC293" w14:textId="3D66D5F6" w:rsidR="0055291C" w:rsidRPr="002B677A" w:rsidRDefault="002B677A">
                    <w:pPr>
                      <w:spacing w:line="213" w:lineRule="exact"/>
                      <w:rPr>
                        <w:rFonts w:ascii="ＭＳ ゴシック" w:eastAsia="ＭＳ ゴシック" w:hAnsi="ＭＳ ゴシック" w:cs="ＭＳ ゴシック"/>
                        <w:b/>
                        <w:sz w:val="19"/>
                        <w:lang w:eastAsia="ja-JP"/>
                      </w:rPr>
                    </w:pPr>
                    <w:r>
                      <w:rPr>
                        <w:rFonts w:ascii="ＭＳ ゴシック" w:eastAsia="ＭＳ ゴシック" w:hAnsi="ＭＳ ゴシック" w:cs="ＭＳ ゴシック" w:hint="eastAsia"/>
                        <w:b/>
                        <w:color w:val="545456"/>
                        <w:sz w:val="19"/>
                        <w:lang w:eastAsia="ja-JP"/>
                      </w:rPr>
                      <w:t>その他の関係</w:t>
                    </w:r>
                  </w:p>
                </w:txbxContent>
              </v:textbox>
            </v:shape>
            <v:shape id="docshape1015" o:spid="_x0000_s2803" type="#_x0000_t202" style="position:absolute;left:3979;top:2425;width:6595;height:453" filled="f" stroked="f">
              <v:textbox style="mso-next-textbox:#docshape1015" inset="0,0,0,0">
                <w:txbxContent>
                  <w:p w14:paraId="516CB550" w14:textId="66966E7A" w:rsidR="0055291C" w:rsidRDefault="00A81BA3">
                    <w:pPr>
                      <w:spacing w:before="25" w:line="211" w:lineRule="exact"/>
                      <w:rPr>
                        <w:sz w:val="19"/>
                        <w:lang w:eastAsia="ja-JP"/>
                      </w:rPr>
                    </w:pPr>
                    <w:r>
                      <w:rPr>
                        <w:rFonts w:ascii="ＭＳ ゴシック" w:eastAsia="ＭＳ ゴシック" w:hAnsi="ＭＳ ゴシック" w:cs="ＭＳ ゴシック" w:hint="eastAsia"/>
                        <w:lang w:eastAsia="ja-JP"/>
                      </w:rPr>
                      <w:t>物理的、経済的な関係以外の確立された正当な関係に基づいて、投入量と排出量を製品と副産物に割り当てること</w:t>
                    </w:r>
                    <w:r>
                      <w:rPr>
                        <w:rFonts w:ascii="ＭＳ ゴシック" w:eastAsia="ＭＳ ゴシック" w:hAnsi="ＭＳ ゴシック" w:cs="ＭＳ ゴシック" w:hint="eastAsia"/>
                        <w:color w:val="545456"/>
                        <w:sz w:val="19"/>
                        <w:lang w:eastAsia="ja-JP"/>
                      </w:rPr>
                      <w:t>。</w:t>
                    </w:r>
                  </w:p>
                </w:txbxContent>
              </v:textbox>
            </v:shape>
            <w10:wrap type="topAndBottom" anchorx="page"/>
          </v:group>
        </w:pict>
      </w:r>
    </w:p>
    <w:p w14:paraId="6C3306A7" w14:textId="77777777" w:rsidR="0055291C" w:rsidRDefault="0055291C">
      <w:pPr>
        <w:rPr>
          <w:rFonts w:ascii="Arial"/>
          <w:sz w:val="7"/>
          <w:lang w:eastAsia="ja-JP"/>
        </w:rPr>
        <w:sectPr w:rsidR="0055291C">
          <w:type w:val="continuous"/>
          <w:pgSz w:w="12240" w:h="15840"/>
          <w:pgMar w:top="740" w:right="0" w:bottom="280" w:left="0" w:header="0" w:footer="655" w:gutter="0"/>
          <w:cols w:space="720"/>
        </w:sectPr>
      </w:pPr>
    </w:p>
    <w:p w14:paraId="7C933744" w14:textId="77777777" w:rsidR="0055291C" w:rsidRDefault="0055291C">
      <w:pPr>
        <w:pStyle w:val="a3"/>
        <w:rPr>
          <w:rFonts w:ascii="Arial"/>
          <w:b/>
          <w:sz w:val="20"/>
          <w:lang w:eastAsia="ja-JP"/>
        </w:rPr>
      </w:pPr>
    </w:p>
    <w:p w14:paraId="36BC1C9F" w14:textId="77777777" w:rsidR="0055291C" w:rsidRDefault="0055291C">
      <w:pPr>
        <w:pStyle w:val="a3"/>
        <w:rPr>
          <w:rFonts w:ascii="Arial"/>
          <w:b/>
          <w:sz w:val="20"/>
          <w:lang w:eastAsia="ja-JP"/>
        </w:rPr>
      </w:pPr>
    </w:p>
    <w:p w14:paraId="69A2CF69" w14:textId="77777777" w:rsidR="0055291C" w:rsidRDefault="0055291C">
      <w:pPr>
        <w:pStyle w:val="a3"/>
        <w:rPr>
          <w:rFonts w:ascii="Arial"/>
          <w:b/>
          <w:sz w:val="20"/>
          <w:lang w:eastAsia="ja-JP"/>
        </w:rPr>
      </w:pPr>
    </w:p>
    <w:p w14:paraId="25FBCC35" w14:textId="661EB2D2" w:rsidR="0055291C" w:rsidRDefault="002454D1">
      <w:pPr>
        <w:pStyle w:val="a3"/>
        <w:rPr>
          <w:rFonts w:ascii="Arial"/>
          <w:b/>
          <w:sz w:val="20"/>
          <w:lang w:eastAsia="ja-JP"/>
        </w:rPr>
      </w:pPr>
      <w:r>
        <w:rPr>
          <w:rFonts w:ascii="ＭＳ ゴシック" w:eastAsia="ＭＳ ゴシック" w:hAnsi="ＭＳ ゴシック" w:cs="ＭＳ ゴシック" w:hint="eastAsia"/>
          <w:b/>
          <w:noProof/>
          <w:color w:val="00ACA1"/>
          <w:sz w:val="20"/>
          <w:lang w:eastAsia="ja-JP"/>
        </w:rPr>
        <mc:AlternateContent>
          <mc:Choice Requires="wps">
            <w:drawing>
              <wp:anchor distT="0" distB="0" distL="114300" distR="114300" simplePos="0" relativeHeight="251489792" behindDoc="0" locked="0" layoutInCell="1" allowOverlap="1" wp14:anchorId="47873BFF" wp14:editId="4450E06A">
                <wp:simplePos x="0" y="0"/>
                <wp:positionH relativeFrom="column">
                  <wp:posOffset>4000500</wp:posOffset>
                </wp:positionH>
                <wp:positionV relativeFrom="paragraph">
                  <wp:posOffset>336550</wp:posOffset>
                </wp:positionV>
                <wp:extent cx="3009900" cy="1282700"/>
                <wp:effectExtent l="0" t="0" r="0" b="0"/>
                <wp:wrapTopAndBottom/>
                <wp:docPr id="102" name="四角形: 角を丸くする 102"/>
                <wp:cNvGraphicFramePr/>
                <a:graphic xmlns:a="http://schemas.openxmlformats.org/drawingml/2006/main">
                  <a:graphicData uri="http://schemas.microsoft.com/office/word/2010/wordprocessingShape">
                    <wps:wsp>
                      <wps:cNvSpPr/>
                      <wps:spPr>
                        <a:xfrm>
                          <a:off x="0" y="0"/>
                          <a:ext cx="3009900" cy="1282700"/>
                        </a:xfrm>
                        <a:prstGeom prst="roundRect">
                          <a:avLst>
                            <a:gd name="adj" fmla="val 11636"/>
                          </a:avLst>
                        </a:prstGeom>
                        <a:solidFill>
                          <a:srgbClr val="70029C">
                            <a:alpha val="25098"/>
                          </a:srgbClr>
                        </a:solidFill>
                        <a:ln w="25400" cap="flat" cmpd="sng" algn="ctr">
                          <a:noFill/>
                          <a:prstDash val="solid"/>
                        </a:ln>
                        <a:effectLst/>
                      </wps:spPr>
                      <wps:txbx>
                        <w:txbxContent>
                          <w:p w14:paraId="22609CBD" w14:textId="4E6C60C7" w:rsidR="007128EA" w:rsidRDefault="007128EA" w:rsidP="007128EA">
                            <w:pPr>
                              <w:spacing w:line="278" w:lineRule="auto"/>
                              <w:ind w:right="-83"/>
                              <w:rPr>
                                <w:rFonts w:ascii="ＭＳ ゴシック" w:eastAsia="ＭＳ ゴシック" w:hAnsi="ＭＳ ゴシック" w:cs="ＭＳ ゴシック"/>
                                <w:b/>
                                <w:i/>
                                <w:iCs/>
                                <w:color w:val="000000" w:themeColor="text1"/>
                                <w:sz w:val="19"/>
                                <w:szCs w:val="19"/>
                                <w:lang w:eastAsia="ja-JP"/>
                              </w:rPr>
                            </w:pPr>
                            <w:r w:rsidRPr="007128EA">
                              <w:rPr>
                                <w:rFonts w:ascii="ＭＳ ゴシック" w:eastAsia="ＭＳ ゴシック" w:hAnsi="ＭＳ ゴシック" w:cs="ＭＳ ゴシック" w:hint="eastAsia"/>
                                <w:b/>
                                <w:i/>
                                <w:iCs/>
                                <w:color w:val="000000" w:themeColor="text1"/>
                                <w:sz w:val="19"/>
                                <w:szCs w:val="19"/>
                                <w:lang w:eastAsia="ja-JP"/>
                              </w:rPr>
                              <w:t>クローズドループ近似法を用いる場合、企業は消息の分からない排出と削減をライフサイクルの使用済み段階と区別して報告しなければならない</w:t>
                            </w:r>
                            <w:r>
                              <w:rPr>
                                <w:rFonts w:ascii="ＭＳ ゴシック" w:eastAsia="ＭＳ ゴシック" w:hAnsi="ＭＳ ゴシック" w:cs="ＭＳ ゴシック" w:hint="eastAsia"/>
                                <w:b/>
                                <w:i/>
                                <w:iCs/>
                                <w:color w:val="000000" w:themeColor="text1"/>
                                <w:sz w:val="19"/>
                                <w:szCs w:val="19"/>
                                <w:lang w:eastAsia="ja-JP"/>
                              </w:rPr>
                              <w:t>。</w:t>
                            </w:r>
                          </w:p>
                          <w:p w14:paraId="2EC983BE" w14:textId="7CCBB251" w:rsidR="007128EA" w:rsidRPr="007128EA" w:rsidRDefault="007128EA" w:rsidP="007128EA">
                            <w:pPr>
                              <w:spacing w:line="278" w:lineRule="auto"/>
                              <w:ind w:right="-83"/>
                              <w:rPr>
                                <w:b/>
                                <w:i/>
                                <w:iCs/>
                                <w:color w:val="000000" w:themeColor="text1"/>
                                <w:sz w:val="19"/>
                                <w:szCs w:val="19"/>
                                <w:lang w:eastAsia="ja-JP"/>
                              </w:rPr>
                            </w:pPr>
                            <w:r w:rsidRPr="007128EA">
                              <w:rPr>
                                <w:rFonts w:ascii="ＭＳ ゴシック" w:eastAsia="ＭＳ ゴシック" w:hAnsi="ＭＳ ゴシック" w:cs="ＭＳ ゴシック" w:hint="eastAsia"/>
                                <w:b/>
                                <w:i/>
                                <w:iCs/>
                                <w:color w:val="000000" w:themeColor="text1"/>
                                <w:sz w:val="19"/>
                                <w:szCs w:val="19"/>
                                <w:lang w:eastAsia="ja-JP"/>
                              </w:rPr>
                              <w:t>企業は、割り当ての回避もしくは算出のために使用した方法を開示し、その正当性を証明しなければならない。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873BFF" id="四角形: 角を丸くする 102" o:spid="_x0000_s1124" style="position:absolute;margin-left:315pt;margin-top:26.5pt;width:237pt;height:101pt;z-index:2514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6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" fillcolor="#70029c" stroked="f" strokeweight="2pt">
                <v:fill opacity="16448f"/>
                <v:textbox>
                  <w:txbxContent>
                    <w:p w14:paraId="22609CBD" w14:textId="4E6C60C7" w:rsidR="007128EA" w:rsidRDefault="007128EA" w:rsidP="007128EA">
                      <w:pPr>
                        <w:spacing w:line="278" w:lineRule="auto"/>
                        <w:ind w:right="-83"/>
                        <w:rPr>
                          <w:rFonts w:ascii="ＭＳ ゴシック" w:eastAsia="ＭＳ ゴシック" w:hAnsi="ＭＳ ゴシック" w:cs="ＭＳ ゴシック"/>
                          <w:b/>
                          <w:i/>
                          <w:iCs/>
                          <w:color w:val="000000" w:themeColor="text1"/>
                          <w:sz w:val="19"/>
                          <w:szCs w:val="19"/>
                          <w:lang w:eastAsia="ja-JP"/>
                        </w:rPr>
                      </w:pPr>
                      <w:r w:rsidRPr="007128EA">
                        <w:rPr>
                          <w:rFonts w:ascii="ＭＳ ゴシック" w:eastAsia="ＭＳ ゴシック" w:hAnsi="ＭＳ ゴシック" w:cs="ＭＳ ゴシック" w:hint="eastAsia"/>
                          <w:b/>
                          <w:i/>
                          <w:iCs/>
                          <w:color w:val="000000" w:themeColor="text1"/>
                          <w:sz w:val="19"/>
                          <w:szCs w:val="19"/>
                          <w:lang w:eastAsia="ja-JP"/>
                        </w:rPr>
                        <w:t>クローズドループ近似法を用いる場合、企業は消息の分からない排出と削減をライフサイクルの使用済み段階と区別して報告しなければならない</w:t>
                      </w:r>
                      <w:r>
                        <w:rPr>
                          <w:rFonts w:ascii="ＭＳ ゴシック" w:eastAsia="ＭＳ ゴシック" w:hAnsi="ＭＳ ゴシック" w:cs="ＭＳ ゴシック" w:hint="eastAsia"/>
                          <w:b/>
                          <w:i/>
                          <w:iCs/>
                          <w:color w:val="000000" w:themeColor="text1"/>
                          <w:sz w:val="19"/>
                          <w:szCs w:val="19"/>
                          <w:lang w:eastAsia="ja-JP"/>
                        </w:rPr>
                        <w:t>。</w:t>
                      </w:r>
                    </w:p>
                    <w:p w14:paraId="2EC983BE" w14:textId="7CCBB251" w:rsidR="007128EA" w:rsidRPr="007128EA" w:rsidRDefault="007128EA" w:rsidP="007128EA">
                      <w:pPr>
                        <w:spacing w:line="278" w:lineRule="auto"/>
                        <w:ind w:right="-83"/>
                        <w:rPr>
                          <w:b/>
                          <w:i/>
                          <w:iCs/>
                          <w:color w:val="000000" w:themeColor="text1"/>
                          <w:sz w:val="19"/>
                          <w:szCs w:val="19"/>
                          <w:lang w:eastAsia="ja-JP"/>
                        </w:rPr>
                      </w:pPr>
                      <w:r w:rsidRPr="007128EA">
                        <w:rPr>
                          <w:rFonts w:ascii="ＭＳ ゴシック" w:eastAsia="ＭＳ ゴシック" w:hAnsi="ＭＳ ゴシック" w:cs="ＭＳ ゴシック" w:hint="eastAsia"/>
                          <w:b/>
                          <w:i/>
                          <w:iCs/>
                          <w:color w:val="000000" w:themeColor="text1"/>
                          <w:sz w:val="19"/>
                          <w:szCs w:val="19"/>
                          <w:lang w:eastAsia="ja-JP"/>
                        </w:rPr>
                        <w:t>企業は、割り当ての回避もしくは算出のために使用した方法を開示し、その正当性を証明しなければならない。</w:t>
                      </w:r>
                    </w:p>
                  </w:txbxContent>
                </v:textbox>
                <w10:wrap type="topAndBottom"/>
              </v:roundrect>
            </w:pict>
          </mc:Fallback>
        </mc:AlternateContent>
      </w:r>
    </w:p>
    <w:p w14:paraId="47D5D7A8" w14:textId="77777777" w:rsidR="0055291C" w:rsidRDefault="0055291C">
      <w:pPr>
        <w:rPr>
          <w:rFonts w:ascii="Arial"/>
          <w:sz w:val="20"/>
          <w:lang w:eastAsia="ja-JP"/>
        </w:rPr>
        <w:sectPr w:rsidR="0055291C">
          <w:headerReference w:type="even" r:id="rId212"/>
          <w:footerReference w:type="even" r:id="rId213"/>
          <w:footerReference w:type="default" r:id="rId214"/>
          <w:pgSz w:w="12240" w:h="15840"/>
          <w:pgMar w:top="620" w:right="0" w:bottom="840" w:left="0" w:header="0" w:footer="655" w:gutter="0"/>
          <w:pgNumType w:start="64"/>
          <w:cols w:space="720"/>
        </w:sectPr>
      </w:pPr>
    </w:p>
    <w:p w14:paraId="71BF3007" w14:textId="77777777" w:rsidR="0055291C" w:rsidRDefault="00000000">
      <w:pPr>
        <w:pStyle w:val="a3"/>
        <w:spacing w:before="2"/>
        <w:rPr>
          <w:rFonts w:ascii="Arial"/>
          <w:b/>
          <w:sz w:val="21"/>
          <w:lang w:eastAsia="ja-JP"/>
        </w:rPr>
      </w:pPr>
      <w:r>
        <w:pict w14:anchorId="5186A248">
          <v:group id="docshapegroup1020" o:spid="_x0000_s2799" style="position:absolute;margin-left:56.7pt;margin-top:423pt;width:498.65pt;height:369pt;z-index:-251567616;mso-position-horizontal-relative:page;mso-position-vertical-relative:page" coordorigin="1134,8460" coordsize="9973,7380">
            <v:line id="_x0000_s2801" style="position:absolute" from="1134,14704" to="11106,14704" strokecolor="#00aca1" strokeweight=".25pt"/>
            <v:shape id="docshape1021" o:spid="_x0000_s2800" type="#_x0000_t75" style="position:absolute;left:6261;top:8460;width:4845;height:7380">
              <v:imagedata r:id="rId215" o:title=""/>
            </v:shape>
            <w10:wrap anchorx="page" anchory="page"/>
          </v:group>
        </w:pict>
      </w:r>
    </w:p>
    <w:p w14:paraId="1051F382" w14:textId="43D496BD" w:rsidR="00A81BA3" w:rsidRDefault="00A81BA3" w:rsidP="00A81BA3">
      <w:pPr>
        <w:pStyle w:val="a3"/>
        <w:spacing w:before="142" w:line="312" w:lineRule="auto"/>
        <w:ind w:left="1133" w:right="39" w:firstLineChars="100" w:firstLine="190"/>
        <w:rPr>
          <w:lang w:eastAsia="ja-JP"/>
        </w:rPr>
      </w:pPr>
      <w:r>
        <w:rPr>
          <w:rFonts w:ascii="ＭＳ ゴシック" w:eastAsia="ＭＳ ゴシック" w:hAnsi="ＭＳ ゴシック" w:cs="ＭＳ ゴシック" w:hint="eastAsia"/>
          <w:lang w:eastAsia="ja-JP"/>
        </w:rPr>
        <w:t>リサイクル工程による配分は、特に困難な場合があります。リサイクルは、製品または材料が調査対象製品の</w:t>
      </w:r>
      <w:r>
        <w:rPr>
          <w:lang w:eastAsia="ja-JP"/>
        </w:rPr>
        <w:t xml:space="preserve"> </w:t>
      </w:r>
      <w:r>
        <w:rPr>
          <w:rFonts w:ascii="ＭＳ ゴシック" w:eastAsia="ＭＳ ゴシック" w:hAnsi="ＭＳ ゴシック" w:cs="ＭＳ ゴシック" w:hint="eastAsia"/>
          <w:lang w:eastAsia="ja-JP"/>
        </w:rPr>
        <w:t>ライフサイクルから外れて再利用される場合に発生します。</w:t>
      </w:r>
      <w:r>
        <w:rPr>
          <w:lang w:eastAsia="ja-JP"/>
        </w:rPr>
        <w:t xml:space="preserve"> </w:t>
      </w:r>
      <w:r>
        <w:rPr>
          <w:rFonts w:ascii="ＭＳ ゴシック" w:eastAsia="ＭＳ ゴシック" w:hAnsi="ＭＳ ゴシック" w:cs="ＭＳ ゴシック" w:hint="eastAsia"/>
          <w:lang w:eastAsia="ja-JP"/>
        </w:rPr>
        <w:t>または、別の製品のライフサイクルに投入される材料としてリサイクルされます。リサイクルのための共通のプロセスは、異なるライフサイクルの間で共有されることが多いので、これは独自の配分シナリオ</w:t>
      </w:r>
      <w:r w:rsidR="005D5DAE">
        <w:rPr>
          <w:rFonts w:ascii="ＭＳ ゴシック" w:eastAsia="ＭＳ ゴシック" w:hAnsi="ＭＳ ゴシック" w:cs="ＭＳ ゴシック" w:hint="eastAsia"/>
          <w:lang w:eastAsia="ja-JP"/>
        </w:rPr>
        <w:t>を形成します</w:t>
      </w:r>
      <w:r>
        <w:rPr>
          <w:rFonts w:ascii="ＭＳ ゴシック" w:eastAsia="ＭＳ ゴシック" w:hAnsi="ＭＳ ゴシック" w:cs="ＭＳ ゴシック" w:hint="eastAsia"/>
          <w:lang w:eastAsia="ja-JP"/>
        </w:rPr>
        <w:t>。</w:t>
      </w:r>
      <w:r>
        <w:rPr>
          <w:lang w:eastAsia="ja-JP"/>
        </w:rPr>
        <w:t xml:space="preserve"> </w:t>
      </w:r>
    </w:p>
    <w:p w14:paraId="59C49390" w14:textId="63F99D99" w:rsidR="00A81BA3" w:rsidRDefault="00A81BA3" w:rsidP="00A81BA3">
      <w:pPr>
        <w:pStyle w:val="a3"/>
        <w:spacing w:before="142" w:line="312" w:lineRule="auto"/>
        <w:ind w:left="1133" w:right="39" w:firstLineChars="100" w:firstLine="190"/>
        <w:rPr>
          <w:lang w:eastAsia="ja-JP"/>
        </w:rPr>
      </w:pPr>
      <w:r>
        <w:rPr>
          <w:rFonts w:ascii="ＭＳ ゴシック" w:eastAsia="ＭＳ ゴシック" w:hAnsi="ＭＳ ゴシック" w:cs="ＭＳ ゴシック" w:hint="eastAsia"/>
          <w:lang w:eastAsia="ja-JP"/>
        </w:rPr>
        <w:t>調査対象製品の</w:t>
      </w:r>
      <w:r w:rsidR="005D5DAE">
        <w:rPr>
          <w:rFonts w:ascii="ＭＳ ゴシック" w:eastAsia="ＭＳ ゴシック" w:hAnsi="ＭＳ ゴシック" w:cs="ＭＳ ゴシック" w:hint="eastAsia"/>
          <w:lang w:eastAsia="ja-JP"/>
        </w:rPr>
        <w:t>境界内</w:t>
      </w:r>
      <w:r>
        <w:rPr>
          <w:rFonts w:ascii="ＭＳ ゴシック" w:eastAsia="ＭＳ ゴシック" w:hAnsi="ＭＳ ゴシック" w:cs="ＭＳ ゴシック" w:hint="eastAsia"/>
          <w:lang w:eastAsia="ja-JP"/>
        </w:rPr>
        <w:t>でリサイクルが発生した場合、企業は、原材料の抽出と加工、製品の最終処分（リサイクルを含む）に関連する排出と除去を、複数の製品ライフサイクル（リサイクル材料を納入する製品とリサイクル材料を使用する後続製品）に配分する必要があります。従って、共通プロセスに関するすべての配分要件は、リサイクルによる配分にも適用され</w:t>
      </w:r>
      <w:r w:rsidR="005D5DAE">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w:t>
      </w:r>
      <w:r>
        <w:rPr>
          <w:lang w:eastAsia="ja-JP"/>
        </w:rPr>
        <w:t xml:space="preserve"> </w:t>
      </w:r>
    </w:p>
    <w:p w14:paraId="5ED3620A" w14:textId="4B381A53" w:rsidR="00A81BA3" w:rsidRDefault="00A81BA3" w:rsidP="00A81BA3">
      <w:pPr>
        <w:pStyle w:val="a3"/>
        <w:spacing w:before="142" w:line="312" w:lineRule="auto"/>
        <w:ind w:left="1133" w:right="39" w:firstLineChars="100" w:firstLine="190"/>
        <w:rPr>
          <w:lang w:eastAsia="ja-JP"/>
        </w:rPr>
      </w:pPr>
      <w:r>
        <w:rPr>
          <w:rFonts w:ascii="ＭＳ ゴシック" w:eastAsia="ＭＳ ゴシック" w:hAnsi="ＭＳ ゴシック" w:cs="ＭＳ ゴシック" w:hint="eastAsia"/>
          <w:lang w:eastAsia="ja-JP"/>
        </w:rPr>
        <w:t>しかし、リサイクル工程に関連するさらなる複雑さの</w:t>
      </w:r>
      <w:r>
        <w:rPr>
          <w:lang w:eastAsia="ja-JP"/>
        </w:rPr>
        <w:t xml:space="preserve"> </w:t>
      </w:r>
      <w:r>
        <w:rPr>
          <w:rFonts w:ascii="ＭＳ ゴシック" w:eastAsia="ＭＳ ゴシック" w:hAnsi="ＭＳ ゴシック" w:cs="ＭＳ ゴシック" w:hint="eastAsia"/>
          <w:lang w:eastAsia="ja-JP"/>
        </w:rPr>
        <w:t>ため、この規格では、製品のライフサイクル間の排出</w:t>
      </w:r>
      <w:r>
        <w:rPr>
          <w:lang w:eastAsia="ja-JP"/>
        </w:rPr>
        <w:t xml:space="preserve"> </w:t>
      </w:r>
      <w:r>
        <w:rPr>
          <w:rFonts w:ascii="ＭＳ ゴシック" w:eastAsia="ＭＳ ゴシック" w:hAnsi="ＭＳ ゴシック" w:cs="ＭＳ ゴシック" w:hint="eastAsia"/>
          <w:lang w:eastAsia="ja-JP"/>
        </w:rPr>
        <w:t>量と除去量を配分するための</w:t>
      </w:r>
      <w:r>
        <w:rPr>
          <w:lang w:eastAsia="ja-JP"/>
        </w:rPr>
        <w:t>2</w:t>
      </w:r>
      <w:r>
        <w:rPr>
          <w:rFonts w:ascii="ＭＳ ゴシック" w:eastAsia="ＭＳ ゴシック" w:hAnsi="ＭＳ ゴシック" w:cs="ＭＳ ゴシック" w:hint="eastAsia"/>
          <w:lang w:eastAsia="ja-JP"/>
        </w:rPr>
        <w:t>つの具体的な方法、すなわち</w:t>
      </w:r>
      <w:r w:rsidR="005D5DAE">
        <w:rPr>
          <w:rFonts w:ascii="ＭＳ ゴシック" w:eastAsia="ＭＳ ゴシック" w:hAnsi="ＭＳ ゴシック" w:cs="ＭＳ ゴシック" w:hint="eastAsia"/>
          <w:lang w:eastAsia="ja-JP"/>
        </w:rPr>
        <w:t>クローズド</w:t>
      </w:r>
      <w:r>
        <w:rPr>
          <w:rFonts w:ascii="ＭＳ ゴシック" w:eastAsia="ＭＳ ゴシック" w:hAnsi="ＭＳ ゴシック" w:cs="ＭＳ ゴシック" w:hint="eastAsia"/>
          <w:lang w:eastAsia="ja-JP"/>
        </w:rPr>
        <w:t>ループ近似法と</w:t>
      </w:r>
      <w:r w:rsidR="005D5DAE">
        <w:rPr>
          <w:rFonts w:ascii="ＭＳ ゴシック" w:eastAsia="ＭＳ ゴシック" w:hAnsi="ＭＳ ゴシック" w:cs="ＭＳ ゴシック" w:hint="eastAsia"/>
          <w:lang w:eastAsia="ja-JP"/>
        </w:rPr>
        <w:t>リサイクル</w:t>
      </w:r>
      <w:r>
        <w:rPr>
          <w:rFonts w:ascii="ＭＳ ゴシック" w:eastAsia="ＭＳ ゴシック" w:hAnsi="ＭＳ ゴシック" w:cs="ＭＳ ゴシック" w:hint="eastAsia"/>
          <w:lang w:eastAsia="ja-JP"/>
        </w:rPr>
        <w:t>含有率法を提供しています。クローズドループ近似法は、システム拡張の一種であり、使用済み製品のリサイクルが純新規取</w:t>
      </w:r>
      <w:r>
        <w:rPr>
          <w:lang w:eastAsia="ja-JP"/>
        </w:rPr>
        <w:t xml:space="preserve"> </w:t>
      </w:r>
      <w:r>
        <w:rPr>
          <w:rFonts w:ascii="ＭＳ ゴシック" w:eastAsia="ＭＳ ゴシック" w:hAnsi="ＭＳ ゴシック" w:cs="ＭＳ ゴシック" w:hint="eastAsia"/>
          <w:lang w:eastAsia="ja-JP"/>
        </w:rPr>
        <w:t>得量に与える影響を考慮したもので</w:t>
      </w:r>
      <w:r w:rsidR="005D5DAE">
        <w:rPr>
          <w:rFonts w:ascii="ＭＳ ゴシック" w:eastAsia="ＭＳ ゴシック" w:hAnsi="ＭＳ ゴシック" w:cs="ＭＳ ゴシック" w:hint="eastAsia"/>
          <w:lang w:eastAsia="ja-JP"/>
        </w:rPr>
        <w:t>す</w:t>
      </w:r>
      <w:r>
        <w:rPr>
          <w:rFonts w:ascii="ＭＳ ゴシック" w:eastAsia="ＭＳ ゴシック" w:hAnsi="ＭＳ ゴシック" w:cs="ＭＳ ゴシック" w:hint="eastAsia"/>
          <w:lang w:eastAsia="ja-JP"/>
        </w:rPr>
        <w:t>。</w:t>
      </w:r>
      <w:r>
        <w:rPr>
          <w:lang w:eastAsia="ja-JP"/>
        </w:rPr>
        <w:t xml:space="preserve"> </w:t>
      </w:r>
      <w:r>
        <w:rPr>
          <w:rFonts w:ascii="ＭＳ ゴシック" w:eastAsia="ＭＳ ゴシック" w:hAnsi="ＭＳ ゴシック" w:cs="ＭＳ ゴシック" w:hint="eastAsia"/>
          <w:lang w:eastAsia="ja-JP"/>
        </w:rPr>
        <w:t>リサイクル含有率法は、リサイクル工程での排出・除去量を、リサイクル材を使用するライフサイクルに配分するもので</w:t>
      </w:r>
      <w:r w:rsidR="005D5DAE">
        <w:rPr>
          <w:rFonts w:ascii="ＭＳ ゴシック" w:eastAsia="ＭＳ ゴシック" w:hAnsi="ＭＳ ゴシック" w:cs="ＭＳ ゴシック" w:hint="eastAsia"/>
          <w:lang w:eastAsia="ja-JP"/>
        </w:rPr>
        <w:t>す</w:t>
      </w:r>
      <w:r>
        <w:rPr>
          <w:rFonts w:ascii="ＭＳ ゴシック" w:eastAsia="ＭＳ ゴシック" w:hAnsi="ＭＳ ゴシック" w:cs="ＭＳ ゴシック" w:hint="eastAsia"/>
          <w:lang w:eastAsia="ja-JP"/>
        </w:rPr>
        <w:t>。</w:t>
      </w:r>
      <w:r>
        <w:rPr>
          <w:lang w:eastAsia="ja-JP"/>
        </w:rPr>
        <w:t xml:space="preserve"> </w:t>
      </w:r>
    </w:p>
    <w:p w14:paraId="44D03B96" w14:textId="4A4E4CD8" w:rsidR="0055291C" w:rsidRDefault="005D5DAE" w:rsidP="005D5DAE">
      <w:pPr>
        <w:pStyle w:val="a3"/>
        <w:spacing w:before="142" w:line="312" w:lineRule="auto"/>
        <w:ind w:left="1133" w:right="39" w:firstLineChars="100" w:firstLine="190"/>
        <w:rPr>
          <w:lang w:eastAsia="ja-JP"/>
        </w:rPr>
      </w:pPr>
      <w:r>
        <w:rPr>
          <w:rFonts w:ascii="ＭＳ ゴシック" w:eastAsia="ＭＳ ゴシック" w:hAnsi="ＭＳ ゴシック" w:cs="ＭＳ ゴシック" w:hint="eastAsia"/>
          <w:lang w:eastAsia="ja-JP"/>
        </w:rPr>
        <w:t>クローズドループ近似法もリサイクル含有率法も適切でない場合、企業は以下の全てが当てはまる場合にのみ、別の方法を用いることができます。</w:t>
      </w:r>
    </w:p>
    <w:p w14:paraId="038AB313" w14:textId="06406081" w:rsidR="0055291C" w:rsidRPr="00E801D7" w:rsidRDefault="00E801D7">
      <w:pPr>
        <w:pStyle w:val="a5"/>
        <w:numPr>
          <w:ilvl w:val="1"/>
          <w:numId w:val="42"/>
        </w:numPr>
        <w:tabs>
          <w:tab w:val="left" w:pos="1394"/>
        </w:tabs>
        <w:spacing w:before="128" w:line="309" w:lineRule="auto"/>
        <w:ind w:right="169"/>
        <w:rPr>
          <w:sz w:val="19"/>
          <w:szCs w:val="19"/>
          <w:lang w:eastAsia="ja-JP"/>
        </w:rPr>
      </w:pPr>
      <w:r w:rsidRPr="00E801D7">
        <w:rPr>
          <w:rFonts w:ascii="ＭＳ ゴシック" w:eastAsia="ＭＳ ゴシック" w:hAnsi="ＭＳ ゴシック" w:cs="ＭＳ ゴシック" w:hint="eastAsia"/>
          <w:sz w:val="19"/>
          <w:szCs w:val="19"/>
          <w:lang w:eastAsia="ja-JP"/>
        </w:rPr>
        <w:t>その方法が、本基準の</w:t>
      </w:r>
      <w:r>
        <w:rPr>
          <w:rFonts w:ascii="ＭＳ ゴシック" w:eastAsia="ＭＳ ゴシック" w:hAnsi="ＭＳ ゴシック" w:cs="ＭＳ ゴシック" w:hint="eastAsia"/>
          <w:sz w:val="19"/>
          <w:szCs w:val="19"/>
          <w:lang w:eastAsia="ja-JP"/>
        </w:rPr>
        <w:t>割り当て</w:t>
      </w:r>
      <w:r w:rsidRPr="00E801D7">
        <w:rPr>
          <w:rFonts w:ascii="ＭＳ ゴシック" w:eastAsia="ＭＳ ゴシック" w:hAnsi="ＭＳ ゴシック" w:cs="ＭＳ ゴシック" w:hint="eastAsia"/>
          <w:sz w:val="19"/>
          <w:szCs w:val="19"/>
          <w:lang w:eastAsia="ja-JP"/>
        </w:rPr>
        <w:t>およびその他のすべての要求事項に適合していること（</w:t>
      </w:r>
      <w:r>
        <w:rPr>
          <w:rFonts w:ascii="ＭＳ ゴシック" w:eastAsia="ＭＳ ゴシック" w:hAnsi="ＭＳ ゴシック" w:cs="ＭＳ ゴシック" w:hint="eastAsia"/>
          <w:sz w:val="19"/>
          <w:szCs w:val="19"/>
          <w:lang w:eastAsia="ja-JP"/>
        </w:rPr>
        <w:t>報告書において</w:t>
      </w:r>
      <w:r w:rsidRPr="00E801D7">
        <w:rPr>
          <w:rFonts w:ascii="ＭＳ ゴシック" w:eastAsia="ＭＳ ゴシック" w:hAnsi="ＭＳ ゴシック" w:cs="ＭＳ ゴシック" w:hint="eastAsia"/>
          <w:sz w:val="19"/>
          <w:szCs w:val="19"/>
          <w:lang w:eastAsia="ja-JP"/>
        </w:rPr>
        <w:t>開示され、正当化されることを含む）。</w:t>
      </w:r>
    </w:p>
    <w:p w14:paraId="7B04A19C" w14:textId="782993E5" w:rsidR="0055291C" w:rsidRPr="00E801D7" w:rsidRDefault="00E801D7">
      <w:pPr>
        <w:pStyle w:val="a5"/>
        <w:numPr>
          <w:ilvl w:val="1"/>
          <w:numId w:val="42"/>
        </w:numPr>
        <w:tabs>
          <w:tab w:val="left" w:pos="1394"/>
        </w:tabs>
        <w:spacing w:before="129" w:line="309" w:lineRule="auto"/>
        <w:ind w:right="184"/>
        <w:rPr>
          <w:sz w:val="19"/>
          <w:szCs w:val="19"/>
          <w:lang w:eastAsia="ja-JP"/>
        </w:rPr>
      </w:pPr>
      <w:r w:rsidRPr="00E801D7">
        <w:rPr>
          <w:rFonts w:ascii="ＭＳ ゴシック" w:eastAsia="ＭＳ ゴシック" w:hAnsi="ＭＳ ゴシック" w:cs="ＭＳ ゴシック" w:hint="eastAsia"/>
          <w:sz w:val="19"/>
          <w:szCs w:val="19"/>
          <w:lang w:eastAsia="ja-JP"/>
        </w:rPr>
        <w:t>リサイクルによるすべての排出と除去を考慮した</w:t>
      </w:r>
      <w:r w:rsidRPr="00E801D7">
        <w:rPr>
          <w:sz w:val="19"/>
          <w:szCs w:val="19"/>
          <w:lang w:eastAsia="ja-JP"/>
        </w:rPr>
        <w:t xml:space="preserve"> </w:t>
      </w:r>
      <w:r w:rsidRPr="00E801D7">
        <w:rPr>
          <w:rFonts w:ascii="ＭＳ ゴシック" w:eastAsia="ＭＳ ゴシック" w:hAnsi="ＭＳ ゴシック" w:cs="ＭＳ ゴシック" w:hint="eastAsia"/>
          <w:sz w:val="19"/>
          <w:szCs w:val="19"/>
          <w:lang w:eastAsia="ja-JP"/>
        </w:rPr>
        <w:t>方法である</w:t>
      </w:r>
      <w:r>
        <w:rPr>
          <w:rFonts w:ascii="ＭＳ ゴシック" w:eastAsia="ＭＳ ゴシック" w:hAnsi="ＭＳ ゴシック" w:cs="ＭＳ ゴシック" w:hint="eastAsia"/>
          <w:sz w:val="19"/>
          <w:szCs w:val="19"/>
          <w:lang w:eastAsia="ja-JP"/>
        </w:rPr>
        <w:t>こと</w:t>
      </w:r>
      <w:r w:rsidRPr="00E801D7">
        <w:rPr>
          <w:rFonts w:ascii="ＭＳ ゴシック" w:eastAsia="ＭＳ ゴシック" w:hAnsi="ＭＳ ゴシック" w:cs="ＭＳ ゴシック" w:hint="eastAsia"/>
          <w:sz w:val="19"/>
          <w:szCs w:val="19"/>
          <w:lang w:eastAsia="ja-JP"/>
        </w:rPr>
        <w:t>（すなわち、排出量の二重計上や過小計上を避けるために、入力と出力</w:t>
      </w:r>
      <w:r>
        <w:rPr>
          <w:rFonts w:ascii="ＭＳ ゴシック" w:eastAsia="ＭＳ ゴシック" w:hAnsi="ＭＳ ゴシック" w:cs="ＭＳ ゴシック" w:hint="eastAsia"/>
          <w:sz w:val="19"/>
          <w:szCs w:val="19"/>
          <w:lang w:eastAsia="ja-JP"/>
        </w:rPr>
        <w:t>の</w:t>
      </w:r>
      <w:r w:rsidRPr="00E801D7">
        <w:rPr>
          <w:rFonts w:ascii="ＭＳ ゴシック" w:eastAsia="ＭＳ ゴシック" w:hAnsi="ＭＳ ゴシック" w:cs="ＭＳ ゴシック" w:hint="eastAsia"/>
          <w:sz w:val="19"/>
          <w:szCs w:val="19"/>
          <w:lang w:eastAsia="ja-JP"/>
        </w:rPr>
        <w:t>間で一貫して</w:t>
      </w:r>
      <w:r w:rsidRPr="00E801D7">
        <w:rPr>
          <w:sz w:val="19"/>
          <w:szCs w:val="19"/>
          <w:lang w:eastAsia="ja-JP"/>
        </w:rPr>
        <w:t xml:space="preserve">0 </w:t>
      </w:r>
      <w:r w:rsidRPr="00E801D7">
        <w:rPr>
          <w:rFonts w:ascii="ＭＳ ゴシック" w:eastAsia="ＭＳ ゴシック" w:hAnsi="ＭＳ ゴシック" w:cs="ＭＳ ゴシック" w:hint="eastAsia"/>
          <w:sz w:val="19"/>
          <w:szCs w:val="19"/>
          <w:lang w:eastAsia="ja-JP"/>
        </w:rPr>
        <w:t>～</w:t>
      </w:r>
      <w:r w:rsidRPr="00E801D7">
        <w:rPr>
          <w:sz w:val="19"/>
          <w:szCs w:val="19"/>
          <w:lang w:eastAsia="ja-JP"/>
        </w:rPr>
        <w:t>100%</w:t>
      </w:r>
      <w:r w:rsidRPr="00E801D7">
        <w:rPr>
          <w:rFonts w:ascii="ＭＳ ゴシック" w:eastAsia="ＭＳ ゴシック" w:hAnsi="ＭＳ ゴシック" w:cs="ＭＳ ゴシック" w:hint="eastAsia"/>
          <w:sz w:val="19"/>
          <w:szCs w:val="19"/>
          <w:lang w:eastAsia="ja-JP"/>
        </w:rPr>
        <w:t>の配分係数を適用している）。</w:t>
      </w:r>
    </w:p>
    <w:p w14:paraId="7BB8E956" w14:textId="5BD500F9" w:rsidR="0055291C" w:rsidRDefault="00E801D7">
      <w:pPr>
        <w:pStyle w:val="a5"/>
        <w:numPr>
          <w:ilvl w:val="1"/>
          <w:numId w:val="42"/>
        </w:numPr>
        <w:tabs>
          <w:tab w:val="left" w:pos="1394"/>
        </w:tabs>
        <w:spacing w:before="134" w:line="309" w:lineRule="auto"/>
        <w:rPr>
          <w:sz w:val="11"/>
          <w:lang w:eastAsia="ja-JP"/>
        </w:rPr>
      </w:pPr>
      <w:r w:rsidRPr="00E801D7">
        <w:rPr>
          <w:rFonts w:ascii="ＭＳ ゴシック" w:eastAsia="ＭＳ ゴシック" w:hAnsi="ＭＳ ゴシック" w:cs="ＭＳ ゴシック" w:hint="eastAsia"/>
          <w:sz w:val="19"/>
          <w:szCs w:val="19"/>
          <w:lang w:eastAsia="ja-JP"/>
        </w:rPr>
        <w:t>配分の基準として（可能であれば、次の優先順位で）、物性係数、経済価値係数、または</w:t>
      </w:r>
      <w:r>
        <w:rPr>
          <w:rFonts w:ascii="ＭＳ ゴシック" w:eastAsia="ＭＳ ゴシック" w:hAnsi="ＭＳ ゴシック" w:cs="ＭＳ ゴシック" w:hint="eastAsia"/>
          <w:sz w:val="19"/>
          <w:szCs w:val="19"/>
          <w:lang w:eastAsia="ja-JP"/>
        </w:rPr>
        <w:t>その後</w:t>
      </w:r>
      <w:r w:rsidRPr="00E801D7">
        <w:rPr>
          <w:rFonts w:ascii="ＭＳ ゴシック" w:eastAsia="ＭＳ ゴシック" w:hAnsi="ＭＳ ゴシック" w:cs="ＭＳ ゴシック" w:hint="eastAsia"/>
          <w:sz w:val="19"/>
          <w:szCs w:val="19"/>
          <w:lang w:eastAsia="ja-JP"/>
        </w:rPr>
        <w:t>の使用回数に基づく係数を使用する</w:t>
      </w:r>
      <w:r w:rsidR="007C49B2">
        <w:rPr>
          <w:rFonts w:asciiTheme="minorEastAsia" w:eastAsiaTheme="minorEastAsia" w:hAnsiTheme="minorEastAsia" w:hint="eastAsia"/>
          <w:color w:val="545456"/>
          <w:position w:val="6"/>
          <w:sz w:val="11"/>
          <w:lang w:eastAsia="ja-JP"/>
        </w:rPr>
        <w:t>２</w:t>
      </w:r>
    </w:p>
    <w:p w14:paraId="7FDC7842" w14:textId="16675D81" w:rsidR="0055291C" w:rsidRDefault="00F23C61">
      <w:pPr>
        <w:spacing w:after="24"/>
        <w:rPr>
          <w:sz w:val="13"/>
          <w:lang w:eastAsia="ja-JP"/>
        </w:rPr>
      </w:pPr>
      <w:r>
        <w:rPr>
          <w:lang w:eastAsia="ja-JP"/>
        </w:rPr>
        <w:br w:type="column"/>
      </w:r>
    </w:p>
    <w:p w14:paraId="47FE6B18" w14:textId="2B548FD5" w:rsidR="0055291C" w:rsidRDefault="0055291C">
      <w:pPr>
        <w:pStyle w:val="a3"/>
        <w:ind w:left="292"/>
        <w:rPr>
          <w:sz w:val="20"/>
          <w:lang w:eastAsia="ja-JP"/>
        </w:rPr>
      </w:pPr>
    </w:p>
    <w:p w14:paraId="065F5FF3" w14:textId="5F61710C" w:rsidR="0055291C" w:rsidRDefault="0055291C">
      <w:pPr>
        <w:pStyle w:val="a3"/>
        <w:spacing w:before="9"/>
        <w:rPr>
          <w:sz w:val="17"/>
          <w:lang w:eastAsia="ja-JP"/>
        </w:rPr>
      </w:pPr>
    </w:p>
    <w:p w14:paraId="0E5D8EAA" w14:textId="77777777" w:rsidR="002454D1" w:rsidRDefault="002454D1" w:rsidP="002454D1">
      <w:pPr>
        <w:pStyle w:val="a3"/>
        <w:spacing w:line="312" w:lineRule="auto"/>
        <w:ind w:left="294" w:right="1194" w:firstLineChars="100" w:firstLine="190"/>
        <w:jc w:val="both"/>
        <w:rPr>
          <w:lang w:eastAsia="ja-JP"/>
        </w:rPr>
      </w:pPr>
      <w:r>
        <w:rPr>
          <w:rFonts w:ascii="ＭＳ ゴシック" w:eastAsia="ＭＳ ゴシック" w:hAnsi="ＭＳ ゴシック" w:cs="ＭＳ ゴシック" w:hint="eastAsia"/>
          <w:lang w:eastAsia="ja-JP"/>
        </w:rPr>
        <w:t>どのような割り当て方法を使用するかに関わらず、企</w:t>
      </w:r>
      <w:r>
        <w:rPr>
          <w:lang w:eastAsia="ja-JP"/>
        </w:rPr>
        <w:t xml:space="preserve"> </w:t>
      </w:r>
      <w:r>
        <w:rPr>
          <w:rFonts w:ascii="ＭＳ ゴシック" w:eastAsia="ＭＳ ゴシック" w:hAnsi="ＭＳ ゴシック" w:cs="ＭＳ ゴシック" w:hint="eastAsia"/>
          <w:lang w:eastAsia="ja-JP"/>
        </w:rPr>
        <w:t>業は、報告書で使用される特定の割り当て方法と係数（該当する場合）の選択について、その方法と係数が、共通工程の総排出・除去量に対する調査対象製品または副産物の寄与を最も正確に反映する理由を含めて簡単な説明を行わなければなりません（</w:t>
      </w:r>
      <w:r>
        <w:rPr>
          <w:lang w:eastAsia="ja-JP"/>
        </w:rPr>
        <w:t>13</w:t>
      </w:r>
      <w:r>
        <w:rPr>
          <w:rFonts w:ascii="ＭＳ ゴシック" w:eastAsia="ＭＳ ゴシック" w:hAnsi="ＭＳ ゴシック" w:cs="ＭＳ ゴシック" w:hint="eastAsia"/>
          <w:lang w:eastAsia="ja-JP"/>
        </w:rPr>
        <w:t>章参照）。</w:t>
      </w:r>
      <w:r>
        <w:rPr>
          <w:lang w:eastAsia="ja-JP"/>
        </w:rPr>
        <w:t xml:space="preserve"> </w:t>
      </w:r>
    </w:p>
    <w:p w14:paraId="53DAB253" w14:textId="3A720617" w:rsidR="0055291C" w:rsidRDefault="002454D1" w:rsidP="002454D1">
      <w:pPr>
        <w:pStyle w:val="a3"/>
        <w:spacing w:line="312" w:lineRule="auto"/>
        <w:ind w:left="294" w:right="1194" w:firstLineChars="100" w:firstLine="190"/>
        <w:jc w:val="both"/>
        <w:rPr>
          <w:lang w:eastAsia="ja-JP"/>
        </w:rPr>
      </w:pPr>
      <w:r>
        <w:rPr>
          <w:lang w:eastAsia="ja-JP"/>
        </w:rPr>
        <w:t>GHG</w:t>
      </w:r>
      <w:r>
        <w:rPr>
          <w:rFonts w:ascii="ＭＳ ゴシック" w:eastAsia="ＭＳ ゴシック" w:hAnsi="ＭＳ ゴシック" w:cs="ＭＳ ゴシック" w:hint="eastAsia"/>
          <w:lang w:eastAsia="ja-JP"/>
        </w:rPr>
        <w:t>報告書でクローズドループ近似法を用いる場合</w:t>
      </w:r>
      <w:r>
        <w:rPr>
          <w:lang w:eastAsia="ja-JP"/>
        </w:rPr>
        <w:t xml:space="preserve"> </w:t>
      </w:r>
      <w:r>
        <w:rPr>
          <w:rFonts w:ascii="ＭＳ ゴシック" w:eastAsia="ＭＳ ゴシック" w:hAnsi="ＭＳ ゴシック" w:cs="ＭＳ ゴシック" w:hint="eastAsia"/>
          <w:lang w:eastAsia="ja-JP"/>
        </w:rPr>
        <w:t>、バージン材変位係数</w:t>
      </w:r>
      <w:r>
        <w:rPr>
          <w:lang w:eastAsia="ja-JP"/>
        </w:rPr>
        <w:t xml:space="preserve"> (9.3.6</w:t>
      </w:r>
      <w:r>
        <w:rPr>
          <w:rFonts w:ascii="ＭＳ ゴシック" w:eastAsia="ＭＳ ゴシック" w:hAnsi="ＭＳ ゴシック" w:cs="ＭＳ ゴシック" w:hint="eastAsia"/>
          <w:lang w:eastAsia="ja-JP"/>
        </w:rPr>
        <w:t>項に記載）は、総</w:t>
      </w:r>
      <w:r w:rsidR="00D4250F">
        <w:rPr>
          <w:rFonts w:ascii="ＭＳ ゴシック" w:eastAsia="ＭＳ ゴシック" w:hAnsi="ＭＳ ゴシック" w:cs="ＭＳ ゴシック" w:hint="eastAsia"/>
          <w:lang w:eastAsia="ja-JP"/>
        </w:rPr>
        <w:t>算出</w:t>
      </w:r>
      <w:r>
        <w:rPr>
          <w:rFonts w:ascii="ＭＳ ゴシック" w:eastAsia="ＭＳ ゴシック" w:hAnsi="ＭＳ ゴシック" w:cs="ＭＳ ゴシック" w:hint="eastAsia"/>
          <w:lang w:eastAsia="ja-JP"/>
        </w:rPr>
        <w:t>結果から差し引かれ</w:t>
      </w:r>
      <w:r w:rsidR="00D4250F">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。ただし、変位係数は、耐用年数終了時の値がマイナスにならないように、段階別の</w:t>
      </w:r>
      <w:r w:rsidR="00D4250F">
        <w:rPr>
          <w:rFonts w:ascii="ＭＳ ゴシック" w:eastAsia="ＭＳ ゴシック" w:hAnsi="ＭＳ ゴシック" w:cs="ＭＳ ゴシック" w:hint="eastAsia"/>
          <w:lang w:eastAsia="ja-JP"/>
        </w:rPr>
        <w:t>排出量</w:t>
      </w:r>
      <w:r>
        <w:rPr>
          <w:rFonts w:ascii="ＭＳ ゴシック" w:eastAsia="ＭＳ ゴシック" w:hAnsi="ＭＳ ゴシック" w:cs="ＭＳ ゴシック" w:hint="eastAsia"/>
          <w:lang w:eastAsia="ja-JP"/>
        </w:rPr>
        <w:t>結果の割合とは別に報告</w:t>
      </w:r>
      <w:r w:rsidR="00D4250F">
        <w:rPr>
          <w:rFonts w:ascii="ＭＳ ゴシック" w:eastAsia="ＭＳ ゴシック" w:hAnsi="ＭＳ ゴシック" w:cs="ＭＳ ゴシック" w:hint="eastAsia"/>
          <w:lang w:eastAsia="ja-JP"/>
        </w:rPr>
        <w:t>しなくてはなりません</w:t>
      </w:r>
      <w:r>
        <w:rPr>
          <w:rFonts w:ascii="ＭＳ ゴシック" w:eastAsia="ＭＳ ゴシック" w:hAnsi="ＭＳ ゴシック" w:cs="ＭＳ ゴシック" w:hint="eastAsia"/>
          <w:lang w:eastAsia="ja-JP"/>
        </w:rPr>
        <w:t>。</w:t>
      </w:r>
    </w:p>
    <w:p w14:paraId="07F7F44B" w14:textId="77777777" w:rsidR="0055291C" w:rsidRDefault="0055291C">
      <w:pPr>
        <w:spacing w:line="312" w:lineRule="auto"/>
        <w:jc w:val="both"/>
        <w:rPr>
          <w:lang w:eastAsia="ja-JP"/>
        </w:rPr>
        <w:sectPr w:rsidR="0055291C">
          <w:type w:val="continuous"/>
          <w:pgSz w:w="12240" w:h="15840"/>
          <w:pgMar w:top="740" w:right="0" w:bottom="280" w:left="0" w:header="0" w:footer="859" w:gutter="0"/>
          <w:cols w:num="2" w:space="720" w:equalWidth="0">
            <w:col w:w="5928" w:space="40"/>
            <w:col w:w="6272"/>
          </w:cols>
        </w:sectPr>
      </w:pPr>
    </w:p>
    <w:p w14:paraId="4E63A86D" w14:textId="77777777" w:rsidR="0055291C" w:rsidRDefault="0055291C">
      <w:pPr>
        <w:pStyle w:val="a3"/>
        <w:rPr>
          <w:sz w:val="20"/>
          <w:lang w:eastAsia="ja-JP"/>
        </w:rPr>
      </w:pPr>
    </w:p>
    <w:p w14:paraId="60414CDD" w14:textId="77777777" w:rsidR="0055291C" w:rsidRDefault="0055291C">
      <w:pPr>
        <w:pStyle w:val="a3"/>
        <w:rPr>
          <w:sz w:val="20"/>
          <w:lang w:eastAsia="ja-JP"/>
        </w:rPr>
      </w:pPr>
    </w:p>
    <w:p w14:paraId="442EB05F" w14:textId="77777777" w:rsidR="0055291C" w:rsidRDefault="0055291C">
      <w:pPr>
        <w:pStyle w:val="a3"/>
        <w:rPr>
          <w:sz w:val="20"/>
          <w:lang w:eastAsia="ja-JP"/>
        </w:rPr>
      </w:pPr>
    </w:p>
    <w:p w14:paraId="4E31108A" w14:textId="77777777" w:rsidR="0055291C" w:rsidRDefault="0055291C">
      <w:pPr>
        <w:pStyle w:val="a3"/>
        <w:spacing w:before="4"/>
        <w:rPr>
          <w:sz w:val="24"/>
          <w:lang w:eastAsia="ja-JP"/>
        </w:rPr>
      </w:pPr>
    </w:p>
    <w:p w14:paraId="4B546AC7" w14:textId="77777777" w:rsidR="0055291C" w:rsidRDefault="00000000">
      <w:pPr>
        <w:spacing w:before="1"/>
        <w:ind w:right="1121"/>
        <w:jc w:val="right"/>
        <w:rPr>
          <w:rFonts w:ascii="Arial"/>
          <w:i/>
          <w:sz w:val="19"/>
        </w:rPr>
      </w:pPr>
      <w:r>
        <w:pict w14:anchorId="39E2A4AA">
          <v:shape id="docshape1025" o:spid="_x0000_s2795" style="position:absolute;left:0;text-align:left;margin-left:580.75pt;margin-top:-47.75pt;width:31.3pt;height:285.85pt;z-index:251606528;mso-position-horizontal-relative:page" coordorigin="11615,-955" coordsize="626,5717" path="m12240,-955r-625,l11615,4535r3,131l11643,4733r67,25l11842,4761r398,l12240,-955xe" fillcolor="#00aca1" stroked="f">
            <v:path arrowok="t"/>
            <w10:wrap anchorx="page"/>
          </v:shape>
        </w:pict>
      </w:r>
      <w:r w:rsidR="00F23C61">
        <w:rPr>
          <w:rFonts w:ascii="Arial"/>
          <w:b/>
          <w:i/>
          <w:color w:val="7F3F98"/>
          <w:sz w:val="19"/>
        </w:rPr>
        <w:t>CHAPTER</w:t>
      </w:r>
      <w:r w:rsidR="00F23C61">
        <w:rPr>
          <w:rFonts w:ascii="Arial"/>
          <w:b/>
          <w:i/>
          <w:color w:val="7F3F98"/>
          <w:spacing w:val="14"/>
          <w:sz w:val="19"/>
        </w:rPr>
        <w:t xml:space="preserve"> </w:t>
      </w:r>
      <w:r w:rsidR="00F23C61">
        <w:rPr>
          <w:rFonts w:ascii="Arial"/>
          <w:b/>
          <w:i/>
          <w:color w:val="7F3F98"/>
          <w:sz w:val="19"/>
        </w:rPr>
        <w:t>09</w:t>
      </w:r>
      <w:r w:rsidR="00F23C61">
        <w:rPr>
          <w:rFonts w:ascii="Arial"/>
          <w:b/>
          <w:i/>
          <w:color w:val="7F3F98"/>
          <w:spacing w:val="15"/>
          <w:sz w:val="19"/>
        </w:rPr>
        <w:t xml:space="preserve"> </w:t>
      </w:r>
      <w:r w:rsidR="00F23C61">
        <w:rPr>
          <w:rFonts w:ascii="Arial"/>
          <w:i/>
          <w:color w:val="545456"/>
          <w:sz w:val="19"/>
        </w:rPr>
        <w:t>Allocation</w:t>
      </w:r>
    </w:p>
    <w:p w14:paraId="00913CAC" w14:textId="77777777" w:rsidR="0055291C" w:rsidRDefault="0055291C">
      <w:pPr>
        <w:pStyle w:val="a3"/>
        <w:rPr>
          <w:rFonts w:ascii="Arial"/>
          <w:i/>
          <w:sz w:val="20"/>
        </w:rPr>
      </w:pPr>
    </w:p>
    <w:p w14:paraId="5ED146EF" w14:textId="77777777" w:rsidR="0055291C" w:rsidRDefault="0055291C">
      <w:pPr>
        <w:pStyle w:val="a3"/>
        <w:spacing w:before="4"/>
        <w:rPr>
          <w:rFonts w:ascii="Arial"/>
          <w:i/>
          <w:sz w:val="21"/>
        </w:rPr>
      </w:pPr>
    </w:p>
    <w:p w14:paraId="1D9B1E5D" w14:textId="77777777" w:rsidR="0055291C" w:rsidRDefault="0055291C">
      <w:pPr>
        <w:rPr>
          <w:rFonts w:ascii="Arial"/>
          <w:sz w:val="21"/>
        </w:rPr>
        <w:sectPr w:rsidR="0055291C">
          <w:headerReference w:type="default" r:id="rId216"/>
          <w:pgSz w:w="12240" w:h="15840"/>
          <w:pgMar w:top="0" w:right="0" w:bottom="1040" w:left="0" w:header="0" w:footer="859" w:gutter="0"/>
          <w:cols w:space="720"/>
        </w:sectPr>
      </w:pPr>
    </w:p>
    <w:p w14:paraId="62E88510" w14:textId="13EC40DE" w:rsidR="0055291C" w:rsidRDefault="00876036">
      <w:pPr>
        <w:pStyle w:val="3"/>
        <w:numPr>
          <w:ilvl w:val="1"/>
          <w:numId w:val="41"/>
        </w:numPr>
        <w:tabs>
          <w:tab w:val="left" w:pos="1853"/>
          <w:tab w:val="left" w:pos="1854"/>
        </w:tabs>
        <w:ind w:hanging="721"/>
        <w:jc w:val="left"/>
      </w:pPr>
      <w:r>
        <w:rPr>
          <w:rFonts w:ascii="ＭＳ 明朝" w:eastAsia="ＭＳ 明朝" w:hAnsi="ＭＳ 明朝" w:cs="ＭＳ 明朝" w:hint="eastAsia"/>
          <w:color w:val="00ACA1"/>
          <w:lang w:eastAsia="ja-JP"/>
        </w:rPr>
        <w:t>ガイダンス</w:t>
      </w:r>
    </w:p>
    <w:p w14:paraId="0463B512" w14:textId="77777777" w:rsidR="00876036" w:rsidRPr="00876036" w:rsidRDefault="00876036">
      <w:pPr>
        <w:pStyle w:val="a5"/>
        <w:numPr>
          <w:ilvl w:val="2"/>
          <w:numId w:val="41"/>
        </w:numPr>
        <w:tabs>
          <w:tab w:val="left" w:pos="1853"/>
          <w:tab w:val="left" w:pos="1854"/>
        </w:tabs>
        <w:spacing w:before="41" w:line="309" w:lineRule="auto"/>
        <w:ind w:right="143" w:firstLine="0"/>
        <w:jc w:val="left"/>
        <w:rPr>
          <w:sz w:val="19"/>
          <w:lang w:eastAsia="ja-JP"/>
        </w:rPr>
      </w:pPr>
      <w:r>
        <w:rPr>
          <w:rFonts w:ascii="ＭＳ ゴシック" w:eastAsia="ＭＳ ゴシック" w:hAnsi="ＭＳ ゴシック" w:cs="ＭＳ ゴシック" w:hint="eastAsia"/>
          <w:b/>
          <w:i/>
          <w:color w:val="00B8B1"/>
          <w:w w:val="95"/>
          <w:sz w:val="20"/>
          <w:lang w:eastAsia="ja-JP"/>
        </w:rPr>
        <w:t>適切な割り当て方法の選択</w:t>
      </w:r>
    </w:p>
    <w:p w14:paraId="7D7BB68D" w14:textId="77BDD280" w:rsidR="0055291C" w:rsidRDefault="00876036" w:rsidP="00C42F36">
      <w:pPr>
        <w:pStyle w:val="a3"/>
        <w:spacing w:before="3" w:line="312" w:lineRule="auto"/>
        <w:ind w:left="1133" w:right="203" w:firstLineChars="100" w:firstLine="190"/>
        <w:rPr>
          <w:lang w:eastAsia="ja-JP"/>
        </w:rPr>
      </w:pPr>
      <w:r>
        <w:rPr>
          <w:rFonts w:ascii="ＭＳ ゴシック" w:eastAsia="ＭＳ ゴシック" w:hAnsi="ＭＳ ゴシック" w:cs="ＭＳ ゴシック" w:hint="eastAsia"/>
          <w:lang w:eastAsia="ja-JP"/>
        </w:rPr>
        <w:t>この規格は、割り当てを回避するため、あるいは共通のプロセスから排出される排出量を割り当てるために、それぞれ異なるシナリオに適した</w:t>
      </w:r>
      <w:r>
        <w:rPr>
          <w:lang w:eastAsia="ja-JP"/>
        </w:rPr>
        <w:t>6</w:t>
      </w:r>
      <w:r>
        <w:rPr>
          <w:rFonts w:ascii="ＭＳ ゴシック" w:eastAsia="ＭＳ ゴシック" w:hAnsi="ＭＳ ゴシック" w:cs="ＭＳ ゴシック" w:hint="eastAsia"/>
          <w:lang w:eastAsia="ja-JP"/>
        </w:rPr>
        <w:t>つの有効な方法を提供しています。</w:t>
      </w:r>
      <w:r>
        <w:rPr>
          <w:lang w:eastAsia="ja-JP"/>
        </w:rPr>
        <w:t xml:space="preserve"> </w:t>
      </w:r>
      <w:r>
        <w:rPr>
          <w:rFonts w:ascii="ＭＳ ゴシック" w:eastAsia="ＭＳ ゴシック" w:hAnsi="ＭＳ ゴシック" w:cs="ＭＳ ゴシック" w:hint="eastAsia"/>
          <w:lang w:eastAsia="ja-JP"/>
        </w:rPr>
        <w:t>図</w:t>
      </w:r>
      <w:r>
        <w:rPr>
          <w:lang w:eastAsia="ja-JP"/>
        </w:rPr>
        <w:t xml:space="preserve"> 9.2 </w:t>
      </w:r>
      <w:r>
        <w:rPr>
          <w:rFonts w:ascii="ＭＳ ゴシック" w:eastAsia="ＭＳ ゴシック" w:hAnsi="ＭＳ ゴシック" w:cs="ＭＳ ゴシック" w:hint="eastAsia"/>
          <w:lang w:eastAsia="ja-JP"/>
        </w:rPr>
        <w:t>は、ある共通のプロセスについて、さまざまな状況下で配分を回避したり実行したりするための最良の方法を選択するための決定プロセスを示したものです。</w:t>
      </w:r>
      <w:r>
        <w:rPr>
          <w:lang w:eastAsia="ja-JP"/>
        </w:rPr>
        <w:t xml:space="preserve"> </w:t>
      </w:r>
      <w:r>
        <w:rPr>
          <w:rFonts w:ascii="ＭＳ ゴシック" w:eastAsia="ＭＳ ゴシック" w:hAnsi="ＭＳ ゴシック" w:cs="ＭＳ ゴシック" w:hint="eastAsia"/>
          <w:lang w:eastAsia="ja-JP"/>
        </w:rPr>
        <w:t>図</w:t>
      </w:r>
      <w:r>
        <w:rPr>
          <w:lang w:eastAsia="ja-JP"/>
        </w:rPr>
        <w:t>9.2</w:t>
      </w:r>
      <w:r>
        <w:rPr>
          <w:rFonts w:ascii="ＭＳ ゴシック" w:eastAsia="ＭＳ ゴシック" w:hAnsi="ＭＳ ゴシック" w:cs="ＭＳ ゴシック" w:hint="eastAsia"/>
          <w:lang w:eastAsia="ja-JP"/>
        </w:rPr>
        <w:t>に示すように、出力が廃棄物である場合、割り当ては必要ありません。この場合、すべての排出量は調査対象製品に配分され、廃棄物処理も帰属プロセスとして含まれます。</w:t>
      </w:r>
      <w:r>
        <w:rPr>
          <w:lang w:eastAsia="ja-JP"/>
        </w:rPr>
        <w:t xml:space="preserve"> </w:t>
      </w:r>
      <w:r>
        <w:rPr>
          <w:rFonts w:ascii="ＭＳ ゴシック" w:eastAsia="ＭＳ ゴシック" w:hAnsi="ＭＳ ゴシック" w:cs="ＭＳ ゴシック" w:hint="eastAsia"/>
          <w:lang w:eastAsia="ja-JP"/>
        </w:rPr>
        <w:t>これは、価値のない廃棄物はその後利用されないからです。廃棄物がその後使用されれば、その産物は何らかの経済的価値を持つことになり、もはや「廃棄物」とは分類されません。</w:t>
      </w:r>
    </w:p>
    <w:p w14:paraId="0E1736BD" w14:textId="77777777" w:rsidR="0055291C" w:rsidRDefault="0055291C">
      <w:pPr>
        <w:pStyle w:val="a3"/>
        <w:rPr>
          <w:sz w:val="20"/>
          <w:lang w:eastAsia="ja-JP"/>
        </w:rPr>
      </w:pPr>
    </w:p>
    <w:p w14:paraId="2B9B9959" w14:textId="77777777" w:rsidR="0055291C" w:rsidRDefault="0055291C">
      <w:pPr>
        <w:pStyle w:val="a3"/>
        <w:spacing w:before="1"/>
        <w:rPr>
          <w:sz w:val="16"/>
          <w:lang w:eastAsia="ja-JP"/>
        </w:rPr>
      </w:pPr>
    </w:p>
    <w:p w14:paraId="0B56B703" w14:textId="6A3FC407" w:rsidR="0055291C" w:rsidRDefault="00876036">
      <w:pPr>
        <w:pStyle w:val="7"/>
        <w:numPr>
          <w:ilvl w:val="2"/>
          <w:numId w:val="41"/>
        </w:numPr>
        <w:tabs>
          <w:tab w:val="left" w:pos="1853"/>
          <w:tab w:val="left" w:pos="1854"/>
        </w:tabs>
        <w:spacing w:before="0"/>
        <w:ind w:left="1853" w:hanging="721"/>
        <w:jc w:val="left"/>
      </w:pPr>
      <w:r>
        <w:rPr>
          <w:rFonts w:ascii="ＭＳ 明朝" w:eastAsia="ＭＳ 明朝" w:hAnsi="ＭＳ 明朝" w:cs="ＭＳ 明朝" w:hint="eastAsia"/>
          <w:color w:val="00B8B1"/>
          <w:w w:val="95"/>
          <w:lang w:eastAsia="ja-JP"/>
        </w:rPr>
        <w:t>割り当ての回避</w:t>
      </w:r>
    </w:p>
    <w:p w14:paraId="18B7B31A" w14:textId="70B2D582" w:rsidR="0055291C" w:rsidRDefault="00876036">
      <w:pPr>
        <w:spacing w:before="69"/>
        <w:ind w:left="1133"/>
        <w:rPr>
          <w:rFonts w:ascii="Arial"/>
          <w:b/>
          <w:i/>
          <w:sz w:val="18"/>
        </w:rPr>
      </w:pPr>
      <w:r>
        <w:rPr>
          <w:rFonts w:ascii="ＭＳ ゴシック" w:eastAsia="ＭＳ ゴシック" w:hAnsi="ＭＳ ゴシック" w:cs="ＭＳ ゴシック" w:hint="eastAsia"/>
          <w:b/>
          <w:i/>
          <w:color w:val="7F3F98"/>
          <w:w w:val="95"/>
          <w:sz w:val="18"/>
          <w:lang w:eastAsia="ja-JP"/>
        </w:rPr>
        <w:t>工程の細分化</w:t>
      </w:r>
    </w:p>
    <w:p w14:paraId="4E1CD20C" w14:textId="1952046C" w:rsidR="00DB612F" w:rsidRDefault="00876036" w:rsidP="00C42F36">
      <w:pPr>
        <w:pStyle w:val="a3"/>
        <w:spacing w:before="3" w:line="312" w:lineRule="auto"/>
        <w:ind w:left="1133" w:rightChars="27" w:right="59" w:firstLineChars="100" w:firstLine="190"/>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工程細分化は、共通の工程を</w:t>
      </w:r>
      <w:r>
        <w:rPr>
          <w:lang w:eastAsia="ja-JP"/>
        </w:rPr>
        <w:t>2</w:t>
      </w:r>
      <w:r>
        <w:rPr>
          <w:rFonts w:ascii="ＭＳ ゴシック" w:eastAsia="ＭＳ ゴシック" w:hAnsi="ＭＳ ゴシック" w:cs="ＭＳ ゴシック" w:hint="eastAsia"/>
          <w:lang w:eastAsia="ja-JP"/>
        </w:rPr>
        <w:t>つ以上の異なる工程に分割することが可能な場合に、割</w:t>
      </w:r>
      <w:r w:rsidR="00DB612F">
        <w:rPr>
          <w:rFonts w:ascii="ＭＳ ゴシック" w:eastAsia="ＭＳ ゴシック" w:hAnsi="ＭＳ ゴシック" w:cs="ＭＳ ゴシック" w:hint="eastAsia"/>
          <w:lang w:eastAsia="ja-JP"/>
        </w:rPr>
        <w:t>り</w:t>
      </w:r>
      <w:r>
        <w:rPr>
          <w:rFonts w:ascii="ＭＳ ゴシック" w:eastAsia="ＭＳ ゴシック" w:hAnsi="ＭＳ ゴシック" w:cs="ＭＳ ゴシック" w:hint="eastAsia"/>
          <w:lang w:eastAsia="ja-JP"/>
        </w:rPr>
        <w:t>当</w:t>
      </w:r>
      <w:r w:rsidR="00DB612F">
        <w:rPr>
          <w:rFonts w:ascii="ＭＳ ゴシック" w:eastAsia="ＭＳ ゴシック" w:hAnsi="ＭＳ ゴシック" w:cs="ＭＳ ゴシック" w:hint="eastAsia"/>
          <w:lang w:eastAsia="ja-JP"/>
        </w:rPr>
        <w:t>て</w:t>
      </w:r>
      <w:r>
        <w:rPr>
          <w:rFonts w:ascii="ＭＳ ゴシック" w:eastAsia="ＭＳ ゴシック" w:hAnsi="ＭＳ ゴシック" w:cs="ＭＳ ゴシック" w:hint="eastAsia"/>
          <w:lang w:eastAsia="ja-JP"/>
        </w:rPr>
        <w:t>を回避するために使用され</w:t>
      </w:r>
      <w:r w:rsidR="00DB612F">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w:t>
      </w:r>
      <w:r w:rsidR="00DB612F">
        <w:rPr>
          <w:rFonts w:ascii="ＭＳ ゴシック" w:eastAsia="ＭＳ ゴシック" w:hAnsi="ＭＳ ゴシック" w:cs="ＭＳ ゴシック" w:hint="eastAsia"/>
          <w:lang w:eastAsia="ja-JP"/>
        </w:rPr>
        <w:t>工程</w:t>
      </w:r>
      <w:r>
        <w:rPr>
          <w:rFonts w:ascii="ＭＳ ゴシック" w:eastAsia="ＭＳ ゴシック" w:hAnsi="ＭＳ ゴシック" w:cs="ＭＳ ゴシック" w:hint="eastAsia"/>
          <w:lang w:eastAsia="ja-JP"/>
        </w:rPr>
        <w:t>の細分化は、特定のプロセスラインをサブ計測すること、および</w:t>
      </w:r>
      <w:r>
        <w:rPr>
          <w:lang w:eastAsia="ja-JP"/>
        </w:rPr>
        <w:t>/</w:t>
      </w:r>
      <w:r>
        <w:rPr>
          <w:rFonts w:ascii="ＭＳ ゴシック" w:eastAsia="ＭＳ ゴシック" w:hAnsi="ＭＳ ゴシック" w:cs="ＭＳ ゴシック" w:hint="eastAsia"/>
          <w:lang w:eastAsia="ja-JP"/>
        </w:rPr>
        <w:t>または、プロセスの入出力をモデル化するエンジニアリングモデルを使用することによって行われることがあ</w:t>
      </w:r>
      <w:r w:rsidR="00DB612F">
        <w:rPr>
          <w:rFonts w:ascii="ＭＳ ゴシック" w:eastAsia="ＭＳ ゴシック" w:hAnsi="ＭＳ ゴシック" w:cs="ＭＳ ゴシック" w:hint="eastAsia"/>
          <w:lang w:eastAsia="ja-JP"/>
        </w:rPr>
        <w:t>ります</w:t>
      </w:r>
      <w:r>
        <w:rPr>
          <w:rFonts w:ascii="ＭＳ ゴシック" w:eastAsia="ＭＳ ゴシック" w:hAnsi="ＭＳ ゴシック" w:cs="ＭＳ ゴシック" w:hint="eastAsia"/>
          <w:lang w:eastAsia="ja-JP"/>
        </w:rPr>
        <w:t>。共通工程は、研究対象製品および副産物を個別に生産するサブプロセス</w:t>
      </w:r>
      <w:r w:rsidR="00DB612F">
        <w:rPr>
          <w:rFonts w:ascii="ＭＳ ゴシック" w:eastAsia="ＭＳ ゴシック" w:hAnsi="ＭＳ ゴシック" w:cs="ＭＳ ゴシック" w:hint="eastAsia"/>
          <w:lang w:eastAsia="ja-JP"/>
        </w:rPr>
        <w:t>に細分化されます</w:t>
      </w:r>
      <w:r>
        <w:rPr>
          <w:rFonts w:ascii="ＭＳ ゴシック" w:eastAsia="ＭＳ ゴシック" w:hAnsi="ＭＳ ゴシック" w:cs="ＭＳ ゴシック" w:hint="eastAsia"/>
          <w:lang w:eastAsia="ja-JP"/>
        </w:rPr>
        <w:t>。共通工程は、研究対象製品とその機能が分離される程度にのみ細分化される必要があり、すべての副産物がユニークで明確な工程を持つほどには細分化されてはな</w:t>
      </w:r>
      <w:r w:rsidR="00DB612F">
        <w:rPr>
          <w:rFonts w:ascii="ＭＳ ゴシック" w:eastAsia="ＭＳ ゴシック" w:hAnsi="ＭＳ ゴシック" w:cs="ＭＳ ゴシック" w:hint="eastAsia"/>
          <w:lang w:eastAsia="ja-JP"/>
        </w:rPr>
        <w:t>りません</w:t>
      </w:r>
      <w:r>
        <w:rPr>
          <w:rFonts w:ascii="ＭＳ ゴシック" w:eastAsia="ＭＳ ゴシック" w:hAnsi="ＭＳ ゴシック" w:cs="ＭＳ ゴシック" w:hint="eastAsia"/>
          <w:lang w:eastAsia="ja-JP"/>
        </w:rPr>
        <w:t>。</w:t>
      </w:r>
    </w:p>
    <w:p w14:paraId="51E56992" w14:textId="195B2C61" w:rsidR="0055291C" w:rsidRDefault="00876036" w:rsidP="00C42F36">
      <w:pPr>
        <w:pStyle w:val="a3"/>
        <w:spacing w:before="3" w:line="312" w:lineRule="auto"/>
        <w:ind w:left="1133" w:rightChars="27" w:right="59" w:firstLineChars="100" w:firstLine="190"/>
        <w:rPr>
          <w:lang w:eastAsia="ja-JP"/>
        </w:rPr>
      </w:pPr>
      <w:r>
        <w:rPr>
          <w:rFonts w:ascii="ＭＳ ゴシック" w:eastAsia="ＭＳ ゴシック" w:hAnsi="ＭＳ ゴシック" w:cs="ＭＳ ゴシック" w:hint="eastAsia"/>
          <w:lang w:eastAsia="ja-JP"/>
        </w:rPr>
        <w:t>工程細分化は最初に検討されるべきであり、特に単一</w:t>
      </w:r>
      <w:r>
        <w:rPr>
          <w:lang w:eastAsia="ja-JP"/>
        </w:rPr>
        <w:t xml:space="preserve"> </w:t>
      </w:r>
      <w:r>
        <w:rPr>
          <w:rFonts w:ascii="ＭＳ ゴシック" w:eastAsia="ＭＳ ゴシック" w:hAnsi="ＭＳ ゴシック" w:cs="ＭＳ ゴシック" w:hint="eastAsia"/>
          <w:lang w:eastAsia="ja-JP"/>
        </w:rPr>
        <w:t>の材料投入が複数の製品に変換される場合、</w:t>
      </w:r>
      <w:r w:rsidR="00DB612F">
        <w:rPr>
          <w:rFonts w:ascii="ＭＳ ゴシック" w:eastAsia="ＭＳ ゴシック" w:hAnsi="ＭＳ ゴシック" w:cs="ＭＳ ゴシック" w:hint="eastAsia"/>
          <w:lang w:eastAsia="ja-JP"/>
        </w:rPr>
        <w:t>割り当て</w:t>
      </w:r>
      <w:r>
        <w:rPr>
          <w:rFonts w:ascii="ＭＳ ゴシック" w:eastAsia="ＭＳ ゴシック" w:hAnsi="ＭＳ ゴシック" w:cs="ＭＳ ゴシック" w:hint="eastAsia"/>
          <w:lang w:eastAsia="ja-JP"/>
        </w:rPr>
        <w:t>を回避または実行するために他の方法と一緒に使用される</w:t>
      </w:r>
      <w:r>
        <w:rPr>
          <w:lang w:eastAsia="ja-JP"/>
        </w:rPr>
        <w:t xml:space="preserve"> </w:t>
      </w:r>
      <w:r>
        <w:rPr>
          <w:rFonts w:ascii="ＭＳ ゴシック" w:eastAsia="ＭＳ ゴシック" w:hAnsi="ＭＳ ゴシック" w:cs="ＭＳ ゴシック" w:hint="eastAsia"/>
          <w:lang w:eastAsia="ja-JP"/>
        </w:rPr>
        <w:t>ことが多い</w:t>
      </w:r>
      <w:r w:rsidR="00DB612F">
        <w:rPr>
          <w:rFonts w:ascii="ＭＳ ゴシック" w:eastAsia="ＭＳ ゴシック" w:hAnsi="ＭＳ ゴシック" w:cs="ＭＳ ゴシック" w:hint="eastAsia"/>
          <w:lang w:eastAsia="ja-JP"/>
        </w:rPr>
        <w:t>です</w:t>
      </w:r>
      <w:r>
        <w:rPr>
          <w:rFonts w:ascii="ＭＳ ゴシック" w:eastAsia="ＭＳ ゴシック" w:hAnsi="ＭＳ ゴシック" w:cs="ＭＳ ゴシック" w:hint="eastAsia"/>
          <w:lang w:eastAsia="ja-JP"/>
        </w:rPr>
        <w:t>。この場合、材料投入が物理的、化学的、</w:t>
      </w:r>
      <w:r>
        <w:rPr>
          <w:lang w:eastAsia="ja-JP"/>
        </w:rPr>
        <w:t xml:space="preserve"> </w:t>
      </w:r>
      <w:r>
        <w:rPr>
          <w:rFonts w:ascii="ＭＳ ゴシック" w:eastAsia="ＭＳ ゴシック" w:hAnsi="ＭＳ ゴシック" w:cs="ＭＳ ゴシック" w:hint="eastAsia"/>
          <w:lang w:eastAsia="ja-JP"/>
        </w:rPr>
        <w:t>生物学的に分離されているため、すべての一般的な</w:t>
      </w:r>
      <w:r w:rsidR="00DB612F">
        <w:rPr>
          <w:rFonts w:ascii="ＭＳ ゴシック" w:eastAsia="ＭＳ ゴシック" w:hAnsi="ＭＳ ゴシック" w:cs="ＭＳ ゴシック" w:hint="eastAsia"/>
          <w:lang w:eastAsia="ja-JP"/>
        </w:rPr>
        <w:t>工程</w:t>
      </w:r>
      <w:r>
        <w:rPr>
          <w:rFonts w:ascii="ＭＳ ゴシック" w:eastAsia="ＭＳ ゴシック" w:hAnsi="ＭＳ ゴシック" w:cs="ＭＳ ゴシック" w:hint="eastAsia"/>
          <w:lang w:eastAsia="ja-JP"/>
        </w:rPr>
        <w:t>で</w:t>
      </w:r>
      <w:r w:rsidR="00DB612F">
        <w:rPr>
          <w:rFonts w:ascii="ＭＳ ゴシック" w:eastAsia="ＭＳ ゴシック" w:hAnsi="ＭＳ ゴシック" w:cs="ＭＳ ゴシック" w:hint="eastAsia"/>
          <w:lang w:eastAsia="ja-JP"/>
        </w:rPr>
        <w:t>工程の</w:t>
      </w:r>
      <w:r>
        <w:rPr>
          <w:rFonts w:ascii="ＭＳ ゴシック" w:eastAsia="ＭＳ ゴシック" w:hAnsi="ＭＳ ゴシック" w:cs="ＭＳ ゴシック" w:hint="eastAsia"/>
          <w:lang w:eastAsia="ja-JP"/>
        </w:rPr>
        <w:t>細分化が可能なわけでは</w:t>
      </w:r>
      <w:r w:rsidR="00DB612F">
        <w:rPr>
          <w:rFonts w:ascii="ＭＳ ゴシック" w:eastAsia="ＭＳ ゴシック" w:hAnsi="ＭＳ ゴシック" w:cs="ＭＳ ゴシック" w:hint="eastAsia"/>
          <w:lang w:eastAsia="ja-JP"/>
        </w:rPr>
        <w:t>ありません</w:t>
      </w:r>
      <w:r>
        <w:rPr>
          <w:rFonts w:ascii="ＭＳ ゴシック" w:eastAsia="ＭＳ ゴシック" w:hAnsi="ＭＳ ゴシック" w:cs="ＭＳ ゴシック" w:hint="eastAsia"/>
          <w:lang w:eastAsia="ja-JP"/>
        </w:rPr>
        <w:t>。しかし</w:t>
      </w:r>
      <w:r w:rsidR="00DB612F">
        <w:rPr>
          <w:rFonts w:ascii="ＭＳ ゴシック" w:eastAsia="ＭＳ ゴシック" w:hAnsi="ＭＳ ゴシック" w:cs="ＭＳ ゴシック" w:hint="eastAsia"/>
          <w:lang w:eastAsia="ja-JP"/>
        </w:rPr>
        <w:t>工程</w:t>
      </w:r>
      <w:r>
        <w:rPr>
          <w:rFonts w:ascii="ＭＳ ゴシック" w:eastAsia="ＭＳ ゴシック" w:hAnsi="ＭＳ ゴシック" w:cs="ＭＳ ゴシック" w:hint="eastAsia"/>
          <w:lang w:eastAsia="ja-JP"/>
        </w:rPr>
        <w:t>細分化は、すべての</w:t>
      </w:r>
      <w:r w:rsidR="00DB612F">
        <w:rPr>
          <w:rFonts w:ascii="ＭＳ ゴシック" w:eastAsia="ＭＳ ゴシック" w:hAnsi="ＭＳ ゴシック" w:cs="ＭＳ ゴシック" w:hint="eastAsia"/>
          <w:lang w:eastAsia="ja-JP"/>
        </w:rPr>
        <w:t>工程段階に</w:t>
      </w:r>
      <w:r>
        <w:rPr>
          <w:rFonts w:ascii="ＭＳ ゴシック" w:eastAsia="ＭＳ ゴシック" w:hAnsi="ＭＳ ゴシック" w:cs="ＭＳ ゴシック" w:hint="eastAsia"/>
          <w:lang w:eastAsia="ja-JP"/>
        </w:rPr>
        <w:t>ついて透明性のあるデータが利用できない場合、技術的にあまり一般的でないプロセスについては、限られた能力においてのみ有用であるかもしれ</w:t>
      </w:r>
      <w:r w:rsidR="00DB612F">
        <w:rPr>
          <w:rFonts w:ascii="ＭＳ ゴシック" w:eastAsia="ＭＳ ゴシック" w:hAnsi="ＭＳ ゴシック" w:cs="ＭＳ ゴシック" w:hint="eastAsia"/>
          <w:lang w:eastAsia="ja-JP"/>
        </w:rPr>
        <w:t>ません</w:t>
      </w:r>
      <w:r>
        <w:rPr>
          <w:rFonts w:ascii="ＭＳ ゴシック" w:eastAsia="ＭＳ ゴシック" w:hAnsi="ＭＳ ゴシック" w:cs="ＭＳ ゴシック" w:hint="eastAsia"/>
          <w:lang w:eastAsia="ja-JP"/>
        </w:rPr>
        <w:t>。</w:t>
      </w:r>
    </w:p>
    <w:p w14:paraId="690FEC17" w14:textId="77777777" w:rsidR="0055291C" w:rsidRDefault="0055291C">
      <w:pPr>
        <w:pStyle w:val="a3"/>
        <w:spacing w:before="3"/>
        <w:rPr>
          <w:sz w:val="16"/>
          <w:lang w:eastAsia="ja-JP"/>
        </w:rPr>
      </w:pPr>
    </w:p>
    <w:p w14:paraId="22E11755" w14:textId="77777777" w:rsidR="0055291C" w:rsidRDefault="00F23C61" w:rsidP="00C42F36">
      <w:pPr>
        <w:spacing w:before="1"/>
        <w:ind w:left="284"/>
        <w:rPr>
          <w:rFonts w:ascii="Arial"/>
          <w:b/>
          <w:i/>
          <w:sz w:val="14"/>
          <w:lang w:eastAsia="ja-JP"/>
        </w:rPr>
      </w:pPr>
      <w:r>
        <w:rPr>
          <w:rFonts w:ascii="Arial"/>
          <w:b/>
          <w:i/>
          <w:color w:val="7F3F98"/>
          <w:w w:val="95"/>
          <w:sz w:val="14"/>
          <w:lang w:eastAsia="ja-JP"/>
        </w:rPr>
        <w:t>E</w:t>
      </w:r>
      <w:r>
        <w:rPr>
          <w:rFonts w:ascii="Arial"/>
          <w:b/>
          <w:i/>
          <w:color w:val="7F3F98"/>
          <w:spacing w:val="-6"/>
          <w:w w:val="95"/>
          <w:sz w:val="14"/>
          <w:lang w:eastAsia="ja-JP"/>
        </w:rPr>
        <w:t xml:space="preserve"> </w:t>
      </w:r>
      <w:r>
        <w:rPr>
          <w:rFonts w:ascii="Arial"/>
          <w:b/>
          <w:i/>
          <w:color w:val="7F3F98"/>
          <w:spacing w:val="22"/>
          <w:w w:val="95"/>
          <w:sz w:val="14"/>
          <w:lang w:eastAsia="ja-JP"/>
        </w:rPr>
        <w:t>XAMPL</w:t>
      </w:r>
      <w:r>
        <w:rPr>
          <w:rFonts w:ascii="Arial"/>
          <w:b/>
          <w:i/>
          <w:color w:val="7F3F98"/>
          <w:spacing w:val="-8"/>
          <w:w w:val="95"/>
          <w:sz w:val="14"/>
          <w:lang w:eastAsia="ja-JP"/>
        </w:rPr>
        <w:t xml:space="preserve"> </w:t>
      </w:r>
      <w:r>
        <w:rPr>
          <w:rFonts w:ascii="Arial"/>
          <w:b/>
          <w:i/>
          <w:color w:val="7F3F98"/>
          <w:w w:val="95"/>
          <w:sz w:val="14"/>
          <w:lang w:eastAsia="ja-JP"/>
        </w:rPr>
        <w:t>E</w:t>
      </w:r>
    </w:p>
    <w:p w14:paraId="766E740B" w14:textId="51134CF0" w:rsidR="0055291C" w:rsidRPr="00C42F36" w:rsidRDefault="00C42F36" w:rsidP="00C42F36">
      <w:pPr>
        <w:ind w:leftChars="129" w:left="284" w:rightChars="362" w:right="796" w:firstLineChars="100" w:firstLine="170"/>
        <w:rPr>
          <w:rFonts w:ascii="Arial"/>
          <w:i/>
          <w:sz w:val="18"/>
          <w:szCs w:val="21"/>
          <w:lang w:eastAsia="ja-JP"/>
        </w:rPr>
      </w:pPr>
      <w:r w:rsidRPr="00C42F36">
        <w:rPr>
          <w:rFonts w:ascii="ＭＳ ゴシック" w:eastAsia="ＭＳ ゴシック" w:hAnsi="ＭＳ ゴシック" w:cs="ＭＳ ゴシック" w:hint="eastAsia"/>
          <w:i/>
          <w:color w:val="545456"/>
          <w:w w:val="95"/>
          <w:sz w:val="18"/>
          <w:szCs w:val="21"/>
          <w:lang w:eastAsia="ja-JP"/>
        </w:rPr>
        <w:t>石油精製所では、ガソリン、ディーゼル燃料、重油、石油、石炭、瀝青（れきせい：ビチューメン）など、非常に多くの生産物が作られる。研究対象がディーゼル燃料である場合、その製品に含まれるのは、製油所全体の排出量のうち、ディーゼル製品に割り当てられるべきものである。従って、製油所工程はできるだけディーゼル燃料のみを含む工程に細分化することが望ましい。しかし、ディーゼル燃料は、化学的に多くの異なる製品に分離された一つの材料（原油）を投入するため、すべての割り当てにプロセスの細分化を使用することはできない。工程細分化を検討し、共通工程を可能な限り簡略化した上で、残りの共通工程を他の推奨される配分方法のいずれかを用いて配分するか、または配分を回避する必要がある。</w:t>
      </w:r>
    </w:p>
    <w:p w14:paraId="7F5BE81B" w14:textId="51937EAB" w:rsidR="0055291C" w:rsidRDefault="0055291C" w:rsidP="00C42F36">
      <w:pPr>
        <w:spacing w:before="1" w:line="307" w:lineRule="auto"/>
        <w:ind w:right="1138"/>
        <w:rPr>
          <w:rFonts w:ascii="Arial"/>
          <w:i/>
          <w:sz w:val="19"/>
          <w:lang w:eastAsia="ja-JP"/>
        </w:rPr>
      </w:pPr>
    </w:p>
    <w:p w14:paraId="03E45A62" w14:textId="69BC5AE7" w:rsidR="0055291C" w:rsidRDefault="00C42F36">
      <w:pPr>
        <w:spacing w:before="151"/>
        <w:ind w:left="244"/>
        <w:rPr>
          <w:rFonts w:ascii="Arial"/>
          <w:b/>
          <w:i/>
          <w:sz w:val="18"/>
          <w:lang w:eastAsia="ja-JP"/>
        </w:rPr>
      </w:pPr>
      <w:r>
        <w:rPr>
          <w:rFonts w:ascii="ＭＳ ゴシック" w:eastAsia="ＭＳ ゴシック" w:hAnsi="ＭＳ ゴシック" w:cs="ＭＳ ゴシック" w:hint="eastAsia"/>
          <w:b/>
          <w:i/>
          <w:color w:val="7F3F98"/>
          <w:sz w:val="18"/>
          <w:lang w:eastAsia="ja-JP"/>
        </w:rPr>
        <w:t>分析単位の再定義</w:t>
      </w:r>
    </w:p>
    <w:p w14:paraId="6A6C1DC4" w14:textId="7BC9E32C" w:rsidR="0055291C" w:rsidRDefault="00C42F36" w:rsidP="00C42F36">
      <w:pPr>
        <w:pStyle w:val="a3"/>
        <w:spacing w:before="66" w:line="312" w:lineRule="auto"/>
        <w:ind w:left="244" w:right="1115" w:firstLineChars="100" w:firstLine="190"/>
        <w:rPr>
          <w:lang w:eastAsia="ja-JP"/>
        </w:rPr>
      </w:pPr>
      <w:r>
        <w:rPr>
          <w:rFonts w:ascii="ＭＳ ゴシック" w:eastAsia="ＭＳ ゴシック" w:hAnsi="ＭＳ ゴシック" w:cs="ＭＳ ゴシック" w:hint="eastAsia"/>
          <w:lang w:eastAsia="ja-JP"/>
        </w:rPr>
        <w:t>割り当てを回避するもう一つの方法は、分析単位を再定義して、調査対象製品と副産物の両方の機能を含めることです。分析単位の定義に関するガイダンスは、第</w:t>
      </w:r>
      <w:r>
        <w:rPr>
          <w:lang w:eastAsia="ja-JP"/>
        </w:rPr>
        <w:t xml:space="preserve"> 6</w:t>
      </w:r>
      <w:r>
        <w:rPr>
          <w:rFonts w:ascii="ＭＳ ゴシック" w:eastAsia="ＭＳ ゴシック" w:hAnsi="ＭＳ ゴシック" w:cs="ＭＳ ゴシック" w:hint="eastAsia"/>
          <w:lang w:eastAsia="ja-JP"/>
        </w:rPr>
        <w:t>章を参照してください。</w:t>
      </w:r>
    </w:p>
    <w:p w14:paraId="50BEE2EF" w14:textId="77777777" w:rsidR="0055291C" w:rsidRDefault="0055291C">
      <w:pPr>
        <w:pStyle w:val="a3"/>
        <w:spacing w:before="5"/>
        <w:rPr>
          <w:sz w:val="16"/>
          <w:lang w:eastAsia="ja-JP"/>
        </w:rPr>
      </w:pPr>
    </w:p>
    <w:p w14:paraId="4614D8E5" w14:textId="77777777" w:rsidR="0055291C" w:rsidRDefault="00F23C61">
      <w:pPr>
        <w:ind w:left="244"/>
        <w:rPr>
          <w:rFonts w:ascii="Arial"/>
          <w:b/>
          <w:i/>
          <w:sz w:val="14"/>
          <w:lang w:eastAsia="ja-JP"/>
        </w:rPr>
      </w:pPr>
      <w:r>
        <w:rPr>
          <w:rFonts w:ascii="Arial"/>
          <w:b/>
          <w:i/>
          <w:color w:val="7F3F98"/>
          <w:w w:val="95"/>
          <w:sz w:val="14"/>
          <w:lang w:eastAsia="ja-JP"/>
        </w:rPr>
        <w:t>E</w:t>
      </w:r>
      <w:r>
        <w:rPr>
          <w:rFonts w:ascii="Arial"/>
          <w:b/>
          <w:i/>
          <w:color w:val="7F3F98"/>
          <w:spacing w:val="-6"/>
          <w:w w:val="95"/>
          <w:sz w:val="14"/>
          <w:lang w:eastAsia="ja-JP"/>
        </w:rPr>
        <w:t xml:space="preserve"> </w:t>
      </w:r>
      <w:r>
        <w:rPr>
          <w:rFonts w:ascii="Arial"/>
          <w:b/>
          <w:i/>
          <w:color w:val="7F3F98"/>
          <w:spacing w:val="22"/>
          <w:w w:val="95"/>
          <w:sz w:val="14"/>
          <w:lang w:eastAsia="ja-JP"/>
        </w:rPr>
        <w:t>XAMPL</w:t>
      </w:r>
      <w:r>
        <w:rPr>
          <w:rFonts w:ascii="Arial"/>
          <w:b/>
          <w:i/>
          <w:color w:val="7F3F98"/>
          <w:spacing w:val="-8"/>
          <w:w w:val="95"/>
          <w:sz w:val="14"/>
          <w:lang w:eastAsia="ja-JP"/>
        </w:rPr>
        <w:t xml:space="preserve"> </w:t>
      </w:r>
      <w:r>
        <w:rPr>
          <w:rFonts w:ascii="Arial"/>
          <w:b/>
          <w:i/>
          <w:color w:val="7F3F98"/>
          <w:w w:val="95"/>
          <w:sz w:val="14"/>
          <w:lang w:eastAsia="ja-JP"/>
        </w:rPr>
        <w:t>E</w:t>
      </w:r>
    </w:p>
    <w:p w14:paraId="28D19C83" w14:textId="3E6A7C13" w:rsidR="0055291C" w:rsidRPr="00C42F36" w:rsidRDefault="00C42F36" w:rsidP="00C42F36">
      <w:pPr>
        <w:spacing w:before="72" w:line="307" w:lineRule="auto"/>
        <w:ind w:left="284" w:right="656" w:firstLineChars="100" w:firstLine="180"/>
        <w:rPr>
          <w:rFonts w:ascii="Arial"/>
          <w:i/>
          <w:iCs/>
          <w:sz w:val="19"/>
          <w:szCs w:val="19"/>
          <w:lang w:eastAsia="ja-JP"/>
        </w:rPr>
      </w:pPr>
      <w:r w:rsidRPr="00C42F36">
        <w:rPr>
          <w:rFonts w:ascii="ＭＳ ゴシック" w:eastAsia="ＭＳ ゴシック" w:hAnsi="ＭＳ ゴシック" w:cs="ＭＳ ゴシック" w:hint="eastAsia"/>
          <w:i/>
          <w:iCs/>
          <w:sz w:val="18"/>
          <w:szCs w:val="18"/>
          <w:lang w:eastAsia="ja-JP"/>
        </w:rPr>
        <w:t>ある会社は、飲料を入れるために設計されたペットボトルを製造してい</w:t>
      </w:r>
      <w:r>
        <w:rPr>
          <w:rFonts w:ascii="ＭＳ ゴシック" w:eastAsia="ＭＳ ゴシック" w:hAnsi="ＭＳ ゴシック" w:cs="ＭＳ ゴシック" w:hint="eastAsia"/>
          <w:i/>
          <w:iCs/>
          <w:sz w:val="18"/>
          <w:szCs w:val="18"/>
          <w:lang w:eastAsia="ja-JP"/>
        </w:rPr>
        <w:t>る</w:t>
      </w:r>
      <w:r w:rsidRPr="00C42F36">
        <w:rPr>
          <w:rFonts w:ascii="ＭＳ ゴシック" w:eastAsia="ＭＳ ゴシック" w:hAnsi="ＭＳ ゴシック" w:cs="ＭＳ ゴシック" w:hint="eastAsia"/>
          <w:i/>
          <w:iCs/>
          <w:sz w:val="18"/>
          <w:szCs w:val="18"/>
          <w:lang w:eastAsia="ja-JP"/>
        </w:rPr>
        <w:t>。この会社は、ボトルの生産、使用、</w:t>
      </w:r>
      <w:r w:rsidRPr="00C42F36">
        <w:rPr>
          <w:i/>
          <w:iCs/>
          <w:sz w:val="18"/>
          <w:szCs w:val="18"/>
          <w:lang w:eastAsia="ja-JP"/>
        </w:rPr>
        <w:t xml:space="preserve"> </w:t>
      </w:r>
      <w:r w:rsidRPr="00C42F36">
        <w:rPr>
          <w:rFonts w:ascii="ＭＳ ゴシック" w:eastAsia="ＭＳ ゴシック" w:hAnsi="ＭＳ ゴシック" w:cs="ＭＳ ゴシック" w:hint="eastAsia"/>
          <w:i/>
          <w:iCs/>
          <w:sz w:val="18"/>
          <w:szCs w:val="18"/>
          <w:lang w:eastAsia="ja-JP"/>
        </w:rPr>
        <w:t>廃棄に起因する工程のみを含むように機能単位（分析単位）と</w:t>
      </w:r>
      <w:r w:rsidR="00965448">
        <w:rPr>
          <w:rFonts w:ascii="ＭＳ ゴシック" w:eastAsia="ＭＳ ゴシック" w:hAnsi="ＭＳ ゴシック" w:cs="ＭＳ ゴシック" w:hint="eastAsia"/>
          <w:i/>
          <w:iCs/>
          <w:sz w:val="18"/>
          <w:szCs w:val="18"/>
          <w:lang w:eastAsia="ja-JP"/>
        </w:rPr>
        <w:t>報告書の</w:t>
      </w:r>
      <w:r w:rsidRPr="00C42F36">
        <w:rPr>
          <w:rFonts w:ascii="ＭＳ ゴシック" w:eastAsia="ＭＳ ゴシック" w:hAnsi="ＭＳ ゴシック" w:cs="ＭＳ ゴシック" w:hint="eastAsia"/>
          <w:i/>
          <w:iCs/>
          <w:sz w:val="18"/>
          <w:szCs w:val="18"/>
          <w:lang w:eastAsia="ja-JP"/>
        </w:rPr>
        <w:t>境界を定義してい</w:t>
      </w:r>
      <w:r w:rsidR="00965448">
        <w:rPr>
          <w:rFonts w:ascii="ＭＳ ゴシック" w:eastAsia="ＭＳ ゴシック" w:hAnsi="ＭＳ ゴシック" w:cs="ＭＳ ゴシック" w:hint="eastAsia"/>
          <w:i/>
          <w:iCs/>
          <w:sz w:val="18"/>
          <w:szCs w:val="18"/>
          <w:lang w:eastAsia="ja-JP"/>
        </w:rPr>
        <w:t>る</w:t>
      </w:r>
      <w:r w:rsidRPr="00C42F36">
        <w:rPr>
          <w:rFonts w:ascii="ＭＳ ゴシック" w:eastAsia="ＭＳ ゴシック" w:hAnsi="ＭＳ ゴシック" w:cs="ＭＳ ゴシック" w:hint="eastAsia"/>
          <w:i/>
          <w:iCs/>
          <w:sz w:val="18"/>
          <w:szCs w:val="18"/>
          <w:lang w:eastAsia="ja-JP"/>
        </w:rPr>
        <w:t>。飲料の生産、使用、廃棄の各プロセスは除外され</w:t>
      </w:r>
      <w:r w:rsidR="00965448">
        <w:rPr>
          <w:rFonts w:ascii="ＭＳ ゴシック" w:eastAsia="ＭＳ ゴシック" w:hAnsi="ＭＳ ゴシック" w:cs="ＭＳ ゴシック" w:hint="eastAsia"/>
          <w:i/>
          <w:iCs/>
          <w:sz w:val="18"/>
          <w:szCs w:val="18"/>
          <w:lang w:eastAsia="ja-JP"/>
        </w:rPr>
        <w:t>ている</w:t>
      </w:r>
      <w:r w:rsidRPr="00C42F36">
        <w:rPr>
          <w:rFonts w:ascii="ＭＳ ゴシック" w:eastAsia="ＭＳ ゴシック" w:hAnsi="ＭＳ ゴシック" w:cs="ＭＳ ゴシック" w:hint="eastAsia"/>
          <w:i/>
          <w:iCs/>
          <w:sz w:val="18"/>
          <w:szCs w:val="18"/>
          <w:lang w:eastAsia="ja-JP"/>
        </w:rPr>
        <w:t>。しかし、</w:t>
      </w:r>
      <w:r w:rsidR="00965448">
        <w:rPr>
          <w:rFonts w:ascii="ＭＳ ゴシック" w:eastAsia="ＭＳ ゴシック" w:hAnsi="ＭＳ ゴシック" w:cs="ＭＳ ゴシック" w:hint="eastAsia"/>
          <w:i/>
          <w:iCs/>
          <w:sz w:val="18"/>
          <w:szCs w:val="18"/>
          <w:lang w:eastAsia="ja-JP"/>
        </w:rPr>
        <w:t>報告書の</w:t>
      </w:r>
      <w:r w:rsidRPr="00C42F36">
        <w:rPr>
          <w:rFonts w:ascii="ＭＳ ゴシック" w:eastAsia="ＭＳ ゴシック" w:hAnsi="ＭＳ ゴシック" w:cs="ＭＳ ゴシック" w:hint="eastAsia"/>
          <w:i/>
          <w:iCs/>
          <w:sz w:val="18"/>
          <w:szCs w:val="18"/>
          <w:lang w:eastAsia="ja-JP"/>
        </w:rPr>
        <w:t>境界内の多くの工程は、ボトルと飲料の両方に影響を与え</w:t>
      </w:r>
      <w:r w:rsidR="00965448">
        <w:rPr>
          <w:rFonts w:ascii="ＭＳ ゴシック" w:eastAsia="ＭＳ ゴシック" w:hAnsi="ＭＳ ゴシック" w:cs="ＭＳ ゴシック" w:hint="eastAsia"/>
          <w:i/>
          <w:iCs/>
          <w:sz w:val="18"/>
          <w:szCs w:val="18"/>
          <w:lang w:eastAsia="ja-JP"/>
        </w:rPr>
        <w:t>る</w:t>
      </w:r>
      <w:r w:rsidRPr="00C42F36">
        <w:rPr>
          <w:rFonts w:ascii="ＭＳ ゴシック" w:eastAsia="ＭＳ ゴシック" w:hAnsi="ＭＳ ゴシック" w:cs="ＭＳ ゴシック" w:hint="eastAsia"/>
          <w:i/>
          <w:iCs/>
          <w:sz w:val="18"/>
          <w:szCs w:val="18"/>
          <w:lang w:eastAsia="ja-JP"/>
        </w:rPr>
        <w:t>。</w:t>
      </w:r>
      <w:r w:rsidR="00965448">
        <w:rPr>
          <w:rFonts w:ascii="ＭＳ ゴシック" w:eastAsia="ＭＳ ゴシック" w:hAnsi="ＭＳ ゴシック" w:cs="ＭＳ ゴシック" w:hint="eastAsia"/>
          <w:i/>
          <w:iCs/>
          <w:sz w:val="18"/>
          <w:szCs w:val="18"/>
          <w:lang w:eastAsia="ja-JP"/>
        </w:rPr>
        <w:t>割り当て</w:t>
      </w:r>
      <w:r w:rsidRPr="00C42F36">
        <w:rPr>
          <w:rFonts w:ascii="ＭＳ ゴシック" w:eastAsia="ＭＳ ゴシック" w:hAnsi="ＭＳ ゴシック" w:cs="ＭＳ ゴシック" w:hint="eastAsia"/>
          <w:i/>
          <w:iCs/>
          <w:sz w:val="18"/>
          <w:szCs w:val="18"/>
          <w:lang w:eastAsia="ja-JP"/>
        </w:rPr>
        <w:t>を避けるために，同社は機能単位を飲料の機能（顧客に消費される）を含むように再定義すること</w:t>
      </w:r>
      <w:r w:rsidR="00965448">
        <w:rPr>
          <w:rFonts w:ascii="ＭＳ ゴシック" w:eastAsia="ＭＳ ゴシック" w:hAnsi="ＭＳ ゴシック" w:cs="ＭＳ ゴシック" w:hint="eastAsia"/>
          <w:i/>
          <w:iCs/>
          <w:sz w:val="18"/>
          <w:szCs w:val="18"/>
          <w:lang w:eastAsia="ja-JP"/>
        </w:rPr>
        <w:t>にした。</w:t>
      </w:r>
      <w:r w:rsidRPr="00C42F36">
        <w:rPr>
          <w:rFonts w:ascii="ＭＳ ゴシック" w:eastAsia="ＭＳ ゴシック" w:hAnsi="ＭＳ ゴシック" w:cs="ＭＳ ゴシック" w:hint="eastAsia"/>
          <w:i/>
          <w:iCs/>
          <w:sz w:val="18"/>
          <w:szCs w:val="18"/>
          <w:lang w:eastAsia="ja-JP"/>
        </w:rPr>
        <w:t>機能単位は現在，消費される飲料</w:t>
      </w:r>
      <w:r w:rsidRPr="00C42F36">
        <w:rPr>
          <w:i/>
          <w:iCs/>
          <w:sz w:val="18"/>
          <w:szCs w:val="18"/>
          <w:lang w:eastAsia="ja-JP"/>
        </w:rPr>
        <w:t>1</w:t>
      </w:r>
      <w:r w:rsidRPr="00C42F36">
        <w:rPr>
          <w:rFonts w:ascii="ＭＳ ゴシック" w:eastAsia="ＭＳ ゴシック" w:hAnsi="ＭＳ ゴシック" w:cs="ＭＳ ゴシック" w:hint="eastAsia"/>
          <w:i/>
          <w:iCs/>
          <w:sz w:val="18"/>
          <w:szCs w:val="18"/>
          <w:lang w:eastAsia="ja-JP"/>
        </w:rPr>
        <w:t>リットルが入ったボトル</w:t>
      </w:r>
      <w:r w:rsidRPr="00C42F36">
        <w:rPr>
          <w:i/>
          <w:iCs/>
          <w:sz w:val="18"/>
          <w:szCs w:val="18"/>
          <w:lang w:eastAsia="ja-JP"/>
        </w:rPr>
        <w:t>1</w:t>
      </w:r>
      <w:r w:rsidRPr="00C42F36">
        <w:rPr>
          <w:rFonts w:ascii="ＭＳ ゴシック" w:eastAsia="ＭＳ ゴシック" w:hAnsi="ＭＳ ゴシック" w:cs="ＭＳ ゴシック" w:hint="eastAsia"/>
          <w:i/>
          <w:iCs/>
          <w:sz w:val="18"/>
          <w:szCs w:val="18"/>
          <w:lang w:eastAsia="ja-JP"/>
        </w:rPr>
        <w:t>本と定義されてい</w:t>
      </w:r>
      <w:r w:rsidR="00965448">
        <w:rPr>
          <w:rFonts w:ascii="ＭＳ ゴシック" w:eastAsia="ＭＳ ゴシック" w:hAnsi="ＭＳ ゴシック" w:cs="ＭＳ ゴシック" w:hint="eastAsia"/>
          <w:i/>
          <w:iCs/>
          <w:sz w:val="18"/>
          <w:szCs w:val="18"/>
          <w:lang w:eastAsia="ja-JP"/>
        </w:rPr>
        <w:t>る</w:t>
      </w:r>
      <w:r w:rsidRPr="00C42F36">
        <w:rPr>
          <w:rFonts w:ascii="ＭＳ ゴシック" w:eastAsia="ＭＳ ゴシック" w:hAnsi="ＭＳ ゴシック" w:cs="ＭＳ ゴシック" w:hint="eastAsia"/>
          <w:i/>
          <w:iCs/>
          <w:sz w:val="19"/>
          <w:szCs w:val="19"/>
          <w:lang w:eastAsia="ja-JP"/>
        </w:rPr>
        <w:t>。</w:t>
      </w:r>
    </w:p>
    <w:p w14:paraId="0C6E26D5" w14:textId="37A67B0E" w:rsidR="0055291C" w:rsidRDefault="00965448">
      <w:pPr>
        <w:spacing w:before="153"/>
        <w:ind w:left="244"/>
        <w:rPr>
          <w:rFonts w:ascii="Arial"/>
          <w:b/>
          <w:i/>
          <w:sz w:val="18"/>
          <w:lang w:eastAsia="ja-JP"/>
        </w:rPr>
      </w:pPr>
      <w:r>
        <w:rPr>
          <w:rFonts w:ascii="ＭＳ ゴシック" w:eastAsia="ＭＳ ゴシック" w:hAnsi="ＭＳ ゴシック" w:cs="ＭＳ ゴシック" w:hint="eastAsia"/>
          <w:b/>
          <w:i/>
          <w:color w:val="7F3F98"/>
          <w:w w:val="95"/>
          <w:sz w:val="18"/>
          <w:lang w:eastAsia="ja-JP"/>
        </w:rPr>
        <w:t>システム拡張</w:t>
      </w:r>
    </w:p>
    <w:p w14:paraId="78D479AA" w14:textId="523DEBE1" w:rsidR="0055291C" w:rsidRDefault="00965448" w:rsidP="00965448">
      <w:pPr>
        <w:pStyle w:val="a3"/>
        <w:spacing w:before="67" w:line="312" w:lineRule="auto"/>
        <w:ind w:left="244" w:right="1111" w:firstLineChars="100" w:firstLine="190"/>
        <w:rPr>
          <w:sz w:val="11"/>
          <w:lang w:eastAsia="ja-JP"/>
        </w:rPr>
      </w:pPr>
      <w:r>
        <w:rPr>
          <w:rFonts w:ascii="ＭＳ ゴシック" w:eastAsia="ＭＳ ゴシック" w:hAnsi="ＭＳ ゴシック" w:cs="ＭＳ ゴシック" w:hint="eastAsia"/>
          <w:lang w:eastAsia="ja-JP"/>
        </w:rPr>
        <w:t>システム拡張法では、共通プロセスにおける副産物の排出・除去の寄与を</w:t>
      </w:r>
      <w:r>
        <w:rPr>
          <w:lang w:eastAsia="ja-JP"/>
        </w:rPr>
        <w:t xml:space="preserve"> </w:t>
      </w:r>
      <w:r>
        <w:rPr>
          <w:rFonts w:ascii="ＭＳ ゴシック" w:eastAsia="ＭＳ ゴシック" w:hAnsi="ＭＳ ゴシック" w:cs="ＭＳ ゴシック" w:hint="eastAsia"/>
          <w:lang w:eastAsia="ja-JP"/>
        </w:rPr>
        <w:t>、類似製品あるいは同等製品、あるいは異なる製品システムで生産された同一製品の排出・除去量に置き換えて推定します。</w:t>
      </w:r>
      <w:r w:rsidR="00F23C61">
        <w:rPr>
          <w:color w:val="545456"/>
          <w:position w:val="6"/>
          <w:sz w:val="11"/>
          <w:lang w:eastAsia="ja-JP"/>
        </w:rPr>
        <w:t>3</w:t>
      </w:r>
    </w:p>
    <w:p w14:paraId="30696F34" w14:textId="584551AA" w:rsidR="0055291C" w:rsidRDefault="00965448" w:rsidP="006E1C33">
      <w:pPr>
        <w:pStyle w:val="a3"/>
        <w:spacing w:before="142" w:line="312" w:lineRule="auto"/>
        <w:ind w:left="244" w:right="1287" w:firstLineChars="100" w:firstLine="190"/>
        <w:rPr>
          <w:lang w:eastAsia="ja-JP"/>
        </w:rPr>
        <w:sectPr w:rsidR="0055291C">
          <w:type w:val="continuous"/>
          <w:pgSz w:w="12240" w:h="15840"/>
          <w:pgMar w:top="740" w:right="0" w:bottom="280" w:left="0" w:header="0" w:footer="655" w:gutter="0"/>
          <w:cols w:num="2" w:space="720" w:equalWidth="0">
            <w:col w:w="6015" w:space="40"/>
            <w:col w:w="6185"/>
          </w:cols>
        </w:sectPr>
      </w:pPr>
      <w:r>
        <w:rPr>
          <w:rFonts w:ascii="ＭＳ ゴシック" w:eastAsia="ＭＳ ゴシック" w:hAnsi="ＭＳ ゴシック" w:cs="ＭＳ ゴシック" w:hint="eastAsia"/>
          <w:lang w:eastAsia="ja-JP"/>
        </w:rPr>
        <w:t>ライフサイクルアセスメントの実務</w:t>
      </w:r>
      <w:r w:rsidR="006E1C33">
        <w:rPr>
          <w:rFonts w:ascii="ＭＳ ゴシック" w:eastAsia="ＭＳ ゴシック" w:hAnsi="ＭＳ ゴシック" w:cs="ＭＳ ゴシック" w:hint="eastAsia"/>
          <w:lang w:eastAsia="ja-JP"/>
        </w:rPr>
        <w:t>に携わる人</w:t>
      </w:r>
      <w:r>
        <w:rPr>
          <w:rFonts w:ascii="ＭＳ ゴシック" w:eastAsia="ＭＳ ゴシック" w:hAnsi="ＭＳ ゴシック" w:cs="ＭＳ ゴシック" w:hint="eastAsia"/>
          <w:lang w:eastAsia="ja-JP"/>
        </w:rPr>
        <w:t>の中には、システム拡張を結果論的な配分手法と考える人もい</w:t>
      </w:r>
      <w:r w:rsidR="006E1C33">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w:t>
      </w:r>
      <w:r>
        <w:rPr>
          <w:lang w:eastAsia="ja-JP"/>
        </w:rPr>
        <w:t xml:space="preserve"> ( </w:t>
      </w:r>
      <w:r>
        <w:rPr>
          <w:rFonts w:ascii="ＭＳ ゴシック" w:eastAsia="ＭＳ ゴシック" w:hAnsi="ＭＳ ゴシック" w:cs="ＭＳ ゴシック" w:hint="eastAsia"/>
          <w:lang w:eastAsia="ja-JP"/>
        </w:rPr>
        <w:t>ライフサイクルアセスメントの結果論的アプローチと帰属論的アプローチの詳細については、</w:t>
      </w:r>
      <w:r>
        <w:rPr>
          <w:lang w:eastAsia="ja-JP"/>
        </w:rPr>
        <w:t xml:space="preserve"> </w:t>
      </w:r>
      <w:r>
        <w:rPr>
          <w:rFonts w:ascii="ＭＳ ゴシック" w:eastAsia="ＭＳ ゴシック" w:hAnsi="ＭＳ ゴシック" w:cs="ＭＳ ゴシック" w:hint="eastAsia"/>
          <w:lang w:eastAsia="ja-JP"/>
        </w:rPr>
        <w:t>第</w:t>
      </w:r>
      <w:r>
        <w:rPr>
          <w:lang w:eastAsia="ja-JP"/>
        </w:rPr>
        <w:t>5</w:t>
      </w:r>
      <w:r>
        <w:rPr>
          <w:rFonts w:ascii="ＭＳ ゴシック" w:eastAsia="ＭＳ ゴシック" w:hAnsi="ＭＳ ゴシック" w:cs="ＭＳ ゴシック" w:hint="eastAsia"/>
          <w:lang w:eastAsia="ja-JP"/>
        </w:rPr>
        <w:t>章を参照</w:t>
      </w:r>
      <w:r>
        <w:rPr>
          <w:lang w:eastAsia="ja-JP"/>
        </w:rPr>
        <w:t xml:space="preserve"> ) </w:t>
      </w:r>
      <w:r>
        <w:rPr>
          <w:rFonts w:ascii="ＭＳ ゴシック" w:eastAsia="ＭＳ ゴシック" w:hAnsi="ＭＳ ゴシック" w:cs="ＭＳ ゴシック" w:hint="eastAsia"/>
          <w:lang w:eastAsia="ja-JP"/>
        </w:rPr>
        <w:t>。これは、代替となる副産物を特定するために、限界データや市場動向を用いる場合に当てはまります</w:t>
      </w:r>
      <w:r>
        <w:rPr>
          <w:lang w:eastAsia="ja-JP"/>
        </w:rPr>
        <w:t xml:space="preserve"> </w:t>
      </w:r>
      <w:r>
        <w:rPr>
          <w:rFonts w:ascii="ＭＳ ゴシック" w:eastAsia="ＭＳ ゴシック" w:hAnsi="ＭＳ ゴシック" w:cs="ＭＳ ゴシック" w:hint="eastAsia"/>
          <w:lang w:eastAsia="ja-JP"/>
        </w:rPr>
        <w:t>。システム拡張を行う際に、確実に帰結的アプローチを使用するために</w:t>
      </w:r>
      <w:r w:rsidR="006E1C33">
        <w:rPr>
          <w:rFonts w:ascii="ＭＳ ゴシック" w:eastAsia="ＭＳ ゴシック" w:hAnsi="ＭＳ ゴシック" w:cs="ＭＳ ゴシック" w:hint="eastAsia"/>
          <w:lang w:eastAsia="ja-JP"/>
        </w:rPr>
        <w:t>、</w:t>
      </w:r>
      <w:r w:rsidR="006E1C33" w:rsidRPr="006E1C33">
        <w:rPr>
          <w:rFonts w:ascii="ＭＳ ゴシック" w:eastAsia="ＭＳ ゴシック" w:hAnsi="ＭＳ ゴシック" w:cs="ＭＳ ゴシック" w:hint="eastAsia"/>
          <w:lang w:eastAsia="ja-JP"/>
        </w:rPr>
        <w:t>報告企業は、</w:t>
      </w:r>
      <w:r w:rsidR="006E1C33">
        <w:rPr>
          <w:rFonts w:ascii="ＭＳ ゴシック" w:eastAsia="ＭＳ ゴシック" w:hAnsi="ＭＳ ゴシック" w:cs="ＭＳ ゴシック" w:hint="eastAsia"/>
          <w:lang w:eastAsia="ja-JP"/>
        </w:rPr>
        <w:t>共同製品の正確な用途を把握し、品質の高い供給者固有の</w:t>
      </w:r>
    </w:p>
    <w:p w14:paraId="57DBE66C" w14:textId="77777777" w:rsidR="0055291C" w:rsidRDefault="0055291C">
      <w:pPr>
        <w:pStyle w:val="a3"/>
        <w:rPr>
          <w:sz w:val="20"/>
          <w:lang w:eastAsia="ja-JP"/>
        </w:rPr>
      </w:pPr>
    </w:p>
    <w:p w14:paraId="2A23907B" w14:textId="77777777" w:rsidR="0055291C" w:rsidRDefault="0055291C">
      <w:pPr>
        <w:pStyle w:val="a3"/>
        <w:rPr>
          <w:sz w:val="20"/>
          <w:lang w:eastAsia="ja-JP"/>
        </w:rPr>
      </w:pPr>
    </w:p>
    <w:p w14:paraId="316A90F5" w14:textId="77777777" w:rsidR="0055291C" w:rsidRDefault="0055291C">
      <w:pPr>
        <w:pStyle w:val="a3"/>
        <w:rPr>
          <w:sz w:val="20"/>
          <w:lang w:eastAsia="ja-JP"/>
        </w:rPr>
      </w:pPr>
    </w:p>
    <w:p w14:paraId="6047CB69" w14:textId="77777777" w:rsidR="0055291C" w:rsidRDefault="0055291C">
      <w:pPr>
        <w:pStyle w:val="a3"/>
        <w:rPr>
          <w:sz w:val="20"/>
          <w:lang w:eastAsia="ja-JP"/>
        </w:rPr>
      </w:pPr>
    </w:p>
    <w:p w14:paraId="3D537521" w14:textId="77777777" w:rsidR="0055291C" w:rsidRDefault="0055291C">
      <w:pPr>
        <w:pStyle w:val="a3"/>
        <w:spacing w:before="7"/>
        <w:rPr>
          <w:sz w:val="21"/>
          <w:lang w:eastAsia="ja-JP"/>
        </w:rPr>
      </w:pPr>
    </w:p>
    <w:p w14:paraId="45C141BD" w14:textId="5A60E023" w:rsidR="0055291C" w:rsidRDefault="0095461D">
      <w:pPr>
        <w:pStyle w:val="6"/>
        <w:spacing w:before="1"/>
        <w:ind w:left="1182"/>
        <w:rPr>
          <w:sz w:val="11"/>
          <w:lang w:eastAsia="ja-JP"/>
        </w:rPr>
      </w:pPr>
      <w:r>
        <w:rPr>
          <w:rFonts w:ascii="ＭＳ 明朝" w:eastAsia="ＭＳ 明朝" w:hAnsi="ＭＳ 明朝" w:cs="ＭＳ 明朝" w:hint="eastAsia"/>
          <w:color w:val="00ACA1"/>
          <w:w w:val="95"/>
          <w:lang w:eastAsia="ja-JP"/>
        </w:rPr>
        <w:t>図</w:t>
      </w:r>
      <w:r w:rsidR="00F23C61">
        <w:rPr>
          <w:color w:val="00ACA1"/>
          <w:spacing w:val="13"/>
          <w:w w:val="95"/>
          <w:lang w:eastAsia="ja-JP"/>
        </w:rPr>
        <w:t xml:space="preserve"> </w:t>
      </w:r>
      <w:r w:rsidR="00F23C61">
        <w:rPr>
          <w:color w:val="00ACA1"/>
          <w:w w:val="95"/>
          <w:lang w:eastAsia="ja-JP"/>
        </w:rPr>
        <w:t>[9.2]</w:t>
      </w:r>
      <w:r w:rsidR="00F23C61">
        <w:rPr>
          <w:color w:val="00ACA1"/>
          <w:spacing w:val="12"/>
          <w:w w:val="95"/>
          <w:lang w:eastAsia="ja-JP"/>
        </w:rPr>
        <w:t xml:space="preserve"> </w:t>
      </w:r>
      <w:r>
        <w:rPr>
          <w:rFonts w:ascii="ＭＳ 明朝" w:eastAsia="ＭＳ 明朝" w:hAnsi="ＭＳ 明朝" w:cs="ＭＳ 明朝" w:hint="eastAsia"/>
          <w:color w:val="545456"/>
          <w:w w:val="95"/>
          <w:lang w:eastAsia="ja-JP"/>
        </w:rPr>
        <w:t>割り当て方法の選択手順</w:t>
      </w:r>
      <w:r w:rsidR="00F23C61">
        <w:rPr>
          <w:color w:val="545456"/>
          <w:w w:val="95"/>
          <w:position w:val="7"/>
          <w:sz w:val="11"/>
          <w:lang w:eastAsia="ja-JP"/>
        </w:rPr>
        <w:t>4</w:t>
      </w:r>
    </w:p>
    <w:p w14:paraId="2203C5D4" w14:textId="77777777" w:rsidR="0055291C" w:rsidRDefault="0055291C">
      <w:pPr>
        <w:pStyle w:val="a3"/>
        <w:spacing w:before="9"/>
        <w:rPr>
          <w:rFonts w:ascii="Arial"/>
          <w:b/>
          <w:sz w:val="12"/>
          <w:lang w:eastAsia="ja-JP"/>
        </w:rPr>
      </w:pPr>
    </w:p>
    <w:p w14:paraId="05C92B83" w14:textId="00D5302B" w:rsidR="0055291C" w:rsidRDefault="00F23C61">
      <w:pPr>
        <w:spacing w:before="99"/>
        <w:ind w:left="1143"/>
        <w:rPr>
          <w:rFonts w:ascii="Arial"/>
          <w:b/>
          <w:i/>
          <w:sz w:val="20"/>
          <w:lang w:eastAsia="ja-JP"/>
        </w:rPr>
      </w:pPr>
      <w:r>
        <w:rPr>
          <w:rFonts w:ascii="Arial"/>
          <w:b/>
          <w:i/>
          <w:color w:val="00ACA1"/>
          <w:w w:val="95"/>
          <w:sz w:val="20"/>
          <w:lang w:eastAsia="ja-JP"/>
        </w:rPr>
        <w:t>Step</w:t>
      </w:r>
      <w:r>
        <w:rPr>
          <w:rFonts w:ascii="Arial"/>
          <w:b/>
          <w:i/>
          <w:color w:val="00ACA1"/>
          <w:spacing w:val="5"/>
          <w:w w:val="95"/>
          <w:sz w:val="20"/>
          <w:lang w:eastAsia="ja-JP"/>
        </w:rPr>
        <w:t xml:space="preserve"> </w:t>
      </w:r>
      <w:r>
        <w:rPr>
          <w:rFonts w:ascii="Arial"/>
          <w:b/>
          <w:i/>
          <w:color w:val="00ACA1"/>
          <w:w w:val="95"/>
          <w:sz w:val="20"/>
          <w:lang w:eastAsia="ja-JP"/>
        </w:rPr>
        <w:t>1:</w:t>
      </w:r>
      <w:r>
        <w:rPr>
          <w:rFonts w:ascii="Arial"/>
          <w:b/>
          <w:i/>
          <w:color w:val="00ACA1"/>
          <w:spacing w:val="6"/>
          <w:w w:val="95"/>
          <w:sz w:val="20"/>
          <w:lang w:eastAsia="ja-JP"/>
        </w:rPr>
        <w:t xml:space="preserve"> </w:t>
      </w:r>
      <w:r w:rsidR="0095461D">
        <w:rPr>
          <w:rFonts w:ascii="ＭＳ ゴシック" w:eastAsia="ＭＳ ゴシック" w:hAnsi="ＭＳ ゴシック" w:cs="ＭＳ ゴシック" w:hint="eastAsia"/>
          <w:b/>
          <w:i/>
          <w:color w:val="545456"/>
          <w:w w:val="95"/>
          <w:sz w:val="20"/>
          <w:lang w:eastAsia="ja-JP"/>
        </w:rPr>
        <w:t>可能な限り割り当てを回避する</w:t>
      </w:r>
    </w:p>
    <w:p w14:paraId="1196FDBC" w14:textId="13848057" w:rsidR="0055291C" w:rsidRDefault="00000000">
      <w:pPr>
        <w:pStyle w:val="a3"/>
        <w:spacing w:before="9"/>
        <w:rPr>
          <w:rFonts w:ascii="Arial"/>
          <w:b/>
          <w:i/>
          <w:sz w:val="14"/>
          <w:lang w:eastAsia="ja-JP"/>
        </w:rPr>
      </w:pPr>
      <w:r>
        <w:pict w14:anchorId="7138C13E">
          <v:group id="docshapegroup1055" o:spid="_x0000_s2763" style="position:absolute;margin-left:443.2pt;margin-top:9.75pt;width:114.35pt;height:163.15pt;z-index:-251478528;mso-wrap-distance-left:0;mso-wrap-distance-right:0;mso-position-horizontal-relative:page" coordorigin="8874,195" coordsize="2287,3263">
            <v:shape id="docshape1056" o:spid="_x0000_s2769" style="position:absolute;left:9822;top:2229;width:376;height:537" coordorigin="9823,2230" coordsize="376,537" path="m10068,2230r-114,l9922,2261r1,220l9866,2482r-26,5l9826,2500r-3,19l9833,2543r131,198l9983,2760r22,6l10027,2760r20,-18l10188,2541r10,-24l10196,2498r-14,-13l10156,2481r-56,l10099,2261r-2,-12l10090,2239r-10,-7l10068,2230xe" fillcolor="#b8babd" stroked="f">
              <v:path arrowok="t"/>
            </v:shape>
            <v:shape id="docshape1057" o:spid="_x0000_s2768" style="position:absolute;left:8873;top:2827;width:2287;height:630" coordorigin="8874,2828" coordsize="2287,630" path="m10990,2828r-1946,l8946,2830r-51,19l8877,2900r-3,98l8874,3288r3,98l8895,3437r51,18l9044,3458r1946,l11088,3455r51,-18l11157,3386r3,-98l11160,2998r-3,-98l11139,2849r-51,-19l10990,2828xe" fillcolor="#81cfcb" stroked="f">
              <v:path arrowok="t"/>
            </v:shape>
            <v:shape id="docshape1058" o:spid="_x0000_s2767" style="position:absolute;left:8873;top:194;width:2287;height:1800" coordorigin="8874,195" coordsize="2287,1800" path="m10990,195r-1946,l8946,198r-51,18l8877,267r-3,98l8874,1825r3,98l8895,1974r51,18l9044,1995r1946,l11088,1992r51,-18l11157,1923r3,-98l11160,365r-3,-98l11139,216r-51,-18l10990,195xe" fillcolor="#00aca1" stroked="f">
              <v:path arrowok="t"/>
            </v:shape>
            <v:shape id="docshape1059" o:spid="_x0000_s2766" style="position:absolute;left:9720;top:1807;width:605;height:605" coordorigin="9721,1808" coordsize="605,605" path="m10005,1808r-25,25l9948,1816r-19,30l9894,1836r-14,33l9845,1865r-8,35l9802,1903r-1,36l9767,1949r6,35l9741,2001r13,33l9726,2056r18,30l9721,2113r24,27l9727,2170r29,22l9744,2225r32,16l9771,2276r34,9l9807,2321r36,2l9851,2358r35,-4l9901,2386r34,-11l9956,2404r31,-17l10013,2412r27,-23l10070,2409r23,-28l10126,2394r17,-31l10178,2370r10,-34l10224,2336r4,-36l10263,2294r-2,-36l10294,2245r-10,-34l10315,2191r-16,-32l10325,2135r-22,-29l10324,2077r-26,-24l10313,2021r-31,-19l10291,1968r-34,-13l10259,1920r-35,-6l10219,1879r-36,1l10171,1846r-34,8l10119,1823r-33,14l10063,1810r-30,20l10005,1808xe" fillcolor="#f47836" stroked="f">
              <v:path arrowok="t"/>
            </v:shape>
            <v:shape id="docshape1060" o:spid="_x0000_s2765" type="#_x0000_t202" style="position:absolute;left:8946;top:286;width:2154;height:1908" filled="f" stroked="f">
              <v:textbox style="mso-next-textbox:#docshape1060" inset="0,0,0,0">
                <w:txbxContent>
                  <w:p w14:paraId="70A2C046" w14:textId="171D7362" w:rsidR="0055291C" w:rsidRPr="00E375A5" w:rsidRDefault="00E375A5">
                    <w:pPr>
                      <w:spacing w:before="2" w:line="278" w:lineRule="auto"/>
                      <w:ind w:left="-1" w:right="18"/>
                      <w:jc w:val="center"/>
                      <w:rPr>
                        <w:rFonts w:ascii="Arial"/>
                        <w:b/>
                        <w:bCs/>
                        <w:i/>
                        <w:iCs/>
                        <w:color w:val="FFFFFF" w:themeColor="background1"/>
                        <w:sz w:val="18"/>
                        <w:szCs w:val="18"/>
                        <w:lang w:eastAsia="ja-JP"/>
                      </w:rPr>
                    </w:pPr>
                    <w:r w:rsidRPr="00E375A5">
                      <w:rPr>
                        <w:rFonts w:ascii="ＭＳ ゴシック" w:eastAsia="ＭＳ ゴシック" w:hAnsi="ＭＳ ゴシック" w:cs="ＭＳ ゴシック" w:hint="eastAsia"/>
                        <w:b/>
                        <w:bCs/>
                        <w:i/>
                        <w:iCs/>
                        <w:color w:val="FFFFFF" w:themeColor="background1"/>
                        <w:sz w:val="18"/>
                        <w:szCs w:val="18"/>
                        <w:lang w:eastAsia="ja-JP"/>
                      </w:rPr>
                      <w:t>副産物の排出量を類似の</w:t>
                    </w:r>
                    <w:r w:rsidRPr="00E375A5">
                      <w:rPr>
                        <w:b/>
                        <w:bCs/>
                        <w:i/>
                        <w:iCs/>
                        <w:color w:val="FFFFFF" w:themeColor="background1"/>
                        <w:sz w:val="18"/>
                        <w:szCs w:val="18"/>
                        <w:lang w:eastAsia="ja-JP"/>
                      </w:rPr>
                      <w:t xml:space="preserve"> </w:t>
                    </w:r>
                    <w:r w:rsidRPr="00E375A5">
                      <w:rPr>
                        <w:rFonts w:ascii="ＭＳ ゴシック" w:eastAsia="ＭＳ ゴシック" w:hAnsi="ＭＳ ゴシック" w:cs="ＭＳ ゴシック" w:hint="eastAsia"/>
                        <w:b/>
                        <w:bCs/>
                        <w:i/>
                        <w:iCs/>
                        <w:color w:val="FFFFFF" w:themeColor="background1"/>
                        <w:sz w:val="18"/>
                        <w:szCs w:val="18"/>
                        <w:lang w:eastAsia="ja-JP"/>
                      </w:rPr>
                      <w:t>プロセスや製品を用いてモデル化できるか、また、</w:t>
                    </w:r>
                    <w:r w:rsidRPr="00E375A5">
                      <w:rPr>
                        <w:b/>
                        <w:bCs/>
                        <w:i/>
                        <w:iCs/>
                        <w:color w:val="FFFFFF" w:themeColor="background1"/>
                        <w:sz w:val="18"/>
                        <w:szCs w:val="18"/>
                        <w:lang w:eastAsia="ja-JP"/>
                      </w:rPr>
                      <w:t xml:space="preserve"> </w:t>
                    </w:r>
                    <w:r w:rsidRPr="00E375A5">
                      <w:rPr>
                        <w:rFonts w:ascii="ＭＳ ゴシック" w:eastAsia="ＭＳ ゴシック" w:hAnsi="ＭＳ ゴシック" w:cs="ＭＳ ゴシック" w:hint="eastAsia"/>
                        <w:b/>
                        <w:bCs/>
                        <w:i/>
                        <w:iCs/>
                        <w:color w:val="FFFFFF" w:themeColor="background1"/>
                        <w:sz w:val="18"/>
                        <w:szCs w:val="18"/>
                        <w:lang w:eastAsia="ja-JP"/>
                      </w:rPr>
                      <w:t>副産物の</w:t>
                    </w:r>
                    <w:r>
                      <w:rPr>
                        <w:rFonts w:ascii="ＭＳ ゴシック" w:eastAsia="ＭＳ ゴシック" w:hAnsi="ＭＳ ゴシック" w:cs="ＭＳ ゴシック" w:hint="eastAsia"/>
                        <w:b/>
                        <w:bCs/>
                        <w:i/>
                        <w:iCs/>
                        <w:color w:val="FFFFFF" w:themeColor="background1"/>
                        <w:sz w:val="18"/>
                        <w:szCs w:val="18"/>
                        <w:lang w:eastAsia="ja-JP"/>
                      </w:rPr>
                      <w:t>最終使用</w:t>
                    </w:r>
                    <w:r w:rsidRPr="00E375A5">
                      <w:rPr>
                        <w:rFonts w:ascii="ＭＳ ゴシック" w:eastAsia="ＭＳ ゴシック" w:hAnsi="ＭＳ ゴシック" w:cs="ＭＳ ゴシック" w:hint="eastAsia"/>
                        <w:b/>
                        <w:bCs/>
                        <w:i/>
                        <w:iCs/>
                        <w:color w:val="FFFFFF" w:themeColor="background1"/>
                        <w:sz w:val="18"/>
                        <w:szCs w:val="18"/>
                        <w:lang w:eastAsia="ja-JP"/>
                      </w:rPr>
                      <w:t>に関する直接的な知見を有しているか</w:t>
                    </w:r>
                    <w:r w:rsidR="00F23C61" w:rsidRPr="00E375A5">
                      <w:rPr>
                        <w:rFonts w:ascii="Arial"/>
                        <w:b/>
                        <w:bCs/>
                        <w:i/>
                        <w:iCs/>
                        <w:color w:val="FFFFFF" w:themeColor="background1"/>
                        <w:spacing w:val="-2"/>
                        <w:w w:val="95"/>
                        <w:sz w:val="18"/>
                        <w:szCs w:val="18"/>
                        <w:lang w:eastAsia="ja-JP"/>
                      </w:rPr>
                      <w:t>?</w:t>
                    </w:r>
                  </w:p>
                  <w:p w14:paraId="2EB71E17" w14:textId="77777777" w:rsidR="0055291C" w:rsidRPr="00E375A5" w:rsidRDefault="00F23C61">
                    <w:pPr>
                      <w:spacing w:before="126" w:line="203" w:lineRule="exact"/>
                      <w:ind w:left="11" w:right="18"/>
                      <w:jc w:val="center"/>
                      <w:rPr>
                        <w:rFonts w:ascii="Arial"/>
                        <w:b/>
                        <w:bCs/>
                        <w:i/>
                        <w:iCs/>
                        <w:color w:val="FFFFFF" w:themeColor="background1"/>
                        <w:sz w:val="18"/>
                        <w:szCs w:val="18"/>
                      </w:rPr>
                    </w:pPr>
                    <w:r w:rsidRPr="00E375A5">
                      <w:rPr>
                        <w:rFonts w:ascii="Arial"/>
                        <w:b/>
                        <w:bCs/>
                        <w:i/>
                        <w:iCs/>
                        <w:color w:val="FFFFFF" w:themeColor="background1"/>
                        <w:sz w:val="18"/>
                        <w:szCs w:val="18"/>
                      </w:rPr>
                      <w:t>yes</w:t>
                    </w:r>
                  </w:p>
                </w:txbxContent>
              </v:textbox>
            </v:shape>
            <v:shape id="docshape1061" o:spid="_x0000_s2764" type="#_x0000_t202" style="position:absolute;left:9124;top:3039;width:1797;height:202;v-text-anchor:middle" filled="f" stroked="f">
              <v:textbox style="mso-next-textbox:#docshape1061" inset="0,0,0,0">
                <w:txbxContent>
                  <w:p w14:paraId="184C26D8" w14:textId="06C02A2E" w:rsidR="0055291C" w:rsidRDefault="000C609A" w:rsidP="000C609A">
                    <w:pPr>
                      <w:spacing w:line="202" w:lineRule="exact"/>
                      <w:ind w:firstLineChars="200" w:firstLine="336"/>
                      <w:rPr>
                        <w:rFonts w:ascii="Arial"/>
                        <w:b/>
                        <w:i/>
                        <w:sz w:val="18"/>
                      </w:rPr>
                    </w:pPr>
                    <w:r>
                      <w:rPr>
                        <w:rFonts w:ascii="ＭＳ ゴシック" w:eastAsia="ＭＳ ゴシック" w:hAnsi="ＭＳ ゴシック" w:cs="ＭＳ ゴシック" w:hint="eastAsia"/>
                        <w:b/>
                        <w:i/>
                        <w:color w:val="545456"/>
                        <w:spacing w:val="-3"/>
                        <w:w w:val="95"/>
                        <w:sz w:val="18"/>
                        <w:lang w:eastAsia="ja-JP"/>
                      </w:rPr>
                      <w:t>システム拡張</w:t>
                    </w:r>
                  </w:p>
                </w:txbxContent>
              </v:textbox>
            </v:shape>
            <w10:wrap type="topAndBottom" anchorx="page"/>
          </v:group>
        </w:pict>
      </w:r>
      <w:r>
        <w:pict w14:anchorId="4B8DDD10">
          <v:group id="docshapegroup1031" o:spid="_x0000_s2786" style="position:absolute;margin-left:59.1pt;margin-top:9.75pt;width:114.65pt;height:163.15pt;z-index:-251481600;mso-wrap-distance-left:0;mso-wrap-distance-right:0;mso-position-horizontal-relative:page" coordorigin="1182,195" coordsize="2293,3263">
            <v:shape id="docshape1032" o:spid="_x0000_s2793" style="position:absolute;left:2073;top:2229;width:376;height:537" coordorigin="2074,2230" coordsize="376,537" path="m2319,2230r-114,l2173,2261r1,220l2117,2482r-26,5l2077,2500r-3,19l2084,2543r131,198l2234,2760r22,6l2278,2760r20,-18l2439,2541r10,-24l2447,2498r-14,-13l2407,2481r-56,l2350,2261r-2,-12l2341,2239r-10,-7l2319,2230xe" fillcolor="#b8babd" stroked="f">
              <v:path arrowok="t"/>
            </v:shape>
            <v:shape id="docshape1033" o:spid="_x0000_s2792" style="position:absolute;left:1188;top:2827;width:2287;height:630" coordorigin="1188,2828" coordsize="2287,630" path="m3304,2828r-1945,l1260,2830r-50,19l1191,2900r-3,98l1188,3288r3,98l1210,3437r50,18l1359,3458r1945,l3403,3455r50,-18l3472,3386r3,-98l3475,2998r-3,-98l3453,2849r-50,-19l3304,2828xe" fillcolor="#81cfcb" stroked="f">
              <v:path arrowok="t"/>
            </v:shape>
            <v:shape id="docshape1034" o:spid="_x0000_s2791" style="position:absolute;left:1182;top:194;width:2287;height:1800" coordorigin="1182,195" coordsize="2287,1800" path="m3298,195r-1946,l1254,198r-51,18l1185,267r-3,98l1182,1825r3,98l1203,1974r51,18l1352,1995r1946,l3396,1992r51,-18l3466,1923r2,-98l3468,365r-2,-98l3447,216r-51,-18l3298,195xe" fillcolor="#00aca1" stroked="f">
              <v:path arrowok="t"/>
            </v:shape>
            <v:shape id="docshape1035" o:spid="_x0000_s2790" style="position:absolute;left:1971;top:1807;width:605;height:605" coordorigin="1972,1808" coordsize="605,605" path="m2256,1808r-25,25l2199,1816r-19,30l2145,1836r-14,33l2096,1865r-8,35l2053,1903r-1,36l2018,1949r6,35l1992,2001r13,33l1977,2056r18,30l1972,2113r24,27l1978,2170r29,22l1995,2225r32,16l2022,2276r34,9l2058,2321r36,2l2102,2358r35,-4l2152,2386r34,-11l2206,2404r32,-17l2264,2412r27,-23l2321,2409r23,-28l2377,2394r17,-31l2429,2370r10,-34l2475,2336r4,-36l2514,2294r-2,-36l2545,2245r-10,-34l2566,2191r-16,-32l2576,2135r-22,-29l2575,2077r-27,-24l2564,2021r-31,-19l2541,1968r-33,-13l2510,1920r-35,-6l2470,1879r-36,1l2422,1846r-35,8l2370,1823r-33,14l2314,1810r-30,20l2256,1808xe" fillcolor="#f47836" stroked="f">
              <v:path arrowok="t"/>
            </v:shape>
            <v:shape id="docshape1036" o:spid="_x0000_s2789" type="#_x0000_t202" style="position:absolute;left:1471;top:646;width:1720;height:682" filled="f" stroked="f">
              <v:textbox style="mso-next-textbox:#docshape1036" inset="0,0,0,0">
                <w:txbxContent>
                  <w:p w14:paraId="06C24323" w14:textId="1A4200FC" w:rsidR="0055291C" w:rsidRDefault="0095461D">
                    <w:pPr>
                      <w:spacing w:line="203" w:lineRule="exact"/>
                      <w:ind w:right="19"/>
                      <w:jc w:val="center"/>
                      <w:rPr>
                        <w:rFonts w:ascii="Arial"/>
                        <w:b/>
                        <w:i/>
                        <w:sz w:val="18"/>
                        <w:lang w:eastAsia="ja-JP"/>
                      </w:rPr>
                    </w:pPr>
                    <w:r>
                      <w:rPr>
                        <w:rFonts w:ascii="ＭＳ ゴシック" w:eastAsia="ＭＳ ゴシック" w:hAnsi="ＭＳ ゴシック" w:cs="ＭＳ ゴシック" w:hint="eastAsia"/>
                        <w:b/>
                        <w:i/>
                        <w:color w:val="FFFFFF"/>
                        <w:spacing w:val="-2"/>
                        <w:w w:val="95"/>
                        <w:sz w:val="18"/>
                        <w:lang w:eastAsia="ja-JP"/>
                      </w:rPr>
                      <w:t>副産物は廃棄物（もしくは経済的価値がないもの）か</w:t>
                    </w:r>
                    <w:r w:rsidR="00F23C61">
                      <w:rPr>
                        <w:rFonts w:ascii="Arial"/>
                        <w:b/>
                        <w:i/>
                        <w:color w:val="FFFFFF"/>
                        <w:w w:val="90"/>
                        <w:sz w:val="18"/>
                        <w:lang w:eastAsia="ja-JP"/>
                      </w:rPr>
                      <w:t>?</w:t>
                    </w:r>
                  </w:p>
                </w:txbxContent>
              </v:textbox>
            </v:shape>
            <v:shape id="docshape1037" o:spid="_x0000_s2788" type="#_x0000_t202" style="position:absolute;left:2131;top:1993;width:295;height:202" filled="f" stroked="f">
              <v:textbox style="mso-next-textbox:#docshape1037" inset="0,0,0,0">
                <w:txbxContent>
                  <w:p w14:paraId="52320695" w14:textId="77777777" w:rsidR="0055291C" w:rsidRDefault="00F23C61">
                    <w:pPr>
                      <w:spacing w:line="202" w:lineRule="exact"/>
                      <w:rPr>
                        <w:rFonts w:ascii="Arial"/>
                        <w:b/>
                        <w:i/>
                        <w:sz w:val="18"/>
                      </w:rPr>
                    </w:pPr>
                    <w:r>
                      <w:rPr>
                        <w:rFonts w:ascii="Arial"/>
                        <w:b/>
                        <w:i/>
                        <w:color w:val="FFFFFF"/>
                        <w:w w:val="95"/>
                        <w:sz w:val="18"/>
                      </w:rPr>
                      <w:t>yes</w:t>
                    </w:r>
                  </w:p>
                </w:txbxContent>
              </v:textbox>
            </v:shape>
            <v:shape id="docshape1038" o:spid="_x0000_s2787" type="#_x0000_t202" style="position:absolute;left:1551;top:3039;width:1575;height:202" filled="f" stroked="f">
              <v:textbox style="mso-next-textbox:#docshape1038" inset="0,0,0,0">
                <w:txbxContent>
                  <w:p w14:paraId="23DD0DEE" w14:textId="1AD3DE2C" w:rsidR="0055291C" w:rsidRDefault="0095461D" w:rsidP="000C609A">
                    <w:pPr>
                      <w:spacing w:line="202" w:lineRule="exact"/>
                      <w:ind w:firstLineChars="100" w:firstLine="171"/>
                      <w:rPr>
                        <w:rFonts w:ascii="Arial"/>
                        <w:b/>
                        <w:i/>
                        <w:sz w:val="18"/>
                      </w:rPr>
                    </w:pPr>
                    <w:r>
                      <w:rPr>
                        <w:rFonts w:ascii="ＭＳ ゴシック" w:eastAsia="ＭＳ ゴシック" w:hAnsi="ＭＳ ゴシック" w:cs="ＭＳ ゴシック" w:hint="eastAsia"/>
                        <w:b/>
                        <w:i/>
                        <w:color w:val="545456"/>
                        <w:w w:val="95"/>
                        <w:sz w:val="18"/>
                        <w:lang w:eastAsia="ja-JP"/>
                      </w:rPr>
                      <w:t>割り当ては不要</w:t>
                    </w:r>
                  </w:p>
                </w:txbxContent>
              </v:textbox>
            </v:shape>
            <w10:wrap type="topAndBottom" anchorx="page"/>
          </v:group>
        </w:pict>
      </w:r>
      <w:r>
        <w:pict w14:anchorId="1C6689DA">
          <v:group id="docshapegroup1039" o:spid="_x0000_s2778" style="position:absolute;margin-left:187.3pt;margin-top:9.75pt;width:115.3pt;height:163.15pt;z-index:-251480576;mso-wrap-distance-left:0;mso-wrap-distance-right:0;mso-position-horizontal-relative:page" coordorigin="3746,195" coordsize="2306,3263">
            <v:shape id="docshape1040" o:spid="_x0000_s2785" style="position:absolute;left:4649;top:2229;width:376;height:537" coordorigin="4650,2230" coordsize="376,537" path="m4895,2230r-114,l4749,2261r1,220l4693,2482r-25,5l4653,2500r-3,19l4660,2543r131,198l4810,2760r22,6l4854,2760r20,-18l5015,2541r11,-24l5023,2498r-14,-13l4984,2481r-57,l4927,2261r-3,-12l4917,2239r-10,-7l4895,2230xe" fillcolor="#b8babd" stroked="f">
              <v:path arrowok="t"/>
            </v:shape>
            <v:shape id="docshape1041" o:spid="_x0000_s2784" style="position:absolute;left:3765;top:2827;width:2287;height:630" coordorigin="3765,2828" coordsize="2287,630" path="m5881,2828r-1946,l3837,2830r-51,19l3768,2900r-3,98l3765,3288r3,98l3786,3437r51,18l3935,3458r1946,l5980,3455r50,-18l6049,3386r2,-98l6051,2998r-2,-98l6030,2849r-50,-19l5881,2828xe" fillcolor="#81cfcb" stroked="f">
              <v:path arrowok="t"/>
            </v:shape>
            <v:shape id="docshape1042" o:spid="_x0000_s2783" style="position:absolute;left:3745;top:194;width:2287;height:1800" coordorigin="3746,195" coordsize="2287,1800" path="m5862,195r-1946,l3818,198r-51,18l3749,267r-3,98l3746,1825r3,98l3767,1974r51,18l3916,1995r1946,l5960,1992r51,-18l6029,1923r3,-98l6032,365r-3,-98l6011,216r-51,-18l5862,195xe" fillcolor="#00aca1" stroked="f">
              <v:path arrowok="t"/>
            </v:shape>
            <v:shape id="docshape1043" o:spid="_x0000_s2782" style="position:absolute;left:4548;top:1807;width:605;height:605" coordorigin="4548,1808" coordsize="605,605" path="m4833,1808r-26,25l4776,1816r-20,30l4722,1836r-14,33l4672,1865r-7,35l4629,1903r-1,36l4594,1949r6,35l4568,2001r13,33l4553,2056r19,30l4548,2113r24,27l4554,2170r29,22l4571,2225r32,16l4598,2276r35,9l4634,2321r36,2l4678,2358r36,-4l4728,2386r34,-11l4783,2404r31,-17l4840,2412r27,-23l4897,2409r23,-28l4953,2394r17,-31l5005,2370r11,-34l5051,2336r5,-36l5091,2294r-3,-36l5121,2245r-9,-34l5142,2191r-16,-32l5152,2135r-21,-29l5151,2077r-26,-24l5140,2021r-31,-19l5118,1968r-34,-13l5086,1920r-35,-6l5046,1879r-36,1l4999,1846r-35,8l4946,1823r-33,14l4890,1810r-29,20l4833,1808xe" fillcolor="#f47836" stroked="f">
              <v:path arrowok="t"/>
            </v:shape>
            <v:shape id="docshape1044" o:spid="_x0000_s2781" type="#_x0000_t202" style="position:absolute;left:3895;top:646;width:2000;height:922" filled="f" stroked="f">
              <v:textbox style="mso-next-textbox:#docshape1044" inset="0,0,0,0">
                <w:txbxContent>
                  <w:p w14:paraId="6419619A" w14:textId="0A21C419" w:rsidR="0055291C" w:rsidRDefault="008931E1" w:rsidP="008931E1">
                    <w:pPr>
                      <w:spacing w:line="278" w:lineRule="auto"/>
                      <w:ind w:right="18"/>
                      <w:jc w:val="center"/>
                      <w:rPr>
                        <w:rFonts w:ascii="Arial"/>
                        <w:b/>
                        <w:i/>
                        <w:sz w:val="18"/>
                        <w:lang w:eastAsia="ja-JP"/>
                      </w:rPr>
                    </w:pPr>
                    <w:r>
                      <w:rPr>
                        <w:rFonts w:ascii="ＭＳ ゴシック" w:eastAsia="ＭＳ ゴシック" w:hAnsi="ＭＳ ゴシック" w:cs="ＭＳ ゴシック" w:hint="eastAsia"/>
                        <w:b/>
                        <w:i/>
                        <w:color w:val="FFFFFF"/>
                        <w:w w:val="90"/>
                        <w:sz w:val="18"/>
                        <w:lang w:eastAsia="ja-JP"/>
                      </w:rPr>
                      <w:t>共通の工程を個別の工程として分割、評価できるか</w:t>
                    </w:r>
                    <w:r w:rsidR="00F23C61">
                      <w:rPr>
                        <w:rFonts w:ascii="Arial"/>
                        <w:b/>
                        <w:i/>
                        <w:color w:val="FFFFFF"/>
                        <w:w w:val="90"/>
                        <w:sz w:val="18"/>
                        <w:lang w:eastAsia="ja-JP"/>
                      </w:rPr>
                      <w:t>?</w:t>
                    </w:r>
                  </w:p>
                </w:txbxContent>
              </v:textbox>
            </v:shape>
            <v:shape id="docshape1045" o:spid="_x0000_s2780" type="#_x0000_t202" style="position:absolute;left:4708;top:1993;width:295;height:202" filled="f" stroked="f">
              <v:textbox style="mso-next-textbox:#docshape1045" inset="0,0,0,0">
                <w:txbxContent>
                  <w:p w14:paraId="057C32CF" w14:textId="77777777" w:rsidR="0055291C" w:rsidRDefault="00F23C61">
                    <w:pPr>
                      <w:spacing w:line="202" w:lineRule="exact"/>
                      <w:rPr>
                        <w:rFonts w:ascii="Arial"/>
                        <w:b/>
                        <w:i/>
                        <w:sz w:val="18"/>
                      </w:rPr>
                    </w:pPr>
                    <w:r>
                      <w:rPr>
                        <w:rFonts w:ascii="Arial"/>
                        <w:b/>
                        <w:i/>
                        <w:color w:val="FFFFFF"/>
                        <w:w w:val="95"/>
                        <w:sz w:val="18"/>
                      </w:rPr>
                      <w:t>yes</w:t>
                    </w:r>
                  </w:p>
                </w:txbxContent>
              </v:textbox>
            </v:shape>
            <v:shape id="docshape1046" o:spid="_x0000_s2779" type="#_x0000_t202" style="position:absolute;left:3950;top:3039;width:1929;height:202" filled="f" stroked="f">
              <v:textbox style="mso-next-textbox:#docshape1046" inset="0,0,0,0">
                <w:txbxContent>
                  <w:p w14:paraId="4452DDB1" w14:textId="5CC871F3" w:rsidR="0055291C" w:rsidRDefault="00E375A5" w:rsidP="000C609A">
                    <w:pPr>
                      <w:spacing w:line="202" w:lineRule="exact"/>
                      <w:ind w:firstLineChars="100" w:firstLine="162"/>
                      <w:rPr>
                        <w:rFonts w:ascii="Arial"/>
                        <w:b/>
                        <w:i/>
                        <w:sz w:val="18"/>
                      </w:rPr>
                    </w:pPr>
                    <w:r>
                      <w:rPr>
                        <w:rFonts w:ascii="ＭＳ ゴシック" w:eastAsia="ＭＳ ゴシック" w:hAnsi="ＭＳ ゴシック" w:cs="ＭＳ ゴシック" w:hint="eastAsia"/>
                        <w:b/>
                        <w:i/>
                        <w:color w:val="545456"/>
                        <w:w w:val="90"/>
                        <w:sz w:val="18"/>
                        <w:lang w:eastAsia="ja-JP"/>
                      </w:rPr>
                      <w:t>使用プロセスの細分化</w:t>
                    </w:r>
                  </w:p>
                </w:txbxContent>
              </v:textbox>
            </v:shape>
            <w10:wrap type="topAndBottom" anchorx="page"/>
          </v:group>
        </w:pict>
      </w:r>
      <w:r>
        <w:pict w14:anchorId="24C33E46">
          <v:group id="docshapegroup1047" o:spid="_x0000_s2770" style="position:absolute;margin-left:314.25pt;margin-top:9.75pt;width:117.5pt;height:163.15pt;z-index:-251479552;mso-wrap-distance-left:0;mso-wrap-distance-right:0;mso-position-horizontal-relative:page" coordorigin="6285,195" coordsize="2350,3263">
            <v:shape id="docshape1048" o:spid="_x0000_s2777" style="position:absolute;left:7231;top:2229;width:376;height:537" coordorigin="7232,2230" coordsize="376,537" path="m7477,2230r-114,l7331,2261r1,220l7275,2482r-26,5l7235,2500r-3,19l7242,2543r131,198l7392,2760r22,6l7436,2760r20,-18l7597,2541r11,-24l7605,2498r-14,-13l7566,2481r-57,l7508,2261r-2,-12l7499,2239r-10,-7l7477,2230xe" fillcolor="#b8babd" stroked="f">
              <v:path arrowok="t"/>
            </v:shape>
            <v:shape id="docshape1049" o:spid="_x0000_s2776" style="position:absolute;left:6348;top:2827;width:2287;height:630" coordorigin="6348,2828" coordsize="2287,630" path="m8464,2828r-1946,l6420,2830r-51,19l6351,2900r-3,98l6348,3288r3,98l6369,3437r51,18l6518,3458r1946,l8563,3455r50,-18l8632,3386r2,-98l8634,2998r-2,-98l8613,2849r-50,-19l8464,2828xe" fillcolor="#81cfcb" stroked="f">
              <v:path arrowok="t"/>
            </v:shape>
            <v:shape id="docshape1050" o:spid="_x0000_s2775" style="position:absolute;left:6285;top:194;width:2287;height:1800" coordorigin="6285,195" coordsize="2287,1800" path="m8401,195r-1946,l6357,198r-51,18l6288,267r-3,98l6285,1825r3,98l6306,1974r51,18l6455,1995r1946,l8500,1992r50,-18l8569,1923r2,-98l8571,365r-2,-98l8550,216r-50,-18l8401,195xe" fillcolor="#00aca1" stroked="f">
              <v:path arrowok="t"/>
            </v:shape>
            <v:shape id="docshape1051" o:spid="_x0000_s2774" style="position:absolute;left:7129;top:1807;width:605;height:605" coordorigin="7130,1808" coordsize="605,605" path="m7414,1808r-25,25l7358,1816r-20,30l7303,1836r-13,33l7254,1865r-7,35l7211,1903r-1,36l7176,1949r6,35l7150,2001r13,33l7135,2056r18,30l7130,2113r24,27l7136,2170r29,22l7153,2225r32,16l7180,2276r34,9l7216,2321r36,2l7260,2358r35,-4l7310,2386r34,-11l7365,2404r31,-17l7422,2412r27,-23l7479,2409r23,-28l7535,2394r17,-31l7587,2370r11,-34l7633,2336r4,-36l7672,2294r-2,-36l7703,2245r-9,-34l7724,2191r-16,-32l7734,2135r-22,-29l7733,2077r-26,-24l7722,2021r-31,-19l7700,1968r-34,-13l7668,1920r-35,-6l7628,1879r-36,1l7581,1846r-35,8l7528,1823r-33,14l7472,1810r-30,20l7414,1808xe" fillcolor="#f47836" stroked="f">
              <v:path arrowok="t"/>
            </v:shape>
            <v:shape id="docshape1052" o:spid="_x0000_s2773" type="#_x0000_t202" style="position:absolute;left:6355;top:646;width:2157;height:922" filled="f" stroked="f">
              <v:textbox style="mso-next-textbox:#docshape1052" inset="0,0,0,0">
                <w:txbxContent>
                  <w:p w14:paraId="2ED166E9" w14:textId="00251567" w:rsidR="0055291C" w:rsidRDefault="008931E1">
                    <w:pPr>
                      <w:spacing w:before="31" w:line="203" w:lineRule="exact"/>
                      <w:ind w:right="17"/>
                      <w:jc w:val="center"/>
                      <w:rPr>
                        <w:rFonts w:ascii="Arial"/>
                        <w:b/>
                        <w:i/>
                        <w:sz w:val="18"/>
                        <w:lang w:eastAsia="ja-JP"/>
                      </w:rPr>
                    </w:pPr>
                    <w:r w:rsidRPr="008931E1">
                      <w:rPr>
                        <w:rFonts w:ascii="ＭＳ ゴシック" w:eastAsia="ＭＳ ゴシック" w:hAnsi="ＭＳ ゴシック" w:cs="ＭＳ ゴシック" w:hint="eastAsia"/>
                        <w:b/>
                        <w:i/>
                        <w:color w:val="FFFFFF"/>
                        <w:w w:val="95"/>
                        <w:sz w:val="18"/>
                        <w:lang w:eastAsia="ja-JP"/>
                      </w:rPr>
                      <w:t>調査対象製品と副産物をひとつの機能単位にまとめることは実用的か</w:t>
                    </w:r>
                    <w:r w:rsidR="00F23C61">
                      <w:rPr>
                        <w:rFonts w:ascii="Arial"/>
                        <w:b/>
                        <w:i/>
                        <w:color w:val="FFFFFF"/>
                        <w:w w:val="95"/>
                        <w:sz w:val="18"/>
                        <w:lang w:eastAsia="ja-JP"/>
                      </w:rPr>
                      <w:t>?</w:t>
                    </w:r>
                  </w:p>
                </w:txbxContent>
              </v:textbox>
            </v:shape>
            <v:shape id="docshape1053" o:spid="_x0000_s2772" type="#_x0000_t202" style="position:absolute;left:7290;top:1993;width:295;height:202" filled="f" stroked="f">
              <v:textbox style="mso-next-textbox:#docshape1053" inset="0,0,0,0">
                <w:txbxContent>
                  <w:p w14:paraId="02DC23AD" w14:textId="77777777" w:rsidR="0055291C" w:rsidRDefault="00F23C61">
                    <w:pPr>
                      <w:spacing w:line="202" w:lineRule="exact"/>
                      <w:rPr>
                        <w:rFonts w:ascii="Arial"/>
                        <w:b/>
                        <w:i/>
                        <w:sz w:val="18"/>
                      </w:rPr>
                    </w:pPr>
                    <w:r>
                      <w:rPr>
                        <w:rFonts w:ascii="Arial"/>
                        <w:b/>
                        <w:i/>
                        <w:color w:val="FFFFFF"/>
                        <w:w w:val="95"/>
                        <w:sz w:val="18"/>
                      </w:rPr>
                      <w:t>yes</w:t>
                    </w:r>
                  </w:p>
                </w:txbxContent>
              </v:textbox>
            </v:shape>
            <v:shape id="docshape1054" o:spid="_x0000_s2771" type="#_x0000_t202" style="position:absolute;left:6870;top:2939;width:1235;height:442" filled="f" stroked="f">
              <v:textbox style="mso-next-textbox:#docshape1054" inset="0,0,0,0">
                <w:txbxContent>
                  <w:p w14:paraId="3719A98D" w14:textId="51117B6E" w:rsidR="0055291C" w:rsidRDefault="00E375A5" w:rsidP="00E375A5">
                    <w:pPr>
                      <w:spacing w:before="33" w:line="203" w:lineRule="exact"/>
                      <w:ind w:right="96"/>
                      <w:jc w:val="center"/>
                      <w:rPr>
                        <w:rFonts w:ascii="Arial"/>
                        <w:b/>
                        <w:i/>
                        <w:sz w:val="18"/>
                      </w:rPr>
                    </w:pPr>
                    <w:r>
                      <w:rPr>
                        <w:rFonts w:ascii="ＭＳ ゴシック" w:eastAsia="ＭＳ ゴシック" w:hAnsi="ＭＳ ゴシック" w:cs="ＭＳ ゴシック" w:hint="eastAsia"/>
                        <w:b/>
                        <w:i/>
                        <w:color w:val="545456"/>
                        <w:spacing w:val="-3"/>
                        <w:sz w:val="18"/>
                        <w:lang w:eastAsia="ja-JP"/>
                      </w:rPr>
                      <w:t>機能単位の再定義</w:t>
                    </w:r>
                  </w:p>
                </w:txbxContent>
              </v:textbox>
            </v:shape>
            <w10:wrap type="topAndBottom" anchorx="page"/>
          </v:group>
        </w:pict>
      </w:r>
    </w:p>
    <w:p w14:paraId="6890D12A" w14:textId="77777777" w:rsidR="0055291C" w:rsidRDefault="0055291C">
      <w:pPr>
        <w:pStyle w:val="a3"/>
        <w:rPr>
          <w:rFonts w:ascii="Arial"/>
          <w:b/>
          <w:i/>
          <w:sz w:val="22"/>
          <w:lang w:eastAsia="ja-JP"/>
        </w:rPr>
      </w:pPr>
    </w:p>
    <w:p w14:paraId="16B5171F" w14:textId="77777777" w:rsidR="0055291C" w:rsidRDefault="0055291C">
      <w:pPr>
        <w:pStyle w:val="a3"/>
        <w:spacing w:before="11"/>
        <w:rPr>
          <w:rFonts w:ascii="Arial"/>
          <w:b/>
          <w:i/>
          <w:sz w:val="32"/>
          <w:lang w:eastAsia="ja-JP"/>
        </w:rPr>
      </w:pPr>
    </w:p>
    <w:p w14:paraId="3C44B217" w14:textId="503CAD38" w:rsidR="0055291C" w:rsidRDefault="00F23C61">
      <w:pPr>
        <w:ind w:left="1143"/>
        <w:rPr>
          <w:rFonts w:ascii="Arial"/>
          <w:b/>
          <w:i/>
          <w:sz w:val="20"/>
          <w:lang w:eastAsia="ja-JP"/>
        </w:rPr>
      </w:pPr>
      <w:r>
        <w:rPr>
          <w:rFonts w:ascii="Arial"/>
          <w:b/>
          <w:i/>
          <w:color w:val="00ACA1"/>
          <w:w w:val="95"/>
          <w:sz w:val="20"/>
          <w:lang w:eastAsia="ja-JP"/>
        </w:rPr>
        <w:t>Step</w:t>
      </w:r>
      <w:r>
        <w:rPr>
          <w:rFonts w:ascii="Arial"/>
          <w:b/>
          <w:i/>
          <w:color w:val="00ACA1"/>
          <w:spacing w:val="8"/>
          <w:w w:val="95"/>
          <w:sz w:val="20"/>
          <w:lang w:eastAsia="ja-JP"/>
        </w:rPr>
        <w:t xml:space="preserve"> </w:t>
      </w:r>
      <w:r>
        <w:rPr>
          <w:rFonts w:ascii="Arial"/>
          <w:b/>
          <w:i/>
          <w:color w:val="00ACA1"/>
          <w:w w:val="95"/>
          <w:sz w:val="20"/>
          <w:lang w:eastAsia="ja-JP"/>
        </w:rPr>
        <w:t>2:</w:t>
      </w:r>
      <w:r w:rsidR="00E375A5" w:rsidRPr="00E375A5">
        <w:rPr>
          <w:lang w:eastAsia="ja-JP"/>
        </w:rPr>
        <w:t xml:space="preserve"> </w:t>
      </w:r>
      <w:r w:rsidR="00E375A5" w:rsidRPr="00E375A5">
        <w:rPr>
          <w:rFonts w:ascii="ＭＳ ゴシック" w:eastAsia="ＭＳ ゴシック" w:hAnsi="ＭＳ ゴシック" w:cs="ＭＳ ゴシック" w:hint="eastAsia"/>
          <w:i/>
          <w:iCs/>
          <w:sz w:val="20"/>
          <w:szCs w:val="20"/>
          <w:lang w:eastAsia="ja-JP"/>
        </w:rPr>
        <w:t>割当が必要な場合、物理的関係があるかどうかを判断する</w:t>
      </w:r>
    </w:p>
    <w:p w14:paraId="3270EE2E" w14:textId="77777777" w:rsidR="0055291C" w:rsidRDefault="00000000">
      <w:pPr>
        <w:pStyle w:val="a3"/>
        <w:spacing w:before="7"/>
        <w:rPr>
          <w:rFonts w:ascii="Arial"/>
          <w:b/>
          <w:i/>
          <w:sz w:val="13"/>
          <w:lang w:eastAsia="ja-JP"/>
        </w:rPr>
      </w:pPr>
      <w:r>
        <w:pict w14:anchorId="295A621C">
          <v:group id="docshapegroup1062" o:spid="_x0000_s2756" style="position:absolute;margin-left:59.1pt;margin-top:9.05pt;width:240.35pt;height:128.3pt;z-index:-251477504;mso-wrap-distance-left:0;mso-wrap-distance-right:0;mso-position-horizontal-relative:page" coordorigin="1182,181" coordsize="4807,2566">
            <v:shape id="docshape1063" o:spid="_x0000_s2762" style="position:absolute;left:3390;top:1546;width:376;height:537" coordorigin="3390,1547" coordsize="376,537" path="m3635,1547r-114,l3490,1578r,220l3433,1798r-25,5l3393,1817r-3,19l3400,1860r132,197l3551,2076r22,7l3595,2077r19,-19l3756,1857r10,-23l3764,1815r-15,-13l3724,1797r-57,1l3667,1578r-3,-13l3658,1556r-10,-7l3635,1547xe" fillcolor="#b8babd" stroked="f">
              <v:path arrowok="t"/>
            </v:shape>
            <v:shape id="docshape1064" o:spid="_x0000_s2761" style="position:absolute;left:2505;top:2116;width:2287;height:630" coordorigin="2505,2116" coordsize="2287,630" path="m4621,2116r-1946,l2577,2119r-51,18l2508,2188r-3,98l2505,2576r3,98l2526,2725r51,19l2675,2746r1946,l4720,2744r50,-19l4789,2674r2,-98l4791,2286r-2,-98l4770,2137r-50,-18l4621,2116xe" fillcolor="#81cfcb" stroked="f">
              <v:path arrowok="t"/>
            </v:shape>
            <v:shape id="docshape1065" o:spid="_x0000_s2760" style="position:absolute;left:1182;top:181;width:4807;height:1186" coordorigin="1182,181" coordsize="4807,1186" path="m5818,181r-4466,l1254,184r-51,18l1185,253r-3,98l1182,1197r3,98l1203,1346r51,18l1352,1367r4466,l5916,1364r51,-18l5986,1295r2,-98l5988,351r-2,-98l5967,202r-51,-18l5818,181xe" fillcolor="#00aca1" stroked="f">
              <v:path arrowok="t"/>
            </v:shape>
            <v:shape id="docshape1066" o:spid="_x0000_s2759" style="position:absolute;left:3288;top:1124;width:605;height:605" coordorigin="3288,1124" coordsize="605,605" path="m3573,1124r-25,26l3516,1133r-20,30l3462,1153r-14,33l3413,1182r-8,35l3370,1220r-1,36l3335,1266r6,35l3309,1317r12,34l3293,1373r19,30l3288,1430r25,26l3295,1487r28,21l3311,1542r33,16l3338,1593r35,9l3375,1638r35,2l3418,1675r36,-5l3469,1703r34,-11l3523,1721r31,-17l3580,1729r28,-23l3638,1725r22,-27l3693,1711r17,-31l3745,1686r11,-34l3792,1653r4,-36l3831,1610r-3,-35l3862,1562r-10,-35l3882,1508r-16,-32l3892,1451r-21,-28l3892,1394r-27,-24l3880,1338r-30,-19l3858,1284r-33,-12l3827,1236r-36,-5l3786,1195r-35,1l3739,1163r-35,7l3686,1139r-32,14l3630,1126r-29,21l3573,1124xe" fillcolor="#f47836" stroked="f">
              <v:path arrowok="t"/>
            </v:shape>
            <v:shape id="docshape1067" o:spid="_x0000_s2758" type="#_x0000_t202" style="position:absolute;left:1458;top:393;width:4266;height:1119" filled="f" stroked="f">
              <v:textbox style="mso-next-textbox:#docshape1067" inset="0,0,0,0">
                <w:txbxContent>
                  <w:p w14:paraId="4034B65D" w14:textId="77777777" w:rsidR="00306FE3" w:rsidRPr="00306FE3" w:rsidRDefault="00306FE3">
                    <w:pPr>
                      <w:ind w:left="2" w:right="18"/>
                      <w:jc w:val="center"/>
                      <w:rPr>
                        <w:rFonts w:ascii="ＭＳ ゴシック" w:eastAsia="ＭＳ ゴシック" w:hAnsi="ＭＳ ゴシック" w:cs="ＭＳ ゴシック"/>
                        <w:b/>
                        <w:bCs/>
                        <w:i/>
                        <w:iCs/>
                        <w:color w:val="FFFFFF" w:themeColor="background1"/>
                        <w:sz w:val="12"/>
                        <w:szCs w:val="12"/>
                        <w:lang w:eastAsia="ja-JP"/>
                      </w:rPr>
                    </w:pPr>
                  </w:p>
                  <w:p w14:paraId="3174A31C" w14:textId="1D78D94A" w:rsidR="0055291C" w:rsidRPr="00E375A5" w:rsidRDefault="00E375A5">
                    <w:pPr>
                      <w:ind w:left="2" w:right="18"/>
                      <w:jc w:val="center"/>
                      <w:rPr>
                        <w:rFonts w:ascii="Arial"/>
                        <w:b/>
                        <w:bCs/>
                        <w:i/>
                        <w:iCs/>
                        <w:color w:val="FFFFFF" w:themeColor="background1"/>
                        <w:sz w:val="18"/>
                        <w:szCs w:val="18"/>
                        <w:lang w:eastAsia="ja-JP"/>
                      </w:rPr>
                    </w:pPr>
                    <w:r w:rsidRPr="00E375A5">
                      <w:rPr>
                        <w:rFonts w:ascii="ＭＳ ゴシック" w:eastAsia="ＭＳ ゴシック" w:hAnsi="ＭＳ ゴシック" w:cs="ＭＳ ゴシック" w:hint="eastAsia"/>
                        <w:b/>
                        <w:bCs/>
                        <w:i/>
                        <w:iCs/>
                        <w:color w:val="FFFFFF" w:themeColor="background1"/>
                        <w:sz w:val="18"/>
                        <w:szCs w:val="18"/>
                        <w:lang w:eastAsia="ja-JP"/>
                      </w:rPr>
                      <w:t>研究対象製品</w:t>
                    </w:r>
                    <w:r w:rsidR="00306FE3">
                      <w:rPr>
                        <w:rFonts w:ascii="ＭＳ ゴシック" w:eastAsia="ＭＳ ゴシック" w:hAnsi="ＭＳ ゴシック" w:cs="ＭＳ ゴシック" w:hint="eastAsia"/>
                        <w:b/>
                        <w:bCs/>
                        <w:i/>
                        <w:iCs/>
                        <w:color w:val="FFFFFF" w:themeColor="background1"/>
                        <w:sz w:val="18"/>
                        <w:szCs w:val="18"/>
                        <w:lang w:eastAsia="ja-JP"/>
                      </w:rPr>
                      <w:t>、</w:t>
                    </w:r>
                    <w:r w:rsidRPr="00E375A5">
                      <w:rPr>
                        <w:rFonts w:ascii="ＭＳ ゴシック" w:eastAsia="ＭＳ ゴシック" w:hAnsi="ＭＳ ゴシック" w:cs="ＭＳ ゴシック" w:hint="eastAsia"/>
                        <w:b/>
                        <w:bCs/>
                        <w:i/>
                        <w:iCs/>
                        <w:color w:val="FFFFFF" w:themeColor="background1"/>
                        <w:sz w:val="18"/>
                        <w:szCs w:val="18"/>
                        <w:lang w:eastAsia="ja-JP"/>
                      </w:rPr>
                      <w:t>副産物</w:t>
                    </w:r>
                    <w:r w:rsidR="00306FE3">
                      <w:rPr>
                        <w:rFonts w:ascii="ＭＳ ゴシック" w:eastAsia="ＭＳ ゴシック" w:hAnsi="ＭＳ ゴシック" w:cs="ＭＳ ゴシック" w:hint="eastAsia"/>
                        <w:b/>
                        <w:bCs/>
                        <w:i/>
                        <w:iCs/>
                        <w:color w:val="FFFFFF" w:themeColor="background1"/>
                        <w:sz w:val="18"/>
                        <w:szCs w:val="18"/>
                        <w:lang w:eastAsia="ja-JP"/>
                      </w:rPr>
                      <w:t>と排出寄与度</w:t>
                    </w:r>
                    <w:r w:rsidRPr="00E375A5">
                      <w:rPr>
                        <w:rFonts w:ascii="ＭＳ ゴシック" w:eastAsia="ＭＳ ゴシック" w:hAnsi="ＭＳ ゴシック" w:cs="ＭＳ ゴシック" w:hint="eastAsia"/>
                        <w:b/>
                        <w:bCs/>
                        <w:i/>
                        <w:iCs/>
                        <w:color w:val="FFFFFF" w:themeColor="background1"/>
                        <w:sz w:val="18"/>
                        <w:szCs w:val="18"/>
                        <w:lang w:eastAsia="ja-JP"/>
                      </w:rPr>
                      <w:t>の間に基礎的な物理的関係があるか？</w:t>
                    </w:r>
                  </w:p>
                  <w:p w14:paraId="62A231DA" w14:textId="77777777" w:rsidR="0055291C" w:rsidRPr="00E375A5" w:rsidRDefault="0055291C">
                    <w:pPr>
                      <w:spacing w:before="10"/>
                      <w:rPr>
                        <w:rFonts w:ascii="Arial"/>
                        <w:b/>
                        <w:bCs/>
                        <w:i/>
                        <w:sz w:val="20"/>
                        <w:szCs w:val="20"/>
                        <w:lang w:eastAsia="ja-JP"/>
                      </w:rPr>
                    </w:pPr>
                  </w:p>
                  <w:p w14:paraId="035F5962" w14:textId="77777777" w:rsidR="0055291C" w:rsidRPr="00E375A5" w:rsidRDefault="00F23C61">
                    <w:pPr>
                      <w:spacing w:line="203" w:lineRule="exact"/>
                      <w:ind w:left="10" w:right="18"/>
                      <w:jc w:val="center"/>
                      <w:rPr>
                        <w:rFonts w:ascii="Arial"/>
                        <w:b/>
                        <w:i/>
                        <w:sz w:val="20"/>
                        <w:szCs w:val="20"/>
                      </w:rPr>
                    </w:pPr>
                    <w:r w:rsidRPr="00E375A5">
                      <w:rPr>
                        <w:rFonts w:ascii="Arial"/>
                        <w:b/>
                        <w:i/>
                        <w:color w:val="FFFFFF"/>
                        <w:sz w:val="20"/>
                        <w:szCs w:val="20"/>
                      </w:rPr>
                      <w:t>yes</w:t>
                    </w:r>
                  </w:p>
                </w:txbxContent>
              </v:textbox>
            </v:shape>
            <v:shape id="docshape1068" o:spid="_x0000_s2757" type="#_x0000_t202" style="position:absolute;left:2716;top:2328;width:1876;height:202" filled="f" stroked="f">
              <v:textbox style="mso-next-textbox:#docshape1068" inset="0,0,0,0">
                <w:txbxContent>
                  <w:p w14:paraId="73E82439" w14:textId="6BC57C3C" w:rsidR="0055291C" w:rsidRDefault="00306FE3" w:rsidP="000C609A">
                    <w:pPr>
                      <w:spacing w:line="202" w:lineRule="exact"/>
                      <w:ind w:firstLineChars="200" w:firstLine="340"/>
                      <w:rPr>
                        <w:rFonts w:ascii="Arial"/>
                        <w:b/>
                        <w:i/>
                        <w:sz w:val="18"/>
                      </w:rPr>
                    </w:pPr>
                    <w:r>
                      <w:rPr>
                        <w:rFonts w:ascii="ＭＳ ゴシック" w:eastAsia="ＭＳ ゴシック" w:hAnsi="ＭＳ ゴシック" w:cs="ＭＳ ゴシック" w:hint="eastAsia"/>
                        <w:b/>
                        <w:i/>
                        <w:color w:val="545456"/>
                        <w:spacing w:val="-1"/>
                        <w:w w:val="95"/>
                        <w:sz w:val="18"/>
                        <w:lang w:eastAsia="ja-JP"/>
                      </w:rPr>
                      <w:t>物理的割り当て</w:t>
                    </w:r>
                  </w:p>
                </w:txbxContent>
              </v:textbox>
            </v:shape>
            <w10:wrap type="topAndBottom" anchorx="page"/>
          </v:group>
        </w:pict>
      </w:r>
    </w:p>
    <w:p w14:paraId="316E1BAD" w14:textId="77777777" w:rsidR="0055291C" w:rsidRDefault="0055291C">
      <w:pPr>
        <w:pStyle w:val="a3"/>
        <w:rPr>
          <w:rFonts w:ascii="Arial"/>
          <w:b/>
          <w:i/>
          <w:sz w:val="22"/>
          <w:lang w:eastAsia="ja-JP"/>
        </w:rPr>
      </w:pPr>
    </w:p>
    <w:p w14:paraId="682881D4" w14:textId="77777777" w:rsidR="0055291C" w:rsidRDefault="0055291C">
      <w:pPr>
        <w:pStyle w:val="a3"/>
        <w:rPr>
          <w:rFonts w:ascii="Arial"/>
          <w:b/>
          <w:i/>
          <w:sz w:val="22"/>
          <w:lang w:eastAsia="ja-JP"/>
        </w:rPr>
      </w:pPr>
    </w:p>
    <w:p w14:paraId="750994E1" w14:textId="4DBFBACE" w:rsidR="0055291C" w:rsidRDefault="00F23C61" w:rsidP="00306FE3">
      <w:pPr>
        <w:spacing w:before="178" w:line="292" w:lineRule="auto"/>
        <w:ind w:left="1817" w:right="1750" w:hanging="674"/>
        <w:rPr>
          <w:rFonts w:ascii="Arial"/>
          <w:b/>
          <w:i/>
          <w:sz w:val="20"/>
          <w:lang w:eastAsia="ja-JP"/>
        </w:rPr>
      </w:pPr>
      <w:r>
        <w:rPr>
          <w:rFonts w:ascii="Arial"/>
          <w:b/>
          <w:i/>
          <w:color w:val="00ACA1"/>
          <w:w w:val="95"/>
          <w:sz w:val="20"/>
          <w:lang w:eastAsia="ja-JP"/>
        </w:rPr>
        <w:t>Step</w:t>
      </w:r>
      <w:r>
        <w:rPr>
          <w:rFonts w:ascii="Arial"/>
          <w:b/>
          <w:i/>
          <w:color w:val="00ACA1"/>
          <w:spacing w:val="7"/>
          <w:w w:val="95"/>
          <w:sz w:val="20"/>
          <w:lang w:eastAsia="ja-JP"/>
        </w:rPr>
        <w:t xml:space="preserve"> </w:t>
      </w:r>
      <w:r>
        <w:rPr>
          <w:rFonts w:ascii="Arial"/>
          <w:b/>
          <w:i/>
          <w:color w:val="00ACA1"/>
          <w:w w:val="95"/>
          <w:sz w:val="20"/>
          <w:lang w:eastAsia="ja-JP"/>
        </w:rPr>
        <w:t>3:</w:t>
      </w:r>
      <w:r>
        <w:rPr>
          <w:rFonts w:ascii="Arial"/>
          <w:b/>
          <w:i/>
          <w:color w:val="00ACA1"/>
          <w:spacing w:val="8"/>
          <w:w w:val="95"/>
          <w:sz w:val="20"/>
          <w:lang w:eastAsia="ja-JP"/>
        </w:rPr>
        <w:t xml:space="preserve"> </w:t>
      </w:r>
      <w:r w:rsidR="00306FE3" w:rsidRPr="00306FE3">
        <w:rPr>
          <w:rFonts w:ascii="ＭＳ ゴシック" w:eastAsia="ＭＳ ゴシック" w:hAnsi="ＭＳ ゴシック" w:cs="ＭＳ ゴシック" w:hint="eastAsia"/>
          <w:i/>
          <w:iCs/>
          <w:sz w:val="20"/>
          <w:szCs w:val="20"/>
          <w:lang w:eastAsia="ja-JP"/>
        </w:rPr>
        <w:t>物理的関係が構築できない、または該当しない場合、経済的配分</w:t>
      </w:r>
      <w:r w:rsidR="00306FE3">
        <w:rPr>
          <w:rFonts w:ascii="ＭＳ ゴシック" w:eastAsia="ＭＳ ゴシック" w:hAnsi="ＭＳ ゴシック" w:cs="ＭＳ ゴシック" w:hint="eastAsia"/>
          <w:i/>
          <w:iCs/>
          <w:sz w:val="20"/>
          <w:szCs w:val="20"/>
          <w:lang w:eastAsia="ja-JP"/>
        </w:rPr>
        <w:t>や</w:t>
      </w:r>
      <w:r w:rsidR="00306FE3" w:rsidRPr="00306FE3">
        <w:rPr>
          <w:rFonts w:ascii="ＭＳ ゴシック" w:eastAsia="ＭＳ ゴシック" w:hAnsi="ＭＳ ゴシック" w:cs="ＭＳ ゴシック" w:hint="eastAsia"/>
          <w:i/>
          <w:iCs/>
          <w:sz w:val="20"/>
          <w:szCs w:val="20"/>
          <w:lang w:eastAsia="ja-JP"/>
        </w:rPr>
        <w:t>その他の関係</w:t>
      </w:r>
      <w:r w:rsidR="00306FE3">
        <w:rPr>
          <w:rFonts w:ascii="ＭＳ ゴシック" w:eastAsia="ＭＳ ゴシック" w:hAnsi="ＭＳ ゴシック" w:cs="ＭＳ ゴシック" w:hint="eastAsia"/>
          <w:i/>
          <w:iCs/>
          <w:sz w:val="20"/>
          <w:szCs w:val="20"/>
          <w:lang w:eastAsia="ja-JP"/>
        </w:rPr>
        <w:t>の</w:t>
      </w:r>
      <w:r w:rsidR="00306FE3" w:rsidRPr="00306FE3">
        <w:rPr>
          <w:rFonts w:ascii="ＭＳ ゴシック" w:eastAsia="ＭＳ ゴシック" w:hAnsi="ＭＳ ゴシック" w:cs="ＭＳ ゴシック" w:hint="eastAsia"/>
          <w:i/>
          <w:iCs/>
          <w:sz w:val="20"/>
          <w:szCs w:val="20"/>
          <w:lang w:eastAsia="ja-JP"/>
        </w:rPr>
        <w:t>利用</w:t>
      </w:r>
    </w:p>
    <w:p w14:paraId="0BA1670A" w14:textId="77777777" w:rsidR="0055291C" w:rsidRDefault="00000000">
      <w:pPr>
        <w:pStyle w:val="a3"/>
        <w:spacing w:before="10"/>
        <w:rPr>
          <w:rFonts w:ascii="Arial"/>
          <w:b/>
          <w:i/>
          <w:sz w:val="6"/>
          <w:lang w:eastAsia="ja-JP"/>
        </w:rPr>
      </w:pPr>
      <w:r>
        <w:pict w14:anchorId="0B7285F2">
          <v:group id="docshapegroup1069" o:spid="_x0000_s2749" style="position:absolute;margin-left:59.1pt;margin-top:5.15pt;width:240.35pt;height:131.1pt;z-index:-251476480;mso-wrap-distance-left:0;mso-wrap-distance-right:0;mso-position-horizontal-relative:page" coordorigin="1182,103" coordsize="4807,2622">
            <v:shape id="docshape1070" o:spid="_x0000_s2755" style="position:absolute;left:3390;top:1525;width:376;height:537" coordorigin="3390,1525" coordsize="376,537" path="m3635,1525r-114,1l3490,1556r,221l3433,1777r-25,5l3393,1795r-3,20l3400,1838r132,198l3551,2055r22,7l3595,2056r19,-19l3756,1836r10,-23l3764,1794r-15,-13l3724,1776r-57,l3667,1556r-3,-12l3658,1534r-10,-6l3635,1525xe" fillcolor="#b8babd" stroked="f">
              <v:path arrowok="t"/>
            </v:shape>
            <v:shape id="docshape1071" o:spid="_x0000_s2754" style="position:absolute;left:2505;top:2094;width:2287;height:630" coordorigin="2505,2095" coordsize="2287,630" path="m4621,2095r-1946,l2577,2098r-51,18l2508,2167r-3,98l2505,2555r3,98l2526,2704r51,18l2675,2725r1946,l4720,2722r50,-18l4789,2653r2,-98l4791,2265r-2,-98l4770,2116r-50,-18l4621,2095xe" fillcolor="#81cfcb" stroked="f">
              <v:path arrowok="t"/>
            </v:shape>
            <v:shape id="docshape1072" o:spid="_x0000_s2753" style="position:absolute;left:1182;top:103;width:4807;height:1186" coordorigin="1182,103" coordsize="4807,1186" path="m5818,103r-4466,l1254,106r-51,18l1185,175r-3,98l1182,1119r3,98l1203,1268r51,18l1352,1289r4466,l5916,1286r51,-18l5986,1217r2,-98l5988,273r-2,-98l5967,124r-51,-18l5818,103xe" fillcolor="#00aca1" stroked="f">
              <v:path arrowok="t"/>
            </v:shape>
            <v:shape id="docshape1073" o:spid="_x0000_s2752" style="position:absolute;left:3288;top:1103;width:605;height:605" coordorigin="3288,1103" coordsize="605,605" path="m3573,1103r-25,26l3516,1112r-20,30l3462,1131r-14,33l3413,1161r-8,35l3370,1199r-1,36l3335,1245r6,35l3309,1296r12,33l3293,1351r19,31l3288,1409r25,26l3295,1466r28,21l3311,1521r33,15l3338,1572r35,9l3375,1617r35,2l3418,1654r36,-5l3469,1682r34,-11l3523,1700r31,-17l3580,1707r28,-22l3638,1704r22,-28l3693,1690r17,-32l3745,1665r11,-34l3792,1631r4,-35l3831,1589r-3,-35l3862,1540r-10,-34l3882,1487r-16,-32l3892,1430r-21,-28l3892,1373r-27,-24l3880,1316r-30,-18l3858,1263r-33,-12l3827,1215r-36,-6l3786,1174r-35,1l3739,1141r-35,8l3686,1118r-32,14l3630,1105r-29,20l3573,1103xe" fillcolor="#f47836" stroked="f">
              <v:path arrowok="t"/>
            </v:shape>
            <v:shape id="docshape1074" o:spid="_x0000_s2751" type="#_x0000_t202" style="position:absolute;left:1319;top:315;width:4544;height:1176" filled="f" stroked="f">
              <v:textbox style="mso-next-textbox:#docshape1074" inset="0,0,0,0">
                <w:txbxContent>
                  <w:p w14:paraId="4CFAA45B" w14:textId="63F8ED21" w:rsidR="0055291C" w:rsidRDefault="000C609A">
                    <w:pPr>
                      <w:rPr>
                        <w:rFonts w:ascii="ＭＳ ゴシック" w:eastAsia="ＭＳ ゴシック" w:hAnsi="ＭＳ ゴシック" w:cs="ＭＳ ゴシック"/>
                        <w:b/>
                        <w:i/>
                        <w:color w:val="FFFFFF"/>
                        <w:spacing w:val="-3"/>
                        <w:sz w:val="18"/>
                        <w:lang w:eastAsia="ja-JP"/>
                      </w:rPr>
                    </w:pPr>
                    <w:r w:rsidRPr="000C609A">
                      <w:rPr>
                        <w:rFonts w:ascii="ＭＳ ゴシック" w:eastAsia="ＭＳ ゴシック" w:hAnsi="ＭＳ ゴシック" w:cs="ＭＳ ゴシック" w:hint="eastAsia"/>
                        <w:b/>
                        <w:i/>
                        <w:color w:val="FFFFFF"/>
                        <w:spacing w:val="-3"/>
                        <w:sz w:val="18"/>
                        <w:lang w:eastAsia="ja-JP"/>
                      </w:rPr>
                      <w:t>研究対象製品および副産物の市場価値には、その評価に対する重大な市場効果（例：ブランド価値、供給制約など）がないか？</w:t>
                    </w:r>
                  </w:p>
                  <w:p w14:paraId="5FAE093E" w14:textId="77777777" w:rsidR="000C609A" w:rsidRDefault="000C609A">
                    <w:pPr>
                      <w:rPr>
                        <w:rFonts w:ascii="Arial"/>
                        <w:b/>
                        <w:i/>
                        <w:lang w:eastAsia="ja-JP"/>
                      </w:rPr>
                    </w:pPr>
                  </w:p>
                  <w:p w14:paraId="4680092E" w14:textId="77777777" w:rsidR="0055291C" w:rsidRDefault="00F23C61">
                    <w:pPr>
                      <w:spacing w:line="203" w:lineRule="exact"/>
                      <w:ind w:right="8"/>
                      <w:jc w:val="center"/>
                      <w:rPr>
                        <w:rFonts w:ascii="Arial"/>
                        <w:b/>
                        <w:i/>
                        <w:sz w:val="18"/>
                      </w:rPr>
                    </w:pPr>
                    <w:r>
                      <w:rPr>
                        <w:rFonts w:ascii="Arial"/>
                        <w:b/>
                        <w:i/>
                        <w:color w:val="FFFFFF"/>
                        <w:sz w:val="18"/>
                      </w:rPr>
                      <w:t>yes</w:t>
                    </w:r>
                  </w:p>
                </w:txbxContent>
              </v:textbox>
            </v:shape>
            <v:shape id="docshape1075" o:spid="_x0000_s2750" type="#_x0000_t202" style="position:absolute;left:2670;top:2306;width:1969;height:202" filled="f" stroked="f">
              <v:textbox style="mso-next-textbox:#docshape1075" inset="0,0,0,0">
                <w:txbxContent>
                  <w:p w14:paraId="782104B8" w14:textId="2E71AF47" w:rsidR="0055291C" w:rsidRDefault="000C609A" w:rsidP="000C609A">
                    <w:pPr>
                      <w:spacing w:line="202" w:lineRule="exact"/>
                      <w:ind w:firstLineChars="200" w:firstLine="338"/>
                      <w:rPr>
                        <w:rFonts w:ascii="Arial"/>
                        <w:b/>
                        <w:i/>
                        <w:sz w:val="18"/>
                      </w:rPr>
                    </w:pPr>
                    <w:r>
                      <w:rPr>
                        <w:rFonts w:ascii="ＭＳ ゴシック" w:eastAsia="ＭＳ ゴシック" w:hAnsi="ＭＳ ゴシック" w:cs="ＭＳ ゴシック" w:hint="eastAsia"/>
                        <w:b/>
                        <w:i/>
                        <w:color w:val="545456"/>
                        <w:spacing w:val="-2"/>
                        <w:w w:val="95"/>
                        <w:sz w:val="18"/>
                        <w:lang w:eastAsia="ja-JP"/>
                      </w:rPr>
                      <w:t>経済的割り当て</w:t>
                    </w:r>
                  </w:p>
                </w:txbxContent>
              </v:textbox>
            </v:shape>
            <w10:wrap type="topAndBottom" anchorx="page"/>
          </v:group>
        </w:pict>
      </w:r>
      <w:r>
        <w:pict w14:anchorId="43894A1D">
          <v:group id="docshapegroup1076" o:spid="_x0000_s2742" style="position:absolute;margin-left:314.25pt;margin-top:5.15pt;width:240.35pt;height:131.1pt;z-index:-251475456;mso-wrap-distance-left:0;mso-wrap-distance-right:0;mso-position-horizontal-relative:page" coordorigin="6285,103" coordsize="4807,2622">
            <v:shape id="docshape1077" o:spid="_x0000_s2748" style="position:absolute;left:8547;top:1525;width:376;height:537" coordorigin="8547,1525" coordsize="376,537" path="m8792,1525r-114,1l8647,1556r,221l8590,1777r-25,5l8550,1795r-3,20l8557,1838r132,198l8708,2055r22,7l8752,2056r19,-19l8913,1836r10,-23l8921,1794r-15,-13l8881,1776r-57,l8824,1556r-3,-12l8814,1534r-10,-6l8792,1525xe" fillcolor="#b8babd" stroked="f">
              <v:path arrowok="t"/>
            </v:shape>
            <v:shape id="docshape1078" o:spid="_x0000_s2747" style="position:absolute;left:7662;top:2094;width:2287;height:630" coordorigin="7662,2095" coordsize="2287,630" path="m9778,2095r-1946,l7734,2098r-51,18l7665,2167r-3,98l7662,2555r3,98l7683,2704r51,18l7832,2725r1946,l9876,2722r51,-18l9946,2653r2,-98l9948,2265r-2,-98l9927,2116r-51,-18l9778,2095xe" fillcolor="#81cfcb" stroked="f">
              <v:path arrowok="t"/>
            </v:shape>
            <v:shape id="docshape1079" o:spid="_x0000_s2746" style="position:absolute;left:6285;top:103;width:4807;height:1186" coordorigin="6285,103" coordsize="4807,1186" path="m10921,103r-4466,l6357,106r-51,18l6288,175r-3,98l6285,1119r3,98l6306,1268r51,18l6455,1289r4466,l11020,1286r50,-18l11089,1217r2,-98l11091,273r-2,-98l11070,124r-50,-18l10921,103xe" fillcolor="#00aca1" stroked="f">
              <v:path arrowok="t"/>
            </v:shape>
            <v:shape id="docshape1080" o:spid="_x0000_s2745" style="position:absolute;left:8445;top:1103;width:605;height:605" coordorigin="8445,1103" coordsize="605,605" path="m8730,1103r-25,26l8673,1112r-20,30l8619,1131r-14,33l8569,1161r-7,35l8526,1199r,36l8491,1245r7,35l8466,1296r12,33l8450,1351r19,31l8445,1409r25,26l8452,1466r28,21l8468,1521r33,15l8495,1572r35,9l8531,1617r36,2l8575,1654r36,-5l8626,1682r34,-11l8680,1700r31,-17l8737,1707r28,-22l8795,1704r22,-28l8850,1690r17,-32l8902,1665r11,-34l8949,1631r4,-35l8988,1589r-3,-35l9018,1540r-9,-34l9039,1487r-16,-32l9049,1430r-21,-28l9049,1373r-27,-24l9037,1316r-30,-18l9015,1263r-33,-12l8983,1215r-35,-6l8943,1174r-35,1l8896,1141r-35,8l8843,1118r-32,14l8787,1105r-29,20l8730,1103xe" fillcolor="#f47836" stroked="f">
              <v:path arrowok="t"/>
            </v:shape>
            <v:shape id="docshape1081" o:spid="_x0000_s2744" type="#_x0000_t202" style="position:absolute;left:7143;top:315;width:3102;height:1176" filled="f" stroked="f">
              <v:textbox style="mso-next-textbox:#docshape1081" inset="0,0,0,0">
                <w:txbxContent>
                  <w:p w14:paraId="2E31C45C" w14:textId="77777777" w:rsidR="000C609A" w:rsidRDefault="000C609A">
                    <w:pPr>
                      <w:spacing w:line="278" w:lineRule="auto"/>
                      <w:ind w:left="-1" w:right="18" w:hanging="1"/>
                      <w:jc w:val="center"/>
                      <w:rPr>
                        <w:rFonts w:ascii="ＭＳ ゴシック" w:eastAsia="ＭＳ ゴシック" w:hAnsi="ＭＳ ゴシック" w:cs="ＭＳ ゴシック"/>
                        <w:i/>
                        <w:iCs/>
                        <w:color w:val="FFFFFF" w:themeColor="background1"/>
                        <w:sz w:val="20"/>
                        <w:szCs w:val="20"/>
                        <w:lang w:eastAsia="ja-JP"/>
                      </w:rPr>
                    </w:pPr>
                    <w:r w:rsidRPr="000C609A">
                      <w:rPr>
                        <w:rFonts w:ascii="ＭＳ ゴシック" w:eastAsia="ＭＳ ゴシック" w:hAnsi="ＭＳ ゴシック" w:cs="ＭＳ ゴシック" w:hint="eastAsia"/>
                        <w:i/>
                        <w:iCs/>
                        <w:color w:val="FFFFFF" w:themeColor="background1"/>
                        <w:sz w:val="20"/>
                        <w:szCs w:val="20"/>
                        <w:lang w:eastAsia="ja-JP"/>
                      </w:rPr>
                      <w:t>研究対象製品と副産物の間に、</w:t>
                    </w:r>
                  </w:p>
                  <w:p w14:paraId="2AB7FD8B" w14:textId="0AE27F13" w:rsidR="0055291C" w:rsidRPr="000C609A" w:rsidRDefault="000C609A">
                    <w:pPr>
                      <w:spacing w:line="278" w:lineRule="auto"/>
                      <w:ind w:left="-1" w:right="18" w:hanging="1"/>
                      <w:jc w:val="center"/>
                      <w:rPr>
                        <w:rFonts w:ascii="Arial"/>
                        <w:b/>
                        <w:i/>
                        <w:iCs/>
                        <w:color w:val="FFFFFF" w:themeColor="background1"/>
                        <w:sz w:val="14"/>
                        <w:szCs w:val="20"/>
                        <w:lang w:eastAsia="ja-JP"/>
                      </w:rPr>
                    </w:pPr>
                    <w:r w:rsidRPr="000C609A">
                      <w:rPr>
                        <w:rFonts w:ascii="ＭＳ ゴシック" w:eastAsia="ＭＳ ゴシック" w:hAnsi="ＭＳ ゴシック" w:cs="ＭＳ ゴシック" w:hint="eastAsia"/>
                        <w:i/>
                        <w:iCs/>
                        <w:color w:val="FFFFFF" w:themeColor="background1"/>
                        <w:sz w:val="20"/>
                        <w:szCs w:val="20"/>
                        <w:lang w:eastAsia="ja-JP"/>
                      </w:rPr>
                      <w:t>確立できる他の関係があるか？</w:t>
                    </w:r>
                  </w:p>
                  <w:p w14:paraId="6F867670" w14:textId="77777777" w:rsidR="0055291C" w:rsidRPr="000C609A" w:rsidRDefault="0055291C">
                    <w:pPr>
                      <w:spacing w:before="10"/>
                      <w:rPr>
                        <w:rFonts w:ascii="Arial"/>
                        <w:b/>
                        <w:i/>
                        <w:sz w:val="32"/>
                        <w:szCs w:val="36"/>
                        <w:lang w:eastAsia="ja-JP"/>
                      </w:rPr>
                    </w:pPr>
                  </w:p>
                  <w:p w14:paraId="147AA8B1" w14:textId="77777777" w:rsidR="0055291C" w:rsidRDefault="00F23C61">
                    <w:pPr>
                      <w:spacing w:line="203" w:lineRule="exact"/>
                      <w:ind w:left="1428" w:right="1332"/>
                      <w:jc w:val="center"/>
                      <w:rPr>
                        <w:rFonts w:ascii="Arial"/>
                        <w:b/>
                        <w:i/>
                        <w:sz w:val="18"/>
                      </w:rPr>
                    </w:pPr>
                    <w:r>
                      <w:rPr>
                        <w:rFonts w:ascii="Arial"/>
                        <w:b/>
                        <w:i/>
                        <w:color w:val="FFFFFF"/>
                        <w:sz w:val="18"/>
                      </w:rPr>
                      <w:t>yes</w:t>
                    </w:r>
                  </w:p>
                </w:txbxContent>
              </v:textbox>
            </v:shape>
            <v:shape id="docshape1082" o:spid="_x0000_s2743" type="#_x0000_t202" style="position:absolute;left:7864;top:2306;width:1895;height:202" filled="f" stroked="f">
              <v:textbox style="mso-next-textbox:#docshape1082" inset="0,0,0,0">
                <w:txbxContent>
                  <w:p w14:paraId="4610B723" w14:textId="77CDD502" w:rsidR="0055291C" w:rsidRDefault="000C609A" w:rsidP="000C609A">
                    <w:pPr>
                      <w:spacing w:line="202" w:lineRule="exact"/>
                      <w:ind w:firstLineChars="100" w:firstLine="171"/>
                      <w:rPr>
                        <w:rFonts w:ascii="Arial"/>
                        <w:b/>
                        <w:i/>
                        <w:sz w:val="18"/>
                      </w:rPr>
                    </w:pPr>
                    <w:r>
                      <w:rPr>
                        <w:rFonts w:ascii="ＭＳ ゴシック" w:eastAsia="ＭＳ ゴシック" w:hAnsi="ＭＳ ゴシック" w:cs="ＭＳ ゴシック" w:hint="eastAsia"/>
                        <w:b/>
                        <w:i/>
                        <w:color w:val="545456"/>
                        <w:w w:val="95"/>
                        <w:sz w:val="18"/>
                        <w:lang w:eastAsia="ja-JP"/>
                      </w:rPr>
                      <w:t>他の関係性の使用</w:t>
                    </w:r>
                  </w:p>
                </w:txbxContent>
              </v:textbox>
            </v:shape>
            <w10:wrap type="topAndBottom" anchorx="page"/>
          </v:group>
        </w:pict>
      </w:r>
    </w:p>
    <w:p w14:paraId="49FAA24E" w14:textId="77777777" w:rsidR="0055291C" w:rsidRDefault="0055291C">
      <w:pPr>
        <w:rPr>
          <w:rFonts w:ascii="Arial"/>
          <w:sz w:val="6"/>
          <w:lang w:eastAsia="ja-JP"/>
        </w:rPr>
        <w:sectPr w:rsidR="0055291C">
          <w:headerReference w:type="even" r:id="rId217"/>
          <w:footerReference w:type="even" r:id="rId218"/>
          <w:footerReference w:type="default" r:id="rId219"/>
          <w:pgSz w:w="12240" w:h="15840"/>
          <w:pgMar w:top="620" w:right="0" w:bottom="1040" w:left="0" w:header="0" w:footer="859" w:gutter="0"/>
          <w:pgNumType w:start="66"/>
          <w:cols w:space="720"/>
        </w:sectPr>
      </w:pPr>
    </w:p>
    <w:p w14:paraId="2F31629A" w14:textId="77777777" w:rsidR="0055291C" w:rsidRDefault="0055291C">
      <w:pPr>
        <w:pStyle w:val="a3"/>
        <w:rPr>
          <w:rFonts w:ascii="Arial"/>
          <w:b/>
          <w:i/>
          <w:sz w:val="20"/>
          <w:lang w:eastAsia="ja-JP"/>
        </w:rPr>
      </w:pPr>
    </w:p>
    <w:p w14:paraId="14A086BD" w14:textId="77777777" w:rsidR="0055291C" w:rsidRDefault="0055291C">
      <w:pPr>
        <w:pStyle w:val="a3"/>
        <w:rPr>
          <w:rFonts w:ascii="Arial"/>
          <w:b/>
          <w:i/>
          <w:sz w:val="20"/>
          <w:lang w:eastAsia="ja-JP"/>
        </w:rPr>
      </w:pPr>
    </w:p>
    <w:p w14:paraId="6D5DBD80" w14:textId="77777777" w:rsidR="0055291C" w:rsidRDefault="0055291C">
      <w:pPr>
        <w:pStyle w:val="a3"/>
        <w:rPr>
          <w:rFonts w:ascii="Arial"/>
          <w:b/>
          <w:i/>
          <w:sz w:val="20"/>
          <w:lang w:eastAsia="ja-JP"/>
        </w:rPr>
      </w:pPr>
    </w:p>
    <w:p w14:paraId="403BC439" w14:textId="77777777" w:rsidR="0055291C" w:rsidRDefault="0055291C">
      <w:pPr>
        <w:pStyle w:val="a3"/>
        <w:spacing w:before="1"/>
        <w:rPr>
          <w:rFonts w:ascii="Arial"/>
          <w:b/>
          <w:i/>
          <w:sz w:val="23"/>
          <w:lang w:eastAsia="ja-JP"/>
        </w:rPr>
      </w:pPr>
    </w:p>
    <w:p w14:paraId="4FE387C3" w14:textId="77777777" w:rsidR="0055291C" w:rsidRDefault="00000000">
      <w:pPr>
        <w:ind w:right="1121"/>
        <w:jc w:val="right"/>
        <w:rPr>
          <w:rFonts w:ascii="Arial"/>
          <w:i/>
          <w:sz w:val="19"/>
          <w:lang w:eastAsia="ja-JP"/>
        </w:rPr>
      </w:pPr>
      <w:r>
        <w:pict w14:anchorId="04ED1308">
          <v:shape id="docshape1083" o:spid="_x0000_s2741" style="position:absolute;left:0;text-align:left;margin-left:580.75pt;margin-top:-47.8pt;width:31.3pt;height:285.85pt;z-index:251607552;mso-position-horizontal-relative:page" coordorigin="11615,-956" coordsize="626,5717" path="m12240,-956r-625,l11615,4534r3,131l11643,4732r67,25l11842,4760r398,l12240,-956xe" fillcolor="#00aca1" stroked="f">
            <v:path arrowok="t"/>
            <w10:wrap anchorx="page"/>
          </v:shape>
        </w:pict>
      </w:r>
      <w:r w:rsidR="00F23C61">
        <w:rPr>
          <w:rFonts w:ascii="Arial"/>
          <w:b/>
          <w:i/>
          <w:color w:val="7F3F98"/>
          <w:sz w:val="19"/>
          <w:lang w:eastAsia="ja-JP"/>
        </w:rPr>
        <w:t>CHAPTER</w:t>
      </w:r>
      <w:r w:rsidR="00F23C61">
        <w:rPr>
          <w:rFonts w:ascii="Arial"/>
          <w:b/>
          <w:i/>
          <w:color w:val="7F3F98"/>
          <w:spacing w:val="14"/>
          <w:sz w:val="19"/>
          <w:lang w:eastAsia="ja-JP"/>
        </w:rPr>
        <w:t xml:space="preserve"> </w:t>
      </w:r>
      <w:r w:rsidR="00F23C61">
        <w:rPr>
          <w:rFonts w:ascii="Arial"/>
          <w:b/>
          <w:i/>
          <w:color w:val="7F3F98"/>
          <w:sz w:val="19"/>
          <w:lang w:eastAsia="ja-JP"/>
        </w:rPr>
        <w:t>09</w:t>
      </w:r>
      <w:r w:rsidR="00F23C61">
        <w:rPr>
          <w:rFonts w:ascii="Arial"/>
          <w:b/>
          <w:i/>
          <w:color w:val="7F3F98"/>
          <w:spacing w:val="15"/>
          <w:sz w:val="19"/>
          <w:lang w:eastAsia="ja-JP"/>
        </w:rPr>
        <w:t xml:space="preserve"> </w:t>
      </w:r>
      <w:r w:rsidR="00F23C61">
        <w:rPr>
          <w:rFonts w:ascii="Arial"/>
          <w:i/>
          <w:color w:val="545456"/>
          <w:sz w:val="19"/>
          <w:lang w:eastAsia="ja-JP"/>
        </w:rPr>
        <w:t>Allocation</w:t>
      </w:r>
    </w:p>
    <w:p w14:paraId="66DC2180" w14:textId="77777777" w:rsidR="0055291C" w:rsidRDefault="0055291C">
      <w:pPr>
        <w:pStyle w:val="a3"/>
        <w:rPr>
          <w:rFonts w:ascii="Arial"/>
          <w:i/>
          <w:sz w:val="20"/>
          <w:lang w:eastAsia="ja-JP"/>
        </w:rPr>
      </w:pPr>
    </w:p>
    <w:p w14:paraId="25FE074A" w14:textId="77777777" w:rsidR="0055291C" w:rsidRDefault="0055291C">
      <w:pPr>
        <w:pStyle w:val="a3"/>
        <w:spacing w:before="5"/>
        <w:rPr>
          <w:rFonts w:ascii="Arial"/>
          <w:i/>
          <w:sz w:val="25"/>
          <w:lang w:eastAsia="ja-JP"/>
        </w:rPr>
      </w:pPr>
    </w:p>
    <w:p w14:paraId="1D6A68EB" w14:textId="77777777" w:rsidR="0055291C" w:rsidRDefault="0055291C">
      <w:pPr>
        <w:rPr>
          <w:rFonts w:ascii="Arial"/>
          <w:sz w:val="25"/>
          <w:lang w:eastAsia="ja-JP"/>
        </w:rPr>
        <w:sectPr w:rsidR="0055291C">
          <w:headerReference w:type="default" r:id="rId220"/>
          <w:pgSz w:w="12240" w:h="15840"/>
          <w:pgMar w:top="0" w:right="0" w:bottom="1040" w:left="0" w:header="0" w:footer="859" w:gutter="0"/>
          <w:cols w:space="720"/>
        </w:sectPr>
      </w:pPr>
    </w:p>
    <w:p w14:paraId="1647BA58" w14:textId="6C34DFC6" w:rsidR="0055291C" w:rsidRDefault="006E1C33">
      <w:pPr>
        <w:pStyle w:val="a3"/>
        <w:spacing w:before="102" w:line="312" w:lineRule="auto"/>
        <w:ind w:left="1133" w:right="-8"/>
        <w:rPr>
          <w:lang w:eastAsia="ja-JP"/>
        </w:rPr>
      </w:pPr>
      <w:r>
        <w:rPr>
          <w:rFonts w:ascii="ＭＳ ゴシック" w:eastAsia="ＭＳ ゴシック" w:hAnsi="ＭＳ ゴシック" w:cs="ＭＳ ゴシック" w:hint="eastAsia"/>
          <w:lang w:eastAsia="ja-JP"/>
        </w:rPr>
        <w:t>データおよび</w:t>
      </w:r>
      <w:r>
        <w:rPr>
          <w:lang w:eastAsia="ja-JP"/>
        </w:rPr>
        <w:t>/</w:t>
      </w:r>
      <w:r>
        <w:rPr>
          <w:rFonts w:ascii="ＭＳ ゴシック" w:eastAsia="ＭＳ ゴシック" w:hAnsi="ＭＳ ゴシック" w:cs="ＭＳ ゴシック" w:hint="eastAsia"/>
          <w:lang w:eastAsia="ja-JP"/>
        </w:rPr>
        <w:t>または平均排出係数のデータを収集</w:t>
      </w:r>
      <w:r w:rsidR="0095461D">
        <w:rPr>
          <w:rFonts w:ascii="ＭＳ ゴシック" w:eastAsia="ＭＳ ゴシック" w:hAnsi="ＭＳ ゴシック" w:cs="ＭＳ ゴシック" w:hint="eastAsia"/>
          <w:lang w:eastAsia="ja-JP"/>
        </w:rPr>
        <w:t>し、システム拡張を行うべきです。</w:t>
      </w:r>
    </w:p>
    <w:p w14:paraId="03928B53" w14:textId="065F50F4" w:rsidR="0055291C" w:rsidRDefault="0095461D" w:rsidP="0095461D">
      <w:pPr>
        <w:pStyle w:val="a3"/>
        <w:spacing w:before="2" w:line="312" w:lineRule="auto"/>
        <w:ind w:left="1133" w:right="180" w:firstLineChars="100" w:firstLine="190"/>
        <w:rPr>
          <w:lang w:eastAsia="ja-JP"/>
        </w:rPr>
      </w:pPr>
      <w:r>
        <w:rPr>
          <w:rFonts w:ascii="ＭＳ ゴシック" w:eastAsia="ＭＳ ゴシック" w:hAnsi="ＭＳ ゴシック" w:cs="ＭＳ ゴシック" w:hint="eastAsia"/>
          <w:lang w:eastAsia="ja-JP"/>
        </w:rPr>
        <w:t>どのような配分方法を用いたかを開示し、正当化する場合、システム拡張を用いる企業は、選択した代替品</w:t>
      </w:r>
      <w:r>
        <w:rPr>
          <w:lang w:eastAsia="ja-JP"/>
        </w:rPr>
        <w:t xml:space="preserve"> </w:t>
      </w:r>
      <w:r>
        <w:rPr>
          <w:rFonts w:ascii="ＭＳ ゴシック" w:eastAsia="ＭＳ ゴシック" w:hAnsi="ＭＳ ゴシック" w:cs="ＭＳ ゴシック" w:hint="eastAsia"/>
          <w:lang w:eastAsia="ja-JP"/>
        </w:rPr>
        <w:t>（およびそれに関連する排出量）が、副産物の妥当な代替品であることを説明する必要があります。</w:t>
      </w:r>
      <w:r>
        <w:rPr>
          <w:lang w:eastAsia="ja-JP"/>
        </w:rPr>
        <w:t xml:space="preserve"> </w:t>
      </w:r>
      <w:r>
        <w:rPr>
          <w:rFonts w:ascii="ＭＳ ゴシック" w:eastAsia="ＭＳ ゴシック" w:hAnsi="ＭＳ ゴシック" w:cs="ＭＳ ゴシック" w:hint="eastAsia"/>
          <w:lang w:eastAsia="ja-JP"/>
        </w:rPr>
        <w:t>システム拡張が自社の状況に適しているかどうかわ</w:t>
      </w:r>
      <w:r>
        <w:rPr>
          <w:lang w:eastAsia="ja-JP"/>
        </w:rPr>
        <w:t xml:space="preserve"> </w:t>
      </w:r>
      <w:r>
        <w:rPr>
          <w:rFonts w:ascii="ＭＳ ゴシック" w:eastAsia="ＭＳ ゴシック" w:hAnsi="ＭＳ ゴシック" w:cs="ＭＳ ゴシック" w:hint="eastAsia"/>
          <w:lang w:eastAsia="ja-JP"/>
        </w:rPr>
        <w:t>からない企業は、配分の回避や実行のために他の方</w:t>
      </w:r>
      <w:r>
        <w:rPr>
          <w:lang w:eastAsia="ja-JP"/>
        </w:rPr>
        <w:t xml:space="preserve"> </w:t>
      </w:r>
      <w:r>
        <w:rPr>
          <w:rFonts w:ascii="ＭＳ ゴシック" w:eastAsia="ＭＳ ゴシック" w:hAnsi="ＭＳ ゴシック" w:cs="ＭＳ ゴシック" w:hint="eastAsia"/>
          <w:lang w:eastAsia="ja-JP"/>
        </w:rPr>
        <w:t>法を検討する必要があります。</w:t>
      </w:r>
    </w:p>
    <w:p w14:paraId="27F7961E" w14:textId="77777777" w:rsidR="0055291C" w:rsidRDefault="0055291C">
      <w:pPr>
        <w:pStyle w:val="a3"/>
        <w:spacing w:before="4"/>
        <w:rPr>
          <w:sz w:val="16"/>
          <w:lang w:eastAsia="ja-JP"/>
        </w:rPr>
      </w:pPr>
    </w:p>
    <w:p w14:paraId="6046C1C2" w14:textId="77777777" w:rsidR="0055291C" w:rsidRDefault="00F23C61">
      <w:pPr>
        <w:ind w:left="1133"/>
        <w:rPr>
          <w:rFonts w:ascii="Arial"/>
          <w:b/>
          <w:i/>
          <w:sz w:val="14"/>
          <w:lang w:eastAsia="ja-JP"/>
        </w:rPr>
      </w:pPr>
      <w:r>
        <w:rPr>
          <w:rFonts w:ascii="Arial"/>
          <w:b/>
          <w:i/>
          <w:color w:val="7F3F98"/>
          <w:w w:val="95"/>
          <w:sz w:val="14"/>
          <w:lang w:eastAsia="ja-JP"/>
        </w:rPr>
        <w:t>E</w:t>
      </w:r>
      <w:r>
        <w:rPr>
          <w:rFonts w:ascii="Arial"/>
          <w:b/>
          <w:i/>
          <w:color w:val="7F3F98"/>
          <w:spacing w:val="-6"/>
          <w:w w:val="95"/>
          <w:sz w:val="14"/>
          <w:lang w:eastAsia="ja-JP"/>
        </w:rPr>
        <w:t xml:space="preserve"> </w:t>
      </w:r>
      <w:r>
        <w:rPr>
          <w:rFonts w:ascii="Arial"/>
          <w:b/>
          <w:i/>
          <w:color w:val="7F3F98"/>
          <w:spacing w:val="22"/>
          <w:w w:val="95"/>
          <w:sz w:val="14"/>
          <w:lang w:eastAsia="ja-JP"/>
        </w:rPr>
        <w:t>XAMPL</w:t>
      </w:r>
      <w:r>
        <w:rPr>
          <w:rFonts w:ascii="Arial"/>
          <w:b/>
          <w:i/>
          <w:color w:val="7F3F98"/>
          <w:spacing w:val="-8"/>
          <w:w w:val="95"/>
          <w:sz w:val="14"/>
          <w:lang w:eastAsia="ja-JP"/>
        </w:rPr>
        <w:t xml:space="preserve"> </w:t>
      </w:r>
      <w:r>
        <w:rPr>
          <w:rFonts w:ascii="Arial"/>
          <w:b/>
          <w:i/>
          <w:color w:val="7F3F98"/>
          <w:w w:val="95"/>
          <w:sz w:val="14"/>
          <w:lang w:eastAsia="ja-JP"/>
        </w:rPr>
        <w:t>E</w:t>
      </w:r>
    </w:p>
    <w:p w14:paraId="5C35DA2A" w14:textId="65BA18F6" w:rsidR="00111AC1" w:rsidRDefault="00111AC1" w:rsidP="00554E5F">
      <w:pPr>
        <w:spacing w:before="99" w:line="307" w:lineRule="auto"/>
        <w:ind w:left="1134" w:right="220" w:firstLineChars="100" w:firstLine="190"/>
        <w:rPr>
          <w:rFonts w:ascii="ＭＳ ゴシック" w:eastAsia="ＭＳ ゴシック" w:hAnsi="ＭＳ ゴシック" w:cs="ＭＳ ゴシック"/>
          <w:sz w:val="19"/>
          <w:szCs w:val="19"/>
          <w:lang w:eastAsia="ja-JP"/>
        </w:rPr>
      </w:pPr>
      <w:r w:rsidRPr="00111AC1">
        <w:rPr>
          <w:rFonts w:ascii="ＭＳ ゴシック" w:eastAsia="ＭＳ ゴシック" w:hAnsi="ＭＳ ゴシック" w:cs="ＭＳ ゴシック" w:hint="eastAsia"/>
          <w:sz w:val="19"/>
          <w:szCs w:val="19"/>
          <w:lang w:eastAsia="ja-JP"/>
        </w:rPr>
        <w:t>システム拡張が特に有用と思われるのは、焼却炉の排出量を複数の</w:t>
      </w:r>
      <w:r>
        <w:rPr>
          <w:rFonts w:ascii="ＭＳ ゴシック" w:eastAsia="ＭＳ ゴシック" w:hAnsi="ＭＳ ゴシック" w:cs="ＭＳ ゴシック" w:hint="eastAsia"/>
          <w:sz w:val="19"/>
          <w:szCs w:val="19"/>
          <w:lang w:eastAsia="ja-JP"/>
        </w:rPr>
        <w:t>投入品（調査対象製品</w:t>
      </w:r>
      <w:r w:rsidR="00B126C4">
        <w:rPr>
          <w:rFonts w:ascii="ＭＳ ゴシック" w:eastAsia="ＭＳ ゴシック" w:hAnsi="ＭＳ ゴシック" w:cs="ＭＳ ゴシック" w:hint="eastAsia"/>
          <w:sz w:val="19"/>
          <w:szCs w:val="19"/>
          <w:lang w:eastAsia="ja-JP"/>
        </w:rPr>
        <w:t>を含む</w:t>
      </w:r>
      <w:r>
        <w:rPr>
          <w:rFonts w:ascii="ＭＳ ゴシック" w:eastAsia="ＭＳ ゴシック" w:hAnsi="ＭＳ ゴシック" w:cs="ＭＳ ゴシック" w:hint="eastAsia"/>
          <w:sz w:val="19"/>
          <w:szCs w:val="19"/>
          <w:lang w:eastAsia="ja-JP"/>
        </w:rPr>
        <w:t>）と</w:t>
      </w:r>
    </w:p>
    <w:p w14:paraId="68C41AAD" w14:textId="2BEAB1F7" w:rsidR="0055291C" w:rsidRPr="00554E5F" w:rsidRDefault="00697660" w:rsidP="00554E5F">
      <w:pPr>
        <w:spacing w:before="99" w:line="307" w:lineRule="auto"/>
        <w:ind w:left="567" w:right="781"/>
        <w:rPr>
          <w:rFonts w:ascii="Arial"/>
          <w:iCs/>
          <w:color w:val="545456"/>
          <w:sz w:val="19"/>
          <w:lang w:eastAsia="ja-JP"/>
        </w:rPr>
      </w:pPr>
      <w:r>
        <w:rPr>
          <w:rFonts w:ascii="ＭＳ ゴシック" w:eastAsia="ＭＳ ゴシック" w:hAnsi="ＭＳ ゴシック" w:cs="ＭＳ ゴシック" w:hint="eastAsia"/>
          <w:sz w:val="19"/>
          <w:szCs w:val="19"/>
          <w:lang w:eastAsia="ja-JP"/>
        </w:rPr>
        <w:t>副</w:t>
      </w:r>
      <w:r w:rsidR="00111AC1" w:rsidRPr="00111AC1">
        <w:rPr>
          <w:rFonts w:ascii="ＭＳ ゴシック" w:eastAsia="ＭＳ ゴシック" w:hAnsi="ＭＳ ゴシック" w:cs="ＭＳ ゴシック" w:hint="eastAsia"/>
          <w:sz w:val="19"/>
          <w:szCs w:val="19"/>
          <w:lang w:eastAsia="ja-JP"/>
        </w:rPr>
        <w:t>産物の</w:t>
      </w:r>
      <w:r w:rsidR="00B126C4">
        <w:rPr>
          <w:rFonts w:ascii="ＭＳ ゴシック" w:eastAsia="ＭＳ ゴシック" w:hAnsi="ＭＳ ゴシック" w:cs="ＭＳ ゴシック" w:hint="eastAsia"/>
          <w:sz w:val="19"/>
          <w:szCs w:val="19"/>
          <w:lang w:eastAsia="ja-JP"/>
        </w:rPr>
        <w:t>エネルギーで配分</w:t>
      </w:r>
      <w:r w:rsidR="00111AC1" w:rsidRPr="00111AC1">
        <w:rPr>
          <w:rFonts w:ascii="ＭＳ ゴシック" w:eastAsia="ＭＳ ゴシック" w:hAnsi="ＭＳ ゴシック" w:cs="ＭＳ ゴシック" w:hint="eastAsia"/>
          <w:sz w:val="19"/>
          <w:szCs w:val="19"/>
          <w:lang w:eastAsia="ja-JP"/>
        </w:rPr>
        <w:t>する場合です。例えば、パルプ工場では、木材はパルプと黒液に変換され</w:t>
      </w:r>
      <w:r w:rsidR="00B126C4">
        <w:rPr>
          <w:rFonts w:ascii="ＭＳ ゴシック" w:eastAsia="ＭＳ ゴシック" w:hAnsi="ＭＳ ゴシック" w:cs="ＭＳ ゴシック" w:hint="eastAsia"/>
          <w:sz w:val="19"/>
          <w:szCs w:val="19"/>
          <w:lang w:eastAsia="ja-JP"/>
        </w:rPr>
        <w:t>ます</w:t>
      </w:r>
      <w:r w:rsidR="00111AC1" w:rsidRPr="00111AC1">
        <w:rPr>
          <w:rFonts w:ascii="ＭＳ ゴシック" w:eastAsia="ＭＳ ゴシック" w:hAnsi="ＭＳ ゴシック" w:cs="ＭＳ ゴシック" w:hint="eastAsia"/>
          <w:sz w:val="19"/>
          <w:szCs w:val="19"/>
          <w:lang w:eastAsia="ja-JP"/>
        </w:rPr>
        <w:t>。黒液は、自家発電のために燃焼させることができ、また余剰電力として</w:t>
      </w:r>
      <w:r w:rsidR="00B126C4">
        <w:rPr>
          <w:rFonts w:ascii="ＭＳ ゴシック" w:eastAsia="ＭＳ ゴシック" w:hAnsi="ＭＳ ゴシック" w:cs="ＭＳ ゴシック" w:hint="eastAsia"/>
          <w:sz w:val="19"/>
          <w:szCs w:val="19"/>
          <w:lang w:eastAsia="ja-JP"/>
        </w:rPr>
        <w:t>電力会社に</w:t>
      </w:r>
      <w:r w:rsidR="00111AC1" w:rsidRPr="00111AC1">
        <w:rPr>
          <w:rFonts w:ascii="ＭＳ ゴシック" w:eastAsia="ＭＳ ゴシック" w:hAnsi="ＭＳ ゴシック" w:cs="ＭＳ ゴシック" w:hint="eastAsia"/>
          <w:sz w:val="19"/>
          <w:szCs w:val="19"/>
          <w:lang w:eastAsia="ja-JP"/>
        </w:rPr>
        <w:t>販売することができ</w:t>
      </w:r>
      <w:r w:rsidR="00B126C4">
        <w:rPr>
          <w:rFonts w:ascii="ＭＳ ゴシック" w:eastAsia="ＭＳ ゴシック" w:hAnsi="ＭＳ ゴシック" w:cs="ＭＳ ゴシック" w:hint="eastAsia"/>
          <w:sz w:val="19"/>
          <w:szCs w:val="19"/>
          <w:lang w:eastAsia="ja-JP"/>
        </w:rPr>
        <w:t>ます</w:t>
      </w:r>
      <w:r w:rsidR="00111AC1" w:rsidRPr="00111AC1">
        <w:rPr>
          <w:sz w:val="19"/>
          <w:szCs w:val="19"/>
          <w:lang w:eastAsia="ja-JP"/>
        </w:rPr>
        <w:t xml:space="preserve"> </w:t>
      </w:r>
      <w:r w:rsidR="00111AC1" w:rsidRPr="00111AC1">
        <w:rPr>
          <w:rFonts w:ascii="ＭＳ ゴシック" w:eastAsia="ＭＳ ゴシック" w:hAnsi="ＭＳ ゴシック" w:cs="ＭＳ ゴシック" w:hint="eastAsia"/>
          <w:sz w:val="19"/>
          <w:szCs w:val="19"/>
          <w:lang w:eastAsia="ja-JP"/>
        </w:rPr>
        <w:t>。黒液からの副産物である電力を考慮するために、</w:t>
      </w:r>
      <w:r w:rsidR="00B126C4" w:rsidRPr="00111AC1">
        <w:rPr>
          <w:rFonts w:ascii="ＭＳ ゴシック" w:eastAsia="ＭＳ ゴシック" w:hAnsi="ＭＳ ゴシック" w:cs="ＭＳ ゴシック" w:hint="eastAsia"/>
          <w:sz w:val="19"/>
          <w:szCs w:val="19"/>
          <w:lang w:eastAsia="ja-JP"/>
        </w:rPr>
        <w:t>システム拡張を使用し</w:t>
      </w:r>
      <w:r w:rsidR="00B126C4">
        <w:rPr>
          <w:rFonts w:ascii="ＭＳ ゴシック" w:eastAsia="ＭＳ ゴシック" w:hAnsi="ＭＳ ゴシック" w:cs="ＭＳ ゴシック" w:hint="eastAsia"/>
          <w:sz w:val="19"/>
          <w:szCs w:val="19"/>
          <w:lang w:eastAsia="ja-JP"/>
        </w:rPr>
        <w:t>て</w:t>
      </w:r>
      <w:r w:rsidR="00111AC1" w:rsidRPr="00111AC1">
        <w:rPr>
          <w:rFonts w:ascii="ＭＳ ゴシック" w:eastAsia="ＭＳ ゴシック" w:hAnsi="ＭＳ ゴシック" w:cs="ＭＳ ゴシック" w:hint="eastAsia"/>
          <w:sz w:val="19"/>
          <w:szCs w:val="19"/>
          <w:lang w:eastAsia="ja-JP"/>
        </w:rPr>
        <w:t>黒液</w:t>
      </w:r>
      <w:r w:rsidR="00B126C4">
        <w:rPr>
          <w:rFonts w:ascii="ＭＳ ゴシック" w:eastAsia="ＭＳ ゴシック" w:hAnsi="ＭＳ ゴシック" w:cs="ＭＳ ゴシック" w:hint="eastAsia"/>
          <w:sz w:val="19"/>
          <w:szCs w:val="19"/>
          <w:lang w:eastAsia="ja-JP"/>
        </w:rPr>
        <w:t>により</w:t>
      </w:r>
      <w:r w:rsidR="00111AC1" w:rsidRPr="00111AC1">
        <w:rPr>
          <w:rFonts w:ascii="ＭＳ ゴシック" w:eastAsia="ＭＳ ゴシック" w:hAnsi="ＭＳ ゴシック" w:cs="ＭＳ ゴシック" w:hint="eastAsia"/>
          <w:sz w:val="19"/>
          <w:szCs w:val="19"/>
          <w:lang w:eastAsia="ja-JP"/>
        </w:rPr>
        <w:t>発電した電力に関連する排出量を特定す</w:t>
      </w:r>
      <w:r w:rsidR="00B126C4">
        <w:rPr>
          <w:rFonts w:ascii="ＭＳ ゴシック" w:eastAsia="ＭＳ ゴシック" w:hAnsi="ＭＳ ゴシック" w:cs="ＭＳ ゴシック" w:hint="eastAsia"/>
          <w:sz w:val="19"/>
          <w:szCs w:val="19"/>
          <w:lang w:eastAsia="ja-JP"/>
        </w:rPr>
        <w:t>べきです</w:t>
      </w:r>
      <w:r w:rsidR="00111AC1" w:rsidRPr="00111AC1">
        <w:rPr>
          <w:rFonts w:ascii="ＭＳ ゴシック" w:eastAsia="ＭＳ ゴシック" w:hAnsi="ＭＳ ゴシック" w:cs="ＭＳ ゴシック" w:hint="eastAsia"/>
          <w:sz w:val="19"/>
          <w:szCs w:val="19"/>
          <w:lang w:eastAsia="ja-JP"/>
        </w:rPr>
        <w:t>（工場所在地での平均グリッド値に基づく）。</w:t>
      </w:r>
      <w:r w:rsidR="00F23C61" w:rsidRPr="00554E5F">
        <w:rPr>
          <w:rFonts w:ascii="Arial"/>
          <w:iCs/>
          <w:color w:val="545456"/>
          <w:sz w:val="19"/>
          <w:lang w:eastAsia="ja-JP"/>
        </w:rPr>
        <w:t xml:space="preserve"> </w:t>
      </w:r>
      <w:r w:rsidR="00554E5F" w:rsidRPr="00554E5F">
        <w:rPr>
          <w:rFonts w:ascii="ＭＳ ゴシック" w:eastAsia="ＭＳ ゴシック" w:hAnsi="ＭＳ ゴシック" w:cs="ＭＳ ゴシック" w:hint="eastAsia"/>
          <w:iCs/>
          <w:color w:val="545456"/>
          <w:sz w:val="19"/>
          <w:lang w:eastAsia="ja-JP"/>
        </w:rPr>
        <w:t>従って、工場が</w:t>
      </w:r>
      <w:r w:rsidR="00554E5F" w:rsidRPr="00554E5F">
        <w:rPr>
          <w:rFonts w:ascii="Arial"/>
          <w:iCs/>
          <w:color w:val="545456"/>
          <w:sz w:val="19"/>
          <w:lang w:eastAsia="ja-JP"/>
        </w:rPr>
        <w:t>1000kg</w:t>
      </w:r>
      <w:r w:rsidR="00554E5F" w:rsidRPr="00554E5F">
        <w:rPr>
          <w:rFonts w:ascii="ＭＳ ゴシック" w:eastAsia="ＭＳ ゴシック" w:hAnsi="ＭＳ ゴシック" w:cs="ＭＳ ゴシック" w:hint="eastAsia"/>
          <w:iCs/>
          <w:color w:val="545456"/>
          <w:sz w:val="19"/>
          <w:lang w:eastAsia="ja-JP"/>
        </w:rPr>
        <w:t>の</w:t>
      </w:r>
      <w:r w:rsidR="00554E5F" w:rsidRPr="00554E5F">
        <w:rPr>
          <w:rFonts w:ascii="Arial"/>
          <w:iCs/>
          <w:color w:val="545456"/>
          <w:sz w:val="19"/>
          <w:lang w:eastAsia="ja-JP"/>
        </w:rPr>
        <w:t>GHG</w:t>
      </w:r>
      <w:r w:rsidR="00554E5F" w:rsidRPr="00554E5F">
        <w:rPr>
          <w:rFonts w:ascii="ＭＳ ゴシック" w:eastAsia="ＭＳ ゴシック" w:hAnsi="ＭＳ ゴシック" w:cs="ＭＳ ゴシック" w:hint="eastAsia"/>
          <w:iCs/>
          <w:color w:val="545456"/>
          <w:sz w:val="19"/>
          <w:lang w:eastAsia="ja-JP"/>
        </w:rPr>
        <w:t>排出と</w:t>
      </w:r>
      <w:r w:rsidR="00554E5F" w:rsidRPr="00554E5F">
        <w:rPr>
          <w:rFonts w:ascii="Arial"/>
          <w:iCs/>
          <w:color w:val="545456"/>
          <w:sz w:val="19"/>
          <w:lang w:eastAsia="ja-JP"/>
        </w:rPr>
        <w:t>5MW</w:t>
      </w:r>
      <w:r w:rsidR="00554E5F" w:rsidRPr="00554E5F">
        <w:rPr>
          <w:rFonts w:ascii="ＭＳ ゴシック" w:eastAsia="ＭＳ ゴシック" w:hAnsi="ＭＳ ゴシック" w:cs="ＭＳ ゴシック" w:hint="eastAsia"/>
          <w:iCs/>
          <w:color w:val="545456"/>
          <w:sz w:val="19"/>
          <w:lang w:eastAsia="ja-JP"/>
        </w:rPr>
        <w:t>の電力を作り出し、グリッドの平均電力</w:t>
      </w:r>
      <w:r w:rsidR="00554E5F" w:rsidRPr="00554E5F">
        <w:rPr>
          <w:rFonts w:ascii="Arial"/>
          <w:iCs/>
          <w:color w:val="545456"/>
          <w:sz w:val="19"/>
          <w:lang w:eastAsia="ja-JP"/>
        </w:rPr>
        <w:t>5MW</w:t>
      </w:r>
      <w:r w:rsidR="00554E5F" w:rsidRPr="00554E5F">
        <w:rPr>
          <w:rFonts w:ascii="ＭＳ ゴシック" w:eastAsia="ＭＳ ゴシック" w:hAnsi="ＭＳ ゴシック" w:cs="ＭＳ ゴシック" w:hint="eastAsia"/>
          <w:iCs/>
          <w:color w:val="545456"/>
          <w:sz w:val="19"/>
          <w:lang w:eastAsia="ja-JP"/>
        </w:rPr>
        <w:t>は</w:t>
      </w:r>
      <w:r w:rsidR="00554E5F" w:rsidRPr="00554E5F">
        <w:rPr>
          <w:rFonts w:ascii="Arial"/>
          <w:iCs/>
          <w:color w:val="545456"/>
          <w:sz w:val="19"/>
          <w:lang w:eastAsia="ja-JP"/>
        </w:rPr>
        <w:t>GHG</w:t>
      </w:r>
      <w:r w:rsidR="00554E5F" w:rsidRPr="00554E5F">
        <w:rPr>
          <w:rFonts w:ascii="ＭＳ ゴシック" w:eastAsia="ＭＳ ゴシック" w:hAnsi="ＭＳ ゴシック" w:cs="ＭＳ ゴシック" w:hint="eastAsia"/>
          <w:iCs/>
          <w:color w:val="545456"/>
          <w:sz w:val="19"/>
          <w:lang w:eastAsia="ja-JP"/>
        </w:rPr>
        <w:t>排出量</w:t>
      </w:r>
      <w:r w:rsidR="00554E5F" w:rsidRPr="00554E5F">
        <w:rPr>
          <w:rFonts w:ascii="Arial"/>
          <w:iCs/>
          <w:color w:val="545456"/>
          <w:sz w:val="19"/>
          <w:lang w:eastAsia="ja-JP"/>
        </w:rPr>
        <w:t>50kg</w:t>
      </w:r>
      <w:r w:rsidR="00554E5F" w:rsidRPr="00554E5F">
        <w:rPr>
          <w:rFonts w:ascii="ＭＳ ゴシック" w:eastAsia="ＭＳ ゴシック" w:hAnsi="ＭＳ ゴシック" w:cs="ＭＳ ゴシック" w:hint="eastAsia"/>
          <w:iCs/>
          <w:color w:val="545456"/>
          <w:sz w:val="19"/>
          <w:lang w:eastAsia="ja-JP"/>
        </w:rPr>
        <w:t>に相当すると</w:t>
      </w:r>
      <w:r w:rsidR="00554E5F">
        <w:rPr>
          <w:rFonts w:ascii="ＭＳ ゴシック" w:eastAsia="ＭＳ ゴシック" w:hAnsi="ＭＳ ゴシック" w:cs="ＭＳ ゴシック" w:hint="eastAsia"/>
          <w:iCs/>
          <w:color w:val="545456"/>
          <w:sz w:val="19"/>
          <w:lang w:eastAsia="ja-JP"/>
        </w:rPr>
        <w:t>仮定する</w:t>
      </w:r>
      <w:r w:rsidR="00554E5F" w:rsidRPr="00554E5F">
        <w:rPr>
          <w:rFonts w:ascii="ＭＳ ゴシック" w:eastAsia="ＭＳ ゴシック" w:hAnsi="ＭＳ ゴシック" w:cs="ＭＳ ゴシック" w:hint="eastAsia"/>
          <w:iCs/>
          <w:color w:val="545456"/>
          <w:sz w:val="19"/>
          <w:lang w:eastAsia="ja-JP"/>
        </w:rPr>
        <w:t>と、パルプ製品に割り当てられた工場排出量は</w:t>
      </w:r>
      <w:r w:rsidR="00554E5F" w:rsidRPr="00554E5F">
        <w:rPr>
          <w:rFonts w:ascii="Arial"/>
          <w:iCs/>
          <w:color w:val="545456"/>
          <w:sz w:val="19"/>
          <w:lang w:eastAsia="ja-JP"/>
        </w:rPr>
        <w:t>950</w:t>
      </w:r>
      <w:r w:rsidR="00554E5F" w:rsidRPr="00554E5F">
        <w:rPr>
          <w:rFonts w:ascii="Segoe UI Symbol" w:eastAsia="Segoe UI Symbol" w:hAnsi="Segoe UI Symbol" w:cs="Segoe UI Symbol" w:hint="eastAsia"/>
          <w:iCs/>
          <w:color w:val="545456"/>
          <w:sz w:val="19"/>
          <w:lang w:eastAsia="ja-JP"/>
        </w:rPr>
        <w:t>㎏</w:t>
      </w:r>
      <w:r w:rsidR="00554E5F" w:rsidRPr="00554E5F">
        <w:rPr>
          <w:rFonts w:ascii="ＭＳ ゴシック" w:eastAsia="ＭＳ ゴシック" w:hAnsi="ＭＳ ゴシック" w:cs="ＭＳ ゴシック" w:hint="eastAsia"/>
          <w:iCs/>
          <w:color w:val="545456"/>
          <w:sz w:val="19"/>
          <w:lang w:eastAsia="ja-JP"/>
        </w:rPr>
        <w:t>になります（つまり、工場からの</w:t>
      </w:r>
      <w:r w:rsidR="00554E5F" w:rsidRPr="00554E5F">
        <w:rPr>
          <w:rFonts w:ascii="ＭＳ ゴシック" w:eastAsia="ＭＳ ゴシック" w:hAnsi="ＭＳ ゴシック" w:cs="ＭＳ ゴシック"/>
          <w:iCs/>
          <w:color w:val="545456"/>
          <w:sz w:val="19"/>
          <w:lang w:eastAsia="ja-JP"/>
        </w:rPr>
        <w:t>GHG1000kg-</w:t>
      </w:r>
      <w:r w:rsidR="00554E5F" w:rsidRPr="00554E5F">
        <w:rPr>
          <w:rFonts w:ascii="ＭＳ ゴシック" w:eastAsia="ＭＳ ゴシック" w:hAnsi="ＭＳ ゴシック" w:cs="ＭＳ ゴシック" w:hint="eastAsia"/>
          <w:iCs/>
          <w:color w:val="545456"/>
          <w:sz w:val="19"/>
          <w:lang w:eastAsia="ja-JP"/>
        </w:rPr>
        <w:t>作成された</w:t>
      </w:r>
      <w:r w:rsidR="00554E5F" w:rsidRPr="00554E5F">
        <w:rPr>
          <w:rFonts w:ascii="ＭＳ ゴシック" w:eastAsia="ＭＳ ゴシック" w:hAnsi="ＭＳ ゴシック" w:cs="ＭＳ ゴシック"/>
          <w:iCs/>
          <w:color w:val="545456"/>
          <w:sz w:val="19"/>
          <w:lang w:eastAsia="ja-JP"/>
        </w:rPr>
        <w:t>50kgGHG</w:t>
      </w:r>
      <w:r w:rsidR="00554E5F" w:rsidRPr="00554E5F">
        <w:rPr>
          <w:rFonts w:ascii="ＭＳ ゴシック" w:eastAsia="ＭＳ ゴシック" w:hAnsi="ＭＳ ゴシック" w:cs="ＭＳ ゴシック" w:hint="eastAsia"/>
          <w:iCs/>
          <w:color w:val="545456"/>
          <w:sz w:val="19"/>
          <w:lang w:eastAsia="ja-JP"/>
        </w:rPr>
        <w:t>換算の電力</w:t>
      </w:r>
      <w:r w:rsidR="00554E5F" w:rsidRPr="00554E5F">
        <w:rPr>
          <w:rFonts w:ascii="ＭＳ ゴシック" w:eastAsia="ＭＳ ゴシック" w:hAnsi="ＭＳ ゴシック" w:cs="ＭＳ ゴシック"/>
          <w:iCs/>
          <w:color w:val="545456"/>
          <w:sz w:val="19"/>
          <w:lang w:eastAsia="ja-JP"/>
        </w:rPr>
        <w:t>)</w:t>
      </w:r>
      <w:r w:rsidR="00554E5F">
        <w:rPr>
          <w:rFonts w:ascii="ＭＳ ゴシック" w:eastAsia="ＭＳ ゴシック" w:hAnsi="ＭＳ ゴシック" w:cs="ＭＳ ゴシック" w:hint="eastAsia"/>
          <w:iCs/>
          <w:color w:val="545456"/>
          <w:sz w:val="19"/>
          <w:lang w:eastAsia="ja-JP"/>
        </w:rPr>
        <w:t>。</w:t>
      </w:r>
      <w:r w:rsidR="00554E5F" w:rsidRPr="00554E5F">
        <w:rPr>
          <w:rFonts w:ascii="ＭＳ ゴシック" w:eastAsia="ＭＳ ゴシック" w:hAnsi="ＭＳ ゴシック" w:cs="ＭＳ ゴシック" w:hint="eastAsia"/>
          <w:iCs/>
          <w:color w:val="545456"/>
          <w:sz w:val="19"/>
          <w:lang w:eastAsia="ja-JP"/>
        </w:rPr>
        <w:t>この例では、黒液が余剰電力を</w:t>
      </w:r>
    </w:p>
    <w:p w14:paraId="4640602C" w14:textId="77777777" w:rsidR="0055291C" w:rsidRPr="00554E5F" w:rsidRDefault="0055291C">
      <w:pPr>
        <w:rPr>
          <w:rFonts w:ascii="Arial"/>
          <w:sz w:val="19"/>
          <w:lang w:eastAsia="ja-JP"/>
        </w:rPr>
        <w:sectPr w:rsidR="0055291C" w:rsidRPr="00554E5F">
          <w:type w:val="continuous"/>
          <w:pgSz w:w="12240" w:h="15840"/>
          <w:pgMar w:top="740" w:right="0" w:bottom="280" w:left="0" w:header="0" w:footer="859" w:gutter="0"/>
          <w:cols w:num="2" w:space="720" w:equalWidth="0">
            <w:col w:w="5890" w:space="40"/>
            <w:col w:w="6310"/>
          </w:cols>
        </w:sectPr>
      </w:pPr>
    </w:p>
    <w:p w14:paraId="2EB66575" w14:textId="77777777" w:rsidR="0055291C" w:rsidRDefault="0055291C">
      <w:pPr>
        <w:pStyle w:val="a3"/>
        <w:spacing w:before="7"/>
        <w:rPr>
          <w:rFonts w:ascii="Arial"/>
          <w:i/>
          <w:sz w:val="29"/>
          <w:lang w:eastAsia="ja-JP"/>
        </w:rPr>
      </w:pPr>
    </w:p>
    <w:p w14:paraId="265EFB71" w14:textId="0425A49A" w:rsidR="0055291C" w:rsidRDefault="00000000">
      <w:pPr>
        <w:pStyle w:val="3"/>
        <w:ind w:left="1331"/>
        <w:rPr>
          <w:lang w:eastAsia="ja-JP"/>
        </w:rPr>
      </w:pPr>
      <w:r>
        <w:pict w14:anchorId="0EB0FA38">
          <v:group id="docshapegroup1085" o:spid="_x0000_s2736" style="position:absolute;left:0;text-align:left;margin-left:52.25pt;margin-top:-1.3pt;width:506.5pt;height:427.6pt;z-index:-251566592;mso-position-horizontal-relative:page" coordorigin="1045,-26" coordsize="10130,8552">
            <v:shape id="docshape1086" o:spid="_x0000_s2739" style="position:absolute;left:1121;top:447;width:9973;height:8078" coordorigin="1122,447" coordsize="9973,8078" path="m11094,447r-9972,l1122,8298r3,132l1150,8497r67,25l1348,8525r9519,l10998,8522r68,-25l11090,8430r4,-132l11094,447xe" fillcolor="#f3f4f4" stroked="f">
              <v:path arrowok="t"/>
            </v:shape>
            <v:shape id="docshape1087" o:spid="_x0000_s2738" style="position:absolute;left:1121;top:-26;width:9973;height:545" coordorigin="1122,-26" coordsize="9973,545" path="m10867,-26r-9519,l1217,-22,1150,2r-25,68l1122,201r,317l11094,518r,-317l11090,70,11066,2r-68,-24l10867,-26xe" fillcolor="#00aca1" stroked="f">
              <v:path arrowok="t"/>
            </v:shape>
            <v:line id="_x0000_s2737" style="position:absolute" from="1045,534" to="11174,534" strokecolor="white" strokeweight="3pt"/>
            <w10:wrap anchorx="page"/>
          </v:group>
        </w:pict>
      </w:r>
      <w:r w:rsidR="00697660" w:rsidRPr="00697660">
        <w:rPr>
          <w:rFonts w:ascii="ＭＳ 明朝" w:eastAsia="ＭＳ 明朝" w:hAnsi="ＭＳ 明朝" w:cs="ＭＳ 明朝" w:hint="eastAsia"/>
          <w:color w:val="F3F4F4"/>
          <w:w w:val="95"/>
          <w:lang w:eastAsia="ja-JP"/>
        </w:rPr>
        <w:t>リーバイ・ストラウス</w:t>
      </w:r>
      <w:r w:rsidR="00697660">
        <w:rPr>
          <w:rFonts w:ascii="ＭＳ 明朝" w:eastAsia="ＭＳ 明朝" w:hAnsi="ＭＳ 明朝" w:cs="ＭＳ 明朝" w:hint="eastAsia"/>
          <w:color w:val="F3F4F4"/>
          <w:w w:val="95"/>
          <w:lang w:eastAsia="ja-JP"/>
        </w:rPr>
        <w:t>社</w:t>
      </w:r>
    </w:p>
    <w:p w14:paraId="24E0F1E6" w14:textId="77777777" w:rsidR="0055291C" w:rsidRDefault="0055291C">
      <w:pPr>
        <w:pStyle w:val="a3"/>
        <w:spacing w:before="3"/>
        <w:rPr>
          <w:rFonts w:ascii="Arial"/>
          <w:b/>
          <w:i/>
          <w:sz w:val="15"/>
          <w:lang w:eastAsia="ja-JP"/>
        </w:rPr>
      </w:pPr>
    </w:p>
    <w:p w14:paraId="64ACC1D8" w14:textId="77777777" w:rsidR="0055291C" w:rsidRDefault="0055291C">
      <w:pPr>
        <w:rPr>
          <w:rFonts w:ascii="Arial"/>
          <w:sz w:val="15"/>
          <w:lang w:eastAsia="ja-JP"/>
        </w:rPr>
        <w:sectPr w:rsidR="0055291C">
          <w:type w:val="continuous"/>
          <w:pgSz w:w="12240" w:h="15840"/>
          <w:pgMar w:top="740" w:right="0" w:bottom="280" w:left="0" w:header="0" w:footer="859" w:gutter="0"/>
          <w:cols w:space="720"/>
        </w:sectPr>
      </w:pPr>
    </w:p>
    <w:p w14:paraId="7BF81E51" w14:textId="22AAD681" w:rsidR="0055291C" w:rsidRPr="007A2A3D" w:rsidRDefault="00697660" w:rsidP="00697660">
      <w:pPr>
        <w:pStyle w:val="a3"/>
        <w:spacing w:before="10"/>
        <w:ind w:leftChars="580" w:left="1276" w:firstLineChars="100" w:firstLine="180"/>
        <w:rPr>
          <w:rFonts w:ascii="ＭＳ ゴシック" w:eastAsia="ＭＳ ゴシック" w:hAnsi="ＭＳ ゴシック"/>
          <w:w w:val="95"/>
          <w:lang w:eastAsia="ja-JP"/>
        </w:rPr>
      </w:pPr>
      <w:r w:rsidRPr="007A2A3D">
        <w:rPr>
          <w:rFonts w:ascii="ＭＳ ゴシック" w:eastAsia="ＭＳ ゴシック" w:hAnsi="ＭＳ ゴシック" w:cs="ＭＳ ゴシック" w:hint="eastAsia"/>
          <w:w w:val="95"/>
          <w:lang w:eastAsia="ja-JP"/>
        </w:rPr>
        <w:t>リーバイ・ストラウス社（</w:t>
      </w:r>
      <w:proofErr w:type="spellStart"/>
      <w:r w:rsidRPr="007A2A3D">
        <w:rPr>
          <w:rFonts w:ascii="ＭＳ ゴシック" w:eastAsia="ＭＳ ゴシック" w:hAnsi="ＭＳ ゴシック"/>
          <w:w w:val="95"/>
          <w:lang w:eastAsia="ja-JP"/>
        </w:rPr>
        <w:t>LS&amp;Co</w:t>
      </w:r>
      <w:proofErr w:type="spellEnd"/>
      <w:r w:rsidRPr="007A2A3D">
        <w:rPr>
          <w:rFonts w:ascii="ＭＳ ゴシック" w:eastAsia="ＭＳ ゴシック" w:hAnsi="ＭＳ ゴシック"/>
          <w:w w:val="95"/>
          <w:lang w:eastAsia="ja-JP"/>
        </w:rPr>
        <w:t>.</w:t>
      </w:r>
      <w:r w:rsidRPr="007A2A3D">
        <w:rPr>
          <w:rFonts w:ascii="ＭＳ ゴシック" w:eastAsia="ＭＳ ゴシック" w:hAnsi="ＭＳ ゴシック" w:cs="ＭＳ ゴシック" w:hint="eastAsia"/>
          <w:w w:val="95"/>
          <w:lang w:eastAsia="ja-JP"/>
        </w:rPr>
        <w:t>）は、</w:t>
      </w:r>
      <w:r w:rsidRPr="007A2A3D">
        <w:rPr>
          <w:rFonts w:ascii="ＭＳ ゴシック" w:eastAsia="ＭＳ ゴシック" w:hAnsi="ＭＳ ゴシック"/>
          <w:w w:val="95"/>
          <w:lang w:eastAsia="ja-JP"/>
        </w:rPr>
        <w:t xml:space="preserve">Levi's® </w:t>
      </w:r>
      <w:r w:rsidRPr="007A2A3D">
        <w:rPr>
          <w:rFonts w:ascii="ＭＳ ゴシック" w:eastAsia="ＭＳ ゴシック" w:hAnsi="ＭＳ ゴシック" w:cs="ＭＳ ゴシック" w:hint="eastAsia"/>
          <w:w w:val="95"/>
          <w:lang w:eastAsia="ja-JP"/>
        </w:rPr>
        <w:t>ジーンズのライフサイクルにおける様々な割り当て課題に対して、工程細分化と物理的割り当ての手法を</w:t>
      </w:r>
      <w:r w:rsidRPr="007A2A3D">
        <w:rPr>
          <w:rFonts w:ascii="ＭＳ ゴシック" w:eastAsia="ＭＳ ゴシック" w:hAnsi="ＭＳ ゴシック"/>
          <w:w w:val="95"/>
          <w:lang w:eastAsia="ja-JP"/>
        </w:rPr>
        <w:t xml:space="preserve">Levi's® </w:t>
      </w:r>
      <w:r w:rsidRPr="007A2A3D">
        <w:rPr>
          <w:rFonts w:ascii="ＭＳ ゴシック" w:eastAsia="ＭＳ ゴシック" w:hAnsi="ＭＳ ゴシック" w:cs="ＭＳ ゴシック" w:hint="eastAsia"/>
          <w:w w:val="95"/>
          <w:lang w:eastAsia="ja-JP"/>
        </w:rPr>
        <w:t>ジーンズのライフサイクルの中で使い分けました。</w:t>
      </w:r>
    </w:p>
    <w:p w14:paraId="78AFFA90" w14:textId="2803F15C" w:rsidR="0055291C" w:rsidRDefault="00697660">
      <w:pPr>
        <w:ind w:left="1348"/>
        <w:rPr>
          <w:rFonts w:ascii="Arial"/>
          <w:b/>
          <w:i/>
          <w:sz w:val="18"/>
          <w:lang w:eastAsia="ja-JP"/>
        </w:rPr>
      </w:pPr>
      <w:r>
        <w:rPr>
          <w:rFonts w:ascii="ＭＳ ゴシック" w:eastAsia="ＭＳ ゴシック" w:hAnsi="ＭＳ ゴシック" w:cs="ＭＳ ゴシック" w:hint="eastAsia"/>
          <w:b/>
          <w:i/>
          <w:color w:val="00ACA1"/>
          <w:sz w:val="18"/>
          <w:lang w:eastAsia="ja-JP"/>
        </w:rPr>
        <w:t>生産</w:t>
      </w:r>
    </w:p>
    <w:p w14:paraId="122C714F" w14:textId="27885D29" w:rsidR="0055291C" w:rsidRPr="007A2A3D" w:rsidRDefault="00697660" w:rsidP="007A2A3D">
      <w:pPr>
        <w:spacing w:before="76" w:line="328" w:lineRule="auto"/>
        <w:ind w:left="1348" w:right="158" w:firstLineChars="100" w:firstLine="190"/>
        <w:rPr>
          <w:rFonts w:ascii="ＭＳ ゴシック" w:eastAsia="ＭＳ ゴシック" w:hAnsi="ＭＳ ゴシック"/>
          <w:sz w:val="18"/>
          <w:lang w:eastAsia="ja-JP"/>
        </w:rPr>
      </w:pPr>
      <w:proofErr w:type="spellStart"/>
      <w:r w:rsidRPr="007A2A3D">
        <w:rPr>
          <w:rFonts w:ascii="ＭＳ ゴシック" w:eastAsia="ＭＳ ゴシック" w:hAnsi="ＭＳ ゴシック"/>
          <w:sz w:val="19"/>
          <w:szCs w:val="19"/>
          <w:lang w:eastAsia="ja-JP"/>
        </w:rPr>
        <w:t>LS&amp;Co</w:t>
      </w:r>
      <w:proofErr w:type="spellEnd"/>
      <w:r w:rsidRPr="007A2A3D">
        <w:rPr>
          <w:rFonts w:ascii="ＭＳ ゴシック" w:eastAsia="ＭＳ ゴシック" w:hAnsi="ＭＳ ゴシック"/>
          <w:sz w:val="19"/>
          <w:szCs w:val="19"/>
          <w:lang w:eastAsia="ja-JP"/>
        </w:rPr>
        <w:t>.</w:t>
      </w:r>
      <w:r w:rsidRPr="007A2A3D">
        <w:rPr>
          <w:rFonts w:ascii="ＭＳ ゴシック" w:eastAsia="ＭＳ ゴシック" w:hAnsi="ＭＳ ゴシック" w:cs="ＭＳ ゴシック" w:hint="eastAsia"/>
          <w:sz w:val="19"/>
          <w:szCs w:val="19"/>
          <w:lang w:eastAsia="ja-JP"/>
        </w:rPr>
        <w:t>は、調査対象製品であるリーバイス</w:t>
      </w:r>
      <w:r w:rsidRPr="007A2A3D">
        <w:rPr>
          <w:rFonts w:ascii="ＭＳ ゴシック" w:eastAsia="ＭＳ ゴシック" w:hAnsi="ＭＳ ゴシック"/>
          <w:sz w:val="19"/>
          <w:szCs w:val="19"/>
          <w:lang w:eastAsia="ja-JP"/>
        </w:rPr>
        <w:t xml:space="preserve">® </w:t>
      </w:r>
      <w:r w:rsidRPr="007A2A3D">
        <w:rPr>
          <w:rFonts w:ascii="ＭＳ ゴシック" w:eastAsia="ＭＳ ゴシック" w:hAnsi="ＭＳ ゴシック" w:cs="ＭＳ ゴシック" w:hint="eastAsia"/>
          <w:sz w:val="19"/>
          <w:szCs w:val="19"/>
          <w:lang w:eastAsia="ja-JP"/>
        </w:rPr>
        <w:t>ジーンズのサプライヤー</w:t>
      </w:r>
      <w:r w:rsidRPr="007A2A3D">
        <w:rPr>
          <w:rFonts w:ascii="ＭＳ ゴシック" w:eastAsia="ＭＳ ゴシック" w:hAnsi="ＭＳ ゴシック"/>
          <w:sz w:val="19"/>
          <w:szCs w:val="19"/>
          <w:lang w:eastAsia="ja-JP"/>
        </w:rPr>
        <w:t>2</w:t>
      </w:r>
      <w:r w:rsidRPr="007A2A3D">
        <w:rPr>
          <w:rFonts w:ascii="ＭＳ ゴシック" w:eastAsia="ＭＳ ゴシック" w:hAnsi="ＭＳ ゴシック" w:cs="ＭＳ ゴシック" w:hint="eastAsia"/>
          <w:sz w:val="19"/>
          <w:szCs w:val="19"/>
          <w:lang w:eastAsia="ja-JP"/>
        </w:rPr>
        <w:t>社から直接、一次データを収集しました。</w:t>
      </w:r>
      <w:r w:rsidRPr="007A2A3D">
        <w:rPr>
          <w:rFonts w:ascii="ＭＳ ゴシック" w:eastAsia="ＭＳ ゴシック" w:hAnsi="ＭＳ ゴシック"/>
          <w:sz w:val="19"/>
          <w:szCs w:val="19"/>
          <w:lang w:eastAsia="ja-JP"/>
        </w:rPr>
        <w:t>2</w:t>
      </w:r>
      <w:r w:rsidRPr="007A2A3D">
        <w:rPr>
          <w:rFonts w:ascii="ＭＳ ゴシック" w:eastAsia="ＭＳ ゴシック" w:hAnsi="ＭＳ ゴシック" w:cs="ＭＳ ゴシック" w:hint="eastAsia"/>
          <w:sz w:val="19"/>
          <w:szCs w:val="19"/>
          <w:lang w:eastAsia="ja-JP"/>
        </w:rPr>
        <w:t>つのサプライヤーとは、綿繊維からデニム生地を作る生地工場と、デニム生地を裁断、縫製、仕上げして最終的なジーンズにする衣料品メーカーで</w:t>
      </w:r>
      <w:r w:rsidR="007A2A3D" w:rsidRPr="007A2A3D">
        <w:rPr>
          <w:rFonts w:ascii="ＭＳ ゴシック" w:eastAsia="ＭＳ ゴシック" w:hAnsi="ＭＳ ゴシック" w:cs="ＭＳ ゴシック" w:hint="eastAsia"/>
          <w:sz w:val="19"/>
          <w:szCs w:val="19"/>
          <w:lang w:eastAsia="ja-JP"/>
        </w:rPr>
        <w:t>す</w:t>
      </w:r>
      <w:r w:rsidRPr="007A2A3D">
        <w:rPr>
          <w:rFonts w:ascii="ＭＳ ゴシック" w:eastAsia="ＭＳ ゴシック" w:hAnsi="ＭＳ ゴシック" w:cs="ＭＳ ゴシック" w:hint="eastAsia"/>
          <w:sz w:val="19"/>
          <w:szCs w:val="19"/>
          <w:lang w:eastAsia="ja-JP"/>
        </w:rPr>
        <w:t>。</w:t>
      </w:r>
    </w:p>
    <w:p w14:paraId="4E039514" w14:textId="6889EC49" w:rsidR="0055291C" w:rsidRDefault="007A2A3D">
      <w:pPr>
        <w:spacing w:before="142"/>
        <w:ind w:left="1348"/>
        <w:rPr>
          <w:rFonts w:ascii="Arial"/>
          <w:b/>
          <w:i/>
          <w:sz w:val="18"/>
          <w:lang w:eastAsia="ja-JP"/>
        </w:rPr>
      </w:pPr>
      <w:r>
        <w:rPr>
          <w:rFonts w:ascii="ＭＳ ゴシック" w:eastAsia="ＭＳ ゴシック" w:hAnsi="ＭＳ ゴシック" w:cs="ＭＳ ゴシック" w:hint="eastAsia"/>
          <w:b/>
          <w:i/>
          <w:color w:val="00ACA1"/>
          <w:sz w:val="18"/>
          <w:lang w:eastAsia="ja-JP"/>
        </w:rPr>
        <w:t>物理的割り当て</w:t>
      </w:r>
    </w:p>
    <w:p w14:paraId="5921E344" w14:textId="3DD07A63" w:rsidR="0055291C" w:rsidRPr="007A2A3D" w:rsidRDefault="007A2A3D" w:rsidP="007A2A3D">
      <w:pPr>
        <w:spacing w:before="76" w:line="328" w:lineRule="auto"/>
        <w:ind w:left="1348" w:right="-18" w:firstLineChars="100" w:firstLine="190"/>
        <w:rPr>
          <w:rFonts w:ascii="ＭＳ ゴシック" w:eastAsia="ＭＳ ゴシック" w:hAnsi="ＭＳ ゴシック"/>
          <w:sz w:val="19"/>
          <w:szCs w:val="19"/>
          <w:lang w:eastAsia="ja-JP"/>
        </w:rPr>
      </w:pPr>
      <w:r w:rsidRPr="007A2A3D">
        <w:rPr>
          <w:rFonts w:ascii="ＭＳ ゴシック" w:eastAsia="ＭＳ ゴシック" w:hAnsi="ＭＳ ゴシック" w:cs="ＭＳ ゴシック" w:hint="eastAsia"/>
          <w:sz w:val="19"/>
          <w:szCs w:val="19"/>
          <w:lang w:eastAsia="ja-JP"/>
        </w:rPr>
        <w:t>生地工場では、質量が工程での材料とエネルギー</w:t>
      </w:r>
      <w:r w:rsidRPr="007A2A3D">
        <w:rPr>
          <w:rFonts w:ascii="ＭＳ ゴシック" w:eastAsia="ＭＳ ゴシック" w:hAnsi="ＭＳ ゴシック"/>
          <w:sz w:val="19"/>
          <w:szCs w:val="19"/>
          <w:lang w:eastAsia="ja-JP"/>
        </w:rPr>
        <w:t xml:space="preserve"> </w:t>
      </w:r>
      <w:r w:rsidRPr="007A2A3D">
        <w:rPr>
          <w:rFonts w:ascii="ＭＳ ゴシック" w:eastAsia="ＭＳ ゴシック" w:hAnsi="ＭＳ ゴシック" w:cs="ＭＳ ゴシック" w:hint="eastAsia"/>
          <w:sz w:val="19"/>
          <w:szCs w:val="19"/>
          <w:lang w:eastAsia="ja-JP"/>
        </w:rPr>
        <w:t>投入の主な決定要因の一つであることから、質量配分係数を用いて生地生産からの</w:t>
      </w:r>
      <w:r w:rsidRPr="007A2A3D">
        <w:rPr>
          <w:rFonts w:ascii="ＭＳ ゴシック" w:eastAsia="ＭＳ ゴシック" w:hAnsi="ＭＳ ゴシック"/>
          <w:sz w:val="19"/>
          <w:szCs w:val="19"/>
          <w:lang w:eastAsia="ja-JP"/>
        </w:rPr>
        <w:t>GHG</w:t>
      </w:r>
      <w:r w:rsidRPr="007A2A3D">
        <w:rPr>
          <w:rFonts w:ascii="ＭＳ ゴシック" w:eastAsia="ＭＳ ゴシック" w:hAnsi="ＭＳ ゴシック" w:cs="ＭＳ ゴシック" w:hint="eastAsia"/>
          <w:sz w:val="19"/>
          <w:szCs w:val="19"/>
          <w:lang w:eastAsia="ja-JP"/>
        </w:rPr>
        <w:t>排出量を配分しました。生地工場は、</w:t>
      </w:r>
      <w:r w:rsidRPr="007A2A3D">
        <w:rPr>
          <w:rFonts w:ascii="ＭＳ ゴシック" w:eastAsia="ＭＳ ゴシック" w:hAnsi="ＭＳ ゴシック"/>
          <w:sz w:val="19"/>
          <w:szCs w:val="19"/>
          <w:lang w:eastAsia="ja-JP"/>
        </w:rPr>
        <w:t>1</w:t>
      </w:r>
      <w:r w:rsidRPr="007A2A3D">
        <w:rPr>
          <w:rFonts w:ascii="ＭＳ ゴシック" w:eastAsia="ＭＳ ゴシック" w:hAnsi="ＭＳ ゴシック" w:cs="ＭＳ ゴシック" w:hint="eastAsia"/>
          <w:sz w:val="19"/>
          <w:szCs w:val="19"/>
          <w:lang w:eastAsia="ja-JP"/>
        </w:rPr>
        <w:t>年間の全生産量について、材料使用、エネルギー使用、生産量、廃棄物の流れに関する集計データを提供し</w:t>
      </w:r>
      <w:r>
        <w:rPr>
          <w:rFonts w:ascii="ＭＳ ゴシック" w:eastAsia="ＭＳ ゴシック" w:hAnsi="ＭＳ ゴシック" w:cs="ＭＳ ゴシック" w:hint="eastAsia"/>
          <w:sz w:val="19"/>
          <w:szCs w:val="19"/>
          <w:lang w:eastAsia="ja-JP"/>
        </w:rPr>
        <w:t>ました</w:t>
      </w:r>
      <w:r w:rsidRPr="007A2A3D">
        <w:rPr>
          <w:rFonts w:ascii="ＭＳ ゴシック" w:eastAsia="ＭＳ ゴシック" w:hAnsi="ＭＳ ゴシック" w:cs="ＭＳ ゴシック" w:hint="eastAsia"/>
          <w:sz w:val="19"/>
          <w:szCs w:val="19"/>
          <w:lang w:eastAsia="ja-JP"/>
        </w:rPr>
        <w:t>。この工場では、デニム生地のみを生産しているため、</w:t>
      </w:r>
      <w:proofErr w:type="spellStart"/>
      <w:r w:rsidRPr="007A2A3D">
        <w:rPr>
          <w:rFonts w:ascii="ＭＳ ゴシック" w:eastAsia="ＭＳ ゴシック" w:hAnsi="ＭＳ ゴシック"/>
          <w:sz w:val="19"/>
          <w:szCs w:val="19"/>
          <w:lang w:eastAsia="ja-JP"/>
        </w:rPr>
        <w:t>LS&amp;Co</w:t>
      </w:r>
      <w:proofErr w:type="spellEnd"/>
      <w:r w:rsidRPr="007A2A3D">
        <w:rPr>
          <w:rFonts w:ascii="ＭＳ ゴシック" w:eastAsia="ＭＳ ゴシック" w:hAnsi="ＭＳ ゴシック"/>
          <w:sz w:val="19"/>
          <w:szCs w:val="19"/>
          <w:lang w:eastAsia="ja-JP"/>
        </w:rPr>
        <w:t>.</w:t>
      </w:r>
      <w:r w:rsidRPr="007A2A3D">
        <w:rPr>
          <w:rFonts w:ascii="ＭＳ ゴシック" w:eastAsia="ＭＳ ゴシック" w:hAnsi="ＭＳ ゴシック" w:cs="ＭＳ ゴシック" w:hint="eastAsia"/>
          <w:sz w:val="19"/>
          <w:szCs w:val="19"/>
          <w:lang w:eastAsia="ja-JP"/>
        </w:rPr>
        <w:t>は、工場全体の排出量を</w:t>
      </w:r>
      <w:r w:rsidR="00E43AEC">
        <w:rPr>
          <w:rFonts w:ascii="ＭＳ ゴシック" w:eastAsia="ＭＳ ゴシック" w:hAnsi="ＭＳ ゴシック" w:cs="ＭＳ ゴシック" w:hint="eastAsia"/>
          <w:sz w:val="19"/>
          <w:szCs w:val="19"/>
          <w:lang w:eastAsia="ja-JP"/>
        </w:rPr>
        <w:t>生産</w:t>
      </w:r>
      <w:r w:rsidR="00E43AEC">
        <w:rPr>
          <w:rFonts w:ascii="ＭＳ ゴシック" w:eastAsia="ＭＳ ゴシック" w:hAnsi="ＭＳ ゴシック" w:hint="eastAsia"/>
          <w:sz w:val="19"/>
          <w:szCs w:val="19"/>
          <w:lang w:eastAsia="ja-JP"/>
        </w:rPr>
        <w:t>量</w:t>
      </w:r>
      <w:r w:rsidRPr="007A2A3D">
        <w:rPr>
          <w:rFonts w:ascii="ＭＳ ゴシック" w:eastAsia="ＭＳ ゴシック" w:hAnsi="ＭＳ ゴシック" w:cs="ＭＳ ゴシック" w:hint="eastAsia"/>
          <w:sz w:val="19"/>
          <w:szCs w:val="19"/>
          <w:lang w:eastAsia="ja-JP"/>
        </w:rPr>
        <w:t>で割って、製品ごとの排出量を推定することができました。</w:t>
      </w:r>
      <w:r w:rsidRPr="007A2A3D">
        <w:rPr>
          <w:rFonts w:ascii="ＭＳ ゴシック" w:eastAsia="ＭＳ ゴシック" w:hAnsi="ＭＳ ゴシック"/>
          <w:sz w:val="19"/>
          <w:szCs w:val="19"/>
          <w:lang w:eastAsia="ja-JP"/>
        </w:rPr>
        <w:t xml:space="preserve"> </w:t>
      </w:r>
      <w:r w:rsidR="00F23C61" w:rsidRPr="007A2A3D">
        <w:rPr>
          <w:rFonts w:ascii="ＭＳ ゴシック" w:eastAsia="ＭＳ ゴシック" w:hAnsi="ＭＳ ゴシック"/>
          <w:color w:val="545456"/>
          <w:spacing w:val="3"/>
          <w:sz w:val="19"/>
          <w:szCs w:val="19"/>
          <w:lang w:eastAsia="ja-JP"/>
        </w:rPr>
        <w:t xml:space="preserve"> </w:t>
      </w:r>
      <w:r w:rsidRPr="007A2A3D">
        <w:rPr>
          <w:rFonts w:ascii="ＭＳ ゴシック" w:eastAsia="ＭＳ ゴシック" w:hAnsi="ＭＳ ゴシック" w:cs="ＭＳ ゴシック" w:hint="eastAsia"/>
          <w:sz w:val="19"/>
          <w:szCs w:val="19"/>
          <w:lang w:eastAsia="ja-JP"/>
        </w:rPr>
        <w:t>次に、製品ごとの排出量を工場からの</w:t>
      </w:r>
      <w:proofErr w:type="spellStart"/>
      <w:r w:rsidRPr="007A2A3D">
        <w:rPr>
          <w:rFonts w:ascii="ＭＳ ゴシック" w:eastAsia="ＭＳ ゴシック" w:hAnsi="ＭＳ ゴシック"/>
          <w:sz w:val="19"/>
          <w:szCs w:val="19"/>
          <w:lang w:eastAsia="ja-JP"/>
        </w:rPr>
        <w:t>LS&amp;Co</w:t>
      </w:r>
      <w:proofErr w:type="spellEnd"/>
      <w:r w:rsidRPr="007A2A3D">
        <w:rPr>
          <w:rFonts w:ascii="ＭＳ ゴシック" w:eastAsia="ＭＳ ゴシック" w:hAnsi="ＭＳ ゴシック"/>
          <w:sz w:val="19"/>
          <w:szCs w:val="19"/>
          <w:lang w:eastAsia="ja-JP"/>
        </w:rPr>
        <w:t>.</w:t>
      </w:r>
      <w:r w:rsidRPr="007A2A3D">
        <w:rPr>
          <w:rFonts w:ascii="ＭＳ ゴシック" w:eastAsia="ＭＳ ゴシック" w:hAnsi="ＭＳ ゴシック" w:cs="ＭＳ ゴシック" w:hint="eastAsia"/>
          <w:sz w:val="19"/>
          <w:szCs w:val="19"/>
          <w:lang w:eastAsia="ja-JP"/>
        </w:rPr>
        <w:t>生地注文の合計に適用し、</w:t>
      </w:r>
      <w:proofErr w:type="spellStart"/>
      <w:r w:rsidRPr="007A2A3D">
        <w:rPr>
          <w:rFonts w:ascii="ＭＳ ゴシック" w:eastAsia="ＭＳ ゴシック" w:hAnsi="ＭＳ ゴシック"/>
          <w:sz w:val="19"/>
          <w:szCs w:val="19"/>
          <w:lang w:eastAsia="ja-JP"/>
        </w:rPr>
        <w:t>LS&amp;Co</w:t>
      </w:r>
      <w:proofErr w:type="spellEnd"/>
      <w:r w:rsidRPr="007A2A3D">
        <w:rPr>
          <w:rFonts w:ascii="ＭＳ ゴシック" w:eastAsia="ＭＳ ゴシック" w:hAnsi="ＭＳ ゴシック"/>
          <w:sz w:val="19"/>
          <w:szCs w:val="19"/>
          <w:lang w:eastAsia="ja-JP"/>
        </w:rPr>
        <w:t>.</w:t>
      </w:r>
      <w:r w:rsidRPr="007A2A3D">
        <w:rPr>
          <w:rFonts w:ascii="ＭＳ ゴシック" w:eastAsia="ＭＳ ゴシック" w:hAnsi="ＭＳ ゴシック" w:cs="ＭＳ ゴシック" w:hint="eastAsia"/>
          <w:sz w:val="19"/>
          <w:szCs w:val="19"/>
          <w:lang w:eastAsia="ja-JP"/>
        </w:rPr>
        <w:t>に起因する総排出量を決定しました。</w:t>
      </w:r>
    </w:p>
    <w:p w14:paraId="041891E1" w14:textId="6D29389C" w:rsidR="0055291C" w:rsidRDefault="00F23C61">
      <w:pPr>
        <w:spacing w:before="99"/>
        <w:ind w:left="261"/>
        <w:rPr>
          <w:rFonts w:ascii="Arial"/>
          <w:b/>
          <w:i/>
          <w:sz w:val="18"/>
          <w:lang w:eastAsia="ja-JP"/>
        </w:rPr>
      </w:pPr>
      <w:r>
        <w:rPr>
          <w:lang w:eastAsia="ja-JP"/>
        </w:rPr>
        <w:br w:type="column"/>
      </w:r>
      <w:r w:rsidR="00E43AEC">
        <w:rPr>
          <w:rFonts w:ascii="ＭＳ ゴシック" w:eastAsia="ＭＳ ゴシック" w:hAnsi="ＭＳ ゴシック" w:cs="ＭＳ ゴシック" w:hint="eastAsia"/>
          <w:b/>
          <w:i/>
          <w:color w:val="00ACA1"/>
          <w:w w:val="95"/>
          <w:sz w:val="18"/>
          <w:lang w:eastAsia="ja-JP"/>
        </w:rPr>
        <w:t>工程細分化</w:t>
      </w:r>
    </w:p>
    <w:p w14:paraId="6A610E2C" w14:textId="46D27060" w:rsidR="0055291C" w:rsidRPr="00E43AEC" w:rsidRDefault="00E43AEC" w:rsidP="00E43AEC">
      <w:pPr>
        <w:spacing w:before="4" w:line="328" w:lineRule="auto"/>
        <w:ind w:left="261" w:right="1255" w:firstLineChars="100" w:firstLine="190"/>
        <w:rPr>
          <w:sz w:val="19"/>
          <w:szCs w:val="19"/>
          <w:lang w:eastAsia="ja-JP"/>
        </w:rPr>
      </w:pPr>
      <w:r w:rsidRPr="00E43AEC">
        <w:rPr>
          <w:rFonts w:ascii="ＭＳ ゴシック" w:eastAsia="ＭＳ ゴシック" w:hAnsi="ＭＳ ゴシック" w:cs="ＭＳ ゴシック" w:hint="eastAsia"/>
          <w:sz w:val="19"/>
          <w:szCs w:val="19"/>
          <w:lang w:eastAsia="ja-JP"/>
        </w:rPr>
        <w:t>衣料品メーカーについては、</w:t>
      </w:r>
      <w:proofErr w:type="spellStart"/>
      <w:r w:rsidRPr="00E43AEC">
        <w:rPr>
          <w:sz w:val="19"/>
          <w:szCs w:val="19"/>
          <w:lang w:eastAsia="ja-JP"/>
        </w:rPr>
        <w:t>LS&amp;Co</w:t>
      </w:r>
      <w:proofErr w:type="spellEnd"/>
      <w:r w:rsidRPr="00E43AEC">
        <w:rPr>
          <w:sz w:val="19"/>
          <w:szCs w:val="19"/>
          <w:lang w:eastAsia="ja-JP"/>
        </w:rPr>
        <w:t>.</w:t>
      </w:r>
      <w:r w:rsidRPr="00E43AEC">
        <w:rPr>
          <w:rFonts w:ascii="ＭＳ ゴシック" w:eastAsia="ＭＳ ゴシック" w:hAnsi="ＭＳ ゴシック" w:cs="ＭＳ ゴシック" w:hint="eastAsia"/>
          <w:sz w:val="19"/>
          <w:szCs w:val="19"/>
          <w:lang w:eastAsia="ja-JP"/>
        </w:rPr>
        <w:t>がプロセスモデ</w:t>
      </w:r>
      <w:r w:rsidRPr="00E43AEC">
        <w:rPr>
          <w:sz w:val="19"/>
          <w:szCs w:val="19"/>
          <w:lang w:eastAsia="ja-JP"/>
        </w:rPr>
        <w:t xml:space="preserve"> </w:t>
      </w:r>
      <w:r w:rsidRPr="00E43AEC">
        <w:rPr>
          <w:rFonts w:ascii="ＭＳ ゴシック" w:eastAsia="ＭＳ ゴシック" w:hAnsi="ＭＳ ゴシック" w:cs="ＭＳ ゴシック" w:hint="eastAsia"/>
          <w:sz w:val="19"/>
          <w:szCs w:val="19"/>
          <w:lang w:eastAsia="ja-JP"/>
        </w:rPr>
        <w:t>ルを作成し、調査対象製品の排出量を推定しました</w:t>
      </w:r>
      <w:r w:rsidRPr="00E43AEC">
        <w:rPr>
          <w:sz w:val="19"/>
          <w:szCs w:val="19"/>
          <w:lang w:eastAsia="ja-JP"/>
        </w:rPr>
        <w:t xml:space="preserve"> </w:t>
      </w:r>
      <w:r w:rsidRPr="00E43AEC">
        <w:rPr>
          <w:rFonts w:ascii="ＭＳ ゴシック" w:eastAsia="ＭＳ ゴシック" w:hAnsi="ＭＳ ゴシック" w:cs="ＭＳ ゴシック" w:hint="eastAsia"/>
          <w:sz w:val="19"/>
          <w:szCs w:val="19"/>
          <w:lang w:eastAsia="ja-JP"/>
        </w:rPr>
        <w:t>。衣料品製造工程の各ステップは、そのステップで使用される資本設備に応じてモデル化されました。</w:t>
      </w:r>
      <w:r w:rsidRPr="00E43AEC">
        <w:rPr>
          <w:sz w:val="19"/>
          <w:szCs w:val="19"/>
          <w:lang w:eastAsia="ja-JP"/>
        </w:rPr>
        <w:t xml:space="preserve"> </w:t>
      </w:r>
      <w:r w:rsidRPr="00E43AEC">
        <w:rPr>
          <w:rFonts w:ascii="ＭＳ ゴシック" w:eastAsia="ＭＳ ゴシック" w:hAnsi="ＭＳ ゴシック" w:cs="ＭＳ ゴシック" w:hint="eastAsia"/>
          <w:sz w:val="19"/>
          <w:szCs w:val="19"/>
          <w:lang w:eastAsia="ja-JP"/>
        </w:rPr>
        <w:t>例えば、バックポケットの縫製は、その組み立て工程を完全に完了させるのに必要なミシン分量でモデル化しました。</w:t>
      </w:r>
    </w:p>
    <w:p w14:paraId="2869A785" w14:textId="7D92B351" w:rsidR="0055291C" w:rsidRDefault="00E463BC">
      <w:pPr>
        <w:spacing w:before="140"/>
        <w:ind w:left="261"/>
        <w:rPr>
          <w:rFonts w:ascii="Arial"/>
          <w:b/>
          <w:i/>
          <w:sz w:val="18"/>
          <w:lang w:eastAsia="ja-JP"/>
        </w:rPr>
      </w:pPr>
      <w:r>
        <w:rPr>
          <w:rFonts w:ascii="ＭＳ ゴシック" w:eastAsia="ＭＳ ゴシック" w:hAnsi="ＭＳ ゴシック" w:cs="ＭＳ ゴシック" w:hint="eastAsia"/>
          <w:b/>
          <w:i/>
          <w:color w:val="00ACA1"/>
          <w:sz w:val="18"/>
          <w:lang w:eastAsia="ja-JP"/>
        </w:rPr>
        <w:t>分配―物理的割り当て</w:t>
      </w:r>
    </w:p>
    <w:p w14:paraId="784C649E" w14:textId="360D8585" w:rsidR="0055291C" w:rsidRPr="00E463BC" w:rsidRDefault="00E463BC" w:rsidP="00E463BC">
      <w:pPr>
        <w:spacing w:before="76" w:line="328" w:lineRule="auto"/>
        <w:ind w:left="261" w:right="1149" w:firstLineChars="100" w:firstLine="190"/>
        <w:rPr>
          <w:sz w:val="19"/>
          <w:szCs w:val="19"/>
          <w:lang w:eastAsia="ja-JP"/>
        </w:rPr>
      </w:pPr>
      <w:r w:rsidRPr="00E463BC">
        <w:rPr>
          <w:rFonts w:ascii="ＭＳ ゴシック" w:eastAsia="ＭＳ ゴシック" w:hAnsi="ＭＳ ゴシック" w:cs="ＭＳ ゴシック" w:hint="eastAsia"/>
          <w:sz w:val="19"/>
          <w:szCs w:val="19"/>
          <w:lang w:eastAsia="ja-JP"/>
        </w:rPr>
        <w:t>生産されたジーンズは、さまざまな商品を梱包・発送する物流センターに送られます。</w:t>
      </w:r>
      <w:proofErr w:type="spellStart"/>
      <w:r w:rsidRPr="00E463BC">
        <w:rPr>
          <w:sz w:val="19"/>
          <w:szCs w:val="19"/>
          <w:lang w:eastAsia="ja-JP"/>
        </w:rPr>
        <w:t>LS&amp;Co</w:t>
      </w:r>
      <w:proofErr w:type="spellEnd"/>
      <w:r w:rsidRPr="00E463BC">
        <w:rPr>
          <w:sz w:val="19"/>
          <w:szCs w:val="19"/>
          <w:lang w:eastAsia="ja-JP"/>
        </w:rPr>
        <w:t>.</w:t>
      </w:r>
      <w:r w:rsidRPr="00E463BC">
        <w:rPr>
          <w:rFonts w:ascii="ＭＳ ゴシック" w:eastAsia="ＭＳ ゴシック" w:hAnsi="ＭＳ ゴシック" w:cs="ＭＳ ゴシック" w:hint="eastAsia"/>
          <w:sz w:val="19"/>
          <w:szCs w:val="19"/>
          <w:lang w:eastAsia="ja-JP"/>
        </w:rPr>
        <w:t>では、使用したエネルギーや材料からの排出量を、</w:t>
      </w:r>
      <w:r w:rsidRPr="00E463BC">
        <w:rPr>
          <w:sz w:val="19"/>
          <w:szCs w:val="19"/>
          <w:lang w:eastAsia="ja-JP"/>
        </w:rPr>
        <w:t>1</w:t>
      </w:r>
      <w:r w:rsidRPr="00E463BC">
        <w:rPr>
          <w:rFonts w:ascii="ＭＳ ゴシック" w:eastAsia="ＭＳ ゴシック" w:hAnsi="ＭＳ ゴシック" w:cs="ＭＳ ゴシック" w:hint="eastAsia"/>
          <w:sz w:val="19"/>
          <w:szCs w:val="19"/>
          <w:lang w:eastAsia="ja-JP"/>
        </w:rPr>
        <w:t>年間に出荷された製品の総数で割っています。この方法は</w:t>
      </w:r>
      <w:r w:rsidRPr="00E463BC">
        <w:rPr>
          <w:sz w:val="19"/>
          <w:szCs w:val="19"/>
          <w:lang w:eastAsia="ja-JP"/>
        </w:rPr>
        <w:t xml:space="preserve"> </w:t>
      </w:r>
      <w:r w:rsidRPr="00E463BC">
        <w:rPr>
          <w:rFonts w:ascii="ＭＳ ゴシック" w:eastAsia="ＭＳ ゴシック" w:hAnsi="ＭＳ ゴシック" w:cs="ＭＳ ゴシック" w:hint="eastAsia"/>
          <w:sz w:val="19"/>
          <w:szCs w:val="19"/>
          <w:lang w:eastAsia="ja-JP"/>
        </w:rPr>
        <w:t>、出荷されるすべての製品が同じ工程を通るため、</w:t>
      </w:r>
      <w:r w:rsidRPr="00E463BC">
        <w:rPr>
          <w:sz w:val="19"/>
          <w:szCs w:val="19"/>
          <w:lang w:eastAsia="ja-JP"/>
        </w:rPr>
        <w:t xml:space="preserve"> </w:t>
      </w:r>
      <w:proofErr w:type="spellStart"/>
      <w:r w:rsidRPr="00E463BC">
        <w:rPr>
          <w:sz w:val="19"/>
          <w:szCs w:val="19"/>
          <w:lang w:eastAsia="ja-JP"/>
        </w:rPr>
        <w:t>LS&amp;Co</w:t>
      </w:r>
      <w:proofErr w:type="spellEnd"/>
      <w:r w:rsidRPr="00E463BC">
        <w:rPr>
          <w:sz w:val="19"/>
          <w:szCs w:val="19"/>
          <w:lang w:eastAsia="ja-JP"/>
        </w:rPr>
        <w:t>.</w:t>
      </w:r>
      <w:r w:rsidRPr="00E463BC">
        <w:rPr>
          <w:rFonts w:ascii="ＭＳ ゴシック" w:eastAsia="ＭＳ ゴシック" w:hAnsi="ＭＳ ゴシック" w:cs="ＭＳ ゴシック" w:hint="eastAsia"/>
          <w:sz w:val="19"/>
          <w:szCs w:val="19"/>
          <w:lang w:eastAsia="ja-JP"/>
        </w:rPr>
        <w:t>では合理的と判断し、同じ排出量としています。</w:t>
      </w:r>
    </w:p>
    <w:p w14:paraId="25BCF04B" w14:textId="306C6F1A" w:rsidR="0055291C" w:rsidRDefault="00E463BC">
      <w:pPr>
        <w:spacing w:before="144"/>
        <w:ind w:left="261"/>
        <w:rPr>
          <w:rFonts w:ascii="Arial"/>
          <w:b/>
          <w:i/>
          <w:sz w:val="18"/>
          <w:lang w:eastAsia="ja-JP"/>
        </w:rPr>
      </w:pPr>
      <w:r>
        <w:rPr>
          <w:rFonts w:ascii="ＭＳ ゴシック" w:eastAsia="ＭＳ ゴシック" w:hAnsi="ＭＳ ゴシック" w:cs="ＭＳ ゴシック" w:hint="eastAsia"/>
          <w:b/>
          <w:i/>
          <w:color w:val="00ACA1"/>
          <w:sz w:val="18"/>
          <w:lang w:eastAsia="ja-JP"/>
        </w:rPr>
        <w:t>小売りー物理的割り当て</w:t>
      </w:r>
    </w:p>
    <w:p w14:paraId="5C5B407D" w14:textId="75AF46BD" w:rsidR="0055291C" w:rsidRDefault="00E463BC" w:rsidP="00E463BC">
      <w:pPr>
        <w:spacing w:before="76" w:line="328" w:lineRule="auto"/>
        <w:ind w:left="261" w:right="1149" w:firstLineChars="100" w:firstLine="190"/>
        <w:rPr>
          <w:sz w:val="18"/>
          <w:lang w:eastAsia="ja-JP"/>
        </w:rPr>
      </w:pPr>
      <w:r w:rsidRPr="00E463BC">
        <w:rPr>
          <w:rFonts w:ascii="ＭＳ ゴシック" w:eastAsia="ＭＳ ゴシック" w:hAnsi="ＭＳ ゴシック" w:cs="ＭＳ ゴシック" w:hint="eastAsia"/>
          <w:sz w:val="19"/>
          <w:szCs w:val="19"/>
          <w:lang w:eastAsia="ja-JP"/>
        </w:rPr>
        <w:t>各小売店では様々な商品を販売しているため、店舗全体の排出量を商品の種類ごとに割り当てる必要があります。</w:t>
      </w:r>
      <w:proofErr w:type="spellStart"/>
      <w:r w:rsidRPr="00E463BC">
        <w:rPr>
          <w:sz w:val="19"/>
          <w:szCs w:val="19"/>
          <w:lang w:eastAsia="ja-JP"/>
        </w:rPr>
        <w:t>LS&amp;Co</w:t>
      </w:r>
      <w:proofErr w:type="spellEnd"/>
      <w:r w:rsidRPr="00E463BC">
        <w:rPr>
          <w:sz w:val="19"/>
          <w:szCs w:val="19"/>
          <w:lang w:eastAsia="ja-JP"/>
        </w:rPr>
        <w:t>.</w:t>
      </w:r>
      <w:r w:rsidRPr="00E463BC">
        <w:rPr>
          <w:rFonts w:ascii="ＭＳ ゴシック" w:eastAsia="ＭＳ ゴシック" w:hAnsi="ＭＳ ゴシック" w:cs="ＭＳ ゴシック" w:hint="eastAsia"/>
          <w:sz w:val="19"/>
          <w:szCs w:val="19"/>
          <w:lang w:eastAsia="ja-JP"/>
        </w:rPr>
        <w:t>では、店舗全体に対して各製品が占める売り場面積に応じて排出量を配分しました。これは、小売店の平均的な床面積と排出量、および各製品が占める床面積（物理的スペース）を求め、個々のユニットごとの小売店排出量を推定することで行いました</w:t>
      </w:r>
      <w:r w:rsidR="00F23C61">
        <w:rPr>
          <w:color w:val="545456"/>
          <w:sz w:val="18"/>
          <w:lang w:eastAsia="ja-JP"/>
        </w:rPr>
        <w:t>.</w:t>
      </w:r>
    </w:p>
    <w:p w14:paraId="33C5F40C" w14:textId="77777777" w:rsidR="0055291C" w:rsidRDefault="0055291C">
      <w:pPr>
        <w:spacing w:line="328" w:lineRule="auto"/>
        <w:rPr>
          <w:sz w:val="18"/>
          <w:lang w:eastAsia="ja-JP"/>
        </w:rPr>
        <w:sectPr w:rsidR="0055291C">
          <w:type w:val="continuous"/>
          <w:pgSz w:w="12240" w:h="15840"/>
          <w:pgMar w:top="740" w:right="0" w:bottom="280" w:left="0" w:header="0" w:footer="859" w:gutter="0"/>
          <w:cols w:num="2" w:space="720" w:equalWidth="0">
            <w:col w:w="5948" w:space="40"/>
            <w:col w:w="6252"/>
          </w:cols>
        </w:sectPr>
      </w:pPr>
    </w:p>
    <w:p w14:paraId="4C3034C5" w14:textId="77777777" w:rsidR="0055291C" w:rsidRDefault="0055291C">
      <w:pPr>
        <w:pStyle w:val="a3"/>
        <w:rPr>
          <w:sz w:val="20"/>
          <w:lang w:eastAsia="ja-JP"/>
        </w:rPr>
      </w:pPr>
    </w:p>
    <w:p w14:paraId="70653D2F" w14:textId="77777777" w:rsidR="0055291C" w:rsidRDefault="0055291C">
      <w:pPr>
        <w:pStyle w:val="a3"/>
        <w:rPr>
          <w:sz w:val="20"/>
          <w:lang w:eastAsia="ja-JP"/>
        </w:rPr>
      </w:pPr>
    </w:p>
    <w:p w14:paraId="76E9292F" w14:textId="77777777" w:rsidR="0055291C" w:rsidRDefault="0055291C">
      <w:pPr>
        <w:pStyle w:val="a3"/>
        <w:rPr>
          <w:sz w:val="20"/>
          <w:lang w:eastAsia="ja-JP"/>
        </w:rPr>
      </w:pPr>
    </w:p>
    <w:p w14:paraId="69DDECAE" w14:textId="77777777" w:rsidR="0055291C" w:rsidRDefault="0055291C">
      <w:pPr>
        <w:pStyle w:val="a3"/>
        <w:rPr>
          <w:sz w:val="20"/>
          <w:lang w:eastAsia="ja-JP"/>
        </w:rPr>
      </w:pPr>
    </w:p>
    <w:p w14:paraId="01CDABC0" w14:textId="77777777" w:rsidR="0055291C" w:rsidRDefault="0055291C">
      <w:pPr>
        <w:pStyle w:val="a3"/>
        <w:spacing w:before="7"/>
        <w:rPr>
          <w:sz w:val="21"/>
          <w:lang w:eastAsia="ja-JP"/>
        </w:rPr>
      </w:pPr>
    </w:p>
    <w:p w14:paraId="4A42A4BD" w14:textId="5E1CFEC1" w:rsidR="0055291C" w:rsidRDefault="00F23C61">
      <w:pPr>
        <w:pStyle w:val="6"/>
        <w:spacing w:before="1"/>
        <w:ind w:left="1136"/>
        <w:rPr>
          <w:lang w:eastAsia="ja-JP"/>
        </w:rPr>
      </w:pPr>
      <w:r>
        <w:rPr>
          <w:color w:val="00ACA1"/>
          <w:w w:val="95"/>
          <w:lang w:eastAsia="ja-JP"/>
        </w:rPr>
        <w:t>Box</w:t>
      </w:r>
      <w:r>
        <w:rPr>
          <w:color w:val="00ACA1"/>
          <w:spacing w:val="9"/>
          <w:w w:val="95"/>
          <w:lang w:eastAsia="ja-JP"/>
        </w:rPr>
        <w:t xml:space="preserve"> </w:t>
      </w:r>
      <w:r>
        <w:rPr>
          <w:color w:val="00ACA1"/>
          <w:w w:val="95"/>
          <w:lang w:eastAsia="ja-JP"/>
        </w:rPr>
        <w:t>[9.1]</w:t>
      </w:r>
      <w:r w:rsidR="00E463BC" w:rsidRPr="00E463BC">
        <w:rPr>
          <w:lang w:eastAsia="ja-JP"/>
        </w:rPr>
        <w:t xml:space="preserve"> </w:t>
      </w:r>
      <w:r w:rsidR="00E463BC">
        <w:rPr>
          <w:rFonts w:ascii="ＭＳ 明朝" w:eastAsia="ＭＳ 明朝" w:hAnsi="ＭＳ 明朝" w:cs="ＭＳ 明朝" w:hint="eastAsia"/>
          <w:lang w:eastAsia="ja-JP"/>
        </w:rPr>
        <w:t>物理的な関係を利用した輸送時の排出量の割り当て</w:t>
      </w:r>
    </w:p>
    <w:p w14:paraId="79B6C525" w14:textId="77777777" w:rsidR="0055291C" w:rsidRDefault="0055291C">
      <w:pPr>
        <w:pStyle w:val="a3"/>
        <w:rPr>
          <w:rFonts w:ascii="Arial"/>
          <w:b/>
          <w:sz w:val="20"/>
          <w:lang w:eastAsia="ja-JP"/>
        </w:rPr>
      </w:pPr>
    </w:p>
    <w:p w14:paraId="73B60F27" w14:textId="77777777" w:rsidR="0055291C" w:rsidRDefault="0055291C">
      <w:pPr>
        <w:pStyle w:val="a3"/>
        <w:rPr>
          <w:rFonts w:ascii="Arial"/>
          <w:b/>
          <w:sz w:val="26"/>
          <w:lang w:eastAsia="ja-JP"/>
        </w:rPr>
      </w:pPr>
    </w:p>
    <w:p w14:paraId="2A704EF8" w14:textId="77777777" w:rsidR="0055291C" w:rsidRDefault="0055291C">
      <w:pPr>
        <w:rPr>
          <w:rFonts w:ascii="Arial"/>
          <w:sz w:val="26"/>
          <w:lang w:eastAsia="ja-JP"/>
        </w:rPr>
        <w:sectPr w:rsidR="0055291C">
          <w:headerReference w:type="even" r:id="rId221"/>
          <w:footerReference w:type="even" r:id="rId222"/>
          <w:footerReference w:type="default" r:id="rId223"/>
          <w:pgSz w:w="12240" w:h="15840"/>
          <w:pgMar w:top="620" w:right="0" w:bottom="1040" w:left="0" w:header="0" w:footer="859" w:gutter="0"/>
          <w:pgNumType w:start="68"/>
          <w:cols w:space="720"/>
        </w:sectPr>
      </w:pPr>
    </w:p>
    <w:p w14:paraId="3192470D" w14:textId="79F9ED43" w:rsidR="0055291C" w:rsidRPr="00E463BC" w:rsidRDefault="00F23C61">
      <w:pPr>
        <w:spacing w:before="102" w:line="328" w:lineRule="auto"/>
        <w:ind w:left="1264"/>
        <w:rPr>
          <w:rFonts w:ascii="ＭＳ ゴシック" w:eastAsia="ＭＳ ゴシック" w:hAnsi="ＭＳ ゴシック"/>
          <w:sz w:val="19"/>
          <w:szCs w:val="19"/>
          <w:lang w:eastAsia="ja-JP"/>
        </w:rPr>
      </w:pPr>
      <w:r>
        <w:rPr>
          <w:noProof/>
        </w:rPr>
        <w:drawing>
          <wp:anchor distT="0" distB="0" distL="0" distR="0" simplePos="0" relativeHeight="251491840" behindDoc="1" locked="0" layoutInCell="1" allowOverlap="1" wp14:anchorId="367BFDD4" wp14:editId="2FC885B9">
            <wp:simplePos x="0" y="0"/>
            <wp:positionH relativeFrom="page">
              <wp:posOffset>713244</wp:posOffset>
            </wp:positionH>
            <wp:positionV relativeFrom="paragraph">
              <wp:posOffset>-142572</wp:posOffset>
            </wp:positionV>
            <wp:extent cx="6366154" cy="7311593"/>
            <wp:effectExtent l="0" t="0" r="0" b="0"/>
            <wp:wrapNone/>
            <wp:docPr id="27"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85.png"/>
                    <pic:cNvPicPr/>
                  </pic:nvPicPr>
                  <pic:blipFill>
                    <a:blip r:embed="rId224" cstate="print"/>
                    <a:stretch>
                      <a:fillRect/>
                    </a:stretch>
                  </pic:blipFill>
                  <pic:spPr>
                    <a:xfrm>
                      <a:off x="0" y="0"/>
                      <a:ext cx="6366154" cy="7311593"/>
                    </a:xfrm>
                    <a:prstGeom prst="rect">
                      <a:avLst/>
                    </a:prstGeom>
                  </pic:spPr>
                </pic:pic>
              </a:graphicData>
            </a:graphic>
          </wp:anchor>
        </w:drawing>
      </w:r>
      <w:r w:rsidR="00E463BC" w:rsidRPr="00E463BC">
        <w:rPr>
          <w:lang w:eastAsia="ja-JP"/>
        </w:rPr>
        <w:t xml:space="preserve"> </w:t>
      </w:r>
      <w:r w:rsidR="00E463BC">
        <w:rPr>
          <w:rFonts w:ascii="ＭＳ ゴシック" w:eastAsia="ＭＳ ゴシック" w:hAnsi="ＭＳ ゴシック" w:cs="ＭＳ ゴシック" w:hint="eastAsia"/>
          <w:lang w:eastAsia="ja-JP"/>
        </w:rPr>
        <w:t xml:space="preserve">　</w:t>
      </w:r>
      <w:r w:rsidR="00E463BC" w:rsidRPr="00E463BC">
        <w:rPr>
          <w:rFonts w:ascii="ＭＳ ゴシック" w:eastAsia="ＭＳ ゴシック" w:hAnsi="ＭＳ ゴシック"/>
          <w:sz w:val="19"/>
          <w:szCs w:val="19"/>
          <w:lang w:eastAsia="ja-JP"/>
        </w:rPr>
        <w:t>1</w:t>
      </w:r>
      <w:r w:rsidR="00E463BC" w:rsidRPr="00E463BC">
        <w:rPr>
          <w:rFonts w:ascii="ＭＳ ゴシック" w:eastAsia="ＭＳ ゴシック" w:hAnsi="ＭＳ ゴシック" w:cs="ＭＳ ゴシック" w:hint="eastAsia"/>
          <w:sz w:val="19"/>
          <w:szCs w:val="19"/>
          <w:lang w:eastAsia="ja-JP"/>
        </w:rPr>
        <w:t>つまたは複数の製品を輸送する場合、企業は輸送手段（トラック、列車、航空機、船舶など）の総排出量しか把握していないため、輸送に伴う排出量の配分が必要とな</w:t>
      </w:r>
      <w:r w:rsidR="00E463BC">
        <w:rPr>
          <w:rFonts w:ascii="ＭＳ ゴシック" w:eastAsia="ＭＳ ゴシック" w:hAnsi="ＭＳ ゴシック" w:cs="ＭＳ ゴシック" w:hint="eastAsia"/>
          <w:sz w:val="19"/>
          <w:szCs w:val="19"/>
          <w:lang w:eastAsia="ja-JP"/>
        </w:rPr>
        <w:t>ります</w:t>
      </w:r>
      <w:r w:rsidR="00E463BC" w:rsidRPr="00E463BC">
        <w:rPr>
          <w:rFonts w:ascii="ＭＳ ゴシック" w:eastAsia="ＭＳ ゴシック" w:hAnsi="ＭＳ ゴシック" w:cs="ＭＳ ゴシック" w:hint="eastAsia"/>
          <w:sz w:val="19"/>
          <w:szCs w:val="19"/>
          <w:lang w:eastAsia="ja-JP"/>
        </w:rPr>
        <w:t>。</w:t>
      </w:r>
    </w:p>
    <w:p w14:paraId="53BC9816" w14:textId="442252A5" w:rsidR="0055291C" w:rsidRPr="00E463BC" w:rsidRDefault="00E463BC">
      <w:pPr>
        <w:spacing w:before="141"/>
        <w:ind w:left="1264"/>
        <w:rPr>
          <w:rFonts w:ascii="ＭＳ ゴシック" w:eastAsia="ＭＳ ゴシック" w:hAnsi="ＭＳ ゴシック"/>
          <w:b/>
          <w:i/>
          <w:sz w:val="19"/>
          <w:szCs w:val="19"/>
          <w:lang w:eastAsia="ja-JP"/>
        </w:rPr>
      </w:pPr>
      <w:r>
        <w:rPr>
          <w:rFonts w:ascii="ＭＳ ゴシック" w:eastAsia="ＭＳ ゴシック" w:hAnsi="ＭＳ ゴシック" w:hint="eastAsia"/>
          <w:b/>
          <w:i/>
          <w:color w:val="7F3F98"/>
          <w:sz w:val="19"/>
          <w:szCs w:val="19"/>
          <w:lang w:eastAsia="ja-JP"/>
        </w:rPr>
        <w:t>交通機関の例</w:t>
      </w:r>
    </w:p>
    <w:p w14:paraId="14621557" w14:textId="6F6E2226" w:rsidR="00400510" w:rsidRDefault="00E463BC" w:rsidP="00DA40DA">
      <w:pPr>
        <w:spacing w:before="3" w:line="328" w:lineRule="auto"/>
        <w:ind w:left="1276" w:right="54" w:firstLineChars="100" w:firstLine="190"/>
        <w:rPr>
          <w:rFonts w:ascii="ＭＳ ゴシック" w:eastAsia="ＭＳ ゴシック" w:hAnsi="ＭＳ ゴシック" w:cs="ＭＳ ゴシック"/>
          <w:sz w:val="19"/>
          <w:szCs w:val="19"/>
          <w:lang w:eastAsia="ja-JP"/>
        </w:rPr>
      </w:pPr>
      <w:r w:rsidRPr="00400510">
        <w:rPr>
          <w:rFonts w:ascii="ＭＳ ゴシック" w:eastAsia="ＭＳ ゴシック" w:hAnsi="ＭＳ ゴシック" w:cs="ＭＳ ゴシック" w:hint="eastAsia"/>
          <w:sz w:val="19"/>
          <w:szCs w:val="19"/>
          <w:lang w:eastAsia="ja-JP"/>
        </w:rPr>
        <w:t>あるトラックが、果物と野菜</w:t>
      </w:r>
      <w:r w:rsidR="00400510">
        <w:rPr>
          <w:rFonts w:ascii="ＭＳ ゴシック" w:eastAsia="ＭＳ ゴシック" w:hAnsi="ＭＳ ゴシック" w:cs="ＭＳ ゴシック" w:hint="eastAsia"/>
          <w:sz w:val="19"/>
          <w:szCs w:val="19"/>
          <w:lang w:eastAsia="ja-JP"/>
        </w:rPr>
        <w:t>の</w:t>
      </w:r>
      <w:r w:rsidRPr="00400510">
        <w:rPr>
          <w:sz w:val="19"/>
          <w:szCs w:val="19"/>
          <w:lang w:eastAsia="ja-JP"/>
        </w:rPr>
        <w:t>2</w:t>
      </w:r>
      <w:r w:rsidRPr="00400510">
        <w:rPr>
          <w:rFonts w:ascii="ＭＳ ゴシック" w:eastAsia="ＭＳ ゴシック" w:hAnsi="ＭＳ ゴシック" w:cs="ＭＳ ゴシック" w:hint="eastAsia"/>
          <w:sz w:val="19"/>
          <w:szCs w:val="19"/>
          <w:lang w:eastAsia="ja-JP"/>
        </w:rPr>
        <w:t>つの製品を輸送</w:t>
      </w:r>
      <w:r w:rsidR="00400510">
        <w:rPr>
          <w:rFonts w:ascii="ＭＳ ゴシック" w:eastAsia="ＭＳ ゴシック" w:hAnsi="ＭＳ ゴシック" w:cs="ＭＳ ゴシック" w:hint="eastAsia"/>
          <w:sz w:val="19"/>
          <w:szCs w:val="19"/>
          <w:lang w:eastAsia="ja-JP"/>
        </w:rPr>
        <w:t>し</w:t>
      </w:r>
    </w:p>
    <w:p w14:paraId="120AE2D6" w14:textId="11E3E8FE" w:rsidR="0055291C" w:rsidRPr="00E61EB8" w:rsidRDefault="00DA40DA" w:rsidP="00E61EB8">
      <w:pPr>
        <w:spacing w:before="3" w:line="328" w:lineRule="auto"/>
        <w:ind w:left="426" w:right="1231"/>
        <w:rPr>
          <w:rFonts w:ascii="ＭＳ ゴシック" w:eastAsia="ＭＳ ゴシック" w:hAnsi="ＭＳ ゴシック" w:cs="ＭＳ ゴシック"/>
          <w:sz w:val="19"/>
          <w:szCs w:val="19"/>
          <w:lang w:eastAsia="ja-JP"/>
        </w:rPr>
      </w:pPr>
      <w:r>
        <w:rPr>
          <w:rFonts w:ascii="ＭＳ ゴシック" w:eastAsia="ＭＳ ゴシック" w:hAnsi="ＭＳ ゴシック" w:cs="ＭＳ ゴシック" w:hint="eastAsia"/>
          <w:sz w:val="19"/>
          <w:szCs w:val="19"/>
          <w:lang w:eastAsia="ja-JP"/>
        </w:rPr>
        <w:t>て</w:t>
      </w:r>
      <w:r w:rsidR="00E463BC" w:rsidRPr="00400510">
        <w:rPr>
          <w:rFonts w:ascii="ＭＳ ゴシック" w:eastAsia="ＭＳ ゴシック" w:hAnsi="ＭＳ ゴシック" w:cs="ＭＳ ゴシック" w:hint="eastAsia"/>
          <w:sz w:val="19"/>
          <w:szCs w:val="19"/>
          <w:lang w:eastAsia="ja-JP"/>
        </w:rPr>
        <w:t>い</w:t>
      </w:r>
      <w:r w:rsidR="00400510">
        <w:rPr>
          <w:rFonts w:ascii="ＭＳ ゴシック" w:eastAsia="ＭＳ ゴシック" w:hAnsi="ＭＳ ゴシック" w:cs="ＭＳ ゴシック" w:hint="eastAsia"/>
          <w:sz w:val="19"/>
          <w:szCs w:val="19"/>
          <w:lang w:eastAsia="ja-JP"/>
        </w:rPr>
        <w:t>ます</w:t>
      </w:r>
      <w:r w:rsidR="00E463BC" w:rsidRPr="00400510">
        <w:rPr>
          <w:rFonts w:ascii="ＭＳ ゴシック" w:eastAsia="ＭＳ ゴシック" w:hAnsi="ＭＳ ゴシック" w:cs="ＭＳ ゴシック" w:hint="eastAsia"/>
          <w:sz w:val="19"/>
          <w:szCs w:val="19"/>
          <w:lang w:eastAsia="ja-JP"/>
        </w:rPr>
        <w:t>。</w:t>
      </w:r>
      <w:r w:rsidR="00400510" w:rsidRPr="00400510">
        <w:rPr>
          <w:rFonts w:ascii="ＭＳ ゴシック" w:eastAsia="ＭＳ ゴシック" w:hAnsi="ＭＳ ゴシック" w:cs="ＭＳ ゴシック" w:hint="eastAsia"/>
          <w:sz w:val="19"/>
          <w:szCs w:val="19"/>
          <w:lang w:eastAsia="ja-JP"/>
        </w:rPr>
        <w:t>輸送船における単位製品あた</w:t>
      </w:r>
      <w:r w:rsidR="00400510">
        <w:rPr>
          <w:rFonts w:ascii="ＭＳ ゴシック" w:eastAsia="ＭＳ ゴシック" w:hAnsi="ＭＳ ゴシック" w:cs="ＭＳ ゴシック" w:hint="eastAsia"/>
          <w:sz w:val="19"/>
          <w:szCs w:val="19"/>
          <w:lang w:eastAsia="ja-JP"/>
        </w:rPr>
        <w:t>り</w:t>
      </w:r>
      <w:r w:rsidR="00400510" w:rsidRPr="00400510">
        <w:rPr>
          <w:rFonts w:ascii="ＭＳ ゴシック" w:eastAsia="ＭＳ ゴシック" w:hAnsi="ＭＳ ゴシック" w:cs="ＭＳ ゴシック" w:hint="eastAsia"/>
          <w:sz w:val="19"/>
          <w:szCs w:val="19"/>
          <w:lang w:eastAsia="ja-JP"/>
        </w:rPr>
        <w:t>の燃料使用</w:t>
      </w:r>
      <w:r w:rsidR="00400510">
        <w:rPr>
          <w:rFonts w:ascii="ＭＳ ゴシック" w:eastAsia="ＭＳ ゴシック" w:hAnsi="ＭＳ ゴシック" w:cs="ＭＳ ゴシック" w:hint="eastAsia"/>
          <w:sz w:val="19"/>
          <w:szCs w:val="19"/>
          <w:lang w:eastAsia="ja-JP"/>
        </w:rPr>
        <w:t>量が</w:t>
      </w:r>
      <w:r w:rsidR="00400510" w:rsidRPr="00400510">
        <w:rPr>
          <w:rFonts w:ascii="ＭＳ ゴシック" w:eastAsia="ＭＳ ゴシック" w:hAnsi="ＭＳ ゴシック" w:cs="ＭＳ ゴシック" w:hint="eastAsia"/>
          <w:sz w:val="19"/>
          <w:szCs w:val="19"/>
          <w:lang w:eastAsia="ja-JP"/>
        </w:rPr>
        <w:t>その積載質量または体積に依存するため、この</w:t>
      </w:r>
      <w:r w:rsidR="00400510" w:rsidRPr="00400510">
        <w:rPr>
          <w:sz w:val="19"/>
          <w:szCs w:val="19"/>
          <w:lang w:eastAsia="ja-JP"/>
        </w:rPr>
        <w:t>2</w:t>
      </w:r>
      <w:r w:rsidR="00400510" w:rsidRPr="00400510">
        <w:rPr>
          <w:rFonts w:ascii="ＭＳ ゴシック" w:eastAsia="ＭＳ ゴシック" w:hAnsi="ＭＳ ゴシック" w:cs="ＭＳ ゴシック" w:hint="eastAsia"/>
          <w:sz w:val="19"/>
          <w:szCs w:val="19"/>
          <w:lang w:eastAsia="ja-JP"/>
        </w:rPr>
        <w:t>つの間には</w:t>
      </w:r>
      <w:r w:rsidR="00400510">
        <w:rPr>
          <w:rFonts w:ascii="ＭＳ ゴシック" w:eastAsia="ＭＳ ゴシック" w:hAnsi="ＭＳ ゴシック" w:cs="ＭＳ ゴシック" w:hint="eastAsia"/>
          <w:sz w:val="19"/>
          <w:szCs w:val="19"/>
          <w:lang w:eastAsia="ja-JP"/>
        </w:rPr>
        <w:t>、</w:t>
      </w:r>
      <w:r w:rsidR="00E463BC" w:rsidRPr="00400510">
        <w:rPr>
          <w:rFonts w:ascii="ＭＳ ゴシック" w:eastAsia="ＭＳ ゴシック" w:hAnsi="ＭＳ ゴシック" w:cs="ＭＳ ゴシック" w:hint="eastAsia"/>
          <w:sz w:val="19"/>
          <w:szCs w:val="19"/>
          <w:lang w:eastAsia="ja-JP"/>
        </w:rPr>
        <w:t>明確な物理的関係があります</w:t>
      </w:r>
      <w:r w:rsidR="00E463BC" w:rsidRPr="00400510">
        <w:rPr>
          <w:sz w:val="19"/>
          <w:szCs w:val="19"/>
          <w:lang w:eastAsia="ja-JP"/>
        </w:rPr>
        <w:t xml:space="preserve"> </w:t>
      </w:r>
      <w:r w:rsidR="00E463BC" w:rsidRPr="00400510">
        <w:rPr>
          <w:rFonts w:ascii="ＭＳ ゴシック" w:eastAsia="ＭＳ ゴシック" w:hAnsi="ＭＳ ゴシック" w:cs="ＭＳ ゴシック" w:hint="eastAsia"/>
          <w:sz w:val="19"/>
          <w:szCs w:val="19"/>
          <w:lang w:eastAsia="ja-JP"/>
        </w:rPr>
        <w:t>。この関係を最もよく表す物理的配分要因を決定するために</w:t>
      </w:r>
      <w:r w:rsidR="00E463BC" w:rsidRPr="00400510">
        <w:rPr>
          <w:sz w:val="19"/>
          <w:szCs w:val="19"/>
          <w:lang w:eastAsia="ja-JP"/>
        </w:rPr>
        <w:t xml:space="preserve"> </w:t>
      </w:r>
      <w:r w:rsidR="00E463BC" w:rsidRPr="00400510">
        <w:rPr>
          <w:rFonts w:ascii="ＭＳ ゴシック" w:eastAsia="ＭＳ ゴシック" w:hAnsi="ＭＳ ゴシック" w:cs="ＭＳ ゴシック" w:hint="eastAsia"/>
          <w:sz w:val="19"/>
          <w:szCs w:val="19"/>
          <w:lang w:eastAsia="ja-JP"/>
        </w:rPr>
        <w:t>、企業は輸送形態の制限要因（通常、質量または体積）</w:t>
      </w:r>
      <w:r w:rsidR="00E463BC" w:rsidRPr="00400510">
        <w:rPr>
          <w:sz w:val="19"/>
          <w:szCs w:val="19"/>
          <w:lang w:eastAsia="ja-JP"/>
        </w:rPr>
        <w:t xml:space="preserve"> </w:t>
      </w:r>
      <w:r w:rsidR="00E463BC" w:rsidRPr="00400510">
        <w:rPr>
          <w:rFonts w:ascii="ＭＳ ゴシック" w:eastAsia="ＭＳ ゴシック" w:hAnsi="ＭＳ ゴシック" w:cs="ＭＳ ゴシック" w:hint="eastAsia"/>
          <w:sz w:val="19"/>
          <w:szCs w:val="19"/>
          <w:lang w:eastAsia="ja-JP"/>
        </w:rPr>
        <w:t>を決定する必要があります。</w:t>
      </w:r>
    </w:p>
    <w:p w14:paraId="46ACDED8" w14:textId="77777777" w:rsidR="0055291C" w:rsidRDefault="0055291C">
      <w:pPr>
        <w:spacing w:line="328" w:lineRule="auto"/>
        <w:rPr>
          <w:sz w:val="18"/>
          <w:lang w:eastAsia="ja-JP"/>
        </w:rPr>
        <w:sectPr w:rsidR="0055291C" w:rsidSect="00400510">
          <w:type w:val="continuous"/>
          <w:pgSz w:w="12240" w:h="15840"/>
          <w:pgMar w:top="740" w:right="0" w:bottom="280" w:left="0" w:header="0" w:footer="859" w:gutter="0"/>
          <w:cols w:num="2" w:space="720" w:equalWidth="0">
            <w:col w:w="5866" w:space="40"/>
            <w:col w:w="6334"/>
          </w:cols>
        </w:sectPr>
      </w:pPr>
    </w:p>
    <w:p w14:paraId="70EDD9A9" w14:textId="77777777" w:rsidR="0055291C" w:rsidRDefault="0055291C">
      <w:pPr>
        <w:pStyle w:val="a3"/>
        <w:spacing w:before="3"/>
        <w:rPr>
          <w:sz w:val="14"/>
          <w:lang w:eastAsia="ja-JP"/>
        </w:rPr>
      </w:pPr>
    </w:p>
    <w:p w14:paraId="6FC41663" w14:textId="4427FF53" w:rsidR="0055291C" w:rsidRDefault="00E61EB8">
      <w:pPr>
        <w:pStyle w:val="6"/>
        <w:ind w:left="1261"/>
        <w:rPr>
          <w:lang w:eastAsia="ja-JP"/>
        </w:rPr>
      </w:pPr>
      <w:r>
        <w:rPr>
          <w:rFonts w:ascii="ＭＳ 明朝" w:eastAsia="ＭＳ 明朝" w:hAnsi="ＭＳ 明朝" w:cs="ＭＳ 明朝" w:hint="eastAsia"/>
          <w:color w:val="00ACA1"/>
          <w:w w:val="95"/>
          <w:lang w:eastAsia="ja-JP"/>
        </w:rPr>
        <w:t>図</w:t>
      </w:r>
      <w:r w:rsidR="00F23C61">
        <w:rPr>
          <w:color w:val="00ACA1"/>
          <w:spacing w:val="-2"/>
          <w:w w:val="95"/>
          <w:lang w:eastAsia="ja-JP"/>
        </w:rPr>
        <w:t xml:space="preserve"> </w:t>
      </w:r>
      <w:r w:rsidR="00F23C61">
        <w:rPr>
          <w:color w:val="00ACA1"/>
          <w:w w:val="95"/>
          <w:lang w:eastAsia="ja-JP"/>
        </w:rPr>
        <w:t>[9.3]</w:t>
      </w:r>
      <w:r w:rsidR="00F23C61">
        <w:rPr>
          <w:color w:val="00ACA1"/>
          <w:spacing w:val="-1"/>
          <w:w w:val="95"/>
          <w:lang w:eastAsia="ja-JP"/>
        </w:rPr>
        <w:t xml:space="preserve"> </w:t>
      </w:r>
      <w:r w:rsidRPr="00E61EB8">
        <w:rPr>
          <w:rFonts w:ascii="ＭＳ 明朝" w:eastAsia="ＭＳ 明朝" w:hAnsi="ＭＳ 明朝" w:cs="ＭＳ 明朝" w:hint="eastAsia"/>
          <w:sz w:val="19"/>
          <w:szCs w:val="19"/>
          <w:lang w:eastAsia="ja-JP"/>
        </w:rPr>
        <w:t>質量に基づく排出量の割り</w:t>
      </w:r>
      <w:r>
        <w:rPr>
          <w:rFonts w:ascii="ＭＳ 明朝" w:eastAsia="ＭＳ 明朝" w:hAnsi="ＭＳ 明朝" w:cs="ＭＳ 明朝" w:hint="eastAsia"/>
          <w:sz w:val="19"/>
          <w:szCs w:val="19"/>
          <w:lang w:eastAsia="ja-JP"/>
        </w:rPr>
        <w:t>当て</w:t>
      </w:r>
    </w:p>
    <w:p w14:paraId="509BC6AE" w14:textId="77777777" w:rsidR="0055291C" w:rsidRDefault="0055291C">
      <w:pPr>
        <w:pStyle w:val="a3"/>
        <w:rPr>
          <w:rFonts w:ascii="Arial"/>
          <w:b/>
          <w:sz w:val="20"/>
          <w:lang w:eastAsia="ja-JP"/>
        </w:rPr>
      </w:pPr>
    </w:p>
    <w:p w14:paraId="0321DEA7" w14:textId="77777777" w:rsidR="0055291C" w:rsidRDefault="0055291C">
      <w:pPr>
        <w:pStyle w:val="a3"/>
        <w:spacing w:before="4"/>
        <w:rPr>
          <w:rFonts w:ascii="Arial"/>
          <w:b/>
          <w:sz w:val="26"/>
          <w:lang w:eastAsia="ja-JP"/>
        </w:rPr>
      </w:pPr>
    </w:p>
    <w:p w14:paraId="45674D30" w14:textId="77777777" w:rsidR="0055291C" w:rsidRDefault="0055291C">
      <w:pPr>
        <w:rPr>
          <w:rFonts w:ascii="Arial"/>
          <w:sz w:val="26"/>
          <w:lang w:eastAsia="ja-JP"/>
        </w:rPr>
        <w:sectPr w:rsidR="0055291C">
          <w:type w:val="continuous"/>
          <w:pgSz w:w="12240" w:h="15840"/>
          <w:pgMar w:top="740" w:right="0" w:bottom="280" w:left="0" w:header="0" w:footer="859" w:gutter="0"/>
          <w:cols w:space="720"/>
        </w:sectPr>
      </w:pPr>
    </w:p>
    <w:p w14:paraId="2708FDD6" w14:textId="55108A71" w:rsidR="0055291C" w:rsidRDefault="00E61EB8">
      <w:pPr>
        <w:spacing w:before="167"/>
        <w:ind w:left="1485"/>
        <w:jc w:val="center"/>
        <w:rPr>
          <w:rFonts w:ascii="Arial"/>
          <w:b/>
          <w:i/>
          <w:sz w:val="18"/>
        </w:rPr>
      </w:pPr>
      <w:r>
        <w:rPr>
          <w:rFonts w:ascii="ＭＳ ゴシック" w:eastAsia="ＭＳ ゴシック" w:hAnsi="ＭＳ ゴシック" w:cs="ＭＳ ゴシック" w:hint="eastAsia"/>
          <w:b/>
          <w:i/>
          <w:color w:val="FFFFFF"/>
          <w:w w:val="105"/>
          <w:sz w:val="18"/>
          <w:lang w:eastAsia="ja-JP"/>
        </w:rPr>
        <w:t>燃料</w:t>
      </w:r>
    </w:p>
    <w:p w14:paraId="1EFECB98" w14:textId="77777777" w:rsidR="0055291C" w:rsidRDefault="0055291C">
      <w:pPr>
        <w:pStyle w:val="a3"/>
        <w:rPr>
          <w:rFonts w:ascii="Arial"/>
          <w:b/>
          <w:i/>
          <w:sz w:val="20"/>
        </w:rPr>
      </w:pPr>
    </w:p>
    <w:p w14:paraId="2FD53952" w14:textId="77777777" w:rsidR="0055291C" w:rsidRDefault="0055291C">
      <w:pPr>
        <w:pStyle w:val="a3"/>
        <w:rPr>
          <w:rFonts w:ascii="Arial"/>
          <w:b/>
          <w:i/>
          <w:sz w:val="20"/>
        </w:rPr>
      </w:pPr>
    </w:p>
    <w:p w14:paraId="2204D3FC" w14:textId="1608B7C2" w:rsidR="0055291C" w:rsidRDefault="00E61EB8">
      <w:pPr>
        <w:spacing w:before="126"/>
        <w:ind w:left="1485"/>
        <w:jc w:val="center"/>
        <w:rPr>
          <w:rFonts w:ascii="Arial"/>
          <w:b/>
          <w:i/>
          <w:sz w:val="18"/>
        </w:rPr>
      </w:pPr>
      <w:r>
        <w:rPr>
          <w:rFonts w:ascii="ＭＳ ゴシック" w:eastAsia="ＭＳ ゴシック" w:hAnsi="ＭＳ ゴシック" w:cs="ＭＳ ゴシック" w:hint="eastAsia"/>
          <w:b/>
          <w:i/>
          <w:color w:val="FFFFFF"/>
          <w:w w:val="105"/>
          <w:sz w:val="18"/>
          <w:lang w:eastAsia="ja-JP"/>
        </w:rPr>
        <w:t>果物</w:t>
      </w:r>
    </w:p>
    <w:p w14:paraId="2E45322E" w14:textId="64BABE57" w:rsidR="0055291C" w:rsidRDefault="00E61EB8">
      <w:pPr>
        <w:spacing w:before="12"/>
        <w:ind w:left="1485"/>
        <w:jc w:val="center"/>
        <w:rPr>
          <w:rFonts w:ascii="Arial"/>
          <w:b/>
          <w:i/>
          <w:sz w:val="16"/>
        </w:rPr>
      </w:pPr>
      <w:r>
        <w:rPr>
          <w:rFonts w:ascii="ＭＳ ゴシック" w:eastAsia="ＭＳ ゴシック" w:hAnsi="ＭＳ ゴシック" w:cs="ＭＳ ゴシック" w:hint="eastAsia"/>
          <w:b/>
          <w:i/>
          <w:color w:val="FFFFFF"/>
          <w:w w:val="95"/>
          <w:sz w:val="16"/>
          <w:lang w:eastAsia="ja-JP"/>
        </w:rPr>
        <w:t>質量</w:t>
      </w:r>
      <w:r w:rsidR="00DA40DA">
        <w:rPr>
          <w:rFonts w:ascii="ＭＳ ゴシック" w:eastAsia="ＭＳ ゴシック" w:hAnsi="ＭＳ ゴシック" w:cs="ＭＳ ゴシック" w:hint="eastAsia"/>
          <w:b/>
          <w:i/>
          <w:color w:val="FFFFFF"/>
          <w:w w:val="95"/>
          <w:sz w:val="16"/>
          <w:lang w:eastAsia="ja-JP"/>
        </w:rPr>
        <w:t>12t</w:t>
      </w:r>
      <w:r w:rsidR="00F23C61">
        <w:rPr>
          <w:rFonts w:ascii="Arial"/>
          <w:b/>
          <w:i/>
          <w:color w:val="FFFFFF"/>
          <w:w w:val="95"/>
          <w:sz w:val="16"/>
        </w:rPr>
        <w:t xml:space="preserve"> </w:t>
      </w:r>
    </w:p>
    <w:p w14:paraId="2FA2DB10" w14:textId="77777777" w:rsidR="0055291C" w:rsidRDefault="00F23C61">
      <w:pPr>
        <w:rPr>
          <w:rFonts w:ascii="Arial"/>
          <w:b/>
          <w:i/>
        </w:rPr>
      </w:pPr>
      <w:r>
        <w:br w:type="column"/>
      </w:r>
    </w:p>
    <w:p w14:paraId="15BAD22D" w14:textId="77777777" w:rsidR="0055291C" w:rsidRDefault="0055291C">
      <w:pPr>
        <w:pStyle w:val="a3"/>
        <w:rPr>
          <w:rFonts w:ascii="Arial"/>
          <w:b/>
          <w:i/>
          <w:sz w:val="22"/>
        </w:rPr>
      </w:pPr>
    </w:p>
    <w:p w14:paraId="3B1DC843" w14:textId="77777777" w:rsidR="0055291C" w:rsidRDefault="0055291C">
      <w:pPr>
        <w:pStyle w:val="a3"/>
        <w:rPr>
          <w:rFonts w:ascii="Arial"/>
          <w:b/>
          <w:i/>
          <w:sz w:val="22"/>
        </w:rPr>
      </w:pPr>
    </w:p>
    <w:p w14:paraId="009889DC" w14:textId="77777777" w:rsidR="0055291C" w:rsidRDefault="0055291C">
      <w:pPr>
        <w:pStyle w:val="a3"/>
        <w:spacing w:before="3"/>
        <w:rPr>
          <w:rFonts w:ascii="Arial"/>
          <w:b/>
          <w:i/>
          <w:sz w:val="25"/>
        </w:rPr>
      </w:pPr>
    </w:p>
    <w:p w14:paraId="76ED7664" w14:textId="150B6093" w:rsidR="0055291C" w:rsidRDefault="00E61EB8" w:rsidP="00E61EB8">
      <w:pPr>
        <w:pStyle w:val="7"/>
        <w:spacing w:before="0"/>
        <w:ind w:left="1485" w:firstLineChars="200" w:firstLine="402"/>
      </w:pPr>
      <w:r>
        <w:rPr>
          <w:rFonts w:ascii="ＭＳ 明朝" w:eastAsia="ＭＳ 明朝" w:hAnsi="ＭＳ 明朝" w:cs="ＭＳ 明朝" w:hint="eastAsia"/>
          <w:color w:val="FFFFFF"/>
          <w:lang w:eastAsia="ja-JP"/>
        </w:rPr>
        <w:t>輸送</w:t>
      </w:r>
    </w:p>
    <w:p w14:paraId="0EE3C063" w14:textId="77777777" w:rsidR="0055291C" w:rsidRDefault="00F23C61">
      <w:pPr>
        <w:spacing w:before="2"/>
        <w:rPr>
          <w:rFonts w:ascii="Arial"/>
          <w:b/>
          <w:i/>
          <w:sz w:val="23"/>
        </w:rPr>
      </w:pPr>
      <w:r>
        <w:br w:type="column"/>
      </w:r>
    </w:p>
    <w:p w14:paraId="52583DC0" w14:textId="7E94DD55" w:rsidR="0055291C" w:rsidRDefault="00E61EB8">
      <w:pPr>
        <w:jc w:val="right"/>
        <w:rPr>
          <w:rFonts w:ascii="Arial"/>
          <w:b/>
          <w:i/>
          <w:sz w:val="18"/>
        </w:rPr>
      </w:pPr>
      <w:r>
        <w:rPr>
          <w:rFonts w:ascii="ＭＳ ゴシック" w:eastAsia="ＭＳ ゴシック" w:hAnsi="ＭＳ ゴシック" w:cs="ＭＳ ゴシック" w:hint="eastAsia"/>
          <w:b/>
          <w:i/>
          <w:color w:val="FFFFFF"/>
          <w:w w:val="105"/>
          <w:sz w:val="18"/>
          <w:lang w:eastAsia="ja-JP"/>
        </w:rPr>
        <w:t>果物</w:t>
      </w:r>
    </w:p>
    <w:p w14:paraId="1E45D9E6" w14:textId="77777777" w:rsidR="0055291C" w:rsidRDefault="00F23C61">
      <w:pPr>
        <w:spacing w:before="98" w:line="381" w:lineRule="exact"/>
        <w:ind w:left="906"/>
        <w:rPr>
          <w:rFonts w:ascii="Arial"/>
          <w:b/>
          <w:i/>
          <w:sz w:val="36"/>
        </w:rPr>
      </w:pPr>
      <w:r>
        <w:br w:type="column"/>
      </w:r>
      <w:r>
        <w:rPr>
          <w:rFonts w:ascii="Arial"/>
          <w:b/>
          <w:i/>
          <w:color w:val="FFFFFF"/>
          <w:sz w:val="36"/>
        </w:rPr>
        <w:t>60%</w:t>
      </w:r>
    </w:p>
    <w:p w14:paraId="78C51CA6" w14:textId="382C0B66" w:rsidR="0055291C" w:rsidRDefault="00E61EB8" w:rsidP="00E61EB8">
      <w:pPr>
        <w:spacing w:line="174" w:lineRule="exact"/>
        <w:ind w:left="852" w:firstLineChars="100" w:firstLine="181"/>
        <w:rPr>
          <w:rFonts w:ascii="Arial"/>
          <w:b/>
          <w:i/>
          <w:sz w:val="18"/>
        </w:rPr>
      </w:pPr>
      <w:r>
        <w:rPr>
          <w:rFonts w:ascii="ＭＳ ゴシック" w:eastAsia="ＭＳ ゴシック" w:hAnsi="ＭＳ ゴシック" w:cs="ＭＳ ゴシック" w:hint="eastAsia"/>
          <w:b/>
          <w:i/>
          <w:color w:val="FFFFFF"/>
          <w:sz w:val="18"/>
          <w:lang w:eastAsia="ja-JP"/>
        </w:rPr>
        <w:t>排出</w:t>
      </w:r>
    </w:p>
    <w:p w14:paraId="3CE9132D" w14:textId="77777777" w:rsidR="0055291C" w:rsidRDefault="0055291C">
      <w:pPr>
        <w:spacing w:line="174" w:lineRule="exact"/>
        <w:rPr>
          <w:rFonts w:ascii="Arial"/>
          <w:sz w:val="18"/>
        </w:rPr>
        <w:sectPr w:rsidR="0055291C">
          <w:type w:val="continuous"/>
          <w:pgSz w:w="12240" w:h="15840"/>
          <w:pgMar w:top="740" w:right="0" w:bottom="280" w:left="0" w:header="0" w:footer="859" w:gutter="0"/>
          <w:cols w:num="4" w:space="720" w:equalWidth="0">
            <w:col w:w="2598" w:space="40"/>
            <w:col w:w="2897" w:space="658"/>
            <w:col w:w="1959" w:space="40"/>
            <w:col w:w="4048"/>
          </w:cols>
        </w:sectPr>
      </w:pPr>
    </w:p>
    <w:p w14:paraId="54917D63" w14:textId="77777777" w:rsidR="0055291C" w:rsidRDefault="0055291C">
      <w:pPr>
        <w:pStyle w:val="a3"/>
        <w:spacing w:before="6"/>
        <w:rPr>
          <w:rFonts w:ascii="Arial"/>
          <w:b/>
          <w:i/>
        </w:rPr>
      </w:pPr>
    </w:p>
    <w:p w14:paraId="6C842936" w14:textId="77777777" w:rsidR="0055291C" w:rsidRDefault="0055291C">
      <w:pPr>
        <w:rPr>
          <w:rFonts w:ascii="Arial"/>
        </w:rPr>
        <w:sectPr w:rsidR="0055291C">
          <w:type w:val="continuous"/>
          <w:pgSz w:w="12240" w:h="15840"/>
          <w:pgMar w:top="740" w:right="0" w:bottom="280" w:left="0" w:header="0" w:footer="859" w:gutter="0"/>
          <w:cols w:space="720"/>
        </w:sectPr>
      </w:pPr>
    </w:p>
    <w:p w14:paraId="252DEC30" w14:textId="77777777" w:rsidR="0055291C" w:rsidRDefault="0055291C">
      <w:pPr>
        <w:pStyle w:val="a3"/>
        <w:spacing w:before="2"/>
        <w:rPr>
          <w:rFonts w:ascii="Arial"/>
          <w:b/>
          <w:i/>
          <w:sz w:val="18"/>
        </w:rPr>
      </w:pPr>
    </w:p>
    <w:p w14:paraId="6DCAB2BE" w14:textId="5E56628C" w:rsidR="0055291C" w:rsidRDefault="00E61EB8">
      <w:pPr>
        <w:ind w:left="1472" w:right="27"/>
        <w:jc w:val="center"/>
        <w:rPr>
          <w:rFonts w:ascii="Arial"/>
          <w:b/>
          <w:i/>
          <w:sz w:val="18"/>
        </w:rPr>
      </w:pPr>
      <w:r>
        <w:rPr>
          <w:rFonts w:ascii="ＭＳ ゴシック" w:eastAsia="ＭＳ ゴシック" w:hAnsi="ＭＳ ゴシック" w:cs="ＭＳ ゴシック" w:hint="eastAsia"/>
          <w:b/>
          <w:i/>
          <w:color w:val="FFFFFF"/>
          <w:sz w:val="18"/>
          <w:lang w:eastAsia="ja-JP"/>
        </w:rPr>
        <w:t>野菜</w:t>
      </w:r>
    </w:p>
    <w:p w14:paraId="143823E7" w14:textId="5B063594" w:rsidR="0055291C" w:rsidRDefault="00E61EB8">
      <w:pPr>
        <w:spacing w:before="12"/>
        <w:ind w:left="1472" w:right="27"/>
        <w:jc w:val="center"/>
        <w:rPr>
          <w:rFonts w:ascii="Arial"/>
          <w:b/>
          <w:i/>
          <w:sz w:val="16"/>
        </w:rPr>
      </w:pPr>
      <w:r>
        <w:rPr>
          <w:rFonts w:ascii="ＭＳ ゴシック" w:eastAsia="ＭＳ ゴシック" w:hAnsi="ＭＳ ゴシック" w:cs="ＭＳ ゴシック" w:hint="eastAsia"/>
          <w:b/>
          <w:i/>
          <w:color w:val="FFFFFF"/>
          <w:w w:val="95"/>
          <w:sz w:val="16"/>
          <w:lang w:eastAsia="ja-JP"/>
        </w:rPr>
        <w:t>質量</w:t>
      </w:r>
      <w:r w:rsidR="00DA40DA">
        <w:rPr>
          <w:rFonts w:ascii="ＭＳ ゴシック" w:eastAsia="ＭＳ ゴシック" w:hAnsi="ＭＳ ゴシック" w:cs="ＭＳ ゴシック" w:hint="eastAsia"/>
          <w:b/>
          <w:i/>
          <w:color w:val="FFFFFF"/>
          <w:w w:val="95"/>
          <w:sz w:val="16"/>
          <w:lang w:eastAsia="ja-JP"/>
        </w:rPr>
        <w:t>8t</w:t>
      </w:r>
    </w:p>
    <w:p w14:paraId="48C61894" w14:textId="68126D08" w:rsidR="0055291C" w:rsidRDefault="00F23C61" w:rsidP="00E61EB8">
      <w:pPr>
        <w:tabs>
          <w:tab w:val="left" w:pos="2993"/>
        </w:tabs>
        <w:spacing w:before="98" w:line="381" w:lineRule="exact"/>
        <w:ind w:left="1485" w:firstLineChars="100" w:firstLine="220"/>
        <w:rPr>
          <w:rFonts w:ascii="Arial"/>
          <w:b/>
          <w:i/>
          <w:sz w:val="36"/>
        </w:rPr>
      </w:pPr>
      <w:r>
        <w:br w:type="column"/>
      </w:r>
      <w:r w:rsidR="00E61EB8">
        <w:rPr>
          <w:rFonts w:ascii="ＭＳ ゴシック" w:eastAsia="ＭＳ ゴシック" w:hAnsi="ＭＳ ゴシック" w:cs="ＭＳ ゴシック" w:hint="eastAsia"/>
          <w:b/>
          <w:i/>
          <w:color w:val="FFFFFF"/>
          <w:sz w:val="18"/>
          <w:lang w:eastAsia="ja-JP"/>
        </w:rPr>
        <w:t>野菜</w:t>
      </w:r>
      <w:r>
        <w:rPr>
          <w:rFonts w:ascii="Arial"/>
          <w:b/>
          <w:i/>
          <w:color w:val="FFFFFF"/>
          <w:sz w:val="18"/>
        </w:rPr>
        <w:tab/>
      </w:r>
      <w:r>
        <w:rPr>
          <w:rFonts w:ascii="Arial"/>
          <w:b/>
          <w:i/>
          <w:color w:val="FFFFFF"/>
          <w:sz w:val="36"/>
        </w:rPr>
        <w:t>40%</w:t>
      </w:r>
    </w:p>
    <w:p w14:paraId="72A9C06D" w14:textId="68356ADB" w:rsidR="0055291C" w:rsidRDefault="00E61EB8">
      <w:pPr>
        <w:spacing w:line="174" w:lineRule="exact"/>
        <w:ind w:left="2899" w:right="2312"/>
        <w:jc w:val="center"/>
        <w:rPr>
          <w:rFonts w:ascii="Arial"/>
          <w:b/>
          <w:i/>
          <w:sz w:val="18"/>
          <w:lang w:eastAsia="ja-JP"/>
        </w:rPr>
      </w:pPr>
      <w:r>
        <w:rPr>
          <w:rFonts w:ascii="ＭＳ ゴシック" w:eastAsia="ＭＳ ゴシック" w:hAnsi="ＭＳ ゴシック" w:cs="ＭＳ ゴシック" w:hint="eastAsia"/>
          <w:b/>
          <w:i/>
          <w:color w:val="FFFFFF"/>
          <w:sz w:val="18"/>
          <w:lang w:eastAsia="ja-JP"/>
        </w:rPr>
        <w:t>排出</w:t>
      </w:r>
    </w:p>
    <w:p w14:paraId="75480D8E" w14:textId="77777777" w:rsidR="0055291C" w:rsidRDefault="0055291C">
      <w:pPr>
        <w:spacing w:line="174" w:lineRule="exact"/>
        <w:jc w:val="center"/>
        <w:rPr>
          <w:rFonts w:ascii="Arial"/>
          <w:sz w:val="18"/>
          <w:lang w:eastAsia="ja-JP"/>
        </w:rPr>
        <w:sectPr w:rsidR="0055291C">
          <w:type w:val="continuous"/>
          <w:pgSz w:w="12240" w:h="15840"/>
          <w:pgMar w:top="740" w:right="0" w:bottom="280" w:left="0" w:header="0" w:footer="859" w:gutter="0"/>
          <w:cols w:num="2" w:space="720" w:equalWidth="0">
            <w:col w:w="2638" w:space="3470"/>
            <w:col w:w="6132"/>
          </w:cols>
        </w:sectPr>
      </w:pPr>
    </w:p>
    <w:p w14:paraId="683CF971" w14:textId="77777777" w:rsidR="0055291C" w:rsidRDefault="0055291C">
      <w:pPr>
        <w:pStyle w:val="a3"/>
        <w:rPr>
          <w:rFonts w:ascii="Arial"/>
          <w:b/>
          <w:i/>
          <w:sz w:val="20"/>
          <w:lang w:eastAsia="ja-JP"/>
        </w:rPr>
      </w:pPr>
    </w:p>
    <w:p w14:paraId="063A63CF" w14:textId="77777777" w:rsidR="0055291C" w:rsidRDefault="0055291C">
      <w:pPr>
        <w:pStyle w:val="a3"/>
        <w:spacing w:before="3"/>
        <w:rPr>
          <w:rFonts w:ascii="Arial"/>
          <w:b/>
          <w:i/>
          <w:sz w:val="28"/>
          <w:lang w:eastAsia="ja-JP"/>
        </w:rPr>
      </w:pPr>
    </w:p>
    <w:p w14:paraId="0913A411" w14:textId="56ED4947" w:rsidR="0055291C" w:rsidRPr="00E61EB8" w:rsidRDefault="00E61EB8">
      <w:pPr>
        <w:spacing w:before="102" w:line="328" w:lineRule="auto"/>
        <w:ind w:left="1315" w:right="1650"/>
        <w:rPr>
          <w:rFonts w:ascii="ＭＳ ゴシック" w:eastAsia="ＭＳ ゴシック" w:hAnsi="ＭＳ ゴシック"/>
          <w:sz w:val="19"/>
          <w:szCs w:val="19"/>
          <w:lang w:eastAsia="ja-JP"/>
        </w:rPr>
      </w:pPr>
      <w:r w:rsidRPr="00E61EB8">
        <w:rPr>
          <w:rFonts w:ascii="ＭＳ ゴシック" w:eastAsia="ＭＳ ゴシック" w:hAnsi="ＭＳ ゴシック" w:cs="ＭＳ ゴシック" w:hint="eastAsia"/>
          <w:sz w:val="19"/>
          <w:szCs w:val="19"/>
          <w:lang w:eastAsia="ja-JP"/>
        </w:rPr>
        <w:t>図</w:t>
      </w:r>
      <w:r w:rsidRPr="00E61EB8">
        <w:rPr>
          <w:rFonts w:ascii="ＭＳ ゴシック" w:eastAsia="ＭＳ ゴシック" w:hAnsi="ＭＳ ゴシック"/>
          <w:sz w:val="19"/>
          <w:szCs w:val="19"/>
          <w:lang w:eastAsia="ja-JP"/>
        </w:rPr>
        <w:t>9.3</w:t>
      </w:r>
      <w:r w:rsidRPr="00E61EB8">
        <w:rPr>
          <w:rFonts w:ascii="ＭＳ ゴシック" w:eastAsia="ＭＳ ゴシック" w:hAnsi="ＭＳ ゴシック" w:cs="ＭＳ ゴシック" w:hint="eastAsia"/>
          <w:sz w:val="19"/>
          <w:szCs w:val="19"/>
          <w:lang w:eastAsia="ja-JP"/>
        </w:rPr>
        <w:t>では、トラックが輸送する野菜や果物の量は、製品の質量によって制限さ</w:t>
      </w:r>
      <w:r>
        <w:rPr>
          <w:rFonts w:ascii="ＭＳ ゴシック" w:eastAsia="ＭＳ ゴシック" w:hAnsi="ＭＳ ゴシック" w:cs="ＭＳ ゴシック" w:hint="eastAsia"/>
          <w:sz w:val="19"/>
          <w:szCs w:val="19"/>
          <w:lang w:eastAsia="ja-JP"/>
        </w:rPr>
        <w:t>れます</w:t>
      </w:r>
      <w:r w:rsidRPr="00E61EB8">
        <w:rPr>
          <w:rFonts w:ascii="ＭＳ ゴシック" w:eastAsia="ＭＳ ゴシック" w:hAnsi="ＭＳ ゴシック" w:cs="ＭＳ ゴシック" w:hint="eastAsia"/>
          <w:sz w:val="19"/>
          <w:szCs w:val="19"/>
          <w:lang w:eastAsia="ja-JP"/>
        </w:rPr>
        <w:t>。しかし、もし野菜や果物を鉄道で輸送し、制限要因が製品の体積であれば、最も適切な配分係数は体積とな</w:t>
      </w:r>
      <w:r w:rsidR="00DA40DA">
        <w:rPr>
          <w:rFonts w:ascii="ＭＳ ゴシック" w:eastAsia="ＭＳ ゴシック" w:hAnsi="ＭＳ ゴシック" w:cs="ＭＳ ゴシック" w:hint="eastAsia"/>
          <w:sz w:val="19"/>
          <w:szCs w:val="19"/>
          <w:lang w:eastAsia="ja-JP"/>
        </w:rPr>
        <w:t>ります。</w:t>
      </w:r>
    </w:p>
    <w:p w14:paraId="5189C590" w14:textId="77777777" w:rsidR="0055291C" w:rsidRDefault="0055291C">
      <w:pPr>
        <w:pStyle w:val="a3"/>
        <w:spacing w:before="4"/>
        <w:rPr>
          <w:sz w:val="14"/>
          <w:lang w:eastAsia="ja-JP"/>
        </w:rPr>
      </w:pPr>
    </w:p>
    <w:p w14:paraId="2D6D17A8" w14:textId="4D136337" w:rsidR="0055291C" w:rsidRDefault="008A6EFD">
      <w:pPr>
        <w:pStyle w:val="6"/>
        <w:ind w:left="1261"/>
        <w:rPr>
          <w:lang w:eastAsia="ja-JP"/>
        </w:rPr>
      </w:pPr>
      <w:r>
        <w:rPr>
          <w:rFonts w:ascii="ＭＳ 明朝" w:eastAsia="ＭＳ 明朝" w:hAnsi="ＭＳ 明朝" w:cs="ＭＳ 明朝" w:hint="eastAsia"/>
          <w:color w:val="00ACA1"/>
          <w:w w:val="95"/>
          <w:lang w:eastAsia="ja-JP"/>
        </w:rPr>
        <w:t>図</w:t>
      </w:r>
      <w:r w:rsidR="00F23C61">
        <w:rPr>
          <w:color w:val="00ACA1"/>
          <w:spacing w:val="2"/>
          <w:w w:val="95"/>
          <w:lang w:eastAsia="ja-JP"/>
        </w:rPr>
        <w:t xml:space="preserve"> </w:t>
      </w:r>
      <w:r w:rsidR="00F23C61">
        <w:rPr>
          <w:color w:val="00ACA1"/>
          <w:w w:val="95"/>
          <w:lang w:eastAsia="ja-JP"/>
        </w:rPr>
        <w:t>[9.4]</w:t>
      </w:r>
      <w:r w:rsidR="00F23C61">
        <w:rPr>
          <w:color w:val="00ACA1"/>
          <w:spacing w:val="3"/>
          <w:w w:val="95"/>
          <w:lang w:eastAsia="ja-JP"/>
        </w:rPr>
        <w:t xml:space="preserve"> </w:t>
      </w:r>
      <w:r w:rsidR="00DA40DA">
        <w:rPr>
          <w:rFonts w:ascii="ＭＳ 明朝" w:eastAsia="ＭＳ 明朝" w:hAnsi="ＭＳ 明朝" w:cs="ＭＳ 明朝" w:hint="eastAsia"/>
          <w:lang w:eastAsia="ja-JP"/>
        </w:rPr>
        <w:t>体積に基づく排出量の割り当て</w:t>
      </w:r>
    </w:p>
    <w:p w14:paraId="4D31428D" w14:textId="77777777" w:rsidR="0055291C" w:rsidRDefault="0055291C">
      <w:pPr>
        <w:pStyle w:val="a3"/>
        <w:rPr>
          <w:rFonts w:ascii="Arial"/>
          <w:b/>
          <w:sz w:val="20"/>
          <w:lang w:eastAsia="ja-JP"/>
        </w:rPr>
      </w:pPr>
    </w:p>
    <w:p w14:paraId="75D2EFBD" w14:textId="77777777" w:rsidR="0055291C" w:rsidRDefault="0055291C">
      <w:pPr>
        <w:pStyle w:val="a3"/>
        <w:spacing w:before="8"/>
        <w:rPr>
          <w:rFonts w:ascii="Arial"/>
          <w:b/>
          <w:sz w:val="27"/>
          <w:lang w:eastAsia="ja-JP"/>
        </w:rPr>
      </w:pPr>
    </w:p>
    <w:p w14:paraId="384421AB" w14:textId="77777777" w:rsidR="0055291C" w:rsidRDefault="0055291C">
      <w:pPr>
        <w:rPr>
          <w:rFonts w:ascii="Arial"/>
          <w:sz w:val="27"/>
          <w:lang w:eastAsia="ja-JP"/>
        </w:rPr>
        <w:sectPr w:rsidR="0055291C">
          <w:type w:val="continuous"/>
          <w:pgSz w:w="12240" w:h="15840"/>
          <w:pgMar w:top="740" w:right="0" w:bottom="280" w:left="0" w:header="0" w:footer="859" w:gutter="0"/>
          <w:cols w:space="720"/>
        </w:sectPr>
      </w:pPr>
    </w:p>
    <w:p w14:paraId="28CC6847" w14:textId="77777777" w:rsidR="0055291C" w:rsidRDefault="0055291C">
      <w:pPr>
        <w:pStyle w:val="a3"/>
        <w:spacing w:before="4"/>
        <w:rPr>
          <w:rFonts w:ascii="Arial"/>
          <w:b/>
          <w:sz w:val="16"/>
          <w:lang w:eastAsia="ja-JP"/>
        </w:rPr>
      </w:pPr>
    </w:p>
    <w:p w14:paraId="44C92663" w14:textId="27C39671" w:rsidR="0055291C" w:rsidRPr="00DA40DA" w:rsidRDefault="00DA40DA">
      <w:pPr>
        <w:ind w:right="38"/>
        <w:jc w:val="right"/>
        <w:rPr>
          <w:rFonts w:ascii="Arial"/>
          <w:b/>
          <w:i/>
          <w:color w:val="FFFFFF" w:themeColor="background1"/>
          <w:sz w:val="18"/>
        </w:rPr>
      </w:pPr>
      <w:r w:rsidRPr="00DA40DA">
        <w:rPr>
          <w:rFonts w:ascii="ＭＳ ゴシック" w:eastAsia="ＭＳ ゴシック" w:hAnsi="ＭＳ ゴシック" w:cs="ＭＳ ゴシック" w:hint="eastAsia"/>
          <w:b/>
          <w:i/>
          <w:color w:val="FFFFFF" w:themeColor="background1"/>
          <w:sz w:val="18"/>
          <w:lang w:eastAsia="ja-JP"/>
        </w:rPr>
        <w:t>燃料</w:t>
      </w:r>
    </w:p>
    <w:p w14:paraId="73D27F73" w14:textId="77777777" w:rsidR="0055291C" w:rsidRDefault="00F23C61">
      <w:pPr>
        <w:spacing w:before="5"/>
        <w:rPr>
          <w:rFonts w:ascii="Arial"/>
          <w:b/>
          <w:i/>
          <w:sz w:val="24"/>
        </w:rPr>
      </w:pPr>
      <w:r>
        <w:br w:type="column"/>
      </w:r>
    </w:p>
    <w:p w14:paraId="6D7056A9" w14:textId="0F2CD7F6" w:rsidR="0055291C" w:rsidRDefault="00B271BD">
      <w:pPr>
        <w:jc w:val="right"/>
        <w:rPr>
          <w:rFonts w:ascii="Arial"/>
          <w:b/>
          <w:i/>
          <w:sz w:val="18"/>
        </w:rPr>
      </w:pPr>
      <w:r>
        <w:rPr>
          <w:rFonts w:ascii="ＭＳ ゴシック" w:eastAsia="ＭＳ ゴシック" w:hAnsi="ＭＳ ゴシック" w:cs="ＭＳ ゴシック" w:hint="eastAsia"/>
          <w:b/>
          <w:i/>
          <w:color w:val="FFFFFF"/>
          <w:w w:val="105"/>
          <w:sz w:val="18"/>
          <w:lang w:eastAsia="ja-JP"/>
        </w:rPr>
        <w:t>果物</w:t>
      </w:r>
    </w:p>
    <w:p w14:paraId="09B98337" w14:textId="77777777" w:rsidR="0055291C" w:rsidRDefault="00F23C61">
      <w:pPr>
        <w:spacing w:before="98" w:line="381" w:lineRule="exact"/>
        <w:ind w:left="910"/>
        <w:rPr>
          <w:rFonts w:ascii="Arial"/>
          <w:b/>
          <w:i/>
          <w:sz w:val="36"/>
        </w:rPr>
      </w:pPr>
      <w:r>
        <w:br w:type="column"/>
      </w:r>
      <w:r>
        <w:rPr>
          <w:rFonts w:ascii="Arial"/>
          <w:b/>
          <w:i/>
          <w:color w:val="FFFFFF"/>
          <w:sz w:val="36"/>
        </w:rPr>
        <w:t>30%</w:t>
      </w:r>
    </w:p>
    <w:p w14:paraId="2CEB8529" w14:textId="2C8704FB" w:rsidR="0055291C" w:rsidRDefault="00B271BD" w:rsidP="00B271BD">
      <w:pPr>
        <w:spacing w:line="174" w:lineRule="exact"/>
        <w:ind w:left="877" w:firstLineChars="100" w:firstLine="181"/>
        <w:rPr>
          <w:rFonts w:ascii="Arial"/>
          <w:b/>
          <w:i/>
          <w:sz w:val="18"/>
        </w:rPr>
      </w:pPr>
      <w:r>
        <w:rPr>
          <w:rFonts w:ascii="ＭＳ ゴシック" w:eastAsia="ＭＳ ゴシック" w:hAnsi="ＭＳ ゴシック" w:cs="ＭＳ ゴシック" w:hint="eastAsia"/>
          <w:b/>
          <w:i/>
          <w:color w:val="FFFFFF"/>
          <w:sz w:val="18"/>
          <w:lang w:eastAsia="ja-JP"/>
        </w:rPr>
        <w:t>排出</w:t>
      </w:r>
    </w:p>
    <w:p w14:paraId="626047DD" w14:textId="77777777" w:rsidR="0055291C" w:rsidRDefault="0055291C">
      <w:pPr>
        <w:spacing w:line="174" w:lineRule="exact"/>
        <w:rPr>
          <w:rFonts w:ascii="Arial"/>
          <w:sz w:val="18"/>
        </w:rPr>
        <w:sectPr w:rsidR="0055291C">
          <w:type w:val="continuous"/>
          <w:pgSz w:w="12240" w:h="15840"/>
          <w:pgMar w:top="740" w:right="0" w:bottom="280" w:left="0" w:header="0" w:footer="859" w:gutter="0"/>
          <w:cols w:num="3" w:space="720" w:equalWidth="0">
            <w:col w:w="2290" w:space="3502"/>
            <w:col w:w="2387" w:space="39"/>
            <w:col w:w="4022"/>
          </w:cols>
        </w:sectPr>
      </w:pPr>
    </w:p>
    <w:p w14:paraId="22B1DE8D" w14:textId="77777777" w:rsidR="0055291C" w:rsidRDefault="0055291C">
      <w:pPr>
        <w:pStyle w:val="a3"/>
        <w:spacing w:before="3"/>
        <w:rPr>
          <w:rFonts w:ascii="Arial"/>
          <w:b/>
          <w:i/>
        </w:rPr>
      </w:pPr>
    </w:p>
    <w:p w14:paraId="1CB384F7" w14:textId="77777777" w:rsidR="0055291C" w:rsidRDefault="0055291C">
      <w:pPr>
        <w:rPr>
          <w:rFonts w:ascii="Arial"/>
        </w:rPr>
        <w:sectPr w:rsidR="0055291C">
          <w:type w:val="continuous"/>
          <w:pgSz w:w="12240" w:h="15840"/>
          <w:pgMar w:top="740" w:right="0" w:bottom="280" w:left="0" w:header="0" w:footer="859" w:gutter="0"/>
          <w:cols w:space="720"/>
        </w:sectPr>
      </w:pPr>
    </w:p>
    <w:p w14:paraId="2E00C4FC" w14:textId="6BCCAD06" w:rsidR="0055291C" w:rsidRDefault="00DA40DA">
      <w:pPr>
        <w:spacing w:before="99"/>
        <w:ind w:left="1445"/>
        <w:jc w:val="center"/>
        <w:rPr>
          <w:rFonts w:ascii="Arial"/>
          <w:b/>
          <w:i/>
          <w:sz w:val="18"/>
        </w:rPr>
      </w:pPr>
      <w:r>
        <w:rPr>
          <w:rFonts w:ascii="ＭＳ ゴシック" w:eastAsia="ＭＳ ゴシック" w:hAnsi="ＭＳ ゴシック" w:cs="ＭＳ ゴシック" w:hint="eastAsia"/>
          <w:b/>
          <w:i/>
          <w:color w:val="FFFFFF"/>
          <w:w w:val="105"/>
          <w:sz w:val="18"/>
          <w:lang w:eastAsia="ja-JP"/>
        </w:rPr>
        <w:t>果物</w:t>
      </w:r>
    </w:p>
    <w:p w14:paraId="6E91B56F" w14:textId="715A7543" w:rsidR="0055291C" w:rsidRDefault="00DA40DA">
      <w:pPr>
        <w:spacing w:before="12"/>
        <w:ind w:left="1445"/>
        <w:jc w:val="center"/>
        <w:rPr>
          <w:rFonts w:ascii="Arial"/>
          <w:b/>
          <w:i/>
          <w:sz w:val="16"/>
        </w:rPr>
      </w:pPr>
      <w:r>
        <w:rPr>
          <w:rFonts w:ascii="ＭＳ ゴシック" w:eastAsia="ＭＳ ゴシック" w:hAnsi="ＭＳ ゴシック" w:cs="ＭＳ ゴシック" w:hint="eastAsia"/>
          <w:b/>
          <w:i/>
          <w:color w:val="FFFFFF"/>
          <w:w w:val="95"/>
          <w:sz w:val="16"/>
          <w:lang w:eastAsia="ja-JP"/>
        </w:rPr>
        <w:t>体積</w:t>
      </w:r>
      <w:r w:rsidR="00B271BD">
        <w:rPr>
          <w:rFonts w:ascii="ＭＳ ゴシック" w:eastAsia="ＭＳ ゴシック" w:hAnsi="ＭＳ ゴシック" w:cs="ＭＳ ゴシック" w:hint="eastAsia"/>
          <w:b/>
          <w:i/>
          <w:color w:val="FFFFFF"/>
          <w:w w:val="95"/>
          <w:sz w:val="16"/>
          <w:lang w:eastAsia="ja-JP"/>
        </w:rPr>
        <w:t>15ｍ</w:t>
      </w:r>
      <w:r w:rsidR="00B271BD" w:rsidRPr="00B271BD">
        <w:rPr>
          <w:rFonts w:ascii="ＭＳ ゴシック" w:eastAsia="ＭＳ ゴシック" w:hAnsi="ＭＳ ゴシック" w:cs="ＭＳ ゴシック" w:hint="eastAsia"/>
          <w:b/>
          <w:i/>
          <w:color w:val="FFFFFF"/>
          <w:w w:val="95"/>
          <w:sz w:val="16"/>
          <w:vertAlign w:val="superscript"/>
          <w:lang w:eastAsia="ja-JP"/>
        </w:rPr>
        <w:t>３</w:t>
      </w:r>
    </w:p>
    <w:p w14:paraId="66EA64E0" w14:textId="77777777" w:rsidR="0055291C" w:rsidRDefault="0055291C">
      <w:pPr>
        <w:pStyle w:val="a3"/>
        <w:rPr>
          <w:rFonts w:ascii="Arial"/>
          <w:b/>
          <w:i/>
          <w:sz w:val="18"/>
        </w:rPr>
      </w:pPr>
    </w:p>
    <w:p w14:paraId="492CC176" w14:textId="77777777" w:rsidR="0055291C" w:rsidRDefault="0055291C">
      <w:pPr>
        <w:pStyle w:val="a3"/>
        <w:rPr>
          <w:rFonts w:ascii="Arial"/>
          <w:b/>
          <w:i/>
          <w:sz w:val="24"/>
        </w:rPr>
      </w:pPr>
    </w:p>
    <w:p w14:paraId="5506AEC6" w14:textId="454B355F" w:rsidR="0055291C" w:rsidRDefault="00B271BD">
      <w:pPr>
        <w:spacing w:before="1"/>
        <w:ind w:left="1445"/>
        <w:jc w:val="center"/>
        <w:rPr>
          <w:rFonts w:ascii="Arial"/>
          <w:b/>
          <w:i/>
          <w:sz w:val="18"/>
        </w:rPr>
      </w:pPr>
      <w:r>
        <w:rPr>
          <w:rFonts w:ascii="ＭＳ ゴシック" w:eastAsia="ＭＳ ゴシック" w:hAnsi="ＭＳ ゴシック" w:cs="ＭＳ ゴシック" w:hint="eastAsia"/>
          <w:b/>
          <w:i/>
          <w:color w:val="FFFFFF"/>
          <w:sz w:val="18"/>
          <w:lang w:eastAsia="ja-JP"/>
        </w:rPr>
        <w:t>野菜</w:t>
      </w:r>
    </w:p>
    <w:p w14:paraId="7C6BB2C6" w14:textId="3318015D" w:rsidR="0055291C" w:rsidRDefault="00B271BD">
      <w:pPr>
        <w:spacing w:before="11"/>
        <w:ind w:left="1445"/>
        <w:jc w:val="center"/>
        <w:rPr>
          <w:rFonts w:ascii="Arial"/>
          <w:b/>
          <w:i/>
          <w:sz w:val="16"/>
        </w:rPr>
      </w:pPr>
      <w:r>
        <w:rPr>
          <w:rFonts w:ascii="ＭＳ ゴシック" w:eastAsia="ＭＳ ゴシック" w:hAnsi="ＭＳ ゴシック" w:cs="ＭＳ ゴシック" w:hint="eastAsia"/>
          <w:b/>
          <w:i/>
          <w:color w:val="FFFFFF"/>
          <w:w w:val="95"/>
          <w:sz w:val="16"/>
          <w:lang w:eastAsia="ja-JP"/>
        </w:rPr>
        <w:t>体積35ｍ</w:t>
      </w:r>
      <w:r w:rsidRPr="00B271BD">
        <w:rPr>
          <w:rFonts w:ascii="ＭＳ ゴシック" w:eastAsia="ＭＳ ゴシック" w:hAnsi="ＭＳ ゴシック" w:cs="ＭＳ ゴシック" w:hint="eastAsia"/>
          <w:b/>
          <w:i/>
          <w:color w:val="FFFFFF"/>
          <w:w w:val="95"/>
          <w:sz w:val="16"/>
          <w:vertAlign w:val="superscript"/>
          <w:lang w:eastAsia="ja-JP"/>
        </w:rPr>
        <w:t>３</w:t>
      </w:r>
    </w:p>
    <w:p w14:paraId="4AB655C2" w14:textId="77777777" w:rsidR="0055291C" w:rsidRDefault="00F23C61">
      <w:pPr>
        <w:spacing w:before="3"/>
        <w:rPr>
          <w:rFonts w:ascii="Arial"/>
          <w:b/>
          <w:i/>
          <w:sz w:val="17"/>
        </w:rPr>
      </w:pPr>
      <w:r>
        <w:br w:type="column"/>
      </w:r>
    </w:p>
    <w:p w14:paraId="5004C8D2" w14:textId="702982D6" w:rsidR="0055291C" w:rsidRDefault="00B271BD" w:rsidP="00B271BD">
      <w:pPr>
        <w:spacing w:before="1"/>
        <w:ind w:left="1445" w:firstLineChars="200" w:firstLine="361"/>
        <w:rPr>
          <w:rFonts w:ascii="Arial"/>
          <w:b/>
          <w:i/>
          <w:sz w:val="18"/>
        </w:rPr>
      </w:pPr>
      <w:r>
        <w:rPr>
          <w:rFonts w:ascii="ＭＳ ゴシック" w:eastAsia="ＭＳ ゴシック" w:hAnsi="ＭＳ ゴシック" w:cs="ＭＳ ゴシック" w:hint="eastAsia"/>
          <w:b/>
          <w:i/>
          <w:color w:val="FFFFFF"/>
          <w:sz w:val="18"/>
          <w:lang w:eastAsia="ja-JP"/>
        </w:rPr>
        <w:t>輸送</w:t>
      </w:r>
    </w:p>
    <w:p w14:paraId="6298F5DB" w14:textId="77777777" w:rsidR="0055291C" w:rsidRDefault="00F23C61">
      <w:pPr>
        <w:rPr>
          <w:rFonts w:ascii="Arial"/>
          <w:b/>
          <w:i/>
          <w:sz w:val="40"/>
        </w:rPr>
      </w:pPr>
      <w:r>
        <w:br w:type="column"/>
      </w:r>
    </w:p>
    <w:p w14:paraId="211CBD09" w14:textId="77777777" w:rsidR="0055291C" w:rsidRDefault="0055291C">
      <w:pPr>
        <w:pStyle w:val="a3"/>
        <w:spacing w:before="7"/>
        <w:rPr>
          <w:rFonts w:ascii="Arial"/>
          <w:b/>
          <w:i/>
          <w:sz w:val="31"/>
        </w:rPr>
      </w:pPr>
    </w:p>
    <w:p w14:paraId="668CBA04" w14:textId="06188EDE" w:rsidR="0055291C" w:rsidRDefault="00B271BD" w:rsidP="00B271BD">
      <w:pPr>
        <w:tabs>
          <w:tab w:val="left" w:pos="3052"/>
        </w:tabs>
        <w:spacing w:before="1" w:line="356" w:lineRule="exact"/>
        <w:ind w:left="1445" w:firstLineChars="200" w:firstLine="356"/>
        <w:rPr>
          <w:rFonts w:ascii="Arial" w:eastAsiaTheme="minorEastAsia" w:hAnsi="Arial" w:cs="Arial"/>
          <w:b/>
          <w:i/>
          <w:color w:val="FFFFFF"/>
          <w:spacing w:val="-4"/>
          <w:w w:val="97"/>
          <w:sz w:val="36"/>
          <w:lang w:eastAsia="ja-JP"/>
        </w:rPr>
      </w:pPr>
      <w:r>
        <w:rPr>
          <w:rFonts w:ascii="ＭＳ ゴシック" w:eastAsia="ＭＳ ゴシック" w:hAnsi="ＭＳ ゴシック" w:cs="ＭＳ ゴシック" w:hint="eastAsia"/>
          <w:b/>
          <w:i/>
          <w:color w:val="FFFFFF"/>
          <w:w w:val="99"/>
          <w:sz w:val="18"/>
          <w:lang w:eastAsia="ja-JP"/>
        </w:rPr>
        <w:t>野菜</w:t>
      </w:r>
      <w:r w:rsidR="00F23C61">
        <w:rPr>
          <w:rFonts w:ascii="Arial"/>
          <w:b/>
          <w:i/>
          <w:color w:val="FFFFFF"/>
          <w:sz w:val="18"/>
        </w:rPr>
        <w:tab/>
      </w:r>
      <w:r w:rsidRPr="00B271BD">
        <w:rPr>
          <w:rFonts w:ascii="Arial" w:eastAsiaTheme="minorEastAsia" w:hAnsi="Arial" w:cs="Arial"/>
          <w:b/>
          <w:i/>
          <w:color w:val="FFFFFF"/>
          <w:spacing w:val="-21"/>
          <w:w w:val="102"/>
          <w:sz w:val="36"/>
          <w:lang w:eastAsia="ja-JP"/>
        </w:rPr>
        <w:t>70</w:t>
      </w:r>
      <w:r w:rsidRPr="00B271BD">
        <w:rPr>
          <w:rFonts w:ascii="Arial" w:eastAsiaTheme="minorEastAsia" w:hAnsi="Arial" w:cs="Arial"/>
          <w:b/>
          <w:i/>
          <w:color w:val="FFFFFF"/>
          <w:spacing w:val="-4"/>
          <w:w w:val="97"/>
          <w:sz w:val="36"/>
          <w:lang w:eastAsia="ja-JP"/>
        </w:rPr>
        <w:t>％</w:t>
      </w:r>
    </w:p>
    <w:p w14:paraId="3FC90AB0" w14:textId="2EB9EB62" w:rsidR="0055291C" w:rsidRPr="00B271BD" w:rsidRDefault="00B271BD" w:rsidP="00B271BD">
      <w:pPr>
        <w:tabs>
          <w:tab w:val="left" w:pos="3052"/>
        </w:tabs>
        <w:spacing w:before="1" w:line="356" w:lineRule="exact"/>
        <w:ind w:left="1445" w:firstLineChars="700" w:firstLine="1245"/>
        <w:rPr>
          <w:rFonts w:ascii="Arial"/>
          <w:b/>
          <w:i/>
          <w:sz w:val="36"/>
        </w:rPr>
      </w:pPr>
      <w:r>
        <w:rPr>
          <w:rFonts w:ascii="ＭＳ ゴシック" w:eastAsia="ＭＳ ゴシック" w:hAnsi="ＭＳ ゴシック" w:cs="ＭＳ ゴシック" w:hint="eastAsia"/>
          <w:b/>
          <w:i/>
          <w:color w:val="FFFFFF"/>
          <w:w w:val="99"/>
          <w:sz w:val="18"/>
          <w:lang w:eastAsia="ja-JP"/>
        </w:rPr>
        <w:t xml:space="preserve">　　　排出</w:t>
      </w:r>
    </w:p>
    <w:p w14:paraId="1EABD69C" w14:textId="77777777" w:rsidR="0055291C" w:rsidRDefault="0055291C">
      <w:pPr>
        <w:spacing w:line="199" w:lineRule="exact"/>
        <w:jc w:val="center"/>
        <w:rPr>
          <w:rFonts w:ascii="Arial"/>
          <w:sz w:val="18"/>
          <w:lang w:eastAsia="ja-JP"/>
        </w:rPr>
        <w:sectPr w:rsidR="0055291C">
          <w:type w:val="continuous"/>
          <w:pgSz w:w="12240" w:h="15840"/>
          <w:pgMar w:top="740" w:right="0" w:bottom="280" w:left="0" w:header="0" w:footer="859" w:gutter="0"/>
          <w:cols w:num="3" w:space="720" w:equalWidth="0">
            <w:col w:w="2717" w:space="65"/>
            <w:col w:w="2721" w:space="573"/>
            <w:col w:w="6164"/>
          </w:cols>
        </w:sectPr>
      </w:pPr>
    </w:p>
    <w:p w14:paraId="4154DBE3" w14:textId="77777777" w:rsidR="0055291C" w:rsidRDefault="0055291C">
      <w:pPr>
        <w:pStyle w:val="a3"/>
        <w:rPr>
          <w:rFonts w:ascii="Arial"/>
          <w:b/>
          <w:i/>
          <w:sz w:val="20"/>
          <w:lang w:eastAsia="ja-JP"/>
        </w:rPr>
      </w:pPr>
    </w:p>
    <w:p w14:paraId="6F847CA9" w14:textId="77777777" w:rsidR="0055291C" w:rsidRDefault="0055291C">
      <w:pPr>
        <w:pStyle w:val="a3"/>
        <w:rPr>
          <w:rFonts w:ascii="Arial"/>
          <w:b/>
          <w:i/>
          <w:sz w:val="25"/>
          <w:lang w:eastAsia="ja-JP"/>
        </w:rPr>
      </w:pPr>
    </w:p>
    <w:p w14:paraId="48AF607F" w14:textId="63595F6E" w:rsidR="0055291C" w:rsidRPr="00B271BD" w:rsidRDefault="00B271BD">
      <w:pPr>
        <w:spacing w:before="102"/>
        <w:ind w:left="1315"/>
        <w:rPr>
          <w:sz w:val="19"/>
          <w:szCs w:val="19"/>
          <w:lang w:eastAsia="ja-JP"/>
        </w:rPr>
      </w:pPr>
      <w:r w:rsidRPr="00B271BD">
        <w:rPr>
          <w:rFonts w:ascii="ＭＳ ゴシック" w:eastAsia="ＭＳ ゴシック" w:hAnsi="ＭＳ ゴシック" w:cs="ＭＳ ゴシック" w:hint="eastAsia"/>
          <w:sz w:val="19"/>
          <w:szCs w:val="19"/>
          <w:lang w:eastAsia="ja-JP"/>
        </w:rPr>
        <w:t>図</w:t>
      </w:r>
      <w:r w:rsidRPr="00B271BD">
        <w:rPr>
          <w:sz w:val="19"/>
          <w:szCs w:val="19"/>
          <w:lang w:eastAsia="ja-JP"/>
        </w:rPr>
        <w:t xml:space="preserve"> 9.4 </w:t>
      </w:r>
      <w:r w:rsidRPr="00B271BD">
        <w:rPr>
          <w:rFonts w:ascii="ＭＳ ゴシック" w:eastAsia="ＭＳ ゴシック" w:hAnsi="ＭＳ ゴシック" w:cs="ＭＳ ゴシック" w:hint="eastAsia"/>
          <w:sz w:val="19"/>
          <w:szCs w:val="19"/>
          <w:lang w:eastAsia="ja-JP"/>
        </w:rPr>
        <w:t>は、体積配分係数を用いて排出量をどのように配分するかを示しています。</w:t>
      </w:r>
    </w:p>
    <w:p w14:paraId="0B15C0C8" w14:textId="77777777" w:rsidR="0055291C" w:rsidRDefault="0055291C">
      <w:pPr>
        <w:rPr>
          <w:sz w:val="18"/>
          <w:lang w:eastAsia="ja-JP"/>
        </w:rPr>
        <w:sectPr w:rsidR="0055291C">
          <w:type w:val="continuous"/>
          <w:pgSz w:w="12240" w:h="15840"/>
          <w:pgMar w:top="740" w:right="0" w:bottom="280" w:left="0" w:header="0" w:footer="859" w:gutter="0"/>
          <w:cols w:space="720"/>
        </w:sectPr>
      </w:pPr>
    </w:p>
    <w:p w14:paraId="5C91678F" w14:textId="77777777" w:rsidR="0055291C" w:rsidRDefault="0055291C">
      <w:pPr>
        <w:pStyle w:val="a3"/>
        <w:rPr>
          <w:sz w:val="20"/>
          <w:lang w:eastAsia="ja-JP"/>
        </w:rPr>
      </w:pPr>
    </w:p>
    <w:p w14:paraId="513ECDE9" w14:textId="77777777" w:rsidR="0055291C" w:rsidRDefault="0055291C">
      <w:pPr>
        <w:pStyle w:val="a3"/>
        <w:rPr>
          <w:sz w:val="20"/>
          <w:lang w:eastAsia="ja-JP"/>
        </w:rPr>
      </w:pPr>
    </w:p>
    <w:p w14:paraId="716E523C" w14:textId="77777777" w:rsidR="0055291C" w:rsidRDefault="0055291C">
      <w:pPr>
        <w:pStyle w:val="a3"/>
        <w:rPr>
          <w:sz w:val="20"/>
          <w:lang w:eastAsia="ja-JP"/>
        </w:rPr>
      </w:pPr>
    </w:p>
    <w:p w14:paraId="3055CBE6" w14:textId="77777777" w:rsidR="0055291C" w:rsidRDefault="0055291C">
      <w:pPr>
        <w:pStyle w:val="a3"/>
        <w:spacing w:before="4"/>
        <w:rPr>
          <w:sz w:val="24"/>
          <w:lang w:eastAsia="ja-JP"/>
        </w:rPr>
      </w:pPr>
    </w:p>
    <w:p w14:paraId="667BF305" w14:textId="77777777" w:rsidR="0055291C" w:rsidRDefault="00000000">
      <w:pPr>
        <w:spacing w:before="1"/>
        <w:ind w:right="1121"/>
        <w:jc w:val="right"/>
        <w:rPr>
          <w:rFonts w:ascii="Arial"/>
          <w:i/>
          <w:sz w:val="19"/>
          <w:lang w:eastAsia="ja-JP"/>
        </w:rPr>
      </w:pPr>
      <w:r>
        <w:pict w14:anchorId="29DD9D91">
          <v:shape id="docshape1092" o:spid="_x0000_s2735" style="position:absolute;left:0;text-align:left;margin-left:580.75pt;margin-top:-47.75pt;width:31.3pt;height:285.85pt;z-index:251608576;mso-position-horizontal-relative:page" coordorigin="11615,-955" coordsize="626,5717" path="m12240,-955r-625,l11615,4535r3,131l11643,4733r67,25l11842,4761r398,l12240,-955xe" fillcolor="#00aca1" stroked="f">
            <v:path arrowok="t"/>
            <w10:wrap anchorx="page"/>
          </v:shape>
        </w:pict>
      </w:r>
      <w:r w:rsidR="00F23C61">
        <w:rPr>
          <w:rFonts w:ascii="Arial"/>
          <w:b/>
          <w:i/>
          <w:color w:val="7F3F98"/>
          <w:sz w:val="19"/>
          <w:lang w:eastAsia="ja-JP"/>
        </w:rPr>
        <w:t>CHAPTER</w:t>
      </w:r>
      <w:r w:rsidR="00F23C61">
        <w:rPr>
          <w:rFonts w:ascii="Arial"/>
          <w:b/>
          <w:i/>
          <w:color w:val="7F3F98"/>
          <w:spacing w:val="14"/>
          <w:sz w:val="19"/>
          <w:lang w:eastAsia="ja-JP"/>
        </w:rPr>
        <w:t xml:space="preserve"> </w:t>
      </w:r>
      <w:r w:rsidR="00F23C61">
        <w:rPr>
          <w:rFonts w:ascii="Arial"/>
          <w:b/>
          <w:i/>
          <w:color w:val="7F3F98"/>
          <w:sz w:val="19"/>
          <w:lang w:eastAsia="ja-JP"/>
        </w:rPr>
        <w:t>09</w:t>
      </w:r>
      <w:r w:rsidR="00F23C61">
        <w:rPr>
          <w:rFonts w:ascii="Arial"/>
          <w:b/>
          <w:i/>
          <w:color w:val="7F3F98"/>
          <w:spacing w:val="15"/>
          <w:sz w:val="19"/>
          <w:lang w:eastAsia="ja-JP"/>
        </w:rPr>
        <w:t xml:space="preserve"> </w:t>
      </w:r>
      <w:r w:rsidR="00F23C61">
        <w:rPr>
          <w:rFonts w:ascii="Arial"/>
          <w:i/>
          <w:color w:val="545456"/>
          <w:sz w:val="19"/>
          <w:lang w:eastAsia="ja-JP"/>
        </w:rPr>
        <w:t>Allocation</w:t>
      </w:r>
    </w:p>
    <w:p w14:paraId="3C26F70F" w14:textId="77777777" w:rsidR="0055291C" w:rsidRDefault="0055291C">
      <w:pPr>
        <w:pStyle w:val="a3"/>
        <w:rPr>
          <w:rFonts w:ascii="Arial"/>
          <w:i/>
          <w:sz w:val="20"/>
          <w:lang w:eastAsia="ja-JP"/>
        </w:rPr>
      </w:pPr>
    </w:p>
    <w:p w14:paraId="3DE0D809" w14:textId="77777777" w:rsidR="0055291C" w:rsidRDefault="0055291C">
      <w:pPr>
        <w:pStyle w:val="a3"/>
        <w:spacing w:before="5"/>
        <w:rPr>
          <w:rFonts w:ascii="Arial"/>
          <w:i/>
          <w:sz w:val="25"/>
          <w:lang w:eastAsia="ja-JP"/>
        </w:rPr>
      </w:pPr>
    </w:p>
    <w:p w14:paraId="75CCA616" w14:textId="77777777" w:rsidR="0055291C" w:rsidRDefault="0055291C">
      <w:pPr>
        <w:rPr>
          <w:rFonts w:ascii="Arial"/>
          <w:sz w:val="25"/>
          <w:lang w:eastAsia="ja-JP"/>
        </w:rPr>
        <w:sectPr w:rsidR="0055291C">
          <w:headerReference w:type="default" r:id="rId225"/>
          <w:pgSz w:w="12240" w:h="15840"/>
          <w:pgMar w:top="0" w:right="0" w:bottom="1040" w:left="0" w:header="0" w:footer="859" w:gutter="0"/>
          <w:cols w:space="720"/>
        </w:sectPr>
      </w:pPr>
    </w:p>
    <w:p w14:paraId="470C8B82" w14:textId="608F71B2" w:rsidR="0055291C" w:rsidRPr="00554E5F" w:rsidRDefault="00554E5F">
      <w:pPr>
        <w:spacing w:before="99" w:line="307" w:lineRule="auto"/>
        <w:ind w:left="1133"/>
        <w:rPr>
          <w:rFonts w:ascii="ＭＳ ゴシック" w:eastAsia="ＭＳ ゴシック" w:hAnsi="ＭＳ ゴシック"/>
          <w:iCs/>
          <w:sz w:val="19"/>
          <w:lang w:eastAsia="ja-JP"/>
        </w:rPr>
      </w:pPr>
      <w:r w:rsidRPr="00554E5F">
        <w:rPr>
          <w:rFonts w:ascii="ＭＳ ゴシック" w:eastAsia="ＭＳ ゴシック" w:hAnsi="ＭＳ ゴシック" w:cs="ＭＳ ゴシック" w:hint="eastAsia"/>
          <w:iCs/>
          <w:color w:val="545456"/>
          <w:w w:val="95"/>
          <w:sz w:val="19"/>
          <w:lang w:eastAsia="ja-JP"/>
        </w:rPr>
        <w:t>生み出すことが分かっていない場合や、電力代替のデータとして限界排出係数が使われている場合は、システム拡張は適切ではありません。</w:t>
      </w:r>
    </w:p>
    <w:p w14:paraId="4750DB42" w14:textId="29D263DA" w:rsidR="0055291C" w:rsidRDefault="00694FD8">
      <w:pPr>
        <w:pStyle w:val="7"/>
        <w:numPr>
          <w:ilvl w:val="2"/>
          <w:numId w:val="41"/>
        </w:numPr>
        <w:tabs>
          <w:tab w:val="left" w:pos="1853"/>
          <w:tab w:val="left" w:pos="1854"/>
        </w:tabs>
        <w:spacing w:before="132"/>
        <w:ind w:left="1853" w:hanging="721"/>
        <w:jc w:val="left"/>
      </w:pPr>
      <w:r>
        <w:rPr>
          <w:rFonts w:ascii="ＭＳ 明朝" w:eastAsia="ＭＳ 明朝" w:hAnsi="ＭＳ 明朝" w:cs="ＭＳ 明朝" w:hint="eastAsia"/>
          <w:color w:val="00B8B1"/>
          <w:spacing w:val="-1"/>
          <w:lang w:eastAsia="ja-JP"/>
        </w:rPr>
        <w:t>割り当ての適用</w:t>
      </w:r>
    </w:p>
    <w:p w14:paraId="03F85570" w14:textId="534ED43B" w:rsidR="0055291C" w:rsidRDefault="00694FD8">
      <w:pPr>
        <w:spacing w:before="68"/>
        <w:ind w:left="1133"/>
        <w:rPr>
          <w:rFonts w:ascii="Arial"/>
          <w:b/>
          <w:i/>
          <w:sz w:val="18"/>
        </w:rPr>
      </w:pPr>
      <w:r>
        <w:rPr>
          <w:rFonts w:ascii="ＭＳ ゴシック" w:eastAsia="ＭＳ ゴシック" w:hAnsi="ＭＳ ゴシック" w:cs="ＭＳ ゴシック" w:hint="eastAsia"/>
          <w:b/>
          <w:i/>
          <w:color w:val="7F3F98"/>
          <w:sz w:val="18"/>
          <w:lang w:eastAsia="ja-JP"/>
        </w:rPr>
        <w:t>物理的割り当て</w:t>
      </w:r>
    </w:p>
    <w:p w14:paraId="326BB53D" w14:textId="77777777" w:rsidR="00694FD8" w:rsidRDefault="00694FD8" w:rsidP="00694FD8">
      <w:pPr>
        <w:tabs>
          <w:tab w:val="left" w:pos="1394"/>
        </w:tabs>
        <w:spacing w:before="50"/>
        <w:ind w:leftChars="515" w:left="1133" w:firstLineChars="100" w:firstLine="190"/>
        <w:rPr>
          <w:rFonts w:ascii="ＭＳ ゴシック" w:eastAsia="ＭＳ ゴシック" w:hAnsi="ＭＳ ゴシック" w:cs="ＭＳ ゴシック"/>
          <w:sz w:val="19"/>
          <w:szCs w:val="19"/>
          <w:lang w:eastAsia="ja-JP"/>
        </w:rPr>
      </w:pPr>
      <w:r w:rsidRPr="00694FD8">
        <w:rPr>
          <w:rFonts w:ascii="ＭＳ ゴシック" w:eastAsia="ＭＳ ゴシック" w:hAnsi="ＭＳ ゴシック" w:cs="ＭＳ ゴシック" w:hint="eastAsia"/>
          <w:sz w:val="19"/>
          <w:szCs w:val="19"/>
          <w:lang w:eastAsia="ja-JP"/>
        </w:rPr>
        <w:t>物理的配分を行う場合、選択する係数は、調査した製品、副産物、</w:t>
      </w:r>
      <w:r w:rsidRPr="00694FD8">
        <w:rPr>
          <w:sz w:val="19"/>
          <w:szCs w:val="19"/>
          <w:lang w:eastAsia="ja-JP"/>
        </w:rPr>
        <w:t xml:space="preserve"> </w:t>
      </w:r>
      <w:r w:rsidRPr="00694FD8">
        <w:rPr>
          <w:rFonts w:ascii="ＭＳ ゴシック" w:eastAsia="ＭＳ ゴシック" w:hAnsi="ＭＳ ゴシック" w:cs="ＭＳ ゴシック" w:hint="eastAsia"/>
          <w:sz w:val="19"/>
          <w:szCs w:val="19"/>
          <w:lang w:eastAsia="ja-JP"/>
        </w:rPr>
        <w:t>工程の排出と除去の間の基礎となる物理的関係を最も正確に反映するものであるべきです。例えば、工程の生産物の質量が排出と除去の量を決定する場合、エネルギー含有率の係数を選択しても、</w:t>
      </w:r>
      <w:r w:rsidRPr="00694FD8">
        <w:rPr>
          <w:sz w:val="19"/>
          <w:szCs w:val="19"/>
          <w:lang w:eastAsia="ja-JP"/>
        </w:rPr>
        <w:t xml:space="preserve"> </w:t>
      </w:r>
      <w:r w:rsidRPr="00694FD8">
        <w:rPr>
          <w:rFonts w:ascii="ＭＳ ゴシック" w:eastAsia="ＭＳ ゴシック" w:hAnsi="ＭＳ ゴシック" w:cs="ＭＳ ゴシック" w:hint="eastAsia"/>
          <w:sz w:val="19"/>
          <w:szCs w:val="19"/>
          <w:lang w:eastAsia="ja-JP"/>
        </w:rPr>
        <w:t>最も正確な配分を提供することはできないでしょう。物理的配分係数の例としては、以下のようなものがあります</w:t>
      </w:r>
      <w:r w:rsidRPr="00694FD8">
        <w:rPr>
          <w:sz w:val="19"/>
          <w:szCs w:val="19"/>
          <w:lang w:eastAsia="ja-JP"/>
        </w:rPr>
        <w:t xml:space="preserve"> </w:t>
      </w:r>
      <w:r w:rsidRPr="00694FD8">
        <w:rPr>
          <w:rFonts w:ascii="ＭＳ ゴシック" w:eastAsia="ＭＳ ゴシック" w:hAnsi="ＭＳ ゴシック" w:cs="ＭＳ ゴシック" w:hint="eastAsia"/>
          <w:sz w:val="19"/>
          <w:szCs w:val="19"/>
          <w:lang w:eastAsia="ja-JP"/>
        </w:rPr>
        <w:t>。</w:t>
      </w:r>
    </w:p>
    <w:p w14:paraId="1969FBAA" w14:textId="1E4BEBC0" w:rsidR="00694FD8" w:rsidRPr="00694FD8" w:rsidRDefault="00694FD8">
      <w:pPr>
        <w:pStyle w:val="a5"/>
        <w:numPr>
          <w:ilvl w:val="3"/>
          <w:numId w:val="76"/>
        </w:numPr>
        <w:tabs>
          <w:tab w:val="left" w:pos="1394"/>
        </w:tabs>
        <w:spacing w:before="50"/>
        <w:ind w:left="1560"/>
        <w:rPr>
          <w:sz w:val="19"/>
          <w:lang w:eastAsia="ja-JP"/>
        </w:rPr>
      </w:pPr>
      <w:r w:rsidRPr="00694FD8">
        <w:rPr>
          <w:rFonts w:ascii="ＭＳ ゴシック" w:eastAsia="ＭＳ ゴシック" w:hAnsi="ＭＳ ゴシック" w:cs="ＭＳ ゴシック" w:hint="eastAsia"/>
          <w:sz w:val="19"/>
          <w:szCs w:val="19"/>
          <w:lang w:eastAsia="ja-JP"/>
        </w:rPr>
        <w:t>副産物の生産量</w:t>
      </w:r>
    </w:p>
    <w:p w14:paraId="5A89C319" w14:textId="77777777" w:rsidR="00694FD8" w:rsidRPr="00694FD8" w:rsidRDefault="00694FD8">
      <w:pPr>
        <w:pStyle w:val="a5"/>
        <w:numPr>
          <w:ilvl w:val="3"/>
          <w:numId w:val="76"/>
        </w:numPr>
        <w:tabs>
          <w:tab w:val="left" w:pos="1394"/>
        </w:tabs>
        <w:spacing w:before="50"/>
        <w:ind w:left="1560"/>
        <w:rPr>
          <w:sz w:val="19"/>
          <w:lang w:eastAsia="ja-JP"/>
        </w:rPr>
      </w:pPr>
      <w:r w:rsidRPr="00694FD8">
        <w:rPr>
          <w:rFonts w:ascii="ＭＳ ゴシック" w:eastAsia="ＭＳ ゴシック" w:hAnsi="ＭＳ ゴシック" w:cs="ＭＳ ゴシック" w:hint="eastAsia"/>
          <w:sz w:val="19"/>
          <w:szCs w:val="19"/>
          <w:lang w:eastAsia="ja-JP"/>
        </w:rPr>
        <w:t>貨物輸送量</w:t>
      </w:r>
    </w:p>
    <w:p w14:paraId="12BCB967" w14:textId="77777777" w:rsidR="00694FD8" w:rsidRPr="00694FD8" w:rsidRDefault="00694FD8">
      <w:pPr>
        <w:pStyle w:val="a5"/>
        <w:numPr>
          <w:ilvl w:val="3"/>
          <w:numId w:val="76"/>
        </w:numPr>
        <w:tabs>
          <w:tab w:val="left" w:pos="1394"/>
        </w:tabs>
        <w:spacing w:before="50"/>
        <w:ind w:left="1560"/>
        <w:rPr>
          <w:sz w:val="19"/>
          <w:lang w:eastAsia="ja-JP"/>
        </w:rPr>
      </w:pPr>
      <w:r w:rsidRPr="00694FD8">
        <w:rPr>
          <w:rFonts w:ascii="ＭＳ ゴシック" w:eastAsia="ＭＳ ゴシック" w:hAnsi="ＭＳ ゴシック" w:cs="ＭＳ ゴシック" w:hint="eastAsia"/>
          <w:sz w:val="19"/>
          <w:szCs w:val="19"/>
          <w:lang w:eastAsia="ja-JP"/>
        </w:rPr>
        <w:t>熱電併産品のエネルギー量</w:t>
      </w:r>
    </w:p>
    <w:p w14:paraId="62C944CC" w14:textId="77777777" w:rsidR="00694FD8" w:rsidRPr="00694FD8" w:rsidRDefault="00694FD8">
      <w:pPr>
        <w:pStyle w:val="a5"/>
        <w:numPr>
          <w:ilvl w:val="3"/>
          <w:numId w:val="76"/>
        </w:numPr>
        <w:tabs>
          <w:tab w:val="left" w:pos="1394"/>
        </w:tabs>
        <w:spacing w:before="50"/>
        <w:ind w:left="1560"/>
        <w:rPr>
          <w:sz w:val="19"/>
          <w:lang w:eastAsia="ja-JP"/>
        </w:rPr>
      </w:pPr>
      <w:r w:rsidRPr="00694FD8">
        <w:rPr>
          <w:rFonts w:ascii="ＭＳ ゴシック" w:eastAsia="ＭＳ ゴシック" w:hAnsi="ＭＳ ゴシック" w:cs="ＭＳ ゴシック" w:hint="eastAsia"/>
          <w:sz w:val="19"/>
          <w:szCs w:val="19"/>
          <w:lang w:eastAsia="ja-JP"/>
        </w:rPr>
        <w:t>生産台数</w:t>
      </w:r>
    </w:p>
    <w:p w14:paraId="2E44C91A" w14:textId="77777777" w:rsidR="00694FD8" w:rsidRPr="00694FD8" w:rsidRDefault="00694FD8">
      <w:pPr>
        <w:pStyle w:val="a5"/>
        <w:numPr>
          <w:ilvl w:val="3"/>
          <w:numId w:val="76"/>
        </w:numPr>
        <w:tabs>
          <w:tab w:val="left" w:pos="1394"/>
        </w:tabs>
        <w:spacing w:before="50"/>
        <w:ind w:left="1560"/>
        <w:rPr>
          <w:sz w:val="19"/>
          <w:lang w:eastAsia="ja-JP"/>
        </w:rPr>
      </w:pPr>
      <w:r w:rsidRPr="00694FD8">
        <w:rPr>
          <w:rFonts w:ascii="ＭＳ ゴシック" w:eastAsia="ＭＳ ゴシック" w:hAnsi="ＭＳ ゴシック" w:cs="ＭＳ ゴシック" w:hint="eastAsia"/>
          <w:sz w:val="19"/>
          <w:szCs w:val="19"/>
          <w:lang w:eastAsia="ja-JP"/>
        </w:rPr>
        <w:t>食品副産物の蛋白質含有量</w:t>
      </w:r>
    </w:p>
    <w:p w14:paraId="431A7B7D" w14:textId="5878D308" w:rsidR="0055291C" w:rsidRPr="00694FD8" w:rsidRDefault="00694FD8">
      <w:pPr>
        <w:pStyle w:val="a5"/>
        <w:numPr>
          <w:ilvl w:val="3"/>
          <w:numId w:val="76"/>
        </w:numPr>
        <w:tabs>
          <w:tab w:val="left" w:pos="1394"/>
        </w:tabs>
        <w:spacing w:before="50"/>
        <w:ind w:left="1560"/>
        <w:rPr>
          <w:sz w:val="19"/>
          <w:lang w:eastAsia="ja-JP"/>
        </w:rPr>
      </w:pPr>
      <w:r w:rsidRPr="00694FD8">
        <w:rPr>
          <w:rFonts w:ascii="ＭＳ ゴシック" w:eastAsia="ＭＳ ゴシック" w:hAnsi="ＭＳ ゴシック" w:cs="ＭＳ ゴシック" w:hint="eastAsia"/>
          <w:sz w:val="19"/>
          <w:szCs w:val="19"/>
          <w:lang w:eastAsia="ja-JP"/>
        </w:rPr>
        <w:t>化学成分</w:t>
      </w:r>
    </w:p>
    <w:p w14:paraId="6A004705" w14:textId="4BB6AC8C" w:rsidR="0055291C" w:rsidRDefault="00F23C61">
      <w:pPr>
        <w:spacing w:before="108"/>
        <w:ind w:left="401"/>
        <w:rPr>
          <w:rFonts w:ascii="Arial"/>
          <w:b/>
          <w:i/>
          <w:sz w:val="18"/>
        </w:rPr>
      </w:pPr>
      <w:r>
        <w:rPr>
          <w:lang w:eastAsia="ja-JP"/>
        </w:rPr>
        <w:br w:type="column"/>
      </w:r>
      <w:r w:rsidR="00694FD8">
        <w:rPr>
          <w:rFonts w:ascii="ＭＳ ゴシック" w:eastAsia="ＭＳ ゴシック" w:hAnsi="ＭＳ ゴシック" w:cs="ＭＳ ゴシック" w:hint="eastAsia"/>
          <w:b/>
          <w:i/>
          <w:color w:val="7F3F98"/>
          <w:w w:val="95"/>
          <w:sz w:val="18"/>
          <w:lang w:eastAsia="ja-JP"/>
        </w:rPr>
        <w:t>経済的割り当て</w:t>
      </w:r>
    </w:p>
    <w:p w14:paraId="27B17823" w14:textId="2099819F" w:rsidR="0055291C" w:rsidRDefault="00000000" w:rsidP="00694FD8">
      <w:pPr>
        <w:pStyle w:val="a3"/>
        <w:spacing w:before="67" w:line="312" w:lineRule="auto"/>
        <w:ind w:left="401" w:right="1031" w:firstLineChars="100" w:firstLine="190"/>
        <w:rPr>
          <w:lang w:eastAsia="ja-JP"/>
        </w:rPr>
      </w:pPr>
      <w:r>
        <w:pict w14:anchorId="35F282D7">
          <v:shape id="docshape1093" o:spid="_x0000_s2734" type="#_x0000_t202" style="position:absolute;left:0;text-align:left;margin-left:585.65pt;margin-top:34.5pt;width:17.7pt;height:119.1pt;z-index:251609600;mso-position-horizontal-relative:page" filled="f" stroked="f">
            <v:textbox style="layout-flow:vertical;mso-layout-flow-alt:bottom-to-top;mso-next-textbox:#docshape1093" inset="0,0,0,0">
              <w:txbxContent>
                <w:p w14:paraId="0A32DB21"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v:shape>
        </w:pict>
      </w:r>
      <w:r w:rsidR="00694FD8">
        <w:rPr>
          <w:rFonts w:ascii="ＭＳ ゴシック" w:eastAsia="ＭＳ ゴシック" w:hAnsi="ＭＳ ゴシック" w:cs="ＭＳ ゴシック" w:hint="eastAsia"/>
          <w:lang w:eastAsia="ja-JP"/>
        </w:rPr>
        <w:t>経済的配分とは、ある共通のプロセスから排出される排出物を、複数の</w:t>
      </w:r>
      <w:r w:rsidR="005D7AAB">
        <w:rPr>
          <w:rFonts w:ascii="ＭＳ ゴシック" w:eastAsia="ＭＳ ゴシック" w:hAnsi="ＭＳ ゴシック" w:cs="ＭＳ ゴシック" w:hint="eastAsia"/>
          <w:lang w:eastAsia="ja-JP"/>
        </w:rPr>
        <w:t>生産工程</w:t>
      </w:r>
      <w:r w:rsidR="00694FD8">
        <w:rPr>
          <w:rFonts w:ascii="ＭＳ ゴシック" w:eastAsia="ＭＳ ゴシック" w:hAnsi="ＭＳ ゴシック" w:cs="ＭＳ ゴシック" w:hint="eastAsia"/>
          <w:lang w:eastAsia="ja-JP"/>
        </w:rPr>
        <w:t>から排出される製品の経済価値</w:t>
      </w:r>
      <w:r w:rsidR="00694FD8">
        <w:rPr>
          <w:lang w:eastAsia="ja-JP"/>
        </w:rPr>
        <w:t xml:space="preserve"> </w:t>
      </w:r>
      <w:r w:rsidR="00694FD8">
        <w:rPr>
          <w:rFonts w:ascii="ＭＳ ゴシック" w:eastAsia="ＭＳ ゴシック" w:hAnsi="ＭＳ ゴシック" w:cs="ＭＳ ゴシック" w:hint="eastAsia"/>
          <w:lang w:eastAsia="ja-JP"/>
        </w:rPr>
        <w:t>に従って、調査対象の製品および副産物に配分することで</w:t>
      </w:r>
      <w:r w:rsidR="00694FD8">
        <w:rPr>
          <w:lang w:eastAsia="ja-JP"/>
        </w:rPr>
        <w:t xml:space="preserve"> </w:t>
      </w:r>
      <w:r w:rsidR="005D7AAB">
        <w:rPr>
          <w:rFonts w:ascii="ＭＳ ゴシック" w:eastAsia="ＭＳ ゴシック" w:hAnsi="ＭＳ ゴシック" w:cs="ＭＳ ゴシック" w:hint="eastAsia"/>
          <w:lang w:eastAsia="ja-JP"/>
        </w:rPr>
        <w:t>す</w:t>
      </w:r>
      <w:r w:rsidR="00694FD8">
        <w:rPr>
          <w:rFonts w:ascii="ＭＳ ゴシック" w:eastAsia="ＭＳ ゴシック" w:hAnsi="ＭＳ ゴシック" w:cs="ＭＳ ゴシック" w:hint="eastAsia"/>
          <w:lang w:eastAsia="ja-JP"/>
        </w:rPr>
        <w:t>。</w:t>
      </w:r>
    </w:p>
    <w:p w14:paraId="5848285A" w14:textId="2ACDEBA0" w:rsidR="0055291C" w:rsidRDefault="005D7AAB">
      <w:pPr>
        <w:pStyle w:val="a3"/>
        <w:spacing w:before="2" w:line="312" w:lineRule="auto"/>
        <w:ind w:left="401" w:right="1031"/>
        <w:rPr>
          <w:lang w:eastAsia="ja-JP"/>
        </w:rPr>
      </w:pPr>
      <w:r>
        <w:rPr>
          <w:rFonts w:ascii="ＭＳ ゴシック" w:eastAsia="ＭＳ ゴシック" w:hAnsi="ＭＳ ゴシック" w:cs="ＭＳ ゴシック" w:hint="eastAsia"/>
          <w:lang w:eastAsia="ja-JP"/>
        </w:rPr>
        <w:t>経済的配分係数を選択する際、企業は、副産物が共通の</w:t>
      </w:r>
      <w:r>
        <w:rPr>
          <w:lang w:eastAsia="ja-JP"/>
        </w:rPr>
        <w:t xml:space="preserve"> </w:t>
      </w:r>
      <w:r>
        <w:rPr>
          <w:rFonts w:ascii="ＭＳ ゴシック" w:eastAsia="ＭＳ ゴシック" w:hAnsi="ＭＳ ゴシック" w:cs="ＭＳ ゴシック" w:hint="eastAsia"/>
          <w:lang w:eastAsia="ja-JP"/>
        </w:rPr>
        <w:t>工程から出た後の価格（すなわち、さらなる加工前の価</w:t>
      </w:r>
      <w:r>
        <w:rPr>
          <w:lang w:eastAsia="ja-JP"/>
        </w:rPr>
        <w:t xml:space="preserve"> </w:t>
      </w:r>
      <w:r>
        <w:rPr>
          <w:rFonts w:ascii="ＭＳ ゴシック" w:eastAsia="ＭＳ ゴシック" w:hAnsi="ＭＳ ゴシック" w:cs="ＭＳ ゴシック" w:hint="eastAsia"/>
          <w:lang w:eastAsia="ja-JP"/>
        </w:rPr>
        <w:t>値）を直接使用すべきです。この直接価格が入手できない、あるいは評価できない場合は、市場価格やライフサイクルの後の時点の価格を使用してもよいですが</w:t>
      </w:r>
      <w:r>
        <w:rPr>
          <w:lang w:eastAsia="ja-JP"/>
        </w:rPr>
        <w:t xml:space="preserve"> </w:t>
      </w:r>
      <w:r>
        <w:rPr>
          <w:rFonts w:ascii="ＭＳ ゴシック" w:eastAsia="ＭＳ ゴシック" w:hAnsi="ＭＳ ゴシック" w:cs="ＭＳ ゴシック" w:hint="eastAsia"/>
          <w:lang w:eastAsia="ja-JP"/>
        </w:rPr>
        <w:t>、下流部門でのコストは可能な限り差し引くべきです。市場価格とは、商業市場におけるその製品の価値のことです。</w:t>
      </w:r>
    </w:p>
    <w:p w14:paraId="6340E799" w14:textId="4655A022" w:rsidR="0055291C" w:rsidRDefault="005D7AAB">
      <w:pPr>
        <w:spacing w:before="149"/>
        <w:ind w:left="401"/>
        <w:rPr>
          <w:rFonts w:ascii="Arial"/>
          <w:b/>
          <w:i/>
          <w:sz w:val="18"/>
          <w:lang w:eastAsia="ja-JP"/>
        </w:rPr>
      </w:pPr>
      <w:r>
        <w:rPr>
          <w:rFonts w:ascii="ＭＳ ゴシック" w:eastAsia="ＭＳ ゴシック" w:hAnsi="ＭＳ ゴシック" w:cs="ＭＳ ゴシック" w:hint="eastAsia"/>
          <w:b/>
          <w:i/>
          <w:color w:val="7F3F98"/>
          <w:sz w:val="18"/>
          <w:lang w:eastAsia="ja-JP"/>
        </w:rPr>
        <w:t>その他の関係</w:t>
      </w:r>
    </w:p>
    <w:p w14:paraId="4C01CFCB" w14:textId="341F5D15" w:rsidR="0055291C" w:rsidRDefault="005D7AAB">
      <w:pPr>
        <w:pStyle w:val="a3"/>
        <w:spacing w:before="66" w:line="312" w:lineRule="auto"/>
        <w:ind w:left="401" w:right="1286"/>
        <w:rPr>
          <w:lang w:eastAsia="ja-JP"/>
        </w:rPr>
      </w:pPr>
      <w:r>
        <w:rPr>
          <w:rFonts w:ascii="ＭＳ ゴシック" w:eastAsia="ＭＳ ゴシック" w:hAnsi="ＭＳ ゴシック" w:cs="ＭＳ ゴシック" w:hint="eastAsia"/>
          <w:lang w:eastAsia="ja-JP"/>
        </w:rPr>
        <w:t>その他の関係による配分方法は、物理的配分も経済的</w:t>
      </w:r>
      <w:r>
        <w:rPr>
          <w:lang w:eastAsia="ja-JP"/>
        </w:rPr>
        <w:t xml:space="preserve"> </w:t>
      </w:r>
      <w:r>
        <w:rPr>
          <w:rFonts w:ascii="ＭＳ ゴシック" w:eastAsia="ＭＳ ゴシック" w:hAnsi="ＭＳ ゴシック" w:cs="ＭＳ ゴシック" w:hint="eastAsia"/>
          <w:lang w:eastAsia="ja-JP"/>
        </w:rPr>
        <w:t>配分も適用できない場合に、排出量を配分するための慣例や規範として確立されたセクター、企業、学会などの情報源を利用するものです。</w:t>
      </w:r>
    </w:p>
    <w:p w14:paraId="7C8D7835" w14:textId="27EB71B1" w:rsidR="0055291C" w:rsidRDefault="00737281" w:rsidP="008A6EFD">
      <w:pPr>
        <w:pStyle w:val="a3"/>
        <w:spacing w:before="142" w:line="312" w:lineRule="auto"/>
        <w:ind w:left="401" w:right="1452" w:firstLineChars="100" w:firstLine="189"/>
        <w:rPr>
          <w:lang w:eastAsia="ja-JP"/>
        </w:rPr>
      </w:pPr>
      <w:r w:rsidRPr="00737281">
        <w:rPr>
          <w:rFonts w:ascii="ＭＳ ゴシック" w:eastAsia="ＭＳ ゴシック" w:hAnsi="ＭＳ ゴシック" w:cs="ＭＳ ゴシック" w:hint="eastAsia"/>
          <w:color w:val="545456"/>
          <w:spacing w:val="-1"/>
          <w:lang w:eastAsia="ja-JP"/>
        </w:rPr>
        <w:t>確立された慣例がなく、他の配分方法が共通のプロセスに適用できない場合、企業は配分方法を選択するために、共通のプロセスで仮定を行うことがで</w:t>
      </w:r>
    </w:p>
    <w:p w14:paraId="5A4984CF"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821" w:space="40"/>
            <w:col w:w="6379"/>
          </w:cols>
        </w:sectPr>
      </w:pPr>
    </w:p>
    <w:p w14:paraId="5178E745" w14:textId="77777777" w:rsidR="0055291C" w:rsidRDefault="0055291C">
      <w:pPr>
        <w:pStyle w:val="a3"/>
        <w:rPr>
          <w:sz w:val="20"/>
          <w:lang w:eastAsia="ja-JP"/>
        </w:rPr>
      </w:pPr>
    </w:p>
    <w:p w14:paraId="264D1563" w14:textId="77777777" w:rsidR="0055291C" w:rsidRDefault="0055291C">
      <w:pPr>
        <w:pStyle w:val="a3"/>
        <w:rPr>
          <w:sz w:val="23"/>
          <w:lang w:eastAsia="ja-JP"/>
        </w:rPr>
      </w:pPr>
    </w:p>
    <w:p w14:paraId="763A5034" w14:textId="5D9AF1B1" w:rsidR="0055291C" w:rsidRDefault="00000000">
      <w:pPr>
        <w:pStyle w:val="5"/>
        <w:spacing w:before="1"/>
        <w:ind w:left="1501"/>
      </w:pPr>
      <w:r>
        <w:rPr>
          <w:color w:val="FFFFFF" w:themeColor="background1"/>
        </w:rPr>
        <w:pict w14:anchorId="339250AB">
          <v:group id="docshapegroup1094" o:spid="_x0000_s2729" style="position:absolute;left:0;text-align:left;margin-left:52.25pt;margin-top:-6.65pt;width:506.5pt;height:292.5pt;z-index:-251565568;mso-position-horizontal-relative:page" coordorigin="1045,-133" coordsize="10130,5850">
            <v:shape id="docshape1095" o:spid="_x0000_s2733" style="position:absolute;left:1121;top:339;width:9973;height:5377" coordorigin="1122,340" coordsize="9973,5377" path="m11094,340r-9972,l1122,5490r3,131l1150,5688r67,25l1348,5717r9519,l10998,5713r68,-25l11090,5621r4,-131l11094,340xe" fillcolor="#f3f4f4" stroked="f">
              <v:path arrowok="t"/>
            </v:shape>
            <v:shape id="docshape1096" o:spid="_x0000_s2732" style="position:absolute;left:1121;top:-134;width:9973;height:545" coordorigin="1122,-133" coordsize="9973,545" path="m10867,-133r-9519,l1217,-130r-67,25l1125,-38r-3,131l1122,411r9972,l11094,93r-4,-131l11066,-105r-68,-25l10867,-133xe" fillcolor="#00aca1" stroked="f">
              <v:path arrowok="t"/>
            </v:shape>
            <v:line id="_x0000_s2731" style="position:absolute" from="1045,427" to="11174,427" strokecolor="white" strokeweight="3pt"/>
            <v:rect id="docshape1097" o:spid="_x0000_s2730" style="position:absolute;left:1351;top:5338;width:2247;height:199" fillcolor="#6e6f71" stroked="f"/>
            <w10:wrap anchorx="page"/>
          </v:group>
        </w:pict>
      </w:r>
      <w:r w:rsidR="00467E8E" w:rsidRPr="00467E8E">
        <w:rPr>
          <w:color w:val="FFFFFF" w:themeColor="background1"/>
          <w:spacing w:val="-4"/>
          <w:sz w:val="18"/>
          <w:lang w:eastAsia="ja-JP"/>
        </w:rPr>
        <w:t>Just BARE®</w:t>
      </w:r>
      <w:r w:rsidR="00467E8E" w:rsidRPr="00467E8E">
        <w:rPr>
          <w:rFonts w:ascii="ＭＳ 明朝" w:eastAsia="ＭＳ 明朝" w:hAnsi="ＭＳ 明朝" w:cs="ＭＳ 明朝" w:hint="eastAsia"/>
          <w:color w:val="FFFFFF" w:themeColor="background1"/>
          <w:spacing w:val="-4"/>
          <w:sz w:val="18"/>
          <w:lang w:eastAsia="ja-JP"/>
        </w:rPr>
        <w:t>チキンを製造するGNP社</w:t>
      </w:r>
    </w:p>
    <w:p w14:paraId="3623C18B" w14:textId="77777777" w:rsidR="0055291C" w:rsidRDefault="0055291C">
      <w:pPr>
        <w:pStyle w:val="a3"/>
        <w:spacing w:before="1"/>
        <w:rPr>
          <w:rFonts w:ascii="Arial"/>
          <w:b/>
          <w:i/>
          <w:sz w:val="25"/>
        </w:rPr>
      </w:pPr>
    </w:p>
    <w:p w14:paraId="14C4C5A5" w14:textId="77777777" w:rsidR="0055291C" w:rsidRDefault="0055291C">
      <w:pPr>
        <w:rPr>
          <w:rFonts w:ascii="Arial"/>
          <w:sz w:val="25"/>
        </w:rPr>
        <w:sectPr w:rsidR="0055291C">
          <w:type w:val="continuous"/>
          <w:pgSz w:w="12240" w:h="15840"/>
          <w:pgMar w:top="740" w:right="0" w:bottom="280" w:left="0" w:header="0" w:footer="859" w:gutter="0"/>
          <w:cols w:space="720"/>
        </w:sectPr>
      </w:pPr>
    </w:p>
    <w:p w14:paraId="535AABA9" w14:textId="77777777" w:rsidR="00467E8E" w:rsidRPr="00467E8E" w:rsidRDefault="00467E8E" w:rsidP="00467E8E">
      <w:pPr>
        <w:spacing w:before="4" w:line="328" w:lineRule="auto"/>
        <w:ind w:left="1348" w:right="-1"/>
        <w:rPr>
          <w:color w:val="545456"/>
          <w:spacing w:val="-4"/>
          <w:sz w:val="18"/>
          <w:lang w:eastAsia="ja-JP"/>
        </w:rPr>
      </w:pPr>
      <w:r w:rsidRPr="00467E8E">
        <w:rPr>
          <w:rFonts w:ascii="ＭＳ ゴシック" w:eastAsia="ＭＳ ゴシック" w:hAnsi="ＭＳ ゴシック" w:cs="ＭＳ ゴシック" w:hint="eastAsia"/>
          <w:color w:val="545456"/>
          <w:spacing w:val="-4"/>
          <w:sz w:val="18"/>
          <w:lang w:eastAsia="ja-JP"/>
        </w:rPr>
        <w:t>米国の養鶏メーカー</w:t>
      </w:r>
      <w:r w:rsidRPr="00467E8E">
        <w:rPr>
          <w:color w:val="545456"/>
          <w:spacing w:val="-4"/>
          <w:sz w:val="18"/>
          <w:lang w:eastAsia="ja-JP"/>
        </w:rPr>
        <w:t>GNP</w:t>
      </w:r>
      <w:r w:rsidRPr="00467E8E">
        <w:rPr>
          <w:rFonts w:ascii="ＭＳ ゴシック" w:eastAsia="ＭＳ ゴシック" w:hAnsi="ＭＳ ゴシック" w:cs="ＭＳ ゴシック" w:hint="eastAsia"/>
          <w:color w:val="545456"/>
          <w:spacing w:val="-4"/>
          <w:sz w:val="18"/>
          <w:lang w:eastAsia="ja-JP"/>
        </w:rPr>
        <w:t>社は、</w:t>
      </w:r>
      <w:r w:rsidRPr="00467E8E">
        <w:rPr>
          <w:color w:val="545456"/>
          <w:spacing w:val="-4"/>
          <w:sz w:val="18"/>
          <w:lang w:eastAsia="ja-JP"/>
        </w:rPr>
        <w:t xml:space="preserve">Just BARE® </w:t>
      </w:r>
      <w:r w:rsidRPr="00467E8E">
        <w:rPr>
          <w:rFonts w:ascii="ＭＳ ゴシック" w:eastAsia="ＭＳ ゴシック" w:hAnsi="ＭＳ ゴシック" w:cs="ＭＳ ゴシック" w:hint="eastAsia"/>
          <w:color w:val="545456"/>
          <w:spacing w:val="-4"/>
          <w:sz w:val="18"/>
          <w:lang w:eastAsia="ja-JP"/>
        </w:rPr>
        <w:t>骨なし・皮</w:t>
      </w:r>
    </w:p>
    <w:p w14:paraId="14B941B6" w14:textId="04B832C9" w:rsidR="0055291C" w:rsidRPr="00467E8E" w:rsidRDefault="00467E8E" w:rsidP="00467E8E">
      <w:pPr>
        <w:spacing w:before="4" w:line="328" w:lineRule="auto"/>
        <w:ind w:left="1348" w:right="-1"/>
        <w:rPr>
          <w:color w:val="545456"/>
          <w:spacing w:val="-4"/>
          <w:sz w:val="18"/>
          <w:lang w:eastAsia="ja-JP"/>
        </w:rPr>
      </w:pPr>
      <w:r w:rsidRPr="00467E8E">
        <w:rPr>
          <w:rFonts w:ascii="ＭＳ ゴシック" w:eastAsia="ＭＳ ゴシック" w:hAnsi="ＭＳ ゴシック" w:cs="ＭＳ ゴシック" w:hint="eastAsia"/>
          <w:color w:val="545456"/>
          <w:spacing w:val="-4"/>
          <w:sz w:val="18"/>
          <w:lang w:eastAsia="ja-JP"/>
        </w:rPr>
        <w:t>なしチキンブレストの製品</w:t>
      </w:r>
      <w:r>
        <w:rPr>
          <w:rFonts w:ascii="ＭＳ ゴシック" w:eastAsia="ＭＳ ゴシック" w:hAnsi="ＭＳ ゴシック" w:cs="ＭＳ ゴシック" w:hint="eastAsia"/>
          <w:color w:val="545456"/>
          <w:spacing w:val="-4"/>
          <w:sz w:val="18"/>
          <w:lang w:eastAsia="ja-JP"/>
        </w:rPr>
        <w:t>排出量調査</w:t>
      </w:r>
      <w:r w:rsidRPr="00467E8E">
        <w:rPr>
          <w:rFonts w:ascii="ＭＳ ゴシック" w:eastAsia="ＭＳ ゴシック" w:hAnsi="ＭＳ ゴシック" w:cs="ＭＳ ゴシック" w:hint="eastAsia"/>
          <w:color w:val="545456"/>
          <w:spacing w:val="-4"/>
          <w:sz w:val="18"/>
          <w:lang w:eastAsia="ja-JP"/>
        </w:rPr>
        <w:t>を実施しました。</w:t>
      </w:r>
      <w:r w:rsidRPr="00467E8E">
        <w:rPr>
          <w:color w:val="545456"/>
          <w:spacing w:val="-4"/>
          <w:sz w:val="18"/>
          <w:lang w:eastAsia="ja-JP"/>
        </w:rPr>
        <w:t>Just BARE®</w:t>
      </w:r>
      <w:r w:rsidRPr="00467E8E">
        <w:rPr>
          <w:rFonts w:ascii="ＭＳ ゴシック" w:eastAsia="ＭＳ ゴシック" w:hAnsi="ＭＳ ゴシック" w:cs="ＭＳ ゴシック" w:hint="eastAsia"/>
          <w:color w:val="545456"/>
          <w:spacing w:val="-4"/>
          <w:sz w:val="18"/>
          <w:lang w:eastAsia="ja-JP"/>
        </w:rPr>
        <w:t>は、抗生物質を投与されず、特別なベジタリアン用飼料を与えられた鳥から生産された製品です。製品内容は、</w:t>
      </w:r>
      <w:r w:rsidRPr="00467E8E">
        <w:rPr>
          <w:color w:val="545456"/>
          <w:spacing w:val="-4"/>
          <w:sz w:val="18"/>
          <w:lang w:eastAsia="ja-JP"/>
        </w:rPr>
        <w:t>2</w:t>
      </w:r>
      <w:r w:rsidRPr="00467E8E">
        <w:rPr>
          <w:rFonts w:ascii="ＭＳ ゴシック" w:eastAsia="ＭＳ ゴシック" w:hAnsi="ＭＳ ゴシック" w:cs="ＭＳ ゴシック" w:hint="eastAsia"/>
          <w:color w:val="545456"/>
          <w:spacing w:val="-4"/>
          <w:sz w:val="18"/>
          <w:lang w:eastAsia="ja-JP"/>
        </w:rPr>
        <w:t>～</w:t>
      </w:r>
      <w:r w:rsidRPr="00467E8E">
        <w:rPr>
          <w:color w:val="545456"/>
          <w:spacing w:val="-4"/>
          <w:sz w:val="18"/>
          <w:lang w:eastAsia="ja-JP"/>
        </w:rPr>
        <w:t>3</w:t>
      </w:r>
      <w:r w:rsidRPr="00467E8E">
        <w:rPr>
          <w:rFonts w:ascii="ＭＳ ゴシック" w:eastAsia="ＭＳ ゴシック" w:hAnsi="ＭＳ ゴシック" w:cs="ＭＳ ゴシック" w:hint="eastAsia"/>
          <w:color w:val="545456"/>
          <w:spacing w:val="-4"/>
          <w:sz w:val="18"/>
          <w:lang w:eastAsia="ja-JP"/>
        </w:rPr>
        <w:t>個の鶏胸肉を小売用に個包装したものです。各パッケージは、米国本土の小売店から鶏が飼育された特定の農場まで追跡可能です。</w:t>
      </w:r>
    </w:p>
    <w:p w14:paraId="221A94DF" w14:textId="7E11ADC0" w:rsidR="0055291C" w:rsidRDefault="00F23C61">
      <w:pPr>
        <w:spacing w:before="102" w:line="328" w:lineRule="auto"/>
        <w:ind w:left="264" w:right="1402"/>
        <w:rPr>
          <w:sz w:val="18"/>
          <w:lang w:eastAsia="ja-JP"/>
        </w:rPr>
      </w:pPr>
      <w:r>
        <w:rPr>
          <w:lang w:eastAsia="ja-JP"/>
        </w:rPr>
        <w:br w:type="column"/>
      </w:r>
      <w:r>
        <w:rPr>
          <w:color w:val="545456"/>
          <w:spacing w:val="1"/>
          <w:sz w:val="18"/>
          <w:lang w:eastAsia="ja-JP"/>
        </w:rPr>
        <w:t xml:space="preserve"> </w:t>
      </w:r>
      <w:r w:rsidR="001B348F">
        <w:rPr>
          <w:rFonts w:ascii="ＭＳ ゴシック" w:eastAsia="ＭＳ ゴシック" w:hAnsi="ＭＳ ゴシック" w:cs="ＭＳ ゴシック" w:hint="eastAsia"/>
          <w:color w:val="545456"/>
          <w:spacing w:val="1"/>
          <w:sz w:val="18"/>
          <w:lang w:eastAsia="ja-JP"/>
        </w:rPr>
        <w:t xml:space="preserve">　</w:t>
      </w:r>
      <w:r w:rsidR="002262EA" w:rsidRPr="002262EA">
        <w:rPr>
          <w:rFonts w:ascii="ＭＳ ゴシック" w:eastAsia="ＭＳ ゴシック" w:hAnsi="ＭＳ ゴシック" w:cs="ＭＳ ゴシック" w:hint="eastAsia"/>
          <w:color w:val="545456"/>
          <w:sz w:val="18"/>
          <w:lang w:eastAsia="ja-JP"/>
        </w:rPr>
        <w:t>鶏のムネ肉は鶏肉全体の質量の</w:t>
      </w:r>
      <w:r w:rsidR="002262EA" w:rsidRPr="002262EA">
        <w:rPr>
          <w:color w:val="545456"/>
          <w:sz w:val="18"/>
          <w:lang w:eastAsia="ja-JP"/>
        </w:rPr>
        <w:t>16</w:t>
      </w:r>
      <w:r w:rsidR="002262EA" w:rsidRPr="002262EA">
        <w:rPr>
          <w:rFonts w:ascii="ＭＳ ゴシック" w:eastAsia="ＭＳ ゴシック" w:hAnsi="ＭＳ ゴシック" w:cs="ＭＳ ゴシック" w:hint="eastAsia"/>
          <w:color w:val="545456"/>
          <w:sz w:val="18"/>
          <w:lang w:eastAsia="ja-JP"/>
        </w:rPr>
        <w:t>％を占め、売上の約</w:t>
      </w:r>
      <w:r w:rsidR="002262EA" w:rsidRPr="002262EA">
        <w:rPr>
          <w:color w:val="545456"/>
          <w:sz w:val="18"/>
          <w:lang w:eastAsia="ja-JP"/>
        </w:rPr>
        <w:t>35</w:t>
      </w:r>
      <w:r w:rsidR="002262EA" w:rsidRPr="002262EA">
        <w:rPr>
          <w:rFonts w:ascii="ＭＳ ゴシック" w:eastAsia="ＭＳ ゴシック" w:hAnsi="ＭＳ ゴシック" w:cs="ＭＳ ゴシック" w:hint="eastAsia"/>
          <w:color w:val="545456"/>
          <w:sz w:val="18"/>
          <w:lang w:eastAsia="ja-JP"/>
        </w:rPr>
        <w:t>％を占めています。丸鶏からさまざまな製品が生まれますが、消費者の需要の大半は、骨なし皮なしのムネ肉です。他の生鮮鶏肉副産物であるヒレ、モモ、手羽元は、ムネ肉の生産なくしては成り立ちません。さらに、鶏肉の重量の約半分は、販売価格が低く、小売店では販売されない非食用部位で構成されています。そこで、</w:t>
      </w:r>
      <w:r w:rsidR="002262EA" w:rsidRPr="002262EA">
        <w:rPr>
          <w:rFonts w:ascii="ＭＳ ゴシック" w:eastAsia="ＭＳ ゴシック" w:hAnsi="ＭＳ ゴシック" w:cs="ＭＳ ゴシック"/>
          <w:color w:val="545456"/>
          <w:sz w:val="18"/>
          <w:lang w:eastAsia="ja-JP"/>
        </w:rPr>
        <w:t>GNP</w:t>
      </w:r>
      <w:r w:rsidR="002262EA" w:rsidRPr="002262EA">
        <w:rPr>
          <w:rFonts w:ascii="ＭＳ ゴシック" w:eastAsia="ＭＳ ゴシック" w:hAnsi="ＭＳ ゴシック" w:cs="ＭＳ ゴシック" w:hint="eastAsia"/>
          <w:color w:val="545456"/>
          <w:sz w:val="18"/>
          <w:lang w:eastAsia="ja-JP"/>
        </w:rPr>
        <w:t>社</w:t>
      </w:r>
    </w:p>
    <w:p w14:paraId="70CDF9DD" w14:textId="77777777" w:rsidR="0055291C" w:rsidRDefault="0055291C">
      <w:pPr>
        <w:spacing w:line="328" w:lineRule="auto"/>
        <w:rPr>
          <w:sz w:val="18"/>
          <w:lang w:eastAsia="ja-JP"/>
        </w:rPr>
        <w:sectPr w:rsidR="0055291C">
          <w:type w:val="continuous"/>
          <w:pgSz w:w="12240" w:h="15840"/>
          <w:pgMar w:top="740" w:right="0" w:bottom="280" w:left="0" w:header="0" w:footer="859" w:gutter="0"/>
          <w:cols w:num="2" w:space="720" w:equalWidth="0">
            <w:col w:w="5946" w:space="40"/>
            <w:col w:w="6254"/>
          </w:cols>
        </w:sectPr>
      </w:pPr>
    </w:p>
    <w:p w14:paraId="39C5B80E" w14:textId="5C029D6B" w:rsidR="0055291C" w:rsidRDefault="001B348F">
      <w:pPr>
        <w:spacing w:line="278" w:lineRule="auto"/>
        <w:ind w:left="1353"/>
        <w:rPr>
          <w:rFonts w:ascii="Arial"/>
          <w:b/>
          <w:i/>
          <w:sz w:val="24"/>
          <w:lang w:eastAsia="ja-JP"/>
        </w:rPr>
      </w:pPr>
      <w:r w:rsidRPr="001B348F">
        <w:rPr>
          <w:rFonts w:ascii="ＭＳ ゴシック" w:eastAsia="ＭＳ ゴシック" w:hAnsi="ＭＳ ゴシック" w:cs="ＭＳ ゴシック" w:hint="eastAsia"/>
          <w:b/>
          <w:bCs/>
          <w:color w:val="00ACA1"/>
          <w:sz w:val="28"/>
          <w:szCs w:val="40"/>
          <w:lang w:eastAsia="ja-JP"/>
        </w:rPr>
        <w:t>肉類別の正味販売価格データ</w:t>
      </w:r>
      <w:r w:rsidRPr="001B348F">
        <w:rPr>
          <w:b/>
          <w:bCs/>
          <w:color w:val="00ACA1"/>
          <w:sz w:val="28"/>
          <w:szCs w:val="40"/>
          <w:lang w:eastAsia="ja-JP"/>
        </w:rPr>
        <w:t xml:space="preserve"> </w:t>
      </w:r>
      <w:r w:rsidRPr="001B348F">
        <w:rPr>
          <w:rFonts w:ascii="ＭＳ ゴシック" w:eastAsia="ＭＳ ゴシック" w:hAnsi="ＭＳ ゴシック" w:cs="ＭＳ ゴシック" w:hint="eastAsia"/>
          <w:b/>
          <w:bCs/>
          <w:color w:val="00ACA1"/>
          <w:sz w:val="28"/>
          <w:szCs w:val="40"/>
          <w:lang w:eastAsia="ja-JP"/>
        </w:rPr>
        <w:t>の</w:t>
      </w:r>
      <w:r w:rsidRPr="001B348F">
        <w:rPr>
          <w:b/>
          <w:bCs/>
          <w:color w:val="00ACA1"/>
          <w:sz w:val="28"/>
          <w:szCs w:val="40"/>
          <w:lang w:eastAsia="ja-JP"/>
        </w:rPr>
        <w:t>1</w:t>
      </w:r>
      <w:r w:rsidRPr="001B348F">
        <w:rPr>
          <w:rFonts w:ascii="ＭＳ ゴシック" w:eastAsia="ＭＳ ゴシック" w:hAnsi="ＭＳ ゴシック" w:cs="ＭＳ ゴシック" w:hint="eastAsia"/>
          <w:b/>
          <w:bCs/>
          <w:color w:val="00ACA1"/>
          <w:sz w:val="28"/>
          <w:szCs w:val="40"/>
          <w:lang w:eastAsia="ja-JP"/>
        </w:rPr>
        <w:t>年間の平均をとり、経済的配分係数を決定しました</w:t>
      </w:r>
      <w:r>
        <w:rPr>
          <w:rFonts w:ascii="ＭＳ ゴシック" w:eastAsia="ＭＳ ゴシック" w:hAnsi="ＭＳ ゴシック" w:cs="ＭＳ ゴシック" w:hint="eastAsia"/>
          <w:b/>
          <w:bCs/>
          <w:color w:val="00ACA1"/>
          <w:sz w:val="28"/>
          <w:szCs w:val="40"/>
          <w:lang w:eastAsia="ja-JP"/>
        </w:rPr>
        <w:t>。</w:t>
      </w:r>
    </w:p>
    <w:p w14:paraId="6F7A9A04" w14:textId="36DFC897" w:rsidR="0055291C" w:rsidRDefault="00F23C61" w:rsidP="00467E8E">
      <w:pPr>
        <w:spacing w:before="3" w:line="328" w:lineRule="auto"/>
        <w:ind w:firstLineChars="100" w:firstLine="220"/>
        <w:rPr>
          <w:sz w:val="18"/>
          <w:lang w:eastAsia="ja-JP"/>
        </w:rPr>
      </w:pPr>
      <w:r>
        <w:rPr>
          <w:lang w:eastAsia="ja-JP"/>
        </w:rPr>
        <w:br w:type="column"/>
      </w:r>
      <w:r w:rsidR="00467E8E" w:rsidRPr="00467E8E">
        <w:rPr>
          <w:color w:val="545456"/>
          <w:sz w:val="18"/>
          <w:lang w:eastAsia="ja-JP"/>
        </w:rPr>
        <w:t>Just BARE®</w:t>
      </w:r>
      <w:r w:rsidR="00467E8E" w:rsidRPr="00467E8E">
        <w:rPr>
          <w:rFonts w:ascii="ＭＳ ゴシック" w:eastAsia="ＭＳ ゴシック" w:hAnsi="ＭＳ ゴシック" w:cs="ＭＳ ゴシック" w:hint="eastAsia"/>
          <w:color w:val="545456"/>
          <w:sz w:val="18"/>
          <w:lang w:eastAsia="ja-JP"/>
        </w:rPr>
        <w:t>や他のブランド製品のエネルギーや材料の投入量は、施設単位で確認することができます。</w:t>
      </w:r>
      <w:r w:rsidR="00467E8E" w:rsidRPr="00467E8E">
        <w:rPr>
          <w:color w:val="545456"/>
          <w:sz w:val="18"/>
          <w:lang w:eastAsia="ja-JP"/>
        </w:rPr>
        <w:t>GNP</w:t>
      </w:r>
      <w:r w:rsidR="00467E8E" w:rsidRPr="00467E8E">
        <w:rPr>
          <w:rFonts w:ascii="ＭＳ ゴシック" w:eastAsia="ＭＳ ゴシック" w:hAnsi="ＭＳ ゴシック" w:cs="ＭＳ ゴシック" w:hint="eastAsia"/>
          <w:color w:val="545456"/>
          <w:sz w:val="18"/>
          <w:lang w:eastAsia="ja-JP"/>
        </w:rPr>
        <w:t>カンパニーでは、全体割り当てと経済的割り当ての</w:t>
      </w:r>
      <w:r w:rsidR="00467E8E" w:rsidRPr="00467E8E">
        <w:rPr>
          <w:color w:val="545456"/>
          <w:sz w:val="18"/>
          <w:lang w:eastAsia="ja-JP"/>
        </w:rPr>
        <w:t>2</w:t>
      </w:r>
      <w:r w:rsidR="00467E8E" w:rsidRPr="00467E8E">
        <w:rPr>
          <w:rFonts w:ascii="ＭＳ ゴシック" w:eastAsia="ＭＳ ゴシック" w:hAnsi="ＭＳ ゴシック" w:cs="ＭＳ ゴシック" w:hint="eastAsia"/>
          <w:color w:val="545456"/>
          <w:sz w:val="18"/>
          <w:lang w:eastAsia="ja-JP"/>
        </w:rPr>
        <w:t>つを配分方法の候補として挙げています。</w:t>
      </w:r>
    </w:p>
    <w:p w14:paraId="4D737540" w14:textId="40F6C9A5" w:rsidR="0055291C" w:rsidRDefault="00F23C61">
      <w:pPr>
        <w:spacing w:before="3" w:line="328" w:lineRule="auto"/>
        <w:ind w:left="359" w:right="1482"/>
        <w:rPr>
          <w:sz w:val="18"/>
          <w:lang w:eastAsia="ja-JP"/>
        </w:rPr>
      </w:pPr>
      <w:r>
        <w:rPr>
          <w:lang w:eastAsia="ja-JP"/>
        </w:rPr>
        <w:br w:type="column"/>
      </w:r>
      <w:r w:rsidR="002262EA" w:rsidRPr="002262EA">
        <w:rPr>
          <w:rFonts w:ascii="ＭＳ ゴシック" w:eastAsia="ＭＳ ゴシック" w:hAnsi="ＭＳ ゴシック" w:cs="ＭＳ ゴシック" w:hint="eastAsia"/>
          <w:color w:val="545456"/>
          <w:sz w:val="18"/>
          <w:lang w:eastAsia="ja-JP"/>
        </w:rPr>
        <w:t>は経済的</w:t>
      </w:r>
      <w:r w:rsidR="002262EA">
        <w:rPr>
          <w:rFonts w:ascii="ＭＳ ゴシック" w:eastAsia="ＭＳ ゴシック" w:hAnsi="ＭＳ ゴシック" w:cs="ＭＳ ゴシック" w:hint="eastAsia"/>
          <w:color w:val="545456"/>
          <w:sz w:val="18"/>
          <w:lang w:eastAsia="ja-JP"/>
        </w:rPr>
        <w:t>割り当て</w:t>
      </w:r>
      <w:r w:rsidR="002262EA" w:rsidRPr="002262EA">
        <w:rPr>
          <w:rFonts w:ascii="ＭＳ ゴシック" w:eastAsia="ＭＳ ゴシック" w:hAnsi="ＭＳ ゴシック" w:cs="ＭＳ ゴシック" w:hint="eastAsia"/>
          <w:color w:val="545456"/>
          <w:sz w:val="18"/>
          <w:lang w:eastAsia="ja-JP"/>
        </w:rPr>
        <w:t>を最も適切な方法と判断し</w:t>
      </w:r>
      <w:r w:rsidR="002262EA">
        <w:rPr>
          <w:rFonts w:ascii="ＭＳ ゴシック" w:eastAsia="ＭＳ ゴシック" w:hAnsi="ＭＳ ゴシック" w:cs="ＭＳ ゴシック" w:hint="eastAsia"/>
          <w:color w:val="545456"/>
          <w:sz w:val="18"/>
          <w:lang w:eastAsia="ja-JP"/>
        </w:rPr>
        <w:t>ました</w:t>
      </w:r>
      <w:r w:rsidR="002262EA" w:rsidRPr="002262EA">
        <w:rPr>
          <w:rFonts w:ascii="ＭＳ ゴシック" w:eastAsia="ＭＳ ゴシック" w:hAnsi="ＭＳ ゴシック" w:cs="ＭＳ ゴシック" w:hint="eastAsia"/>
          <w:color w:val="545456"/>
          <w:sz w:val="18"/>
          <w:lang w:eastAsia="ja-JP"/>
        </w:rPr>
        <w:t>。</w:t>
      </w:r>
    </w:p>
    <w:p w14:paraId="6166045F" w14:textId="11D5D339" w:rsidR="0055291C" w:rsidRPr="001B348F" w:rsidRDefault="001B348F" w:rsidP="001B348F">
      <w:pPr>
        <w:spacing w:before="143" w:line="328" w:lineRule="auto"/>
        <w:ind w:left="359" w:right="1492" w:firstLineChars="100" w:firstLine="180"/>
        <w:rPr>
          <w:color w:val="545456"/>
          <w:sz w:val="18"/>
          <w:lang w:eastAsia="ja-JP"/>
        </w:rPr>
      </w:pPr>
      <w:r w:rsidRPr="001B348F">
        <w:rPr>
          <w:rFonts w:ascii="ＭＳ ゴシック" w:eastAsia="ＭＳ ゴシック" w:hAnsi="ＭＳ ゴシック" w:cs="ＭＳ ゴシック" w:hint="eastAsia"/>
          <w:color w:val="545456"/>
          <w:sz w:val="18"/>
          <w:lang w:eastAsia="ja-JP"/>
        </w:rPr>
        <w:t>経済的配分を用いて、エネルギーと</w:t>
      </w:r>
      <w:r>
        <w:rPr>
          <w:rFonts w:ascii="ＭＳ ゴシック" w:eastAsia="ＭＳ ゴシック" w:hAnsi="ＭＳ ゴシック" w:cs="ＭＳ ゴシック" w:hint="eastAsia"/>
          <w:color w:val="545456"/>
          <w:sz w:val="18"/>
          <w:lang w:eastAsia="ja-JP"/>
        </w:rPr>
        <w:t>物質投入</w:t>
      </w:r>
      <w:r w:rsidRPr="001B348F">
        <w:rPr>
          <w:rFonts w:ascii="ＭＳ ゴシック" w:eastAsia="ＭＳ ゴシック" w:hAnsi="ＭＳ ゴシック" w:cs="ＭＳ ゴシック" w:hint="eastAsia"/>
          <w:color w:val="545456"/>
          <w:sz w:val="18"/>
          <w:lang w:eastAsia="ja-JP"/>
        </w:rPr>
        <w:t>の活動データの</w:t>
      </w:r>
      <w:r w:rsidRPr="001B348F">
        <w:rPr>
          <w:color w:val="545456"/>
          <w:sz w:val="18"/>
          <w:lang w:eastAsia="ja-JP"/>
        </w:rPr>
        <w:t>35</w:t>
      </w:r>
      <w:r w:rsidRPr="001B348F">
        <w:rPr>
          <w:rFonts w:ascii="ＭＳ ゴシック" w:eastAsia="ＭＳ ゴシック" w:hAnsi="ＭＳ ゴシック" w:cs="ＭＳ ゴシック" w:hint="eastAsia"/>
          <w:color w:val="545456"/>
          <w:sz w:val="18"/>
          <w:lang w:eastAsia="ja-JP"/>
        </w:rPr>
        <w:t>％が、骨なし皮なし胸肉に割り当てられました。肉類別の正味販売価格データ</w:t>
      </w:r>
      <w:r w:rsidRPr="001B348F">
        <w:rPr>
          <w:color w:val="545456"/>
          <w:sz w:val="18"/>
          <w:lang w:eastAsia="ja-JP"/>
        </w:rPr>
        <w:t xml:space="preserve"> </w:t>
      </w:r>
      <w:r w:rsidRPr="001B348F">
        <w:rPr>
          <w:rFonts w:ascii="ＭＳ ゴシック" w:eastAsia="ＭＳ ゴシック" w:hAnsi="ＭＳ ゴシック" w:cs="ＭＳ ゴシック" w:hint="eastAsia"/>
          <w:color w:val="545456"/>
          <w:sz w:val="18"/>
          <w:lang w:eastAsia="ja-JP"/>
        </w:rPr>
        <w:t>の</w:t>
      </w:r>
      <w:r w:rsidRPr="001B348F">
        <w:rPr>
          <w:color w:val="545456"/>
          <w:sz w:val="18"/>
          <w:lang w:eastAsia="ja-JP"/>
        </w:rPr>
        <w:t>1</w:t>
      </w:r>
      <w:r w:rsidRPr="001B348F">
        <w:rPr>
          <w:rFonts w:ascii="ＭＳ ゴシック" w:eastAsia="ＭＳ ゴシック" w:hAnsi="ＭＳ ゴシック" w:cs="ＭＳ ゴシック" w:hint="eastAsia"/>
          <w:color w:val="545456"/>
          <w:sz w:val="18"/>
          <w:lang w:eastAsia="ja-JP"/>
        </w:rPr>
        <w:t>年間の平均をとり、経済的配分係数を決定しました。</w:t>
      </w:r>
    </w:p>
    <w:p w14:paraId="21C28E79" w14:textId="77777777" w:rsidR="0055291C" w:rsidRDefault="0055291C">
      <w:pPr>
        <w:spacing w:line="328" w:lineRule="auto"/>
        <w:rPr>
          <w:sz w:val="18"/>
          <w:lang w:eastAsia="ja-JP"/>
        </w:rPr>
        <w:sectPr w:rsidR="0055291C">
          <w:type w:val="continuous"/>
          <w:pgSz w:w="12240" w:h="15840"/>
          <w:pgMar w:top="740" w:right="0" w:bottom="280" w:left="0" w:header="0" w:footer="859" w:gutter="0"/>
          <w:cols w:num="3" w:space="720" w:equalWidth="0">
            <w:col w:w="3602" w:space="40"/>
            <w:col w:w="2209" w:space="39"/>
            <w:col w:w="6350"/>
          </w:cols>
        </w:sectPr>
      </w:pPr>
    </w:p>
    <w:p w14:paraId="3FE08941" w14:textId="77777777" w:rsidR="0055291C" w:rsidRDefault="0055291C">
      <w:pPr>
        <w:pStyle w:val="a3"/>
        <w:rPr>
          <w:sz w:val="20"/>
          <w:lang w:eastAsia="ja-JP"/>
        </w:rPr>
      </w:pPr>
    </w:p>
    <w:p w14:paraId="23FE5F87" w14:textId="77777777" w:rsidR="0055291C" w:rsidRDefault="0055291C">
      <w:pPr>
        <w:pStyle w:val="a3"/>
        <w:rPr>
          <w:sz w:val="20"/>
          <w:lang w:eastAsia="ja-JP"/>
        </w:rPr>
      </w:pPr>
    </w:p>
    <w:p w14:paraId="70A37A82" w14:textId="77777777" w:rsidR="0055291C" w:rsidRDefault="0055291C">
      <w:pPr>
        <w:pStyle w:val="a3"/>
        <w:rPr>
          <w:sz w:val="20"/>
          <w:lang w:eastAsia="ja-JP"/>
        </w:rPr>
      </w:pPr>
    </w:p>
    <w:p w14:paraId="4A9FBD78" w14:textId="77777777" w:rsidR="0055291C" w:rsidRDefault="0055291C">
      <w:pPr>
        <w:pStyle w:val="a3"/>
        <w:rPr>
          <w:sz w:val="20"/>
          <w:lang w:eastAsia="ja-JP"/>
        </w:rPr>
      </w:pPr>
    </w:p>
    <w:p w14:paraId="6D348254" w14:textId="77777777" w:rsidR="0055291C" w:rsidRDefault="0055291C">
      <w:pPr>
        <w:rPr>
          <w:sz w:val="20"/>
          <w:lang w:eastAsia="ja-JP"/>
        </w:rPr>
        <w:sectPr w:rsidR="0055291C">
          <w:headerReference w:type="even" r:id="rId226"/>
          <w:footerReference w:type="even" r:id="rId227"/>
          <w:footerReference w:type="default" r:id="rId228"/>
          <w:pgSz w:w="12240" w:h="15840"/>
          <w:pgMar w:top="620" w:right="0" w:bottom="1040" w:left="0" w:header="0" w:footer="859" w:gutter="0"/>
          <w:pgNumType w:start="70"/>
          <w:cols w:space="720"/>
        </w:sectPr>
      </w:pPr>
    </w:p>
    <w:p w14:paraId="1278B346" w14:textId="77777777" w:rsidR="0055291C" w:rsidRDefault="0055291C">
      <w:pPr>
        <w:pStyle w:val="a3"/>
        <w:spacing w:before="9"/>
        <w:rPr>
          <w:sz w:val="22"/>
          <w:lang w:eastAsia="ja-JP"/>
        </w:rPr>
      </w:pPr>
    </w:p>
    <w:p w14:paraId="3B82477E" w14:textId="7B7045CF" w:rsidR="0055291C" w:rsidRDefault="008A6EFD">
      <w:pPr>
        <w:pStyle w:val="a3"/>
        <w:spacing w:line="312" w:lineRule="auto"/>
        <w:ind w:left="1149" w:right="165"/>
        <w:rPr>
          <w:lang w:eastAsia="ja-JP"/>
        </w:rPr>
      </w:pPr>
      <w:r>
        <w:rPr>
          <w:rFonts w:ascii="ＭＳ ゴシック" w:eastAsia="ＭＳ ゴシック" w:hAnsi="ＭＳ ゴシック" w:cs="ＭＳ ゴシック" w:hint="eastAsia"/>
          <w:color w:val="545456"/>
          <w:lang w:eastAsia="ja-JP"/>
        </w:rPr>
        <w:t>き</w:t>
      </w:r>
      <w:r w:rsidR="00737281" w:rsidRPr="00737281">
        <w:rPr>
          <w:rFonts w:ascii="ＭＳ ゴシック" w:eastAsia="ＭＳ ゴシック" w:hAnsi="ＭＳ ゴシック" w:cs="ＭＳ ゴシック" w:hint="eastAsia"/>
          <w:color w:val="545456"/>
          <w:lang w:eastAsia="ja-JP"/>
        </w:rPr>
        <w:t>ます。仮定を使用する場合、企業はシナリオの不確実性を評価し、仮定がインベントリの結果にどのような影響を与えるかを判断するべきです。</w:t>
      </w:r>
      <w:r w:rsidR="00737281" w:rsidRPr="00737281">
        <w:rPr>
          <w:color w:val="545456"/>
          <w:lang w:eastAsia="ja-JP"/>
        </w:rPr>
        <w:t>(</w:t>
      </w:r>
      <w:r w:rsidR="00737281" w:rsidRPr="00737281">
        <w:rPr>
          <w:rFonts w:ascii="ＭＳ ゴシック" w:eastAsia="ＭＳ ゴシック" w:hAnsi="ＭＳ ゴシック" w:cs="ＭＳ ゴシック" w:hint="eastAsia"/>
          <w:color w:val="545456"/>
          <w:lang w:eastAsia="ja-JP"/>
        </w:rPr>
        <w:t>不確実性の評価に関する詳細なガイダンスは第</w:t>
      </w:r>
      <w:r w:rsidR="00737281" w:rsidRPr="00737281">
        <w:rPr>
          <w:color w:val="545456"/>
          <w:lang w:eastAsia="ja-JP"/>
        </w:rPr>
        <w:t>10</w:t>
      </w:r>
      <w:r w:rsidR="00737281" w:rsidRPr="00737281">
        <w:rPr>
          <w:rFonts w:ascii="ＭＳ ゴシック" w:eastAsia="ＭＳ ゴシック" w:hAnsi="ＭＳ ゴシック" w:cs="ＭＳ ゴシック" w:hint="eastAsia"/>
          <w:color w:val="545456"/>
          <w:lang w:eastAsia="ja-JP"/>
        </w:rPr>
        <w:t>章を参照</w:t>
      </w:r>
      <w:r w:rsidR="00737281" w:rsidRPr="00737281">
        <w:rPr>
          <w:color w:val="545456"/>
          <w:lang w:eastAsia="ja-JP"/>
        </w:rPr>
        <w:t>)</w:t>
      </w:r>
      <w:r w:rsidR="00737281" w:rsidRPr="00737281">
        <w:rPr>
          <w:rFonts w:ascii="ＭＳ ゴシック" w:eastAsia="ＭＳ ゴシック" w:hAnsi="ＭＳ ゴシック" w:cs="ＭＳ ゴシック" w:hint="eastAsia"/>
          <w:color w:val="545456"/>
          <w:lang w:eastAsia="ja-JP"/>
        </w:rPr>
        <w:t>。</w:t>
      </w:r>
    </w:p>
    <w:p w14:paraId="0FFD760E" w14:textId="3F9BEFE0" w:rsidR="0055291C" w:rsidRPr="008A6EFD" w:rsidRDefault="008A6EFD">
      <w:pPr>
        <w:pStyle w:val="7"/>
        <w:numPr>
          <w:ilvl w:val="2"/>
          <w:numId w:val="41"/>
        </w:numPr>
        <w:tabs>
          <w:tab w:val="left" w:pos="1868"/>
          <w:tab w:val="left" w:pos="1870"/>
        </w:tabs>
        <w:spacing w:line="292" w:lineRule="auto"/>
        <w:ind w:left="1869" w:right="461"/>
        <w:jc w:val="left"/>
        <w:rPr>
          <w:color w:val="00ACA1"/>
          <w:lang w:eastAsia="ja-JP"/>
        </w:rPr>
      </w:pPr>
      <w:r w:rsidRPr="008A6EFD">
        <w:rPr>
          <w:rFonts w:ascii="ＭＳ 明朝" w:eastAsia="ＭＳ 明朝" w:hAnsi="ＭＳ 明朝" w:cs="ＭＳ 明朝" w:hint="eastAsia"/>
          <w:color w:val="00ACA1"/>
          <w:lang w:eastAsia="ja-JP"/>
        </w:rPr>
        <w:t>物理的</w:t>
      </w:r>
      <w:r>
        <w:rPr>
          <w:rFonts w:ascii="ＭＳ 明朝" w:eastAsia="ＭＳ 明朝" w:hAnsi="ＭＳ 明朝" w:cs="ＭＳ 明朝" w:hint="eastAsia"/>
          <w:color w:val="00ACA1"/>
          <w:lang w:eastAsia="ja-JP"/>
        </w:rPr>
        <w:t>割り当て</w:t>
      </w:r>
      <w:r w:rsidRPr="008A6EFD">
        <w:rPr>
          <w:rFonts w:ascii="ＭＳ 明朝" w:eastAsia="ＭＳ 明朝" w:hAnsi="ＭＳ 明朝" w:cs="ＭＳ 明朝" w:hint="eastAsia"/>
          <w:color w:val="00ACA1"/>
          <w:lang w:eastAsia="ja-JP"/>
        </w:rPr>
        <w:t>と経済的</w:t>
      </w:r>
      <w:r>
        <w:rPr>
          <w:rFonts w:ascii="ＭＳ 明朝" w:eastAsia="ＭＳ 明朝" w:hAnsi="ＭＳ 明朝" w:cs="ＭＳ 明朝" w:hint="eastAsia"/>
          <w:color w:val="00ACA1"/>
          <w:lang w:eastAsia="ja-JP"/>
        </w:rPr>
        <w:t>割り当て</w:t>
      </w:r>
      <w:r w:rsidRPr="008A6EFD">
        <w:rPr>
          <w:rFonts w:ascii="ＭＳ 明朝" w:eastAsia="ＭＳ 明朝" w:hAnsi="ＭＳ 明朝" w:cs="ＭＳ 明朝" w:hint="eastAsia"/>
          <w:color w:val="00ACA1"/>
          <w:lang w:eastAsia="ja-JP"/>
        </w:rPr>
        <w:t>の選択</w:t>
      </w:r>
    </w:p>
    <w:p w14:paraId="09A6C34B" w14:textId="1909C8EF" w:rsidR="0055291C" w:rsidRDefault="008A6EFD" w:rsidP="008A6EFD">
      <w:pPr>
        <w:pStyle w:val="a3"/>
        <w:spacing w:before="11" w:line="312" w:lineRule="auto"/>
        <w:ind w:left="1149" w:right="224" w:firstLineChars="100" w:firstLine="190"/>
        <w:rPr>
          <w:lang w:eastAsia="ja-JP"/>
        </w:rPr>
      </w:pPr>
      <w:r>
        <w:rPr>
          <w:rFonts w:ascii="ＭＳ ゴシック" w:eastAsia="ＭＳ ゴシック" w:hAnsi="ＭＳ ゴシック" w:cs="ＭＳ ゴシック" w:hint="eastAsia"/>
          <w:lang w:eastAsia="ja-JP"/>
        </w:rPr>
        <w:t>図</w:t>
      </w:r>
      <w:r>
        <w:rPr>
          <w:lang w:eastAsia="ja-JP"/>
        </w:rPr>
        <w:t>9.2</w:t>
      </w:r>
      <w:r>
        <w:rPr>
          <w:rFonts w:ascii="ＭＳ ゴシック" w:eastAsia="ＭＳ ゴシック" w:hAnsi="ＭＳ ゴシック" w:cs="ＭＳ ゴシック" w:hint="eastAsia"/>
          <w:lang w:eastAsia="ja-JP"/>
        </w:rPr>
        <w:t>のステップ</w:t>
      </w:r>
      <w:r>
        <w:rPr>
          <w:lang w:eastAsia="ja-JP"/>
        </w:rPr>
        <w:t>3</w:t>
      </w:r>
      <w:r>
        <w:rPr>
          <w:rFonts w:ascii="ＭＳ ゴシック" w:eastAsia="ＭＳ ゴシック" w:hAnsi="ＭＳ ゴシック" w:cs="ＭＳ ゴシック" w:hint="eastAsia"/>
          <w:lang w:eastAsia="ja-JP"/>
        </w:rPr>
        <w:t>では、調査対象製品、副産物、共通工</w:t>
      </w:r>
      <w:r>
        <w:rPr>
          <w:lang w:eastAsia="ja-JP"/>
        </w:rPr>
        <w:t xml:space="preserve"> </w:t>
      </w:r>
      <w:r>
        <w:rPr>
          <w:rFonts w:ascii="ＭＳ ゴシック" w:eastAsia="ＭＳ ゴシック" w:hAnsi="ＭＳ ゴシック" w:cs="ＭＳ ゴシック" w:hint="eastAsia"/>
          <w:lang w:eastAsia="ja-JP"/>
        </w:rPr>
        <w:t>程の排出と除去の間の物理的関係が適用できない、あるいは確立でき</w:t>
      </w:r>
      <w:r>
        <w:rPr>
          <w:lang w:eastAsia="ja-JP"/>
        </w:rPr>
        <w:t xml:space="preserve"> </w:t>
      </w:r>
      <w:r>
        <w:rPr>
          <w:rFonts w:ascii="ＭＳ ゴシック" w:eastAsia="ＭＳ ゴシック" w:hAnsi="ＭＳ ゴシック" w:cs="ＭＳ ゴシック" w:hint="eastAsia"/>
          <w:lang w:eastAsia="ja-JP"/>
        </w:rPr>
        <w:t>ない場合、企業は経済的関係あるいは他の関係を用いるべきであると述べています。物理的関係は、</w:t>
      </w:r>
      <w:r>
        <w:rPr>
          <w:lang w:eastAsia="ja-JP"/>
        </w:rPr>
        <w:t xml:space="preserve"> </w:t>
      </w:r>
      <w:r>
        <w:rPr>
          <w:rFonts w:ascii="ＭＳ ゴシック" w:eastAsia="ＭＳ ゴシック" w:hAnsi="ＭＳ ゴシック" w:cs="ＭＳ ゴシック" w:hint="eastAsia"/>
          <w:lang w:eastAsia="ja-JP"/>
        </w:rPr>
        <w:t>以下の条件に当てはまる場合、確立できません。</w:t>
      </w:r>
    </w:p>
    <w:p w14:paraId="2DD147DB" w14:textId="11007D9C" w:rsidR="0055291C" w:rsidRPr="00655D4C" w:rsidRDefault="00655D4C">
      <w:pPr>
        <w:pStyle w:val="a3"/>
        <w:numPr>
          <w:ilvl w:val="0"/>
          <w:numId w:val="77"/>
        </w:numPr>
        <w:spacing w:before="1" w:line="312" w:lineRule="auto"/>
        <w:ind w:right="178"/>
      </w:pPr>
      <w:r>
        <w:rPr>
          <w:rFonts w:ascii="ＭＳ ゴシック" w:eastAsia="ＭＳ ゴシック" w:hAnsi="ＭＳ ゴシック" w:cs="ＭＳ ゴシック" w:hint="eastAsia"/>
          <w:lang w:eastAsia="ja-JP"/>
        </w:rPr>
        <w:t>調査対象製品、副産物、およびプロセスの排出・除去の物理的関係について、利用可能なデータがない</w:t>
      </w:r>
      <w:r w:rsidR="00C16424">
        <w:rPr>
          <w:rFonts w:ascii="ＭＳ ゴシック" w:eastAsia="ＭＳ ゴシック" w:hAnsi="ＭＳ ゴシック" w:cs="ＭＳ ゴシック" w:hint="eastAsia"/>
          <w:lang w:eastAsia="ja-JP"/>
        </w:rPr>
        <w:t>とき</w:t>
      </w:r>
      <w:r>
        <w:rPr>
          <w:rFonts w:ascii="ＭＳ ゴシック" w:eastAsia="ＭＳ ゴシック" w:hAnsi="ＭＳ ゴシック" w:cs="ＭＳ ゴシック" w:hint="eastAsia"/>
          <w:lang w:eastAsia="ja-JP"/>
        </w:rPr>
        <w:t>（例：プロセス</w:t>
      </w:r>
      <w:r>
        <w:rPr>
          <w:lang w:eastAsia="ja-JP"/>
        </w:rPr>
        <w:t xml:space="preserve"> </w:t>
      </w:r>
      <w:r>
        <w:rPr>
          <w:rFonts w:ascii="ＭＳ ゴシック" w:eastAsia="ＭＳ ゴシック" w:hAnsi="ＭＳ ゴシック" w:cs="ＭＳ ゴシック" w:hint="eastAsia"/>
          <w:lang w:eastAsia="ja-JP"/>
        </w:rPr>
        <w:t>はサプライヤーによって運営され、その情報は専有される。</w:t>
      </w:r>
      <w:r>
        <w:rPr>
          <w:rFonts w:ascii="ＭＳ ゴシック" w:eastAsia="ＭＳ ゴシック" w:hAnsi="ＭＳ ゴシック" w:cs="ＭＳ ゴシック" w:hint="eastAsia"/>
        </w:rPr>
        <w:t>）</w:t>
      </w:r>
    </w:p>
    <w:p w14:paraId="4F2B485E" w14:textId="2C804E83" w:rsidR="00655D4C" w:rsidRDefault="00655D4C">
      <w:pPr>
        <w:pStyle w:val="a3"/>
        <w:numPr>
          <w:ilvl w:val="0"/>
          <w:numId w:val="77"/>
        </w:numPr>
        <w:spacing w:before="1" w:line="312" w:lineRule="auto"/>
        <w:ind w:right="178"/>
        <w:rPr>
          <w:lang w:eastAsia="ja-JP"/>
        </w:rPr>
      </w:pPr>
      <w:r>
        <w:rPr>
          <w:rFonts w:ascii="ＭＳ ゴシック" w:eastAsia="ＭＳ ゴシック" w:hAnsi="ＭＳ ゴシック" w:cs="ＭＳ ゴシック" w:hint="eastAsia"/>
          <w:lang w:eastAsia="ja-JP"/>
        </w:rPr>
        <w:t>調査対象製品とともに複数の副産物があり、</w:t>
      </w:r>
      <w:r>
        <w:rPr>
          <w:lang w:eastAsia="ja-JP"/>
        </w:rPr>
        <w:t>1</w:t>
      </w:r>
      <w:r>
        <w:rPr>
          <w:rFonts w:ascii="ＭＳ ゴシック" w:eastAsia="ＭＳ ゴシック" w:hAnsi="ＭＳ ゴシック" w:cs="ＭＳ ゴシック" w:hint="eastAsia"/>
          <w:lang w:eastAsia="ja-JP"/>
        </w:rPr>
        <w:t>つの共通の物理的配分要因が適用できない</w:t>
      </w:r>
      <w:r w:rsidR="00C16424">
        <w:rPr>
          <w:rFonts w:ascii="ＭＳ ゴシック" w:eastAsia="ＭＳ ゴシック" w:hAnsi="ＭＳ ゴシック" w:cs="ＭＳ ゴシック" w:hint="eastAsia"/>
          <w:lang w:eastAsia="ja-JP"/>
        </w:rPr>
        <w:t>とき</w:t>
      </w:r>
      <w:r>
        <w:rPr>
          <w:rFonts w:ascii="ＭＳ ゴシック" w:eastAsia="ＭＳ ゴシック" w:hAnsi="ＭＳ ゴシック" w:cs="ＭＳ ゴシック" w:hint="eastAsia"/>
          <w:lang w:eastAsia="ja-JP"/>
        </w:rPr>
        <w:t>（例：ある出力はエネルギーで測定され、他の出力は体積または質量で測定される）。</w:t>
      </w:r>
    </w:p>
    <w:p w14:paraId="355B1E08" w14:textId="14334B55" w:rsidR="0055291C" w:rsidRDefault="00655D4C" w:rsidP="00655D4C">
      <w:pPr>
        <w:pStyle w:val="a3"/>
        <w:spacing w:before="132" w:line="312" w:lineRule="auto"/>
        <w:ind w:left="1149" w:right="-7" w:firstLineChars="100" w:firstLine="190"/>
      </w:pPr>
      <w:r>
        <w:rPr>
          <w:rFonts w:ascii="ＭＳ ゴシック" w:eastAsia="ＭＳ ゴシック" w:hAnsi="ＭＳ ゴシック" w:cs="ＭＳ ゴシック" w:hint="eastAsia"/>
          <w:lang w:eastAsia="ja-JP"/>
        </w:rPr>
        <w:t>しかし、多くの場合、物理的な関係を構築できるかどうかが明確でなく、経済的な関係の方が適用しやすいかどうか判断に苦しむことがあります。一般的には、以下のような場合、物理的配分が望ましいとされています。</w:t>
      </w:r>
      <w:r w:rsidR="00F23C61">
        <w:rPr>
          <w:color w:val="545456"/>
          <w:spacing w:val="-3"/>
        </w:rPr>
        <w:t>:</w:t>
      </w:r>
    </w:p>
    <w:p w14:paraId="039BDB72" w14:textId="79BC5206" w:rsidR="0055291C" w:rsidRPr="00655D4C" w:rsidRDefault="00655D4C">
      <w:pPr>
        <w:pStyle w:val="a5"/>
        <w:numPr>
          <w:ilvl w:val="0"/>
          <w:numId w:val="4"/>
        </w:numPr>
        <w:tabs>
          <w:tab w:val="left" w:pos="1410"/>
        </w:tabs>
        <w:spacing w:before="130" w:line="309" w:lineRule="auto"/>
        <w:ind w:right="138"/>
        <w:rPr>
          <w:sz w:val="19"/>
          <w:szCs w:val="19"/>
          <w:lang w:eastAsia="ja-JP"/>
        </w:rPr>
      </w:pPr>
      <w:r w:rsidRPr="00655D4C">
        <w:rPr>
          <w:rFonts w:ascii="ＭＳ ゴシック" w:eastAsia="ＭＳ ゴシック" w:hAnsi="ＭＳ ゴシック" w:cs="ＭＳ ゴシック" w:hint="eastAsia"/>
          <w:sz w:val="19"/>
          <w:szCs w:val="19"/>
          <w:lang w:eastAsia="ja-JP"/>
        </w:rPr>
        <w:t>調査対象製品と副産物の間に、それぞれの相対的な排出貢献度を反映した物理的関係を確立することができる</w:t>
      </w:r>
      <w:r w:rsidR="00C16424">
        <w:rPr>
          <w:rFonts w:ascii="ＭＳ ゴシック" w:eastAsia="ＭＳ ゴシック" w:hAnsi="ＭＳ ゴシック" w:cs="ＭＳ ゴシック" w:hint="eastAsia"/>
          <w:sz w:val="19"/>
          <w:szCs w:val="19"/>
          <w:lang w:eastAsia="ja-JP"/>
        </w:rPr>
        <w:t>とき</w:t>
      </w:r>
    </w:p>
    <w:p w14:paraId="0D3E6348" w14:textId="72326004" w:rsidR="0055291C" w:rsidRPr="00655D4C" w:rsidRDefault="00655D4C">
      <w:pPr>
        <w:pStyle w:val="a5"/>
        <w:numPr>
          <w:ilvl w:val="0"/>
          <w:numId w:val="4"/>
        </w:numPr>
        <w:tabs>
          <w:tab w:val="left" w:pos="1410"/>
        </w:tabs>
        <w:spacing w:line="309" w:lineRule="auto"/>
        <w:ind w:right="41"/>
        <w:rPr>
          <w:sz w:val="19"/>
          <w:szCs w:val="19"/>
          <w:lang w:eastAsia="ja-JP"/>
        </w:rPr>
      </w:pPr>
      <w:r w:rsidRPr="00655D4C">
        <w:rPr>
          <w:rFonts w:ascii="ＭＳ ゴシック" w:eastAsia="ＭＳ ゴシック" w:hAnsi="ＭＳ ゴシック" w:cs="ＭＳ ゴシック" w:hint="eastAsia"/>
          <w:sz w:val="19"/>
          <w:szCs w:val="19"/>
          <w:lang w:eastAsia="ja-JP"/>
        </w:rPr>
        <w:t>調査対象製品および副産物の物理的生産量の変化</w:t>
      </w:r>
      <w:r w:rsidR="00C16424">
        <w:rPr>
          <w:rFonts w:ascii="ＭＳ ゴシック" w:eastAsia="ＭＳ ゴシック" w:hAnsi="ＭＳ ゴシック" w:cs="ＭＳ ゴシック" w:hint="eastAsia"/>
          <w:sz w:val="19"/>
          <w:szCs w:val="19"/>
          <w:lang w:eastAsia="ja-JP"/>
        </w:rPr>
        <w:t>が</w:t>
      </w:r>
      <w:r w:rsidRPr="00655D4C">
        <w:rPr>
          <w:sz w:val="19"/>
          <w:szCs w:val="19"/>
          <w:lang w:eastAsia="ja-JP"/>
        </w:rPr>
        <w:t xml:space="preserve"> </w:t>
      </w:r>
      <w:r w:rsidRPr="00655D4C">
        <w:rPr>
          <w:rFonts w:ascii="ＭＳ ゴシック" w:eastAsia="ＭＳ ゴシック" w:hAnsi="ＭＳ ゴシック" w:cs="ＭＳ ゴシック" w:hint="eastAsia"/>
          <w:sz w:val="19"/>
          <w:szCs w:val="19"/>
          <w:lang w:eastAsia="ja-JP"/>
        </w:rPr>
        <w:t>、共通プロセスの排出量の変化と相関がある</w:t>
      </w:r>
      <w:r w:rsidR="00C16424">
        <w:rPr>
          <w:rFonts w:ascii="ＭＳ ゴシック" w:eastAsia="ＭＳ ゴシック" w:hAnsi="ＭＳ ゴシック" w:cs="ＭＳ ゴシック" w:hint="eastAsia"/>
          <w:sz w:val="19"/>
          <w:szCs w:val="19"/>
          <w:lang w:eastAsia="ja-JP"/>
        </w:rPr>
        <w:t>とき</w:t>
      </w:r>
      <w:r w:rsidRPr="00655D4C">
        <w:rPr>
          <w:rFonts w:ascii="ＭＳ ゴシック" w:eastAsia="ＭＳ ゴシック" w:hAnsi="ＭＳ ゴシック" w:cs="ＭＳ ゴシック" w:hint="eastAsia"/>
          <w:sz w:val="19"/>
          <w:szCs w:val="19"/>
          <w:lang w:eastAsia="ja-JP"/>
        </w:rPr>
        <w:t>（例：</w:t>
      </w:r>
      <w:r w:rsidRPr="00655D4C">
        <w:rPr>
          <w:sz w:val="19"/>
          <w:szCs w:val="19"/>
          <w:lang w:eastAsia="ja-JP"/>
        </w:rPr>
        <w:t xml:space="preserve"> </w:t>
      </w:r>
      <w:r w:rsidRPr="00655D4C">
        <w:rPr>
          <w:rFonts w:ascii="ＭＳ ゴシック" w:eastAsia="ＭＳ ゴシック" w:hAnsi="ＭＳ ゴシック" w:cs="ＭＳ ゴシック" w:hint="eastAsia"/>
          <w:sz w:val="19"/>
          <w:szCs w:val="19"/>
          <w:lang w:eastAsia="ja-JP"/>
        </w:rPr>
        <w:t>副産物がより多く生産されれば、より多くの排出が発生する）</w:t>
      </w:r>
    </w:p>
    <w:p w14:paraId="2D7383D8" w14:textId="3EA226B2" w:rsidR="0055291C" w:rsidRPr="00655D4C" w:rsidRDefault="00655D4C">
      <w:pPr>
        <w:pStyle w:val="a5"/>
        <w:numPr>
          <w:ilvl w:val="0"/>
          <w:numId w:val="4"/>
        </w:numPr>
        <w:tabs>
          <w:tab w:val="left" w:pos="1410"/>
        </w:tabs>
        <w:spacing w:line="312" w:lineRule="auto"/>
        <w:ind w:right="24"/>
        <w:rPr>
          <w:sz w:val="19"/>
          <w:szCs w:val="19"/>
          <w:lang w:eastAsia="ja-JP"/>
        </w:rPr>
      </w:pPr>
      <w:r w:rsidRPr="00655D4C">
        <w:rPr>
          <w:rFonts w:ascii="ＭＳ ゴシック" w:eastAsia="ＭＳ ゴシック" w:hAnsi="ＭＳ ゴシック" w:cs="ＭＳ ゴシック" w:hint="eastAsia"/>
          <w:sz w:val="19"/>
          <w:szCs w:val="19"/>
          <w:lang w:eastAsia="ja-JP"/>
        </w:rPr>
        <w:t>様々な副産物の市場価値に強いブランド影響力があり、それは、生産物の相対的な排出量の寄与を反映していない</w:t>
      </w:r>
      <w:r w:rsidR="00C16424">
        <w:rPr>
          <w:rFonts w:ascii="ＭＳ ゴシック" w:eastAsia="ＭＳ ゴシック" w:hAnsi="ＭＳ ゴシック" w:cs="ＭＳ ゴシック" w:hint="eastAsia"/>
          <w:sz w:val="19"/>
          <w:szCs w:val="19"/>
          <w:lang w:eastAsia="ja-JP"/>
        </w:rPr>
        <w:t>とき</w:t>
      </w:r>
      <w:r>
        <w:rPr>
          <w:rFonts w:ascii="ＭＳ ゴシック" w:eastAsia="ＭＳ ゴシック" w:hAnsi="ＭＳ ゴシック" w:cs="ＭＳ ゴシック" w:hint="eastAsia"/>
          <w:sz w:val="19"/>
          <w:szCs w:val="19"/>
          <w:lang w:eastAsia="ja-JP"/>
        </w:rPr>
        <w:t>（</w:t>
      </w:r>
      <w:r w:rsidRPr="00655D4C">
        <w:rPr>
          <w:rFonts w:ascii="ＭＳ ゴシック" w:eastAsia="ＭＳ ゴシック" w:hAnsi="ＭＳ ゴシック" w:cs="ＭＳ ゴシック" w:hint="eastAsia"/>
          <w:sz w:val="19"/>
          <w:szCs w:val="19"/>
          <w:lang w:eastAsia="ja-JP"/>
        </w:rPr>
        <w:t>例えば、ある工程で同じ製品が異なるブランド名で製造され、そのため価格が異なるが</w:t>
      </w:r>
      <w:r w:rsidRPr="00655D4C">
        <w:rPr>
          <w:sz w:val="19"/>
          <w:szCs w:val="19"/>
          <w:lang w:eastAsia="ja-JP"/>
        </w:rPr>
        <w:t xml:space="preserve"> </w:t>
      </w:r>
      <w:r w:rsidRPr="00655D4C">
        <w:rPr>
          <w:rFonts w:ascii="ＭＳ ゴシック" w:eastAsia="ＭＳ ゴシック" w:hAnsi="ＭＳ ゴシック" w:cs="ＭＳ ゴシック" w:hint="eastAsia"/>
          <w:sz w:val="19"/>
          <w:szCs w:val="19"/>
          <w:lang w:eastAsia="ja-JP"/>
        </w:rPr>
        <w:t>、相対的な排出量は同じである）</w:t>
      </w:r>
    </w:p>
    <w:p w14:paraId="4395C245" w14:textId="77777777" w:rsidR="0055291C" w:rsidRDefault="00F23C61">
      <w:pPr>
        <w:spacing w:before="9"/>
        <w:rPr>
          <w:lang w:eastAsia="ja-JP"/>
        </w:rPr>
      </w:pPr>
      <w:r>
        <w:rPr>
          <w:lang w:eastAsia="ja-JP"/>
        </w:rPr>
        <w:br w:type="column"/>
      </w:r>
    </w:p>
    <w:p w14:paraId="634AB1DF" w14:textId="7ABFE540" w:rsidR="0055291C" w:rsidRDefault="00655D4C">
      <w:pPr>
        <w:pStyle w:val="a3"/>
        <w:ind w:left="266"/>
        <w:rPr>
          <w:lang w:eastAsia="ja-JP"/>
        </w:rPr>
      </w:pPr>
      <w:r>
        <w:rPr>
          <w:rFonts w:ascii="ＭＳ ゴシック" w:eastAsia="ＭＳ ゴシック" w:hAnsi="ＭＳ ゴシック" w:cs="ＭＳ ゴシック" w:hint="eastAsia"/>
          <w:lang w:eastAsia="ja-JP"/>
        </w:rPr>
        <w:t>経済的割り当てが望ましいのは、次のような場合です。</w:t>
      </w:r>
    </w:p>
    <w:p w14:paraId="4396ABED" w14:textId="77777777" w:rsidR="0055291C" w:rsidRDefault="0055291C">
      <w:pPr>
        <w:pStyle w:val="a3"/>
        <w:rPr>
          <w:sz w:val="17"/>
          <w:lang w:eastAsia="ja-JP"/>
        </w:rPr>
      </w:pPr>
    </w:p>
    <w:p w14:paraId="064E7CDE" w14:textId="58DC0E49" w:rsidR="0055291C" w:rsidRPr="00224692" w:rsidRDefault="00655D4C">
      <w:pPr>
        <w:pStyle w:val="a5"/>
        <w:numPr>
          <w:ilvl w:val="0"/>
          <w:numId w:val="43"/>
        </w:numPr>
        <w:tabs>
          <w:tab w:val="left" w:pos="527"/>
        </w:tabs>
        <w:spacing w:line="304" w:lineRule="auto"/>
        <w:ind w:left="526" w:right="1484"/>
        <w:rPr>
          <w:sz w:val="19"/>
          <w:szCs w:val="19"/>
          <w:lang w:eastAsia="ja-JP"/>
        </w:rPr>
      </w:pPr>
      <w:r w:rsidRPr="00224692">
        <w:rPr>
          <w:rFonts w:ascii="ＭＳ ゴシック" w:eastAsia="ＭＳ ゴシック" w:hAnsi="ＭＳ ゴシック" w:cs="ＭＳ ゴシック" w:hint="eastAsia"/>
          <w:sz w:val="19"/>
          <w:szCs w:val="19"/>
          <w:lang w:eastAsia="ja-JP"/>
        </w:rPr>
        <w:t>物理的関係が成立しない</w:t>
      </w:r>
      <w:r w:rsidR="00C16424">
        <w:rPr>
          <w:rFonts w:ascii="ＭＳ ゴシック" w:eastAsia="ＭＳ ゴシック" w:hAnsi="ＭＳ ゴシック" w:cs="ＭＳ ゴシック" w:hint="eastAsia"/>
          <w:sz w:val="19"/>
          <w:szCs w:val="19"/>
          <w:lang w:eastAsia="ja-JP"/>
        </w:rPr>
        <w:t>とき</w:t>
      </w:r>
      <w:r w:rsidRPr="00224692">
        <w:rPr>
          <w:rFonts w:ascii="ＭＳ ゴシック" w:eastAsia="ＭＳ ゴシック" w:hAnsi="ＭＳ ゴシック" w:cs="ＭＳ ゴシック" w:hint="eastAsia"/>
          <w:sz w:val="19"/>
          <w:szCs w:val="19"/>
          <w:lang w:eastAsia="ja-JP"/>
        </w:rPr>
        <w:t>（前述）</w:t>
      </w:r>
    </w:p>
    <w:p w14:paraId="0C18F4FE" w14:textId="4B66356E" w:rsidR="0055291C" w:rsidRPr="00224692" w:rsidRDefault="00224692">
      <w:pPr>
        <w:pStyle w:val="a5"/>
        <w:numPr>
          <w:ilvl w:val="0"/>
          <w:numId w:val="43"/>
        </w:numPr>
        <w:tabs>
          <w:tab w:val="left" w:pos="527"/>
        </w:tabs>
        <w:spacing w:line="309" w:lineRule="auto"/>
        <w:ind w:left="526" w:right="1247"/>
        <w:rPr>
          <w:sz w:val="19"/>
          <w:szCs w:val="19"/>
          <w:lang w:eastAsia="ja-JP"/>
        </w:rPr>
      </w:pPr>
      <w:r>
        <w:rPr>
          <w:rFonts w:ascii="ＭＳ ゴシック" w:eastAsia="ＭＳ ゴシック" w:hAnsi="ＭＳ ゴシック" w:cs="ＭＳ ゴシック" w:hint="eastAsia"/>
          <w:sz w:val="19"/>
          <w:szCs w:val="19"/>
          <w:lang w:eastAsia="ja-JP"/>
        </w:rPr>
        <w:t>調査</w:t>
      </w:r>
      <w:r w:rsidRPr="00224692">
        <w:rPr>
          <w:rFonts w:ascii="ＭＳ ゴシック" w:eastAsia="ＭＳ ゴシック" w:hAnsi="ＭＳ ゴシック" w:cs="ＭＳ ゴシック" w:hint="eastAsia"/>
          <w:sz w:val="19"/>
          <w:szCs w:val="19"/>
          <w:lang w:eastAsia="ja-JP"/>
        </w:rPr>
        <w:t>対象製品又はその他の価値ある副産物（例：ロブスターの漁獲による副産物）に対する市場需要がなければ、その副産物は共通のプロセスを用いて生産されること</w:t>
      </w:r>
      <w:r w:rsidR="00C16424">
        <w:rPr>
          <w:rFonts w:ascii="ＭＳ ゴシック" w:eastAsia="ＭＳ ゴシック" w:hAnsi="ＭＳ ゴシック" w:cs="ＭＳ ゴシック" w:hint="eastAsia"/>
          <w:sz w:val="19"/>
          <w:szCs w:val="19"/>
          <w:lang w:eastAsia="ja-JP"/>
        </w:rPr>
        <w:t>がないとき</w:t>
      </w:r>
    </w:p>
    <w:p w14:paraId="347B6B6C" w14:textId="7AF2A755" w:rsidR="0055291C" w:rsidRPr="00224692" w:rsidRDefault="00224692">
      <w:pPr>
        <w:pStyle w:val="a5"/>
        <w:numPr>
          <w:ilvl w:val="0"/>
          <w:numId w:val="43"/>
        </w:numPr>
        <w:tabs>
          <w:tab w:val="left" w:pos="527"/>
        </w:tabs>
        <w:spacing w:line="309" w:lineRule="auto"/>
        <w:ind w:left="526" w:right="1135"/>
        <w:rPr>
          <w:sz w:val="19"/>
          <w:szCs w:val="19"/>
          <w:lang w:eastAsia="ja-JP"/>
        </w:rPr>
      </w:pPr>
      <w:r w:rsidRPr="00224692">
        <w:rPr>
          <w:rFonts w:ascii="ＭＳ ゴシック" w:eastAsia="ＭＳ ゴシック" w:hAnsi="ＭＳ ゴシック" w:cs="ＭＳ ゴシック" w:hint="eastAsia"/>
          <w:sz w:val="19"/>
          <w:szCs w:val="19"/>
          <w:lang w:eastAsia="ja-JP"/>
        </w:rPr>
        <w:t>副産物</w:t>
      </w:r>
      <w:r w:rsidR="00C16424">
        <w:rPr>
          <w:rFonts w:ascii="ＭＳ ゴシック" w:eastAsia="ＭＳ ゴシック" w:hAnsi="ＭＳ ゴシック" w:cs="ＭＳ ゴシック" w:hint="eastAsia"/>
          <w:sz w:val="19"/>
          <w:szCs w:val="19"/>
          <w:lang w:eastAsia="ja-JP"/>
        </w:rPr>
        <w:t>が</w:t>
      </w:r>
      <w:r w:rsidRPr="00224692">
        <w:rPr>
          <w:rFonts w:ascii="ＭＳ ゴシック" w:eastAsia="ＭＳ ゴシック" w:hAnsi="ＭＳ ゴシック" w:cs="ＭＳ ゴシック" w:hint="eastAsia"/>
          <w:sz w:val="19"/>
          <w:szCs w:val="19"/>
          <w:lang w:eastAsia="ja-JP"/>
        </w:rPr>
        <w:t>、他の材料投入の代替品として市場で価値を獲得する廃棄物である</w:t>
      </w:r>
      <w:r w:rsidR="00C16424">
        <w:rPr>
          <w:rFonts w:ascii="ＭＳ ゴシック" w:eastAsia="ＭＳ ゴシック" w:hAnsi="ＭＳ ゴシック" w:cs="ＭＳ ゴシック" w:hint="eastAsia"/>
          <w:sz w:val="19"/>
          <w:szCs w:val="19"/>
          <w:lang w:eastAsia="ja-JP"/>
        </w:rPr>
        <w:t>とき</w:t>
      </w:r>
      <w:r w:rsidRPr="00224692">
        <w:rPr>
          <w:rFonts w:ascii="ＭＳ ゴシック" w:eastAsia="ＭＳ ゴシック" w:hAnsi="ＭＳ ゴシック" w:cs="ＭＳ ゴシック" w:hint="eastAsia"/>
          <w:sz w:val="19"/>
          <w:szCs w:val="19"/>
          <w:lang w:eastAsia="ja-JP"/>
        </w:rPr>
        <w:t>（例：セメント製造に用いられるフライアッシュ（訳者注：火力発電時に発生する大量の灰））</w:t>
      </w:r>
    </w:p>
    <w:p w14:paraId="7DD4DC15" w14:textId="3815BF5A" w:rsidR="0055291C" w:rsidRPr="00224692" w:rsidRDefault="00224692">
      <w:pPr>
        <w:pStyle w:val="a5"/>
        <w:numPr>
          <w:ilvl w:val="0"/>
          <w:numId w:val="43"/>
        </w:numPr>
        <w:tabs>
          <w:tab w:val="left" w:pos="527"/>
        </w:tabs>
        <w:spacing w:line="304" w:lineRule="auto"/>
        <w:ind w:left="526" w:right="1283"/>
        <w:rPr>
          <w:sz w:val="19"/>
          <w:szCs w:val="19"/>
          <w:lang w:eastAsia="ja-JP"/>
        </w:rPr>
      </w:pPr>
      <w:r w:rsidRPr="00224692">
        <w:rPr>
          <w:rFonts w:ascii="ＭＳ ゴシック" w:eastAsia="ＭＳ ゴシック" w:hAnsi="ＭＳ ゴシック" w:cs="ＭＳ ゴシック" w:hint="eastAsia"/>
          <w:sz w:val="19"/>
          <w:szCs w:val="19"/>
          <w:lang w:eastAsia="ja-JP"/>
        </w:rPr>
        <w:t>物理的な関係が、相対的な排出量の寄与を適切に反映していないとき</w:t>
      </w:r>
    </w:p>
    <w:p w14:paraId="6A0C0744" w14:textId="77777777" w:rsidR="0055291C" w:rsidRDefault="00F23C61">
      <w:pPr>
        <w:spacing w:before="25"/>
        <w:ind w:left="266"/>
        <w:rPr>
          <w:rFonts w:ascii="Arial"/>
          <w:b/>
          <w:i/>
          <w:sz w:val="14"/>
          <w:lang w:eastAsia="ja-JP"/>
        </w:rPr>
      </w:pPr>
      <w:r>
        <w:rPr>
          <w:rFonts w:ascii="Arial"/>
          <w:b/>
          <w:i/>
          <w:color w:val="7F3F98"/>
          <w:w w:val="95"/>
          <w:sz w:val="14"/>
          <w:lang w:eastAsia="ja-JP"/>
        </w:rPr>
        <w:t>E</w:t>
      </w:r>
      <w:r>
        <w:rPr>
          <w:rFonts w:ascii="Arial"/>
          <w:b/>
          <w:i/>
          <w:color w:val="7F3F98"/>
          <w:spacing w:val="-6"/>
          <w:w w:val="95"/>
          <w:sz w:val="14"/>
          <w:lang w:eastAsia="ja-JP"/>
        </w:rPr>
        <w:t xml:space="preserve"> </w:t>
      </w:r>
      <w:r>
        <w:rPr>
          <w:rFonts w:ascii="Arial"/>
          <w:b/>
          <w:i/>
          <w:color w:val="7F3F98"/>
          <w:spacing w:val="22"/>
          <w:w w:val="95"/>
          <w:sz w:val="14"/>
          <w:lang w:eastAsia="ja-JP"/>
        </w:rPr>
        <w:t>XAMPL</w:t>
      </w:r>
      <w:r>
        <w:rPr>
          <w:rFonts w:ascii="Arial"/>
          <w:b/>
          <w:i/>
          <w:color w:val="7F3F98"/>
          <w:spacing w:val="-8"/>
          <w:w w:val="95"/>
          <w:sz w:val="14"/>
          <w:lang w:eastAsia="ja-JP"/>
        </w:rPr>
        <w:t xml:space="preserve"> </w:t>
      </w:r>
      <w:r>
        <w:rPr>
          <w:rFonts w:ascii="Arial"/>
          <w:b/>
          <w:i/>
          <w:color w:val="7F3F98"/>
          <w:w w:val="95"/>
          <w:sz w:val="14"/>
          <w:lang w:eastAsia="ja-JP"/>
        </w:rPr>
        <w:t>E</w:t>
      </w:r>
    </w:p>
    <w:p w14:paraId="106BA3F4" w14:textId="59C9FD5C" w:rsidR="0055291C" w:rsidRPr="00416510" w:rsidRDefault="00C16424" w:rsidP="00416510">
      <w:pPr>
        <w:spacing w:before="1" w:line="307" w:lineRule="auto"/>
        <w:ind w:left="266" w:right="1258" w:firstLineChars="100" w:firstLine="190"/>
        <w:rPr>
          <w:rFonts w:ascii="Arial"/>
          <w:i/>
          <w:sz w:val="19"/>
          <w:szCs w:val="19"/>
          <w:lang w:eastAsia="ja-JP"/>
        </w:rPr>
      </w:pPr>
      <w:r w:rsidRPr="00416510">
        <w:rPr>
          <w:rFonts w:ascii="ＭＳ ゴシック" w:eastAsia="ＭＳ ゴシック" w:hAnsi="ＭＳ ゴシック" w:cs="ＭＳ ゴシック" w:hint="eastAsia"/>
          <w:sz w:val="19"/>
          <w:szCs w:val="19"/>
          <w:lang w:eastAsia="ja-JP"/>
        </w:rPr>
        <w:t>ロブスターの漁獲の過程では、副次的に魚が捕獲されることが多く、混獲物として販売されます。混獲はロブスターよりはるかに価値が低いですが、場合によっては漁獲量のかなりの部分を占めることもあります。この場合、副産物（バイキャッチ）は捕獲されない可能性が高いため、また製品の物理的生産量の変化は、プロセス排出量の変化と強い相関がないため（つまり、同じ量の燃料で</w:t>
      </w:r>
      <w:r w:rsidR="00416510" w:rsidRPr="00416510">
        <w:rPr>
          <w:rFonts w:ascii="ＭＳ ゴシック" w:eastAsia="ＭＳ ゴシック" w:hAnsi="ＭＳ ゴシック" w:cs="ＭＳ ゴシック" w:hint="eastAsia"/>
          <w:sz w:val="19"/>
          <w:szCs w:val="19"/>
          <w:lang w:eastAsia="ja-JP"/>
        </w:rPr>
        <w:t>も</w:t>
      </w:r>
      <w:r w:rsidRPr="00416510">
        <w:rPr>
          <w:rFonts w:ascii="ＭＳ ゴシック" w:eastAsia="ＭＳ ゴシック" w:hAnsi="ＭＳ ゴシック" w:cs="ＭＳ ゴシック" w:hint="eastAsia"/>
          <w:sz w:val="19"/>
          <w:szCs w:val="19"/>
          <w:lang w:eastAsia="ja-JP"/>
        </w:rPr>
        <w:t>日によって混獲とロブスター</w:t>
      </w:r>
      <w:r w:rsidR="00416510" w:rsidRPr="00416510">
        <w:rPr>
          <w:rFonts w:ascii="ＭＳ ゴシック" w:eastAsia="ＭＳ ゴシック" w:hAnsi="ＭＳ ゴシック" w:cs="ＭＳ ゴシック" w:hint="eastAsia"/>
          <w:sz w:val="19"/>
          <w:szCs w:val="19"/>
          <w:lang w:eastAsia="ja-JP"/>
        </w:rPr>
        <w:t>漁獲の量が変わるため</w:t>
      </w:r>
      <w:r w:rsidRPr="00416510">
        <w:rPr>
          <w:rFonts w:ascii="ＭＳ ゴシック" w:eastAsia="ＭＳ ゴシック" w:hAnsi="ＭＳ ゴシック" w:cs="ＭＳ ゴシック" w:hint="eastAsia"/>
          <w:sz w:val="19"/>
          <w:szCs w:val="19"/>
          <w:lang w:eastAsia="ja-JP"/>
        </w:rPr>
        <w:t>）、</w:t>
      </w:r>
      <w:r w:rsidR="00416510" w:rsidRPr="00416510">
        <w:rPr>
          <w:rFonts w:ascii="ＭＳ ゴシック" w:eastAsia="ＭＳ ゴシック" w:hAnsi="ＭＳ ゴシック" w:cs="ＭＳ ゴシック" w:hint="eastAsia"/>
          <w:sz w:val="19"/>
          <w:szCs w:val="19"/>
          <w:lang w:eastAsia="ja-JP"/>
        </w:rPr>
        <w:t>経済的配分が望ましいとされています。</w:t>
      </w:r>
    </w:p>
    <w:p w14:paraId="0C7D91F9" w14:textId="77777777" w:rsidR="0055291C" w:rsidRDefault="0055291C">
      <w:pPr>
        <w:pStyle w:val="a3"/>
        <w:rPr>
          <w:rFonts w:ascii="Arial"/>
          <w:i/>
          <w:sz w:val="20"/>
          <w:lang w:eastAsia="ja-JP"/>
        </w:rPr>
      </w:pPr>
    </w:p>
    <w:p w14:paraId="4855B820" w14:textId="77777777" w:rsidR="0055291C" w:rsidRDefault="0055291C">
      <w:pPr>
        <w:pStyle w:val="a3"/>
        <w:spacing w:before="9"/>
        <w:rPr>
          <w:rFonts w:ascii="Arial"/>
          <w:i/>
          <w:sz w:val="15"/>
          <w:lang w:eastAsia="ja-JP"/>
        </w:rPr>
      </w:pPr>
    </w:p>
    <w:p w14:paraId="1B858615" w14:textId="77777777" w:rsidR="0055291C" w:rsidRDefault="00000000">
      <w:pPr>
        <w:pStyle w:val="6"/>
        <w:spacing w:before="0"/>
        <w:ind w:left="288"/>
      </w:pPr>
      <w:r>
        <w:pict w14:anchorId="0F2D6C71">
          <v:group id="docshapegroup1102" o:spid="_x0000_s2726" style="position:absolute;left:0;text-align:left;margin-left:315pt;margin-top:23.4pt;width:241.1pt;height:229.25pt;z-index:251610624;mso-position-horizontal-relative:page" coordorigin="6300,468" coordsize="4822,4585">
            <v:shape id="docshape1103" o:spid="_x0000_s2728" style="position:absolute;left:6300;top:467;width:4822;height:4585" coordorigin="6300,468" coordsize="4822,4585" path="m10895,468r-4368,l6396,471r-68,25l6304,563r-4,131l6300,4825r4,131l6328,5023r68,25l6527,5052r4368,l11026,5048r67,-25l11118,4956r4,-131l11122,694r-4,-131l11093,496r-67,-25l10895,468xe" fillcolor="#e4f3f1" stroked="f">
              <v:path arrowok="t"/>
            </v:shape>
            <v:shape id="docshape1104" o:spid="_x0000_s2727" type="#_x0000_t202" style="position:absolute;left:6300;top:467;width:4822;height:4585" filled="f" stroked="f">
              <v:textbox style="mso-next-textbox:#docshape1104" inset="0,0,0,0">
                <w:txbxContent>
                  <w:p w14:paraId="04796E34" w14:textId="77777777" w:rsidR="0055291C" w:rsidRDefault="0055291C">
                    <w:pPr>
                      <w:spacing w:before="3"/>
                      <w:rPr>
                        <w:rFonts w:ascii="Arial"/>
                        <w:b/>
                        <w:sz w:val="21"/>
                      </w:rPr>
                    </w:pPr>
                  </w:p>
                  <w:p w14:paraId="43818F85" w14:textId="6A107D7F" w:rsidR="0055291C" w:rsidRPr="00416510" w:rsidRDefault="00411D6D" w:rsidP="00416510">
                    <w:pPr>
                      <w:spacing w:before="2" w:line="312" w:lineRule="auto"/>
                      <w:ind w:left="226" w:right="247" w:firstLineChars="100" w:firstLine="190"/>
                      <w:rPr>
                        <w:sz w:val="19"/>
                        <w:szCs w:val="19"/>
                        <w:lang w:eastAsia="ja-JP"/>
                      </w:rPr>
                    </w:pPr>
                    <w:r w:rsidRPr="00411D6D">
                      <w:rPr>
                        <w:rFonts w:ascii="ＭＳ ゴシック" w:eastAsia="ＭＳ ゴシック" w:hAnsi="ＭＳ ゴシック" w:cs="ＭＳ ゴシック" w:hint="eastAsia"/>
                        <w:sz w:val="19"/>
                        <w:szCs w:val="19"/>
                        <w:lang w:eastAsia="ja-JP"/>
                      </w:rPr>
                      <w:t>共通プロセスの上流で発生する</w:t>
                    </w:r>
                    <w:r w:rsidRPr="00411D6D">
                      <w:rPr>
                        <w:sz w:val="19"/>
                        <w:szCs w:val="19"/>
                        <w:lang w:eastAsia="ja-JP"/>
                      </w:rPr>
                      <w:t>CO2</w:t>
                    </w:r>
                    <w:r w:rsidRPr="00411D6D">
                      <w:rPr>
                        <w:rFonts w:ascii="ＭＳ ゴシック" w:eastAsia="ＭＳ ゴシック" w:hAnsi="ＭＳ ゴシック" w:cs="ＭＳ ゴシック" w:hint="eastAsia"/>
                        <w:sz w:val="19"/>
                        <w:szCs w:val="19"/>
                        <w:lang w:eastAsia="ja-JP"/>
                      </w:rPr>
                      <w:t>排出量も、大気中から</w:t>
                    </w:r>
                    <w:r w:rsidRPr="00411D6D">
                      <w:rPr>
                        <w:sz w:val="19"/>
                        <w:szCs w:val="19"/>
                        <w:lang w:eastAsia="ja-JP"/>
                      </w:rPr>
                      <w:t>CO2</w:t>
                    </w:r>
                    <w:r w:rsidRPr="00411D6D">
                      <w:rPr>
                        <w:rFonts w:ascii="ＭＳ ゴシック" w:eastAsia="ＭＳ ゴシック" w:hAnsi="ＭＳ ゴシック" w:cs="ＭＳ ゴシック" w:hint="eastAsia"/>
                        <w:sz w:val="19"/>
                        <w:szCs w:val="19"/>
                        <w:lang w:eastAsia="ja-JP"/>
                      </w:rPr>
                      <w:t>を除去した物質の一部が副産物になるものである場合、割り当てる必要があります。</w:t>
                    </w:r>
                    <w:r w:rsidR="00416510" w:rsidRPr="00416510">
                      <w:rPr>
                        <w:rFonts w:ascii="ＭＳ ゴシック" w:eastAsia="ＭＳ ゴシック" w:hAnsi="ＭＳ ゴシック" w:cs="ＭＳ ゴシック" w:hint="eastAsia"/>
                        <w:sz w:val="19"/>
                        <w:szCs w:val="19"/>
                        <w:lang w:eastAsia="ja-JP"/>
                      </w:rPr>
                      <w:t>システム拡張の例では、黒液には、パルプ化する際に木材から分離したリグニンなどの生物由来物質が含まれています。</w:t>
                    </w:r>
                    <w:r w:rsidR="008802F3" w:rsidRPr="008802F3">
                      <w:rPr>
                        <w:rFonts w:ascii="ＭＳ ゴシック" w:eastAsia="ＭＳ ゴシック" w:hAnsi="ＭＳ ゴシック" w:cs="ＭＳ ゴシック" w:hint="eastAsia"/>
                        <w:sz w:val="19"/>
                        <w:szCs w:val="19"/>
                        <w:lang w:eastAsia="ja-JP"/>
                      </w:rPr>
                      <w:t>企業は、バウンダリーから電気として出ていく原木の量を把握し、材料入手の段階から相当する搬出量を差し引く必要があ</w:t>
                    </w:r>
                    <w:r w:rsidR="008802F3">
                      <w:rPr>
                        <w:rFonts w:ascii="ＭＳ ゴシック" w:eastAsia="ＭＳ ゴシック" w:hAnsi="ＭＳ ゴシック" w:cs="ＭＳ ゴシック" w:hint="eastAsia"/>
                        <w:sz w:val="19"/>
                        <w:szCs w:val="19"/>
                        <w:lang w:eastAsia="ja-JP"/>
                      </w:rPr>
                      <w:t>りま</w:t>
                    </w:r>
                    <w:r w:rsidR="008802F3" w:rsidRPr="008802F3">
                      <w:rPr>
                        <w:rFonts w:ascii="ＭＳ ゴシック" w:eastAsia="ＭＳ ゴシック" w:hAnsi="ＭＳ ゴシック" w:cs="ＭＳ ゴシック" w:hint="eastAsia"/>
                        <w:sz w:val="19"/>
                        <w:szCs w:val="19"/>
                        <w:lang w:eastAsia="ja-JP"/>
                      </w:rPr>
                      <w:t>す。</w:t>
                    </w:r>
                    <w:r w:rsidR="00416510" w:rsidRPr="00416510">
                      <w:rPr>
                        <w:rFonts w:ascii="ＭＳ ゴシック" w:eastAsia="ＭＳ ゴシック" w:hAnsi="ＭＳ ゴシック" w:cs="ＭＳ ゴシック" w:hint="eastAsia"/>
                        <w:sz w:val="19"/>
                        <w:szCs w:val="19"/>
                        <w:lang w:eastAsia="ja-JP"/>
                      </w:rPr>
                      <w:t>これは、</w:t>
                    </w:r>
                    <w:r w:rsidR="00416510" w:rsidRPr="00416510">
                      <w:rPr>
                        <w:sz w:val="19"/>
                        <w:szCs w:val="19"/>
                        <w:lang w:eastAsia="ja-JP"/>
                      </w:rPr>
                      <w:t xml:space="preserve"> </w:t>
                    </w:r>
                    <w:r w:rsidR="00416510" w:rsidRPr="00416510">
                      <w:rPr>
                        <w:rFonts w:ascii="ＭＳ ゴシック" w:eastAsia="ＭＳ ゴシック" w:hAnsi="ＭＳ ゴシック" w:cs="ＭＳ ゴシック" w:hint="eastAsia"/>
                        <w:sz w:val="19"/>
                        <w:szCs w:val="19"/>
                        <w:lang w:eastAsia="ja-JP"/>
                      </w:rPr>
                      <w:t>除去量に寄与した材料が、別の製品のライフサイ</w:t>
                    </w:r>
                    <w:r w:rsidR="00416510" w:rsidRPr="00416510">
                      <w:rPr>
                        <w:sz w:val="19"/>
                        <w:szCs w:val="19"/>
                        <w:lang w:eastAsia="ja-JP"/>
                      </w:rPr>
                      <w:t xml:space="preserve"> </w:t>
                    </w:r>
                    <w:r w:rsidR="00416510" w:rsidRPr="00416510">
                      <w:rPr>
                        <w:rFonts w:ascii="ＭＳ ゴシック" w:eastAsia="ＭＳ ゴシック" w:hAnsi="ＭＳ ゴシック" w:cs="ＭＳ ゴシック" w:hint="eastAsia"/>
                        <w:sz w:val="19"/>
                        <w:szCs w:val="19"/>
                        <w:lang w:eastAsia="ja-JP"/>
                      </w:rPr>
                      <w:t>クルにリサイクルされる場合にも当てはまります</w:t>
                    </w:r>
                    <w:r w:rsidR="00416510" w:rsidRPr="00416510">
                      <w:rPr>
                        <w:sz w:val="19"/>
                        <w:szCs w:val="19"/>
                        <w:lang w:eastAsia="ja-JP"/>
                      </w:rPr>
                      <w:t xml:space="preserve"> </w:t>
                    </w:r>
                    <w:r w:rsidR="00416510" w:rsidRPr="00416510">
                      <w:rPr>
                        <w:rFonts w:ascii="ＭＳ ゴシック" w:eastAsia="ＭＳ ゴシック" w:hAnsi="ＭＳ ゴシック" w:cs="ＭＳ ゴシック" w:hint="eastAsia"/>
                        <w:sz w:val="19"/>
                        <w:szCs w:val="19"/>
                        <w:lang w:eastAsia="ja-JP"/>
                      </w:rPr>
                      <w:t>。除去量を正しく配分することは、異なる製品間の二重計上を避けるために重要で</w:t>
                    </w:r>
                    <w:r w:rsidR="008802F3">
                      <w:rPr>
                        <w:rFonts w:ascii="ＭＳ ゴシック" w:eastAsia="ＭＳ ゴシック" w:hAnsi="ＭＳ ゴシック" w:cs="ＭＳ ゴシック" w:hint="eastAsia"/>
                        <w:sz w:val="19"/>
                        <w:szCs w:val="19"/>
                        <w:lang w:eastAsia="ja-JP"/>
                      </w:rPr>
                      <w:t>す</w:t>
                    </w:r>
                    <w:r w:rsidR="00416510" w:rsidRPr="00416510">
                      <w:rPr>
                        <w:rFonts w:ascii="ＭＳ ゴシック" w:eastAsia="ＭＳ ゴシック" w:hAnsi="ＭＳ ゴシック" w:cs="ＭＳ ゴシック" w:hint="eastAsia"/>
                        <w:sz w:val="19"/>
                        <w:szCs w:val="19"/>
                        <w:lang w:eastAsia="ja-JP"/>
                      </w:rPr>
                      <w:t>。</w:t>
                    </w:r>
                  </w:p>
                </w:txbxContent>
              </v:textbox>
            </v:shape>
            <w10:wrap anchorx="page"/>
          </v:group>
        </w:pict>
      </w:r>
      <w:r w:rsidR="00F23C61">
        <w:rPr>
          <w:color w:val="00ACA1"/>
          <w:w w:val="95"/>
        </w:rPr>
        <w:t>Box</w:t>
      </w:r>
      <w:r w:rsidR="00F23C61">
        <w:rPr>
          <w:color w:val="00ACA1"/>
          <w:spacing w:val="8"/>
          <w:w w:val="95"/>
        </w:rPr>
        <w:t xml:space="preserve"> </w:t>
      </w:r>
      <w:r w:rsidR="00F23C61">
        <w:rPr>
          <w:color w:val="00ACA1"/>
          <w:w w:val="95"/>
        </w:rPr>
        <w:t>[9.2]</w:t>
      </w:r>
      <w:r w:rsidR="00F23C61">
        <w:rPr>
          <w:color w:val="00ACA1"/>
          <w:spacing w:val="9"/>
          <w:w w:val="95"/>
        </w:rPr>
        <w:t xml:space="preserve"> </w:t>
      </w:r>
      <w:r w:rsidR="00F23C61">
        <w:rPr>
          <w:color w:val="545456"/>
          <w:w w:val="95"/>
        </w:rPr>
        <w:t>Allocating</w:t>
      </w:r>
      <w:r w:rsidR="00F23C61">
        <w:rPr>
          <w:color w:val="545456"/>
          <w:spacing w:val="9"/>
          <w:w w:val="95"/>
        </w:rPr>
        <w:t xml:space="preserve"> </w:t>
      </w:r>
      <w:r w:rsidR="00F23C61">
        <w:rPr>
          <w:color w:val="545456"/>
          <w:w w:val="95"/>
        </w:rPr>
        <w:t>removals</w:t>
      </w:r>
    </w:p>
    <w:p w14:paraId="6C75A107" w14:textId="77777777" w:rsidR="0055291C" w:rsidRDefault="0055291C">
      <w:pPr>
        <w:sectPr w:rsidR="0055291C">
          <w:type w:val="continuous"/>
          <w:pgSz w:w="12240" w:h="15840"/>
          <w:pgMar w:top="740" w:right="0" w:bottom="280" w:left="0" w:header="0" w:footer="859" w:gutter="0"/>
          <w:cols w:num="2" w:space="720" w:equalWidth="0">
            <w:col w:w="5990" w:space="40"/>
            <w:col w:w="6210"/>
          </w:cols>
        </w:sectPr>
      </w:pPr>
    </w:p>
    <w:p w14:paraId="77AF7BBB" w14:textId="77777777" w:rsidR="0055291C" w:rsidRDefault="0055291C">
      <w:pPr>
        <w:pStyle w:val="a3"/>
        <w:rPr>
          <w:rFonts w:ascii="Arial"/>
          <w:b/>
          <w:sz w:val="20"/>
        </w:rPr>
      </w:pPr>
    </w:p>
    <w:p w14:paraId="222AAE3F" w14:textId="77777777" w:rsidR="0055291C" w:rsidRDefault="0055291C">
      <w:pPr>
        <w:pStyle w:val="a3"/>
        <w:rPr>
          <w:rFonts w:ascii="Arial"/>
          <w:b/>
          <w:sz w:val="20"/>
        </w:rPr>
      </w:pPr>
    </w:p>
    <w:p w14:paraId="5A6B5D5C" w14:textId="77777777" w:rsidR="0055291C" w:rsidRDefault="0055291C">
      <w:pPr>
        <w:pStyle w:val="a3"/>
        <w:rPr>
          <w:rFonts w:ascii="Arial"/>
          <w:b/>
          <w:sz w:val="20"/>
        </w:rPr>
      </w:pPr>
    </w:p>
    <w:p w14:paraId="63E96E48" w14:textId="77777777" w:rsidR="0055291C" w:rsidRDefault="0055291C">
      <w:pPr>
        <w:pStyle w:val="a3"/>
        <w:spacing w:before="1"/>
        <w:rPr>
          <w:rFonts w:ascii="Arial"/>
          <w:b/>
          <w:sz w:val="23"/>
        </w:rPr>
      </w:pPr>
    </w:p>
    <w:p w14:paraId="0D38B486" w14:textId="77777777" w:rsidR="0055291C" w:rsidRDefault="00000000">
      <w:pPr>
        <w:ind w:right="1121"/>
        <w:jc w:val="right"/>
        <w:rPr>
          <w:rFonts w:ascii="Arial"/>
          <w:i/>
          <w:sz w:val="19"/>
        </w:rPr>
      </w:pPr>
      <w:r>
        <w:pict w14:anchorId="5CA5E6FE">
          <v:shape id="docshape1105" o:spid="_x0000_s2725" style="position:absolute;left:0;text-align:left;margin-left:580.75pt;margin-top:-47.8pt;width:31.3pt;height:285.85pt;z-index:251611648;mso-position-horizontal-relative:page" coordorigin="11615,-956" coordsize="626,5717" path="m12240,-956r-625,l11615,4534r3,131l11643,4732r67,25l11842,4760r398,l12240,-956xe" fillcolor="#00aca1" stroked="f">
            <v:path arrowok="t"/>
            <w10:wrap anchorx="page"/>
          </v:shape>
        </w:pict>
      </w:r>
      <w:r w:rsidR="00F23C61">
        <w:rPr>
          <w:rFonts w:ascii="Arial"/>
          <w:b/>
          <w:i/>
          <w:color w:val="7F3F98"/>
          <w:sz w:val="19"/>
        </w:rPr>
        <w:t>CHAPTER</w:t>
      </w:r>
      <w:r w:rsidR="00F23C61">
        <w:rPr>
          <w:rFonts w:ascii="Arial"/>
          <w:b/>
          <w:i/>
          <w:color w:val="7F3F98"/>
          <w:spacing w:val="14"/>
          <w:sz w:val="19"/>
        </w:rPr>
        <w:t xml:space="preserve"> </w:t>
      </w:r>
      <w:r w:rsidR="00F23C61">
        <w:rPr>
          <w:rFonts w:ascii="Arial"/>
          <w:b/>
          <w:i/>
          <w:color w:val="7F3F98"/>
          <w:sz w:val="19"/>
        </w:rPr>
        <w:t>09</w:t>
      </w:r>
      <w:r w:rsidR="00F23C61">
        <w:rPr>
          <w:rFonts w:ascii="Arial"/>
          <w:b/>
          <w:i/>
          <w:color w:val="7F3F98"/>
          <w:spacing w:val="15"/>
          <w:sz w:val="19"/>
        </w:rPr>
        <w:t xml:space="preserve"> </w:t>
      </w:r>
      <w:r w:rsidR="00F23C61">
        <w:rPr>
          <w:rFonts w:ascii="Arial"/>
          <w:i/>
          <w:color w:val="545456"/>
          <w:sz w:val="19"/>
        </w:rPr>
        <w:t>Allocation</w:t>
      </w:r>
    </w:p>
    <w:p w14:paraId="53722F87" w14:textId="77777777" w:rsidR="0055291C" w:rsidRDefault="0055291C">
      <w:pPr>
        <w:pStyle w:val="a3"/>
        <w:rPr>
          <w:rFonts w:ascii="Arial"/>
          <w:i/>
          <w:sz w:val="20"/>
        </w:rPr>
      </w:pPr>
    </w:p>
    <w:p w14:paraId="5E962662" w14:textId="77777777" w:rsidR="0055291C" w:rsidRDefault="0055291C">
      <w:pPr>
        <w:pStyle w:val="a3"/>
        <w:spacing w:before="7"/>
        <w:rPr>
          <w:rFonts w:ascii="Arial"/>
          <w:i/>
          <w:sz w:val="24"/>
        </w:rPr>
      </w:pPr>
    </w:p>
    <w:p w14:paraId="414B5D5C" w14:textId="77777777" w:rsidR="0055291C" w:rsidRDefault="0055291C">
      <w:pPr>
        <w:rPr>
          <w:rFonts w:ascii="Arial"/>
          <w:sz w:val="24"/>
        </w:rPr>
        <w:sectPr w:rsidR="0055291C">
          <w:headerReference w:type="default" r:id="rId229"/>
          <w:pgSz w:w="12240" w:h="15840"/>
          <w:pgMar w:top="0" w:right="0" w:bottom="1040" w:left="0" w:header="0" w:footer="859" w:gutter="0"/>
          <w:cols w:space="720"/>
        </w:sectPr>
      </w:pPr>
    </w:p>
    <w:p w14:paraId="03497183" w14:textId="3670B756" w:rsidR="0055291C" w:rsidRPr="00BA4C86" w:rsidRDefault="00BA4C86">
      <w:pPr>
        <w:pStyle w:val="7"/>
        <w:numPr>
          <w:ilvl w:val="2"/>
          <w:numId w:val="41"/>
        </w:numPr>
        <w:tabs>
          <w:tab w:val="left" w:pos="1854"/>
          <w:tab w:val="left" w:pos="1855"/>
        </w:tabs>
        <w:spacing w:before="99"/>
        <w:ind w:left="1854" w:hanging="721"/>
        <w:jc w:val="left"/>
        <w:rPr>
          <w:color w:val="00ACA1"/>
        </w:rPr>
      </w:pPr>
      <w:proofErr w:type="spellStart"/>
      <w:r w:rsidRPr="00BA4C86">
        <w:rPr>
          <w:rFonts w:ascii="ＭＳ 明朝" w:eastAsia="ＭＳ 明朝" w:hAnsi="ＭＳ 明朝" w:cs="ＭＳ 明朝" w:hint="eastAsia"/>
          <w:color w:val="00ACA1"/>
        </w:rPr>
        <w:t>配分結果を比較する</w:t>
      </w:r>
      <w:proofErr w:type="spellEnd"/>
    </w:p>
    <w:p w14:paraId="6B97DC69" w14:textId="77777777" w:rsidR="003E677B" w:rsidRDefault="00BA4C86" w:rsidP="00BA4C86">
      <w:pPr>
        <w:pStyle w:val="a3"/>
        <w:spacing w:before="142" w:line="312" w:lineRule="auto"/>
        <w:ind w:left="1134" w:right="46" w:firstLineChars="100" w:firstLine="190"/>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ある配分方法が他の方法より明らかに適していない場合</w:t>
      </w:r>
      <w:r>
        <w:rPr>
          <w:lang w:eastAsia="ja-JP"/>
        </w:rPr>
        <w:t xml:space="preserve"> </w:t>
      </w:r>
      <w:r>
        <w:rPr>
          <w:rFonts w:ascii="ＭＳ ゴシック" w:eastAsia="ＭＳ ゴシック" w:hAnsi="ＭＳ ゴシック" w:cs="ＭＳ ゴシック" w:hint="eastAsia"/>
          <w:lang w:eastAsia="ja-JP"/>
        </w:rPr>
        <w:t>、企業は異なる方法で複数の配分を行い、その結果を比較するべきです。これは特に、物理的、経済的、</w:t>
      </w:r>
      <w:r>
        <w:rPr>
          <w:lang w:eastAsia="ja-JP"/>
        </w:rPr>
        <w:t xml:space="preserve"> </w:t>
      </w:r>
      <w:r>
        <w:rPr>
          <w:rFonts w:ascii="ＭＳ ゴシック" w:eastAsia="ＭＳ ゴシック" w:hAnsi="ＭＳ ゴシック" w:cs="ＭＳ ゴシック" w:hint="eastAsia"/>
          <w:lang w:eastAsia="ja-JP"/>
        </w:rPr>
        <w:t>あるいは他の方法による配分を決定する際に重要です。複数の方法を実施し、同様の結果が得られた場合、方法の選択は排出量算出の結果に影響を及ぼすべきではなく、会社は報告書にその旨を記載するべきでしょう。割り当て方法が異なる</w:t>
      </w:r>
      <w:r w:rsidR="003E677B">
        <w:rPr>
          <w:rFonts w:ascii="ＭＳ ゴシック" w:eastAsia="ＭＳ ゴシック" w:hAnsi="ＭＳ ゴシック" w:cs="ＭＳ ゴシック" w:hint="eastAsia"/>
          <w:lang w:eastAsia="ja-JP"/>
        </w:rPr>
        <w:t>排出量を示した</w:t>
      </w:r>
      <w:r>
        <w:rPr>
          <w:rFonts w:ascii="ＭＳ ゴシック" w:eastAsia="ＭＳ ゴシック" w:hAnsi="ＭＳ ゴシック" w:cs="ＭＳ ゴシック" w:hint="eastAsia"/>
          <w:lang w:eastAsia="ja-JP"/>
        </w:rPr>
        <w:t>場合は、企業は、より保守的な結果をもたらす配分方法を選択すべきで</w:t>
      </w:r>
      <w:r w:rsidR="003E677B">
        <w:rPr>
          <w:rFonts w:ascii="ＭＳ ゴシック" w:eastAsia="ＭＳ ゴシック" w:hAnsi="ＭＳ ゴシック" w:cs="ＭＳ ゴシック" w:hint="eastAsia"/>
          <w:lang w:eastAsia="ja-JP"/>
        </w:rPr>
        <w:t>す</w:t>
      </w:r>
      <w:r>
        <w:rPr>
          <w:rFonts w:ascii="ＭＳ ゴシック" w:eastAsia="ＭＳ ゴシック" w:hAnsi="ＭＳ ゴシック" w:cs="ＭＳ ゴシック" w:hint="eastAsia"/>
          <w:lang w:eastAsia="ja-JP"/>
        </w:rPr>
        <w:t>（例えば、副産物ではなく、調査対象製品により多くの排出量を配分する方法）。</w:t>
      </w:r>
    </w:p>
    <w:p w14:paraId="1F220287" w14:textId="1AC1512A" w:rsidR="0055291C" w:rsidRDefault="00BA4C86" w:rsidP="00BA4C86">
      <w:pPr>
        <w:pStyle w:val="a3"/>
        <w:spacing w:before="142" w:line="312" w:lineRule="auto"/>
        <w:ind w:left="1134" w:right="46" w:firstLineChars="100" w:firstLine="190"/>
        <w:rPr>
          <w:lang w:eastAsia="ja-JP"/>
        </w:rPr>
      </w:pPr>
      <w:r>
        <w:rPr>
          <w:lang w:eastAsia="ja-JP"/>
        </w:rPr>
        <w:t xml:space="preserve"> </w:t>
      </w:r>
      <w:r>
        <w:rPr>
          <w:rFonts w:ascii="ＭＳ ゴシック" w:eastAsia="ＭＳ ゴシック" w:hAnsi="ＭＳ ゴシック" w:cs="ＭＳ ゴシック" w:hint="eastAsia"/>
          <w:lang w:eastAsia="ja-JP"/>
        </w:rPr>
        <w:t>企業は、配分を回避するため、または配分を実行するために使用した方法を開示し、その正当性を証明することが求められてい</w:t>
      </w:r>
      <w:r w:rsidR="003E677B">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。また、企業は、</w:t>
      </w:r>
      <w:r w:rsidR="003E677B">
        <w:rPr>
          <w:rFonts w:ascii="ＭＳ ゴシック" w:eastAsia="ＭＳ ゴシック" w:hAnsi="ＭＳ ゴシック" w:cs="ＭＳ ゴシック" w:hint="eastAsia"/>
          <w:lang w:eastAsia="ja-JP"/>
        </w:rPr>
        <w:t>報告書</w:t>
      </w:r>
      <w:r>
        <w:rPr>
          <w:rFonts w:ascii="ＭＳ ゴシック" w:eastAsia="ＭＳ ゴシック" w:hAnsi="ＭＳ ゴシック" w:cs="ＭＳ ゴシック" w:hint="eastAsia"/>
          <w:lang w:eastAsia="ja-JP"/>
        </w:rPr>
        <w:t>の定性的な不確実性の説明の一部として、結果の範囲を報告することができ</w:t>
      </w:r>
      <w:r w:rsidR="003E677B">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w:t>
      </w:r>
    </w:p>
    <w:p w14:paraId="76C7AAEA" w14:textId="47721D62" w:rsidR="0055291C" w:rsidRDefault="00F23C61">
      <w:pPr>
        <w:pStyle w:val="7"/>
        <w:numPr>
          <w:ilvl w:val="2"/>
          <w:numId w:val="41"/>
        </w:numPr>
        <w:tabs>
          <w:tab w:val="left" w:pos="970"/>
          <w:tab w:val="left" w:pos="971"/>
        </w:tabs>
        <w:spacing w:before="99"/>
        <w:ind w:left="970" w:hanging="721"/>
        <w:jc w:val="left"/>
        <w:rPr>
          <w:lang w:eastAsia="ja-JP"/>
        </w:rPr>
      </w:pPr>
      <w:r>
        <w:rPr>
          <w:color w:val="00B8B1"/>
          <w:w w:val="98"/>
          <w:lang w:eastAsia="ja-JP"/>
        </w:rPr>
        <w:br w:type="column"/>
      </w:r>
      <w:r w:rsidR="003E677B" w:rsidRPr="003E677B">
        <w:rPr>
          <w:rFonts w:ascii="ＭＳ 明朝" w:eastAsia="ＭＳ 明朝" w:hAnsi="ＭＳ 明朝" w:cs="ＭＳ 明朝" w:hint="eastAsia"/>
          <w:color w:val="00ACA1"/>
          <w:lang w:eastAsia="ja-JP"/>
        </w:rPr>
        <w:t>リサイクルによる配分方法</w:t>
      </w:r>
    </w:p>
    <w:p w14:paraId="64F4C3D9" w14:textId="0C2BE372" w:rsidR="0055291C" w:rsidRDefault="003E677B">
      <w:pPr>
        <w:spacing w:before="69"/>
        <w:ind w:left="250"/>
        <w:rPr>
          <w:rFonts w:ascii="Arial"/>
          <w:b/>
          <w:i/>
          <w:sz w:val="18"/>
          <w:lang w:eastAsia="ja-JP"/>
        </w:rPr>
      </w:pPr>
      <w:r>
        <w:rPr>
          <w:rFonts w:ascii="ＭＳ ゴシック" w:eastAsia="ＭＳ ゴシック" w:hAnsi="ＭＳ ゴシック" w:cs="ＭＳ ゴシック" w:hint="eastAsia"/>
          <w:b/>
          <w:i/>
          <w:color w:val="7F3F98"/>
          <w:sz w:val="18"/>
          <w:lang w:eastAsia="ja-JP"/>
        </w:rPr>
        <w:t>クローズドループ近似法</w:t>
      </w:r>
    </w:p>
    <w:p w14:paraId="69EA25DE" w14:textId="6D2B8750" w:rsidR="0055291C" w:rsidRDefault="00C04243" w:rsidP="00C04243">
      <w:pPr>
        <w:pStyle w:val="a3"/>
        <w:spacing w:line="312" w:lineRule="auto"/>
        <w:ind w:left="250" w:right="1356" w:firstLineChars="100" w:firstLine="190"/>
        <w:rPr>
          <w:lang w:eastAsia="ja-JP"/>
        </w:rPr>
      </w:pPr>
      <w:r>
        <w:rPr>
          <w:rFonts w:ascii="ＭＳ ゴシック" w:eastAsia="ＭＳ ゴシック" w:hAnsi="ＭＳ ゴシック" w:cs="ＭＳ ゴシック" w:hint="eastAsia"/>
          <w:lang w:eastAsia="ja-JP"/>
        </w:rPr>
        <w:t>クローズドループ近似法は、使用済み製品のリサイクリングが材料の正味のバージン材取得量（訳者注：</w:t>
      </w:r>
      <w:r w:rsidRPr="00C04243">
        <w:rPr>
          <w:rFonts w:ascii="ＭＳ ゴシック" w:eastAsia="ＭＳ ゴシック" w:hAnsi="ＭＳ ゴシック" w:cs="ＭＳ ゴシック" w:hint="eastAsia"/>
          <w:lang w:eastAsia="ja-JP"/>
        </w:rPr>
        <w:t>バージン材＝再生砕石や再生骨材</w:t>
      </w:r>
      <w:r>
        <w:rPr>
          <w:rFonts w:ascii="ＭＳ ゴシック" w:eastAsia="ＭＳ ゴシック" w:hAnsi="ＭＳ ゴシック" w:cs="ＭＳ ゴシック" w:hint="eastAsia"/>
          <w:lang w:eastAsia="ja-JP"/>
        </w:rPr>
        <w:t>などリサイクルされたもの</w:t>
      </w:r>
      <w:r w:rsidRPr="00C04243">
        <w:rPr>
          <w:rFonts w:ascii="ＭＳ ゴシック" w:eastAsia="ＭＳ ゴシック" w:hAnsi="ＭＳ ゴシック" w:cs="ＭＳ ゴシック" w:hint="eastAsia"/>
          <w:lang w:eastAsia="ja-JP"/>
        </w:rPr>
        <w:t>ではない新品の材料</w:t>
      </w:r>
      <w:r>
        <w:rPr>
          <w:rFonts w:ascii="ＭＳ ゴシック" w:eastAsia="ＭＳ ゴシック" w:hAnsi="ＭＳ ゴシック" w:cs="ＭＳ ゴシック" w:hint="eastAsia"/>
          <w:lang w:eastAsia="ja-JP"/>
        </w:rPr>
        <w:t>）に与える影響を考慮するものです。その名前は、リサイクルされる材料</w:t>
      </w:r>
      <w:r w:rsidR="00D52988">
        <w:rPr>
          <w:rFonts w:ascii="ＭＳ ゴシック" w:eastAsia="ＭＳ ゴシック" w:hAnsi="ＭＳ ゴシック" w:cs="ＭＳ ゴシック" w:hint="eastAsia"/>
          <w:lang w:eastAsia="ja-JP"/>
        </w:rPr>
        <w:t>を</w:t>
      </w:r>
      <w:r>
        <w:rPr>
          <w:rFonts w:ascii="ＭＳ ゴシック" w:eastAsia="ＭＳ ゴシック" w:hAnsi="ＭＳ ゴシック" w:cs="ＭＳ ゴシック" w:hint="eastAsia"/>
          <w:lang w:eastAsia="ja-JP"/>
        </w:rPr>
        <w:t>、同じ特性を持つ新材料</w:t>
      </w:r>
      <w:r w:rsidR="00D52988">
        <w:rPr>
          <w:rFonts w:ascii="ＭＳ ゴシック" w:eastAsia="ＭＳ ゴシック" w:hAnsi="ＭＳ ゴシック" w:cs="ＭＳ ゴシック" w:hint="eastAsia"/>
          <w:lang w:eastAsia="ja-JP"/>
        </w:rPr>
        <w:t>と</w:t>
      </w:r>
      <w:r>
        <w:rPr>
          <w:rFonts w:ascii="ＭＳ ゴシック" w:eastAsia="ＭＳ ゴシック" w:hAnsi="ＭＳ ゴシック" w:cs="ＭＳ ゴシック" w:hint="eastAsia"/>
          <w:lang w:eastAsia="ja-JP"/>
        </w:rPr>
        <w:t>置き換えるために使用されるという仮定からきています</w:t>
      </w:r>
      <w:r w:rsidR="00217FB1">
        <w:rPr>
          <w:rFonts w:asciiTheme="minorEastAsia" w:eastAsiaTheme="minorEastAsia" w:hAnsiTheme="minorEastAsia" w:hint="eastAsia"/>
          <w:vertAlign w:val="superscript"/>
          <w:lang w:eastAsia="ja-JP"/>
        </w:rPr>
        <w:t>５</w:t>
      </w:r>
      <w:r>
        <w:rPr>
          <w:rFonts w:ascii="ＭＳ ゴシック" w:eastAsia="ＭＳ ゴシック" w:hAnsi="ＭＳ ゴシック" w:cs="ＭＳ ゴシック" w:hint="eastAsia"/>
          <w:lang w:eastAsia="ja-JP"/>
        </w:rPr>
        <w:t>。クローズドループ近似法は</w:t>
      </w:r>
      <w:r>
        <w:rPr>
          <w:lang w:eastAsia="ja-JP"/>
        </w:rPr>
        <w:t xml:space="preserve"> 0/100</w:t>
      </w:r>
      <w:r>
        <w:rPr>
          <w:rFonts w:ascii="ＭＳ ゴシック" w:eastAsia="ＭＳ ゴシック" w:hAnsi="ＭＳ ゴシック" w:cs="ＭＳ ゴシック" w:hint="eastAsia"/>
          <w:lang w:eastAsia="ja-JP"/>
        </w:rPr>
        <w:t>方式、金属業界の多くが定義し支持する</w:t>
      </w:r>
      <w:r>
        <w:rPr>
          <w:lang w:eastAsia="ja-JP"/>
        </w:rPr>
        <w:t>End of Life</w:t>
      </w:r>
      <w:r>
        <w:rPr>
          <w:rFonts w:ascii="ＭＳ ゴシック" w:eastAsia="ＭＳ ゴシック" w:hAnsi="ＭＳ ゴシック" w:cs="ＭＳ ゴシック" w:hint="eastAsia"/>
          <w:lang w:eastAsia="ja-JP"/>
        </w:rPr>
        <w:t>アプローチ</w:t>
      </w:r>
      <w:r w:rsidR="00217FB1">
        <w:rPr>
          <w:rFonts w:asciiTheme="minorEastAsia" w:eastAsiaTheme="minorEastAsia" w:hAnsiTheme="minorEastAsia" w:hint="eastAsia"/>
          <w:vertAlign w:val="superscript"/>
          <w:lang w:eastAsia="ja-JP"/>
        </w:rPr>
        <w:t>６</w:t>
      </w:r>
      <w:r>
        <w:rPr>
          <w:rFonts w:ascii="ＭＳ ゴシック" w:eastAsia="ＭＳ ゴシック" w:hAnsi="ＭＳ ゴシック" w:cs="ＭＳ ゴシック" w:hint="eastAsia"/>
          <w:lang w:eastAsia="ja-JP"/>
        </w:rPr>
        <w:t>、ILCDハンドブックで</w:t>
      </w:r>
      <w:r w:rsidR="00D52988">
        <w:rPr>
          <w:rFonts w:ascii="ＭＳ ゴシック" w:eastAsia="ＭＳ ゴシック" w:hAnsi="ＭＳ ゴシック" w:cs="ＭＳ ゴシック" w:hint="eastAsia"/>
          <w:lang w:eastAsia="ja-JP"/>
        </w:rPr>
        <w:t>言及している</w:t>
      </w:r>
      <w:r>
        <w:rPr>
          <w:rFonts w:ascii="ＭＳ ゴシック" w:eastAsia="ＭＳ ゴシック" w:hAnsi="ＭＳ ゴシック" w:cs="ＭＳ ゴシック" w:hint="eastAsia"/>
          <w:lang w:eastAsia="ja-JP"/>
        </w:rPr>
        <w:t>リサイクル性代替アプローチ</w:t>
      </w:r>
      <w:r w:rsidR="00CD3C07" w:rsidRPr="00CD3C07">
        <w:rPr>
          <w:rFonts w:ascii="ＭＳ ゴシック" w:eastAsia="ＭＳ ゴシック" w:hAnsi="ＭＳ ゴシック" w:cs="ＭＳ ゴシック" w:hint="eastAsia"/>
          <w:vertAlign w:val="superscript"/>
          <w:lang w:eastAsia="ja-JP"/>
        </w:rPr>
        <w:t>７</w:t>
      </w:r>
      <w:r>
        <w:rPr>
          <w:rFonts w:ascii="ＭＳ ゴシック" w:eastAsia="ＭＳ ゴシック" w:hAnsi="ＭＳ ゴシック" w:cs="ＭＳ ゴシック" w:hint="eastAsia"/>
          <w:lang w:eastAsia="ja-JP"/>
        </w:rPr>
        <w:t>、</w:t>
      </w:r>
      <w:r>
        <w:rPr>
          <w:lang w:eastAsia="ja-JP"/>
        </w:rPr>
        <w:t xml:space="preserve">ISO 14044:2006 </w:t>
      </w:r>
      <w:r>
        <w:rPr>
          <w:rFonts w:ascii="ＭＳ ゴシック" w:eastAsia="ＭＳ ゴシック" w:hAnsi="ＭＳ ゴシック" w:cs="ＭＳ ゴシック" w:hint="eastAsia"/>
          <w:lang w:eastAsia="ja-JP"/>
        </w:rPr>
        <w:t>で定義され、</w:t>
      </w:r>
      <w:r>
        <w:rPr>
          <w:lang w:eastAsia="ja-JP"/>
        </w:rPr>
        <w:t xml:space="preserve">ISO 14049:2000 </w:t>
      </w:r>
      <w:r>
        <w:rPr>
          <w:rFonts w:ascii="ＭＳ ゴシック" w:eastAsia="ＭＳ ゴシック" w:hAnsi="ＭＳ ゴシック" w:cs="ＭＳ ゴシック" w:hint="eastAsia"/>
          <w:lang w:eastAsia="ja-JP"/>
        </w:rPr>
        <w:t>で例として示されている</w:t>
      </w:r>
      <w:r w:rsidR="00D52988">
        <w:rPr>
          <w:rFonts w:ascii="ＭＳ ゴシック" w:eastAsia="ＭＳ ゴシック" w:hAnsi="ＭＳ ゴシック" w:cs="ＭＳ ゴシック" w:hint="eastAsia"/>
          <w:lang w:eastAsia="ja-JP"/>
        </w:rPr>
        <w:t>クローズド</w:t>
      </w:r>
      <w:r>
        <w:rPr>
          <w:rFonts w:ascii="ＭＳ ゴシック" w:eastAsia="ＭＳ ゴシック" w:hAnsi="ＭＳ ゴシック" w:cs="ＭＳ ゴシック" w:hint="eastAsia"/>
          <w:lang w:eastAsia="ja-JP"/>
        </w:rPr>
        <w:t>ループ</w:t>
      </w:r>
      <w:r w:rsidR="00D52988">
        <w:rPr>
          <w:rFonts w:ascii="ＭＳ ゴシック" w:eastAsia="ＭＳ ゴシック" w:hAnsi="ＭＳ ゴシック" w:cs="ＭＳ ゴシック" w:hint="eastAsia"/>
          <w:lang w:eastAsia="ja-JP"/>
        </w:rPr>
        <w:t>法</w:t>
      </w:r>
      <w:r w:rsidR="00CD3C07">
        <w:rPr>
          <w:rFonts w:asciiTheme="minorEastAsia" w:eastAsiaTheme="minorEastAsia" w:hAnsiTheme="minorEastAsia" w:hint="eastAsia"/>
          <w:vertAlign w:val="superscript"/>
          <w:lang w:eastAsia="ja-JP"/>
        </w:rPr>
        <w:t>8</w:t>
      </w:r>
      <w:r>
        <w:rPr>
          <w:lang w:eastAsia="ja-JP"/>
        </w:rPr>
        <w:t xml:space="preserve"> </w:t>
      </w:r>
      <w:r w:rsidR="00D52988">
        <w:rPr>
          <w:rFonts w:ascii="ＭＳ ゴシック" w:eastAsia="ＭＳ ゴシック" w:hAnsi="ＭＳ ゴシック" w:cs="ＭＳ ゴシック" w:hint="eastAsia"/>
          <w:lang w:eastAsia="ja-JP"/>
        </w:rPr>
        <w:t>としても知られています</w:t>
      </w:r>
      <w:r>
        <w:rPr>
          <w:rFonts w:ascii="ＭＳ ゴシック" w:eastAsia="ＭＳ ゴシック" w:hAnsi="ＭＳ ゴシック" w:cs="ＭＳ ゴシック" w:hint="eastAsia"/>
          <w:lang w:eastAsia="ja-JP"/>
        </w:rPr>
        <w:t>。</w:t>
      </w:r>
    </w:p>
    <w:p w14:paraId="773140E9" w14:textId="24D43E9A" w:rsidR="0055291C" w:rsidRDefault="00D52988" w:rsidP="00D52988">
      <w:pPr>
        <w:pStyle w:val="a3"/>
        <w:spacing w:before="3" w:line="312" w:lineRule="auto"/>
        <w:ind w:left="250" w:right="1178" w:firstLineChars="100" w:firstLine="190"/>
        <w:rPr>
          <w:lang w:eastAsia="ja-JP"/>
        </w:rPr>
      </w:pPr>
      <w:r>
        <w:rPr>
          <w:rFonts w:ascii="ＭＳ ゴシック" w:eastAsia="ＭＳ ゴシック" w:hAnsi="ＭＳ ゴシック" w:cs="ＭＳ ゴシック" w:hint="eastAsia"/>
          <w:lang w:eastAsia="ja-JP"/>
        </w:rPr>
        <w:t>クローズドループ近似法は、投入されたバージン材と同じ固有の特性を維持するリサイクル材料を配分する方法と定義されているので、リサイクル材料の特性（例えば</w:t>
      </w:r>
      <w:r>
        <w:rPr>
          <w:lang w:eastAsia="ja-JP"/>
        </w:rPr>
        <w:t xml:space="preserve"> </w:t>
      </w:r>
      <w:r>
        <w:rPr>
          <w:rFonts w:ascii="ＭＳ ゴシック" w:eastAsia="ＭＳ ゴシック" w:hAnsi="ＭＳ ゴシック" w:cs="ＭＳ ゴシック" w:hint="eastAsia"/>
          <w:lang w:eastAsia="ja-JP"/>
        </w:rPr>
        <w:t>、化学的、物理的）は、バージン材の製品ライフサイクルに何ら変更を加えることなく、その特性に対して十分に類似している必要があります。図</w:t>
      </w:r>
      <w:r>
        <w:rPr>
          <w:lang w:eastAsia="ja-JP"/>
        </w:rPr>
        <w:t xml:space="preserve"> 9.5 </w:t>
      </w:r>
      <w:r>
        <w:rPr>
          <w:rFonts w:ascii="ＭＳ ゴシック" w:eastAsia="ＭＳ ゴシック" w:hAnsi="ＭＳ ゴシック" w:cs="ＭＳ ゴシック" w:hint="eastAsia"/>
          <w:lang w:eastAsia="ja-JP"/>
        </w:rPr>
        <w:t>に</w:t>
      </w:r>
      <w:r w:rsidR="00C55C2A">
        <w:rPr>
          <w:rFonts w:ascii="ＭＳ ゴシック" w:eastAsia="ＭＳ ゴシック" w:hAnsi="ＭＳ ゴシック" w:cs="ＭＳ ゴシック" w:hint="eastAsia"/>
          <w:lang w:eastAsia="ja-JP"/>
        </w:rPr>
        <w:t>クローズド</w:t>
      </w:r>
      <w:r>
        <w:rPr>
          <w:rFonts w:ascii="ＭＳ ゴシック" w:eastAsia="ＭＳ ゴシック" w:hAnsi="ＭＳ ゴシック" w:cs="ＭＳ ゴシック" w:hint="eastAsia"/>
          <w:lang w:eastAsia="ja-JP"/>
        </w:rPr>
        <w:t>ループ近似法の</w:t>
      </w:r>
      <w:r w:rsidR="00C55C2A">
        <w:rPr>
          <w:rFonts w:ascii="ＭＳ ゴシック" w:eastAsia="ＭＳ ゴシック" w:hAnsi="ＭＳ ゴシック" w:cs="ＭＳ ゴシック" w:hint="eastAsia"/>
          <w:lang w:eastAsia="ja-JP"/>
        </w:rPr>
        <w:t>工程表</w:t>
      </w:r>
      <w:r>
        <w:rPr>
          <w:rFonts w:ascii="ＭＳ ゴシック" w:eastAsia="ＭＳ ゴシック" w:hAnsi="ＭＳ ゴシック" w:cs="ＭＳ ゴシック" w:hint="eastAsia"/>
          <w:lang w:eastAsia="ja-JP"/>
        </w:rPr>
        <w:t>を示</w:t>
      </w:r>
      <w:r w:rsidR="00C55C2A">
        <w:rPr>
          <w:rFonts w:ascii="ＭＳ ゴシック" w:eastAsia="ＭＳ ゴシック" w:hAnsi="ＭＳ ゴシック" w:cs="ＭＳ ゴシック" w:hint="eastAsia"/>
          <w:lang w:eastAsia="ja-JP"/>
        </w:rPr>
        <w:t>します</w:t>
      </w:r>
      <w:r>
        <w:rPr>
          <w:rFonts w:ascii="ＭＳ ゴシック" w:eastAsia="ＭＳ ゴシック" w:hAnsi="ＭＳ ゴシック" w:cs="ＭＳ ゴシック" w:hint="eastAsia"/>
          <w:lang w:eastAsia="ja-JP"/>
        </w:rPr>
        <w:t>。</w:t>
      </w:r>
    </w:p>
    <w:p w14:paraId="37942EAB"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973" w:space="40"/>
            <w:col w:w="6227"/>
          </w:cols>
        </w:sectPr>
      </w:pPr>
    </w:p>
    <w:p w14:paraId="4ACF320F" w14:textId="77777777" w:rsidR="0055291C" w:rsidRDefault="0055291C">
      <w:pPr>
        <w:pStyle w:val="a3"/>
        <w:spacing w:before="5"/>
        <w:rPr>
          <w:sz w:val="24"/>
          <w:lang w:eastAsia="ja-JP"/>
        </w:rPr>
      </w:pPr>
    </w:p>
    <w:p w14:paraId="09C03E6C" w14:textId="4B6E52A3" w:rsidR="0055291C" w:rsidRDefault="00000000">
      <w:pPr>
        <w:pStyle w:val="3"/>
        <w:ind w:left="1342"/>
        <w:rPr>
          <w:lang w:eastAsia="ja-JP"/>
        </w:rPr>
      </w:pPr>
      <w:r>
        <w:pict w14:anchorId="6027AD83">
          <v:group id="docshapegroup1107" o:spid="_x0000_s2720" style="position:absolute;left:0;text-align:left;margin-left:56.65pt;margin-top:-1.3pt;width:498.65pt;height:279pt;z-index:-251564544;mso-position-horizontal-relative:page" coordorigin="1133,-26" coordsize="9973,5580">
            <v:shape id="docshape1108" o:spid="_x0000_s2723" style="position:absolute;left:1132;top:578;width:9973;height:4976" coordorigin="1133,579" coordsize="9973,4976" path="m11105,579r-9972,l1133,5327r3,131l1161,5526r68,24l1360,5554r9518,l11010,5550r67,-24l11102,5458r3,-131l11105,579xe" fillcolor="#f3f4f4" stroked="f">
              <v:path arrowok="t"/>
            </v:shape>
            <v:rect id="docshape1109" o:spid="_x0000_s2722" style="position:absolute;left:3871;top:5130;width:2070;height:132" fillcolor="#545456" stroked="f"/>
            <v:shape id="docshape1110" o:spid="_x0000_s2721" style="position:absolute;left:1132;top:-26;width:9973;height:545" coordorigin="1133,-26" coordsize="9973,545" path="m10878,-26r-9518,l1229,-22,1161,2r-25,68l1133,201r,317l11105,518r,-317l11102,70,11077,2r-67,-24l10878,-26xe" fillcolor="#00aca1" stroked="f">
              <v:path arrowok="t"/>
            </v:shape>
            <w10:wrap anchorx="page"/>
          </v:group>
        </w:pict>
      </w:r>
      <w:r w:rsidR="00C55C2A">
        <w:rPr>
          <w:rFonts w:ascii="ＭＳ 明朝" w:eastAsia="ＭＳ 明朝" w:hAnsi="ＭＳ 明朝" w:cs="ＭＳ 明朝" w:hint="eastAsia"/>
          <w:color w:val="F3F4F4"/>
          <w:lang w:eastAsia="ja-JP"/>
        </w:rPr>
        <w:t>アルコア</w:t>
      </w:r>
    </w:p>
    <w:p w14:paraId="2F2767F6" w14:textId="77777777" w:rsidR="0055291C" w:rsidRDefault="0055291C">
      <w:pPr>
        <w:pStyle w:val="a3"/>
        <w:rPr>
          <w:rFonts w:ascii="Arial"/>
          <w:b/>
          <w:i/>
          <w:sz w:val="20"/>
          <w:lang w:eastAsia="ja-JP"/>
        </w:rPr>
      </w:pPr>
    </w:p>
    <w:p w14:paraId="15CC2116" w14:textId="77777777" w:rsidR="0055291C" w:rsidRDefault="0055291C">
      <w:pPr>
        <w:rPr>
          <w:rFonts w:ascii="Arial"/>
          <w:sz w:val="20"/>
          <w:lang w:eastAsia="ja-JP"/>
        </w:rPr>
        <w:sectPr w:rsidR="0055291C">
          <w:type w:val="continuous"/>
          <w:pgSz w:w="12240" w:h="15840"/>
          <w:pgMar w:top="740" w:right="0" w:bottom="280" w:left="0" w:header="0" w:footer="859" w:gutter="0"/>
          <w:cols w:space="720"/>
        </w:sectPr>
      </w:pPr>
    </w:p>
    <w:p w14:paraId="531DFEDD" w14:textId="77777777" w:rsidR="0055291C" w:rsidRDefault="0055291C">
      <w:pPr>
        <w:pStyle w:val="a3"/>
        <w:spacing w:before="7"/>
        <w:rPr>
          <w:rFonts w:ascii="Arial"/>
          <w:b/>
          <w:i/>
          <w:sz w:val="21"/>
          <w:lang w:eastAsia="ja-JP"/>
        </w:rPr>
      </w:pPr>
    </w:p>
    <w:p w14:paraId="3A199B98" w14:textId="4BF696E9" w:rsidR="0055291C" w:rsidRDefault="003C7C96" w:rsidP="00882AD9">
      <w:pPr>
        <w:spacing w:before="2" w:line="328" w:lineRule="auto"/>
        <w:ind w:left="1359" w:firstLineChars="100" w:firstLine="180"/>
        <w:jc w:val="both"/>
        <w:rPr>
          <w:sz w:val="18"/>
          <w:lang w:eastAsia="ja-JP"/>
        </w:rPr>
      </w:pPr>
      <w:r w:rsidRPr="003C7C96">
        <w:rPr>
          <w:rFonts w:ascii="ＭＳ ゴシック" w:eastAsia="ＭＳ ゴシック" w:hAnsi="ＭＳ ゴシック" w:cs="ＭＳ ゴシック" w:hint="eastAsia"/>
          <w:color w:val="545456"/>
          <w:sz w:val="18"/>
          <w:lang w:eastAsia="ja-JP"/>
        </w:rPr>
        <w:t>アルミニウムのトップメーカーである</w:t>
      </w:r>
      <w:r w:rsidRPr="003C7C96">
        <w:rPr>
          <w:color w:val="545456"/>
          <w:sz w:val="18"/>
          <w:lang w:eastAsia="ja-JP"/>
        </w:rPr>
        <w:t>Alcoa</w:t>
      </w:r>
      <w:r w:rsidRPr="003C7C96">
        <w:rPr>
          <w:rFonts w:ascii="ＭＳ ゴシック" w:eastAsia="ＭＳ ゴシック" w:hAnsi="ＭＳ ゴシック" w:cs="ＭＳ ゴシック" w:hint="eastAsia"/>
          <w:color w:val="545456"/>
          <w:sz w:val="18"/>
          <w:lang w:eastAsia="ja-JP"/>
        </w:rPr>
        <w:t>社は、</w:t>
      </w:r>
      <w:proofErr w:type="spellStart"/>
      <w:r w:rsidRPr="003C7C96">
        <w:rPr>
          <w:color w:val="545456"/>
          <w:sz w:val="18"/>
          <w:lang w:eastAsia="ja-JP"/>
        </w:rPr>
        <w:t>LvL</w:t>
      </w:r>
      <w:proofErr w:type="spellEnd"/>
      <w:r w:rsidRPr="003C7C96">
        <w:rPr>
          <w:color w:val="545456"/>
          <w:sz w:val="18"/>
          <w:lang w:eastAsia="ja-JP"/>
        </w:rPr>
        <w:t xml:space="preserve"> One</w:t>
      </w:r>
      <w:r w:rsidRPr="003C7C96">
        <w:rPr>
          <w:rFonts w:ascii="ＭＳ ゴシック" w:eastAsia="ＭＳ ゴシック" w:hAnsi="ＭＳ ゴシック" w:cs="ＭＳ ゴシック" w:hint="eastAsia"/>
          <w:color w:val="545456"/>
          <w:sz w:val="18"/>
          <w:lang w:eastAsia="ja-JP"/>
        </w:rPr>
        <w:t>のゆりかごから墓場までの</w:t>
      </w:r>
      <w:r w:rsidRPr="003C7C96">
        <w:rPr>
          <w:color w:val="545456"/>
          <w:sz w:val="18"/>
          <w:lang w:eastAsia="ja-JP"/>
        </w:rPr>
        <w:t>GHG</w:t>
      </w:r>
      <w:r w:rsidR="00882AD9">
        <w:rPr>
          <w:rFonts w:ascii="ＭＳ ゴシック" w:eastAsia="ＭＳ ゴシック" w:hAnsi="ＭＳ ゴシック" w:cs="ＭＳ ゴシック" w:hint="eastAsia"/>
          <w:color w:val="545456"/>
          <w:sz w:val="18"/>
          <w:lang w:eastAsia="ja-JP"/>
        </w:rPr>
        <w:t>算出</w:t>
      </w:r>
      <w:r w:rsidRPr="003C7C96">
        <w:rPr>
          <w:rFonts w:ascii="ＭＳ ゴシック" w:eastAsia="ＭＳ ゴシック" w:hAnsi="ＭＳ ゴシック" w:cs="ＭＳ ゴシック" w:hint="eastAsia"/>
          <w:color w:val="545456"/>
          <w:sz w:val="18"/>
          <w:lang w:eastAsia="ja-JP"/>
        </w:rPr>
        <w:t>を実施しました。ホイールのライフサイクルの中で、リサイクルは</w:t>
      </w:r>
      <w:r w:rsidRPr="003C7C96">
        <w:rPr>
          <w:color w:val="545456"/>
          <w:sz w:val="18"/>
          <w:lang w:eastAsia="ja-JP"/>
        </w:rPr>
        <w:t>2</w:t>
      </w:r>
      <w:r w:rsidRPr="003C7C96">
        <w:rPr>
          <w:rFonts w:ascii="ＭＳ ゴシック" w:eastAsia="ＭＳ ゴシック" w:hAnsi="ＭＳ ゴシック" w:cs="ＭＳ ゴシック" w:hint="eastAsia"/>
          <w:color w:val="545456"/>
          <w:sz w:val="18"/>
          <w:lang w:eastAsia="ja-JP"/>
        </w:rPr>
        <w:t>回行われます。</w:t>
      </w:r>
      <w:r w:rsidR="00882AD9" w:rsidRPr="00882AD9">
        <w:rPr>
          <w:rFonts w:ascii="ＭＳ ゴシック" w:eastAsia="ＭＳ ゴシック" w:hAnsi="ＭＳ ゴシック" w:cs="ＭＳ ゴシック" w:hint="eastAsia"/>
          <w:color w:val="545456"/>
          <w:sz w:val="18"/>
          <w:lang w:eastAsia="ja-JP"/>
        </w:rPr>
        <w:t>まず、ホイールの製造</w:t>
      </w:r>
      <w:r w:rsidR="00882AD9">
        <w:rPr>
          <w:rFonts w:ascii="ＭＳ ゴシック" w:eastAsia="ＭＳ ゴシック" w:hAnsi="ＭＳ ゴシック" w:cs="ＭＳ ゴシック" w:hint="eastAsia"/>
          <w:color w:val="545456"/>
          <w:sz w:val="18"/>
          <w:lang w:eastAsia="ja-JP"/>
        </w:rPr>
        <w:t>工程で発生す</w:t>
      </w:r>
      <w:r w:rsidR="00882AD9" w:rsidRPr="00882AD9">
        <w:rPr>
          <w:rFonts w:ascii="ＭＳ ゴシック" w:eastAsia="ＭＳ ゴシック" w:hAnsi="ＭＳ ゴシック" w:cs="ＭＳ ゴシック" w:hint="eastAsia"/>
          <w:color w:val="545456"/>
          <w:sz w:val="18"/>
          <w:lang w:eastAsia="ja-JP"/>
        </w:rPr>
        <w:t>るスクラップは、鋳造施設に送られ、リサイクル</w:t>
      </w:r>
    </w:p>
    <w:p w14:paraId="6B7EA079" w14:textId="77777777" w:rsidR="0055291C" w:rsidRDefault="00F23C61">
      <w:pPr>
        <w:rPr>
          <w:lang w:eastAsia="ja-JP"/>
        </w:rPr>
      </w:pPr>
      <w:r>
        <w:rPr>
          <w:lang w:eastAsia="ja-JP"/>
        </w:rPr>
        <w:br w:type="column"/>
      </w:r>
    </w:p>
    <w:p w14:paraId="73DF2D1A" w14:textId="5AE8014E" w:rsidR="0055291C" w:rsidRDefault="00882AD9">
      <w:pPr>
        <w:spacing w:line="328" w:lineRule="auto"/>
        <w:ind w:left="497" w:right="1383"/>
        <w:rPr>
          <w:sz w:val="18"/>
          <w:lang w:eastAsia="ja-JP"/>
        </w:rPr>
      </w:pPr>
      <w:r w:rsidRPr="00882AD9">
        <w:rPr>
          <w:rFonts w:ascii="ＭＳ ゴシック" w:eastAsia="ＭＳ ゴシック" w:hAnsi="ＭＳ ゴシック" w:cs="ＭＳ ゴシック" w:hint="eastAsia"/>
          <w:color w:val="545456"/>
          <w:w w:val="105"/>
          <w:sz w:val="18"/>
          <w:lang w:eastAsia="ja-JP"/>
        </w:rPr>
        <w:t>再溶解され、一次金属と同じ固有の特性を持つアルミニウムのインゴットに二次鋳造されます。このため、製品のライフサイクルの中で、再生金属が新金属の生産を代替していると考えることができます。</w:t>
      </w:r>
    </w:p>
    <w:p w14:paraId="424A489B" w14:textId="77777777" w:rsidR="0055291C" w:rsidRDefault="0055291C">
      <w:pPr>
        <w:rPr>
          <w:sz w:val="18"/>
          <w:lang w:eastAsia="ja-JP"/>
        </w:rPr>
        <w:sectPr w:rsidR="0055291C">
          <w:type w:val="continuous"/>
          <w:pgSz w:w="12240" w:h="15840"/>
          <w:pgMar w:top="740" w:right="0" w:bottom="280" w:left="0" w:header="0" w:footer="859" w:gutter="0"/>
          <w:cols w:num="2" w:space="720" w:equalWidth="0">
            <w:col w:w="5724" w:space="40"/>
            <w:col w:w="6476"/>
          </w:cols>
        </w:sectPr>
      </w:pPr>
    </w:p>
    <w:p w14:paraId="10CEDF32" w14:textId="6A27F7E1" w:rsidR="0055291C" w:rsidRPr="00882AD9" w:rsidRDefault="00882AD9" w:rsidP="00882AD9">
      <w:pPr>
        <w:spacing w:before="3" w:line="328" w:lineRule="auto"/>
        <w:ind w:left="1359"/>
        <w:rPr>
          <w:rFonts w:eastAsiaTheme="minorEastAsia"/>
          <w:sz w:val="18"/>
          <w:lang w:eastAsia="ja-JP"/>
        </w:rPr>
      </w:pPr>
      <w:r w:rsidRPr="00882AD9">
        <w:rPr>
          <w:rFonts w:ascii="ＭＳ ゴシック" w:eastAsia="ＭＳ ゴシック" w:hAnsi="ＭＳ ゴシック" w:cs="ＭＳ ゴシック" w:hint="eastAsia"/>
          <w:color w:val="545456"/>
          <w:sz w:val="18"/>
          <w:lang w:eastAsia="ja-JP"/>
        </w:rPr>
        <w:t>されます。そして</w:t>
      </w:r>
      <w:r>
        <w:rPr>
          <w:rFonts w:asciiTheme="minorEastAsia" w:eastAsiaTheme="minorEastAsia" w:hAnsiTheme="minorEastAsia" w:hint="eastAsia"/>
          <w:color w:val="545456"/>
          <w:sz w:val="18"/>
          <w:lang w:eastAsia="ja-JP"/>
        </w:rPr>
        <w:t>2</w:t>
      </w:r>
      <w:r w:rsidRPr="00882AD9">
        <w:rPr>
          <w:rFonts w:ascii="ＭＳ ゴシック" w:eastAsia="ＭＳ ゴシック" w:hAnsi="ＭＳ ゴシック" w:cs="ＭＳ ゴシック" w:hint="eastAsia"/>
          <w:color w:val="545456"/>
          <w:sz w:val="18"/>
          <w:lang w:eastAsia="ja-JP"/>
        </w:rPr>
        <w:t>つ目は、ホイールそのものを使用済みとしてリサイクルすることです。両方の金属の流れはこの規格に記載されているクローズドループ近似法に当てはまります。リサイクルされた金属は、</w:t>
      </w:r>
      <w:r w:rsidR="008900B9">
        <w:rPr>
          <w:rFonts w:ascii="ＭＳ ゴシック" w:eastAsia="ＭＳ ゴシック" w:hAnsi="ＭＳ ゴシック" w:cs="ＭＳ ゴシック" w:hint="eastAsia"/>
          <w:color w:val="545456"/>
          <w:sz w:val="18"/>
          <w:lang w:eastAsia="ja-JP"/>
        </w:rPr>
        <w:t>加工、</w:t>
      </w:r>
    </w:p>
    <w:p w14:paraId="77C2D52B" w14:textId="12BC7721" w:rsidR="0055291C" w:rsidRDefault="00F23C61" w:rsidP="008900B9">
      <w:pPr>
        <w:spacing w:before="75" w:line="278" w:lineRule="auto"/>
        <w:ind w:left="234" w:right="161"/>
        <w:rPr>
          <w:rFonts w:ascii="Arial"/>
          <w:b/>
          <w:i/>
          <w:sz w:val="24"/>
          <w:lang w:eastAsia="ja-JP"/>
        </w:rPr>
      </w:pPr>
      <w:r>
        <w:rPr>
          <w:lang w:eastAsia="ja-JP"/>
        </w:rPr>
        <w:br w:type="column"/>
      </w:r>
      <w:r w:rsidR="008900B9" w:rsidRPr="008900B9">
        <w:rPr>
          <w:rFonts w:ascii="ＭＳ ゴシック" w:eastAsia="ＭＳ ゴシック" w:hAnsi="ＭＳ ゴシック" w:cs="ＭＳ ゴシック" w:hint="eastAsia"/>
          <w:b/>
          <w:bCs/>
          <w:color w:val="00ACA1"/>
          <w:sz w:val="24"/>
          <w:szCs w:val="36"/>
          <w:lang w:eastAsia="ja-JP"/>
        </w:rPr>
        <w:t>リサイクルなしのアルミホイールと比較して、総排出量の</w:t>
      </w:r>
      <w:r w:rsidR="008900B9" w:rsidRPr="008900B9">
        <w:rPr>
          <w:b/>
          <w:bCs/>
          <w:color w:val="00ACA1"/>
          <w:sz w:val="24"/>
          <w:szCs w:val="36"/>
          <w:lang w:eastAsia="ja-JP"/>
        </w:rPr>
        <w:t>10</w:t>
      </w:r>
      <w:r w:rsidR="008900B9" w:rsidRPr="008900B9">
        <w:rPr>
          <w:rFonts w:ascii="ＭＳ ゴシック" w:eastAsia="ＭＳ ゴシック" w:hAnsi="ＭＳ ゴシック" w:cs="ＭＳ ゴシック" w:hint="eastAsia"/>
          <w:b/>
          <w:bCs/>
          <w:color w:val="00ACA1"/>
          <w:sz w:val="24"/>
          <w:szCs w:val="36"/>
          <w:lang w:eastAsia="ja-JP"/>
        </w:rPr>
        <w:t>％削減を達成しました</w:t>
      </w:r>
      <w:r w:rsidR="008900B9">
        <w:rPr>
          <w:rFonts w:ascii="ＭＳ ゴシック" w:eastAsia="ＭＳ ゴシック" w:hAnsi="ＭＳ ゴシック" w:cs="ＭＳ ゴシック" w:hint="eastAsia"/>
          <w:b/>
          <w:i/>
          <w:color w:val="00ACA1"/>
          <w:w w:val="95"/>
          <w:sz w:val="24"/>
          <w:lang w:eastAsia="ja-JP"/>
        </w:rPr>
        <w:t>。</w:t>
      </w:r>
    </w:p>
    <w:p w14:paraId="4006EC42" w14:textId="77777777" w:rsidR="008900B9" w:rsidRDefault="00F23C61" w:rsidP="008900B9">
      <w:pPr>
        <w:spacing w:before="2" w:line="328" w:lineRule="auto"/>
        <w:ind w:left="296" w:right="1338" w:firstLineChars="100" w:firstLine="220"/>
        <w:rPr>
          <w:rFonts w:ascii="ＭＳ ゴシック" w:eastAsia="ＭＳ ゴシック" w:hAnsi="ＭＳ ゴシック" w:cs="ＭＳ ゴシック"/>
          <w:color w:val="545456"/>
          <w:sz w:val="18"/>
          <w:lang w:eastAsia="ja-JP"/>
        </w:rPr>
      </w:pPr>
      <w:r>
        <w:rPr>
          <w:lang w:eastAsia="ja-JP"/>
        </w:rPr>
        <w:br w:type="column"/>
      </w:r>
      <w:r w:rsidR="008900B9" w:rsidRPr="008900B9">
        <w:rPr>
          <w:rFonts w:ascii="ＭＳ ゴシック" w:eastAsia="ＭＳ ゴシック" w:hAnsi="ＭＳ ゴシック" w:cs="ＭＳ ゴシック" w:hint="eastAsia"/>
          <w:color w:val="545456"/>
          <w:sz w:val="18"/>
          <w:lang w:eastAsia="ja-JP"/>
        </w:rPr>
        <w:t>リサイクル活動を正確に計上するために、アルコア社ではマスバランスを用いてホイール製造工程におけるリサイクル金属の質量を計算しました。使用済み自動車のリサイクルについては、商用車セクターにおけるアルミニウムのリサイクル率に関する専門家の文献データに基づき、</w:t>
      </w:r>
      <w:r w:rsidR="008900B9" w:rsidRPr="008900B9">
        <w:rPr>
          <w:color w:val="545456"/>
          <w:sz w:val="18"/>
          <w:lang w:eastAsia="ja-JP"/>
        </w:rPr>
        <w:t>95%</w:t>
      </w:r>
      <w:r w:rsidR="008900B9" w:rsidRPr="008900B9">
        <w:rPr>
          <w:rFonts w:ascii="ＭＳ ゴシック" w:eastAsia="ＭＳ ゴシック" w:hAnsi="ＭＳ ゴシック" w:cs="ＭＳ ゴシック" w:hint="eastAsia"/>
          <w:color w:val="545456"/>
          <w:sz w:val="18"/>
          <w:lang w:eastAsia="ja-JP"/>
        </w:rPr>
        <w:t>のリサイクル率を想定しています。</w:t>
      </w:r>
    </w:p>
    <w:p w14:paraId="1B9EF89C" w14:textId="00650F41" w:rsidR="0055291C" w:rsidRDefault="008900B9" w:rsidP="008900B9">
      <w:pPr>
        <w:spacing w:before="2" w:line="328" w:lineRule="auto"/>
        <w:ind w:left="296" w:right="1338" w:firstLineChars="100" w:firstLine="180"/>
        <w:rPr>
          <w:sz w:val="18"/>
          <w:lang w:eastAsia="ja-JP"/>
        </w:rPr>
      </w:pPr>
      <w:r w:rsidRPr="008900B9">
        <w:rPr>
          <w:rFonts w:ascii="ＭＳ ゴシック" w:eastAsia="ＭＳ ゴシック" w:hAnsi="ＭＳ ゴシック" w:cs="ＭＳ ゴシック" w:hint="eastAsia"/>
          <w:color w:val="545456"/>
          <w:sz w:val="18"/>
          <w:lang w:eastAsia="ja-JP"/>
        </w:rPr>
        <w:t>アルコアは、リサイクルなしの</w:t>
      </w:r>
      <w:proofErr w:type="spellStart"/>
      <w:r w:rsidRPr="008900B9">
        <w:rPr>
          <w:color w:val="545456"/>
          <w:sz w:val="18"/>
          <w:lang w:eastAsia="ja-JP"/>
        </w:rPr>
        <w:t>LvL</w:t>
      </w:r>
      <w:proofErr w:type="spellEnd"/>
      <w:r w:rsidRPr="008900B9">
        <w:rPr>
          <w:color w:val="545456"/>
          <w:sz w:val="18"/>
          <w:lang w:eastAsia="ja-JP"/>
        </w:rPr>
        <w:t xml:space="preserve"> One</w:t>
      </w:r>
      <w:r w:rsidRPr="008900B9">
        <w:rPr>
          <w:rFonts w:ascii="ＭＳ ゴシック" w:eastAsia="ＭＳ ゴシック" w:hAnsi="ＭＳ ゴシック" w:cs="ＭＳ ゴシック" w:hint="eastAsia"/>
          <w:color w:val="545456"/>
          <w:sz w:val="18"/>
          <w:lang w:eastAsia="ja-JP"/>
        </w:rPr>
        <w:t>アルミホイールと比較して、総排出量の</w:t>
      </w:r>
      <w:r w:rsidRPr="008900B9">
        <w:rPr>
          <w:color w:val="545456"/>
          <w:sz w:val="18"/>
          <w:lang w:eastAsia="ja-JP"/>
        </w:rPr>
        <w:t>10</w:t>
      </w:r>
      <w:r w:rsidRPr="008900B9">
        <w:rPr>
          <w:rFonts w:ascii="ＭＳ ゴシック" w:eastAsia="ＭＳ ゴシック" w:hAnsi="ＭＳ ゴシック" w:cs="ＭＳ ゴシック" w:hint="eastAsia"/>
          <w:color w:val="545456"/>
          <w:sz w:val="18"/>
          <w:lang w:eastAsia="ja-JP"/>
        </w:rPr>
        <w:t>％削減を達成しました。</w:t>
      </w:r>
    </w:p>
    <w:p w14:paraId="3CB43AC2" w14:textId="77777777" w:rsidR="0055291C" w:rsidRDefault="0055291C">
      <w:pPr>
        <w:spacing w:line="328" w:lineRule="auto"/>
        <w:rPr>
          <w:sz w:val="18"/>
          <w:lang w:eastAsia="ja-JP"/>
        </w:rPr>
        <w:sectPr w:rsidR="0055291C">
          <w:type w:val="continuous"/>
          <w:pgSz w:w="12240" w:h="15840"/>
          <w:pgMar w:top="740" w:right="0" w:bottom="280" w:left="0" w:header="0" w:footer="859" w:gutter="0"/>
          <w:cols w:num="3" w:space="720" w:equalWidth="0">
            <w:col w:w="3598" w:space="40"/>
            <w:col w:w="2288" w:space="39"/>
            <w:col w:w="6275"/>
          </w:cols>
        </w:sectPr>
      </w:pPr>
    </w:p>
    <w:p w14:paraId="693F0641" w14:textId="77777777" w:rsidR="0055291C" w:rsidRPr="008900B9" w:rsidRDefault="0055291C">
      <w:pPr>
        <w:pStyle w:val="a3"/>
        <w:rPr>
          <w:rFonts w:ascii="ＭＳ ゴシック" w:eastAsia="ＭＳ ゴシック" w:hAnsi="ＭＳ ゴシック" w:cs="ＭＳ ゴシック"/>
          <w:sz w:val="20"/>
          <w:lang w:eastAsia="ja-JP"/>
        </w:rPr>
      </w:pPr>
    </w:p>
    <w:p w14:paraId="31DFED64" w14:textId="77777777" w:rsidR="0055291C" w:rsidRDefault="0055291C">
      <w:pPr>
        <w:pStyle w:val="a3"/>
        <w:rPr>
          <w:sz w:val="20"/>
          <w:lang w:eastAsia="ja-JP"/>
        </w:rPr>
      </w:pPr>
    </w:p>
    <w:p w14:paraId="76A2DFE1" w14:textId="77777777" w:rsidR="0055291C" w:rsidRDefault="0055291C">
      <w:pPr>
        <w:pStyle w:val="a3"/>
        <w:rPr>
          <w:sz w:val="20"/>
          <w:lang w:eastAsia="ja-JP"/>
        </w:rPr>
      </w:pPr>
    </w:p>
    <w:p w14:paraId="6173B0AC" w14:textId="77777777" w:rsidR="0055291C" w:rsidRDefault="0055291C">
      <w:pPr>
        <w:pStyle w:val="a3"/>
        <w:rPr>
          <w:sz w:val="20"/>
          <w:lang w:eastAsia="ja-JP"/>
        </w:rPr>
      </w:pPr>
    </w:p>
    <w:p w14:paraId="2E4DB317" w14:textId="4AAFCC41" w:rsidR="0055291C" w:rsidRDefault="0055291C">
      <w:pPr>
        <w:pStyle w:val="a3"/>
        <w:spacing w:before="7"/>
        <w:rPr>
          <w:sz w:val="21"/>
          <w:lang w:eastAsia="ja-JP"/>
        </w:rPr>
      </w:pPr>
    </w:p>
    <w:p w14:paraId="75DC55D0" w14:textId="26CB2FE7" w:rsidR="0055291C" w:rsidRDefault="008900B9">
      <w:pPr>
        <w:pStyle w:val="6"/>
        <w:spacing w:before="1"/>
        <w:ind w:left="1129"/>
        <w:rPr>
          <w:lang w:eastAsia="ja-JP"/>
        </w:rPr>
      </w:pPr>
      <w:bookmarkStart w:id="9" w:name="_bookmark0"/>
      <w:bookmarkEnd w:id="9"/>
      <w:r>
        <w:rPr>
          <w:rFonts w:ascii="ＭＳ 明朝" w:eastAsia="ＭＳ 明朝" w:hAnsi="ＭＳ 明朝" w:cs="ＭＳ 明朝" w:hint="eastAsia"/>
          <w:color w:val="00ACA1"/>
          <w:w w:val="95"/>
          <w:lang w:eastAsia="ja-JP"/>
        </w:rPr>
        <w:t>図</w:t>
      </w:r>
      <w:r w:rsidR="00F23C61">
        <w:rPr>
          <w:color w:val="00ACA1"/>
          <w:spacing w:val="17"/>
          <w:w w:val="95"/>
          <w:lang w:eastAsia="ja-JP"/>
        </w:rPr>
        <w:t xml:space="preserve"> </w:t>
      </w:r>
      <w:r w:rsidR="00F23C61">
        <w:rPr>
          <w:color w:val="00ACA1"/>
          <w:w w:val="95"/>
          <w:lang w:eastAsia="ja-JP"/>
        </w:rPr>
        <w:t>[9.5]</w:t>
      </w:r>
      <w:r w:rsidR="00F23C61">
        <w:rPr>
          <w:color w:val="00ACA1"/>
          <w:spacing w:val="17"/>
          <w:w w:val="95"/>
          <w:lang w:eastAsia="ja-JP"/>
        </w:rPr>
        <w:t xml:space="preserve"> </w:t>
      </w:r>
      <w:r>
        <w:rPr>
          <w:rFonts w:ascii="ＭＳ 明朝" w:eastAsia="ＭＳ 明朝" w:hAnsi="ＭＳ 明朝" w:cs="ＭＳ 明朝" w:hint="eastAsia"/>
          <w:color w:val="545456"/>
          <w:w w:val="95"/>
          <w:lang w:eastAsia="ja-JP"/>
        </w:rPr>
        <w:t>クローズドループ近似法を説明する工程表の例</w:t>
      </w:r>
    </w:p>
    <w:p w14:paraId="20D51250" w14:textId="553BB8C5" w:rsidR="0055291C" w:rsidRDefault="008900B9">
      <w:pPr>
        <w:pStyle w:val="a3"/>
        <w:spacing w:before="4"/>
        <w:rPr>
          <w:rFonts w:ascii="Arial"/>
          <w:b/>
          <w:sz w:val="17"/>
          <w:lang w:eastAsia="ja-JP"/>
        </w:rPr>
      </w:pPr>
      <w:r>
        <w:rPr>
          <w:noProof/>
        </w:rPr>
        <mc:AlternateContent>
          <mc:Choice Requires="wps">
            <w:drawing>
              <wp:anchor distT="0" distB="0" distL="114300" distR="114300" simplePos="0" relativeHeight="251492864" behindDoc="0" locked="0" layoutInCell="1" allowOverlap="1" wp14:anchorId="2F0244F2" wp14:editId="3ABED8CF">
                <wp:simplePos x="0" y="0"/>
                <wp:positionH relativeFrom="column">
                  <wp:posOffset>4902200</wp:posOffset>
                </wp:positionH>
                <wp:positionV relativeFrom="paragraph">
                  <wp:posOffset>200660</wp:posOffset>
                </wp:positionV>
                <wp:extent cx="596900" cy="323850"/>
                <wp:effectExtent l="0" t="0" r="0" b="0"/>
                <wp:wrapNone/>
                <wp:docPr id="95" name="テキスト ボックス 95"/>
                <wp:cNvGraphicFramePr/>
                <a:graphic xmlns:a="http://schemas.openxmlformats.org/drawingml/2006/main">
                  <a:graphicData uri="http://schemas.microsoft.com/office/word/2010/wordprocessingShape">
                    <wps:wsp>
                      <wps:cNvSpPr txBox="1"/>
                      <wps:spPr>
                        <a:xfrm>
                          <a:off x="0" y="0"/>
                          <a:ext cx="596900" cy="323850"/>
                        </a:xfrm>
                        <a:prstGeom prst="rect">
                          <a:avLst/>
                        </a:prstGeom>
                        <a:noFill/>
                        <a:ln w="6350">
                          <a:noFill/>
                        </a:ln>
                      </wps:spPr>
                      <wps:txbx>
                        <w:txbxContent>
                          <w:p w14:paraId="12FADC73" w14:textId="107D510E" w:rsidR="008900B9" w:rsidRPr="008900B9" w:rsidRDefault="008900B9">
                            <w:pPr>
                              <w:rPr>
                                <w:rFonts w:ascii="ＭＳ ゴシック" w:eastAsia="ＭＳ ゴシック" w:hAnsi="ＭＳ ゴシック" w:cs="ＭＳ ゴシック"/>
                                <w:b/>
                                <w:bCs/>
                                <w:i/>
                                <w:iCs/>
                                <w:color w:val="FFFFFF" w:themeColor="background1"/>
                                <w:sz w:val="18"/>
                                <w:szCs w:val="18"/>
                                <w:lang w:eastAsia="ja-JP"/>
                              </w:rPr>
                            </w:pPr>
                            <w:r w:rsidRPr="008900B9">
                              <w:rPr>
                                <w:rFonts w:ascii="ＭＳ ゴシック" w:eastAsia="ＭＳ ゴシック" w:hAnsi="ＭＳ ゴシック" w:cs="ＭＳ ゴシック" w:hint="eastAsia"/>
                                <w:b/>
                                <w:bCs/>
                                <w:i/>
                                <w:iCs/>
                                <w:color w:val="FFFFFF" w:themeColor="background1"/>
                                <w:sz w:val="18"/>
                                <w:szCs w:val="18"/>
                                <w:lang w:eastAsia="ja-JP"/>
                              </w:rPr>
                              <w:t>使用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0244F2" id="テキスト ボックス 95" o:spid="_x0000_s1125" type="#_x0000_t202" style="position:absolute;margin-left:386pt;margin-top:15.8pt;width:47pt;height:25.5pt;z-index:25149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" filled="f" stroked="f" strokeweight=".5pt">
                <v:textbox>
                  <w:txbxContent>
                    <w:p w14:paraId="12FADC73" w14:textId="107D510E" w:rsidR="008900B9" w:rsidRPr="008900B9" w:rsidRDefault="008900B9">
                      <w:pPr>
                        <w:rPr>
                          <w:rFonts w:ascii="ＭＳ ゴシック" w:eastAsia="ＭＳ ゴシック" w:hAnsi="ＭＳ ゴシック" w:cs="ＭＳ ゴシック"/>
                          <w:b/>
                          <w:bCs/>
                          <w:i/>
                          <w:iCs/>
                          <w:color w:val="FFFFFF" w:themeColor="background1"/>
                          <w:sz w:val="18"/>
                          <w:szCs w:val="18"/>
                          <w:lang w:eastAsia="ja-JP"/>
                        </w:rPr>
                      </w:pPr>
                      <w:r w:rsidRPr="008900B9">
                        <w:rPr>
                          <w:rFonts w:ascii="ＭＳ ゴシック" w:eastAsia="ＭＳ ゴシック" w:hAnsi="ＭＳ ゴシック" w:cs="ＭＳ ゴシック" w:hint="eastAsia"/>
                          <w:b/>
                          <w:bCs/>
                          <w:i/>
                          <w:iCs/>
                          <w:color w:val="FFFFFF" w:themeColor="background1"/>
                          <w:sz w:val="18"/>
                          <w:szCs w:val="18"/>
                          <w:lang w:eastAsia="ja-JP"/>
                        </w:rPr>
                        <w:t>使用</w:t>
                      </w:r>
                    </w:p>
                  </w:txbxContent>
                </v:textbox>
              </v:shape>
            </w:pict>
          </mc:Fallback>
        </mc:AlternateContent>
      </w:r>
      <w:r w:rsidR="00000000">
        <w:pict w14:anchorId="6D387326">
          <v:group id="docshapegroup1115" o:spid="_x0000_s2709" style="position:absolute;margin-left:56.5pt;margin-top:11.35pt;width:498.45pt;height:30.8pt;z-index:-251474432;mso-wrap-distance-left:0;mso-wrap-distance-right:0;mso-position-horizontal-relative:page;mso-position-vertical-relative:text" coordorigin="1130,224" coordsize="9969,616">
            <v:shape id="docshape1116" o:spid="_x0000_s2719" style="position:absolute;left:8615;top:223;width:2483;height:616" coordorigin="8616,224" coordsize="2483,616" o:spt="100" adj="0,,0" path="m10553,224r-1758,l8691,226r-53,19l8619,296r-3,98l8616,669r3,98l8638,818r53,18l8795,839r1753,l10569,839r15,-2l10599,833r23,-9l10638,819r394,-207l11098,552r-7,-53l11054,462r-22,-14l10648,246r-25,-11l10600,228r-17,-3l10564,225r-6,-1l10553,224xm10581,224r-17,1l10583,225r-2,-1xe" fillcolor="#f47836" stroked="f">
              <v:stroke joinstyle="round"/>
              <v:formulas/>
              <v:path arrowok="t" o:connecttype="segments"/>
            </v:shape>
            <v:shape id="docshape1117" o:spid="_x0000_s2718" style="position:absolute;left:6815;top:223;width:2483;height:616" coordorigin="6816,224" coordsize="2483,616" o:spt="100" adj="0,,0" path="m8754,224r-1759,l6891,226r-53,19l6819,296r-3,98l6816,669r3,98l6838,818r53,18l6995,839r1753,l8769,839r15,-2l8799,833r24,-9l8838,819,9233,612r66,-60l9291,499r-36,-37l9233,448,8848,246r-25,-11l8801,228r-18,-3l8764,225r-5,-1l8754,224xm8781,224r-17,1l8783,225r-2,-1xe" fillcolor="#ed1065" stroked="f">
              <v:stroke joinstyle="round"/>
              <v:formulas/>
              <v:path arrowok="t" o:connecttype="segments"/>
            </v:shape>
            <v:shape id="docshape1118" o:spid="_x0000_s2717" style="position:absolute;left:4917;top:223;width:2483;height:616" coordorigin="4917,224" coordsize="2483,616" o:spt="100" adj="0,,0" path="m6855,224r-1759,l4993,226r-53,19l4920,296r-3,98l4917,669r3,98l4940,818r53,18l5096,839r1753,l6870,839r15,-2l6901,833r23,-9l6939,819,7334,612r66,-60l7393,499r-37,-37l7334,448,6949,246r-25,-11l6902,228r-18,-3l6865,225r-5,-1l6855,224xm6882,224r-17,1l6884,225r-2,-1xe" fillcolor="#4f84c4" stroked="f">
              <v:stroke joinstyle="round"/>
              <v:formulas/>
              <v:path arrowok="t" o:connecttype="segments"/>
            </v:shape>
            <v:shape id="docshape1119" o:spid="_x0000_s2716" style="position:absolute;left:3011;top:223;width:2483;height:616" coordorigin="3011,224" coordsize="2483,616" o:spt="100" adj="0,,0" path="m4949,224r-1759,l3087,226r-54,19l3014,296r-3,98l3011,669r3,98l3033,818r54,18l3190,839r1753,l4964,839r15,-2l4995,833r23,-9l5033,819,5428,612r66,-60l5486,499r-36,-37l5428,448,5043,246r-25,-11l4996,228r-18,-3l4959,225r-5,-1l4949,224xm4976,224r-17,1l4978,225r-2,-1xe" fillcolor="#7f3f98" stroked="f">
              <v:stroke joinstyle="round"/>
              <v:formulas/>
              <v:path arrowok="t" o:connecttype="segments"/>
            </v:shape>
            <v:shape id="docshape1120" o:spid="_x0000_s2715" style="position:absolute;left:1129;top:223;width:2483;height:616" coordorigin="1130,224" coordsize="2483,616" o:spt="100" adj="0,,0" path="m3067,224r-1759,l1205,226r-53,19l1132,296r-2,98l1130,669r2,98l1152,818r53,18l1308,839r1754,l3083,839r14,-2l3113,833r23,-9l3151,819,3546,612r66,-60l3605,499r-37,-37l3546,448,3162,246r-26,-11l3114,228r-17,-3l3078,225r-6,-1l3067,224xm3095,224r-17,1l3097,225r-2,-1xe" fillcolor="#00aca1" stroked="f">
              <v:stroke joinstyle="round"/>
              <v:formulas/>
              <v:path arrowok="t" o:connecttype="segments"/>
            </v:shape>
            <v:shape id="docshape1121" o:spid="_x0000_s2714" type="#_x0000_t202" style="position:absolute;left:1347;top:299;width:1675;height:422;v-text-anchor:middle" filled="f" stroked="f">
              <v:textbox style="mso-next-textbox:#docshape1121" inset="0,0,0,0">
                <w:txbxContent>
                  <w:p w14:paraId="5D224168" w14:textId="791B4C84" w:rsidR="0055291C" w:rsidRDefault="008900B9">
                    <w:pPr>
                      <w:spacing w:line="254" w:lineRule="auto"/>
                      <w:ind w:left="140" w:right="14" w:hanging="141"/>
                      <w:rPr>
                        <w:rFonts w:ascii="Arial"/>
                        <w:b/>
                        <w:i/>
                        <w:sz w:val="18"/>
                      </w:rPr>
                    </w:pPr>
                    <w:r>
                      <w:rPr>
                        <w:rFonts w:ascii="ＭＳ ゴシック" w:eastAsia="ＭＳ ゴシック" w:hAnsi="ＭＳ ゴシック" w:cs="ＭＳ ゴシック" w:hint="eastAsia"/>
                        <w:b/>
                        <w:i/>
                        <w:color w:val="FFFFFF"/>
                        <w:spacing w:val="-3"/>
                        <w:sz w:val="18"/>
                        <w:lang w:eastAsia="ja-JP"/>
                      </w:rPr>
                      <w:t>素材入手と前処理</w:t>
                    </w:r>
                  </w:p>
                </w:txbxContent>
              </v:textbox>
            </v:shape>
            <v:shape id="docshape1122" o:spid="_x0000_s2713" type="#_x0000_t202" style="position:absolute;left:3899;top:439;width:920;height:202" filled="f" stroked="f">
              <v:textbox style="mso-next-textbox:#docshape1122" inset="0,0,0,0">
                <w:txbxContent>
                  <w:p w14:paraId="1A66ECCD" w14:textId="38B48334" w:rsidR="0055291C" w:rsidRDefault="008900B9">
                    <w:pPr>
                      <w:spacing w:line="202" w:lineRule="exact"/>
                      <w:rPr>
                        <w:rFonts w:ascii="Arial"/>
                        <w:b/>
                        <w:i/>
                        <w:sz w:val="18"/>
                      </w:rPr>
                    </w:pPr>
                    <w:r>
                      <w:rPr>
                        <w:rFonts w:ascii="ＭＳ ゴシック" w:eastAsia="ＭＳ ゴシック" w:hAnsi="ＭＳ ゴシック" w:cs="ＭＳ ゴシック" w:hint="eastAsia"/>
                        <w:b/>
                        <w:i/>
                        <w:color w:val="FFFFFF"/>
                        <w:w w:val="95"/>
                        <w:sz w:val="18"/>
                        <w:lang w:eastAsia="ja-JP"/>
                      </w:rPr>
                      <w:t>生産</w:t>
                    </w:r>
                  </w:p>
                </w:txbxContent>
              </v:textbox>
            </v:shape>
            <v:shape id="docshape1123" o:spid="_x0000_s2712" type="#_x0000_t202" style="position:absolute;left:5804;top:299;width:993;height:422;mso-position-vertical:absolute;v-text-anchor:middle" filled="f" stroked="f">
              <v:textbox style="mso-next-textbox:#docshape1123" inset="0,0,0,0">
                <w:txbxContent>
                  <w:p w14:paraId="386E353B" w14:textId="6B1CEE47" w:rsidR="0055291C" w:rsidRDefault="008900B9">
                    <w:pPr>
                      <w:spacing w:line="254" w:lineRule="auto"/>
                      <w:ind w:left="68" w:right="8" w:hanging="69"/>
                      <w:rPr>
                        <w:rFonts w:ascii="Arial"/>
                        <w:b/>
                        <w:i/>
                        <w:sz w:val="18"/>
                      </w:rPr>
                    </w:pPr>
                    <w:r>
                      <w:rPr>
                        <w:rFonts w:ascii="ＭＳ ゴシック" w:eastAsia="ＭＳ ゴシック" w:hAnsi="ＭＳ ゴシック" w:cs="ＭＳ ゴシック" w:hint="eastAsia"/>
                        <w:b/>
                        <w:i/>
                        <w:color w:val="FFFFFF"/>
                        <w:spacing w:val="-2"/>
                        <w:sz w:val="18"/>
                        <w:lang w:eastAsia="ja-JP"/>
                      </w:rPr>
                      <w:t>流通、保管</w:t>
                    </w:r>
                  </w:p>
                </w:txbxContent>
              </v:textbox>
            </v:shape>
            <v:shape id="docshape1124" o:spid="_x0000_s2711" type="#_x0000_t202" style="position:absolute;left:7983;top:439;width:305;height:202" filled="f" stroked="f">
              <v:textbox style="mso-next-textbox:#docshape1124" inset="0,0,0,0">
                <w:txbxContent>
                  <w:p w14:paraId="6279A6FF" w14:textId="1BAA39C5" w:rsidR="0055291C" w:rsidRDefault="0055291C">
                    <w:pPr>
                      <w:spacing w:line="202" w:lineRule="exact"/>
                      <w:rPr>
                        <w:rFonts w:ascii="Arial"/>
                        <w:b/>
                        <w:i/>
                        <w:sz w:val="18"/>
                      </w:rPr>
                    </w:pPr>
                  </w:p>
                </w:txbxContent>
              </v:textbox>
            </v:shape>
            <v:shape id="docshape1125" o:spid="_x0000_s2710" type="#_x0000_t202" style="position:absolute;left:9667;top:439;width:905;height:202" filled="f" stroked="f">
              <v:textbox style="mso-next-textbox:#docshape1125" inset="0,0,0,0">
                <w:txbxContent>
                  <w:p w14:paraId="0BD84319" w14:textId="442D57B9" w:rsidR="0055291C" w:rsidRDefault="008900B9">
                    <w:pPr>
                      <w:spacing w:line="202" w:lineRule="exact"/>
                      <w:rPr>
                        <w:rFonts w:ascii="Arial"/>
                        <w:b/>
                        <w:i/>
                        <w:sz w:val="18"/>
                      </w:rPr>
                    </w:pPr>
                    <w:r>
                      <w:rPr>
                        <w:rFonts w:ascii="ＭＳ ゴシック" w:eastAsia="ＭＳ ゴシック" w:hAnsi="ＭＳ ゴシック" w:cs="ＭＳ ゴシック" w:hint="eastAsia"/>
                        <w:b/>
                        <w:i/>
                        <w:color w:val="FFFFFF"/>
                        <w:sz w:val="18"/>
                        <w:lang w:eastAsia="ja-JP"/>
                      </w:rPr>
                      <w:t>廃棄</w:t>
                    </w:r>
                  </w:p>
                </w:txbxContent>
              </v:textbox>
            </v:shape>
            <w10:wrap type="topAndBottom" anchorx="page"/>
          </v:group>
        </w:pict>
      </w:r>
    </w:p>
    <w:p w14:paraId="292C4362" w14:textId="77777777" w:rsidR="0055291C" w:rsidRDefault="0055291C">
      <w:pPr>
        <w:pStyle w:val="a3"/>
        <w:rPr>
          <w:rFonts w:ascii="Arial"/>
          <w:b/>
          <w:sz w:val="20"/>
          <w:lang w:eastAsia="ja-JP"/>
        </w:rPr>
      </w:pPr>
    </w:p>
    <w:p w14:paraId="2221C28C" w14:textId="77777777" w:rsidR="0055291C" w:rsidRDefault="0055291C">
      <w:pPr>
        <w:pStyle w:val="a3"/>
        <w:rPr>
          <w:rFonts w:ascii="Arial"/>
          <w:b/>
          <w:sz w:val="20"/>
          <w:lang w:eastAsia="ja-JP"/>
        </w:rPr>
      </w:pPr>
    </w:p>
    <w:p w14:paraId="04313454" w14:textId="77777777" w:rsidR="0055291C" w:rsidRDefault="0055291C">
      <w:pPr>
        <w:pStyle w:val="a3"/>
        <w:rPr>
          <w:rFonts w:ascii="Arial"/>
          <w:b/>
          <w:sz w:val="20"/>
          <w:lang w:eastAsia="ja-JP"/>
        </w:rPr>
      </w:pPr>
    </w:p>
    <w:p w14:paraId="6EB12838" w14:textId="77777777" w:rsidR="0055291C" w:rsidRDefault="0055291C">
      <w:pPr>
        <w:pStyle w:val="a3"/>
        <w:rPr>
          <w:rFonts w:ascii="Arial"/>
          <w:b/>
          <w:sz w:val="20"/>
          <w:lang w:eastAsia="ja-JP"/>
        </w:rPr>
      </w:pPr>
    </w:p>
    <w:p w14:paraId="1D60E4E8" w14:textId="77777777" w:rsidR="0055291C" w:rsidRDefault="0055291C">
      <w:pPr>
        <w:pStyle w:val="a3"/>
        <w:spacing w:before="11"/>
        <w:rPr>
          <w:rFonts w:ascii="Arial"/>
          <w:b/>
          <w:sz w:val="25"/>
          <w:lang w:eastAsia="ja-JP"/>
        </w:rPr>
      </w:pPr>
    </w:p>
    <w:p w14:paraId="293A55CD" w14:textId="4EBE41E1" w:rsidR="0055291C" w:rsidRDefault="00000000">
      <w:pPr>
        <w:spacing w:before="102" w:line="235" w:lineRule="auto"/>
        <w:ind w:left="9834" w:right="1674"/>
        <w:jc w:val="center"/>
        <w:rPr>
          <w:rFonts w:ascii="Arial"/>
          <w:b/>
          <w:i/>
          <w:sz w:val="16"/>
          <w:lang w:eastAsia="ja-JP"/>
        </w:rPr>
      </w:pPr>
      <w:r>
        <w:pict w14:anchorId="29A65C9C">
          <v:group id="docshapegroup1126" o:spid="_x0000_s2690" style="position:absolute;left:0;text-align:left;margin-left:57.7pt;margin-top:-50.5pt;width:433.3pt;height:112.5pt;z-index:251613696;mso-position-horizontal-relative:page" coordorigin="1154,-1010" coordsize="8666,2250">
            <v:shape id="docshape1127" o:spid="_x0000_s2708" style="position:absolute;left:2544;top:318;width:640;height:282" coordorigin="2544,318" coordsize="640,282" path="m2998,318r-14,2l2974,331r-4,19l2970,393r-426,1l2544,526r425,l2969,569r4,18l2982,598r15,2l3014,592,3165,486r14,-14l3183,455r-5,-17l3164,424,3016,326r-18,-8xe" fillcolor="#b8babd" stroked="f">
              <v:path arrowok="t"/>
            </v:shape>
            <v:shape id="docshape1128" o:spid="_x0000_s2707" style="position:absolute;left:1153;top:-95;width:1701;height:1134" coordorigin="1154,-95" coordsize="1701,1134" path="m2614,-95r-1220,l1255,-91r-71,26l1157,7r-3,138l1154,799r3,139l1184,1009r71,27l1394,1039r1220,l2753,1036r71,-27l2851,938r3,-139l2854,145,2851,7r-27,-72l2753,-91r-139,-4xe" fillcolor="#00aca1" stroked="f">
              <v:path arrowok="t"/>
            </v:shape>
            <v:shape id="docshape1129" o:spid="_x0000_s2706" style="position:absolute;left:9179;top:303;width:640;height:282" coordorigin="9180,304" coordsize="640,282" path="m9634,304r-15,2l9610,317r-4,19l9606,379r-426,l9180,512r425,l9605,554r4,19l9618,584r15,2l9650,578,9801,472r14,-15l9819,441r-5,-17l9800,410,9652,311r-18,-7xe" fillcolor="#b8babd" stroked="f">
              <v:path arrowok="t"/>
            </v:shape>
            <v:line id="_x0000_s2705" style="position:absolute" from="3652,448" to="9653,448" strokecolor="#b6b8ba" strokeweight="8pt"/>
            <v:shape id="docshape1130" o:spid="_x0000_s2704" style="position:absolute;left:3244;top:-128;width:1134;height:1134" coordorigin="3245,-127" coordsize="1134,1134" path="m4139,-127r-654,l3346,-124r-71,27l3249,-26r-4,139l3245,767r4,138l3275,977r71,26l3485,1007r654,l4278,1003r71,-26l4375,905r4,-138l4379,113r-4,-139l4349,-97r-71,-27l4139,-127xe" fillcolor="#7f3f98" stroked="f">
              <v:path arrowok="t"/>
            </v:shape>
            <v:shape id="docshape1131" o:spid="_x0000_s2703" style="position:absolute;left:4548;top:-128;width:1134;height:1134" coordorigin="4549,-127" coordsize="1134,1134" path="m5443,-127r-654,l4650,-124r-71,27l4553,-26r-4,139l4549,767r4,138l4579,977r71,26l4789,1007r654,l5582,1003r71,-26l5679,905r4,-138l5683,113r-4,-139l5653,-97r-71,-27l5443,-127xe" fillcolor="#4f84c4" stroked="f">
              <v:path arrowok="t"/>
            </v:shape>
            <v:shape id="docshape1132" o:spid="_x0000_s2702" style="position:absolute;left:5852;top:-128;width:1134;height:1134" coordorigin="5853,-127" coordsize="1134,1134" path="m6747,-127r-654,l5954,-124r-71,27l5857,-26r-4,139l5853,767r4,138l5883,977r71,26l6093,1007r654,l6885,1003r72,-26l6983,905r4,-138l6987,113r-4,-139l6957,-97r-72,-27l6747,-127xe" fillcolor="#ed1065" stroked="f">
              <v:path arrowok="t"/>
            </v:shape>
            <v:shape id="docshape1133" o:spid="_x0000_s2701" style="position:absolute;left:7574;top:-444;width:282;height:559" coordorigin="7575,-443" coordsize="282,559" path="m7720,-443r-17,4l7689,-425r-106,151l7575,-257r2,15l7587,-233r19,4l7649,-229r,344l7781,115r1,-345l7824,-230r19,-4l7854,-244r3,-14l7849,-276r-98,-148l7736,-438r-16,-5xe" fillcolor="#b8babd" stroked="f">
              <v:path arrowok="t"/>
            </v:shape>
            <v:shape id="docshape1134" o:spid="_x0000_s2700" style="position:absolute;left:7156;top:-992;width:2409;height:1999" coordorigin="7157,-992" coordsize="2409,1999" o:spt="100" adj="0,,0" path="m8291,113r-4,-139l8261,-97r-72,-27l8051,-127r-654,l7258,-124r-71,27l7161,-26r-4,139l7157,767r4,138l7187,977r71,26l7397,1007r654,l8189,1003r72,-26l8287,905r4,-138l8291,113xm9565,-752r-4,-139l9535,-962r-71,-26l9325,-992r-522,l8664,-988r-71,26l8567,-891r-4,139l8563,-665r4,139l8593,-455r71,26l8803,-425r522,l9464,-429r71,-26l9561,-526r4,-139l9565,-752xe" fillcolor="#f47836" stroked="f">
              <v:stroke joinstyle="round"/>
              <v:formulas/>
              <v:path arrowok="t" o:connecttype="segments"/>
            </v:shape>
            <v:shape id="docshape1135" o:spid="_x0000_s2699" type="#_x0000_t75" style="position:absolute;left:3634;top:1025;width:282;height:215">
              <v:imagedata r:id="rId230" o:title=""/>
            </v:shape>
            <v:shape id="docshape1136" o:spid="_x0000_s2698" type="#_x0000_t75" style="position:absolute;left:8128;top:-871;width:379;height:282">
              <v:imagedata r:id="rId231" o:title=""/>
            </v:shape>
            <v:shape id="docshape1137" o:spid="_x0000_s2697" type="#_x0000_t202" style="position:absolute;left:7391;top:-1010;width:654;height:540" filled="f" stroked="f">
              <v:textbox style="mso-next-textbox:#docshape1137" inset="0,0,0,0">
                <w:txbxContent>
                  <w:p w14:paraId="57929EDB" w14:textId="1D4CA568" w:rsidR="0055291C" w:rsidRDefault="002307CB">
                    <w:pPr>
                      <w:spacing w:line="235" w:lineRule="auto"/>
                      <w:ind w:right="18"/>
                      <w:jc w:val="center"/>
                      <w:rPr>
                        <w:rFonts w:ascii="Arial"/>
                        <w:b/>
                        <w:i/>
                        <w:sz w:val="16"/>
                      </w:rPr>
                    </w:pPr>
                    <w:r>
                      <w:rPr>
                        <w:rFonts w:ascii="ＭＳ ゴシック" w:eastAsia="ＭＳ ゴシック" w:hAnsi="ＭＳ ゴシック" w:cs="ＭＳ ゴシック" w:hint="eastAsia"/>
                        <w:b/>
                        <w:i/>
                        <w:color w:val="7D7D82"/>
                        <w:sz w:val="16"/>
                        <w:lang w:eastAsia="ja-JP"/>
                      </w:rPr>
                      <w:t>廃棄物</w:t>
                    </w:r>
                    <w:r w:rsidR="00193F96">
                      <w:rPr>
                        <w:rFonts w:ascii="ＭＳ ゴシック" w:eastAsia="ＭＳ ゴシック" w:hAnsi="ＭＳ ゴシック" w:cs="ＭＳ ゴシック" w:hint="eastAsia"/>
                        <w:b/>
                        <w:i/>
                        <w:color w:val="7D7D82"/>
                        <w:sz w:val="16"/>
                        <w:lang w:eastAsia="ja-JP"/>
                      </w:rPr>
                      <w:t>発生量</w:t>
                    </w:r>
                  </w:p>
                </w:txbxContent>
              </v:textbox>
            </v:shape>
            <v:shape id="docshape1138" o:spid="_x0000_s2696" type="#_x0000_t202" style="position:absolute;left:8685;top:-896;width:775;height:340" filled="f" stroked="f">
              <v:textbox style="mso-next-textbox:#docshape1138" inset="0,0,0,0">
                <w:txbxContent>
                  <w:p w14:paraId="286B759B" w14:textId="7018A5D3" w:rsidR="0055291C" w:rsidRDefault="002307CB" w:rsidP="002307CB">
                    <w:pPr>
                      <w:spacing w:before="18" w:line="208" w:lineRule="auto"/>
                      <w:ind w:left="168" w:hangingChars="100" w:hanging="168"/>
                      <w:rPr>
                        <w:rFonts w:ascii="Arial"/>
                        <w:b/>
                        <w:i/>
                        <w:sz w:val="16"/>
                      </w:rPr>
                    </w:pPr>
                    <w:r>
                      <w:rPr>
                        <w:rFonts w:ascii="ＭＳ ゴシック" w:eastAsia="ＭＳ ゴシック" w:hAnsi="ＭＳ ゴシック" w:cs="ＭＳ ゴシック" w:hint="eastAsia"/>
                        <w:b/>
                        <w:i/>
                        <w:color w:val="FFFFFF"/>
                        <w:w w:val="105"/>
                        <w:sz w:val="16"/>
                        <w:lang w:eastAsia="ja-JP"/>
                      </w:rPr>
                      <w:t>廃棄物　処理</w:t>
                    </w:r>
                  </w:p>
                </w:txbxContent>
              </v:textbox>
            </v:shape>
            <v:shape id="docshape1139" o:spid="_x0000_s2695" type="#_x0000_t202" style="position:absolute;left:1386;top:205;width:1255;height:500" filled="f" stroked="f">
              <v:textbox style="mso-next-textbox:#docshape1139" inset="0,0,0,0">
                <w:txbxContent>
                  <w:p w14:paraId="33674290" w14:textId="13C9756D" w:rsidR="0055291C" w:rsidRDefault="002307CB">
                    <w:pPr>
                      <w:spacing w:line="161" w:lineRule="exact"/>
                      <w:rPr>
                        <w:rFonts w:ascii="Arial"/>
                        <w:b/>
                        <w:i/>
                        <w:sz w:val="16"/>
                        <w:lang w:eastAsia="ja-JP"/>
                      </w:rPr>
                    </w:pPr>
                    <w:r>
                      <w:rPr>
                        <w:rFonts w:ascii="ＭＳ ゴシック" w:eastAsia="ＭＳ ゴシック" w:hAnsi="ＭＳ ゴシック" w:cs="ＭＳ ゴシック" w:hint="eastAsia"/>
                        <w:b/>
                        <w:i/>
                        <w:color w:val="FFFFFF"/>
                        <w:sz w:val="16"/>
                        <w:lang w:eastAsia="ja-JP"/>
                      </w:rPr>
                      <w:t>バージン材取得・前処理</w:t>
                    </w:r>
                  </w:p>
                </w:txbxContent>
              </v:textbox>
            </v:shape>
            <v:shape id="docshape1140" o:spid="_x0000_s2694" type="#_x0000_t202" style="position:absolute;left:3401;top:252;width:828;height:340" filled="f" stroked="f">
              <v:textbox style="mso-next-textbox:#docshape1140" inset="0,0,0,0">
                <w:txbxContent>
                  <w:p w14:paraId="66BB8899" w14:textId="29AF5341" w:rsidR="0055291C" w:rsidRDefault="002307CB">
                    <w:pPr>
                      <w:spacing w:before="18" w:line="208" w:lineRule="auto"/>
                      <w:ind w:left="123" w:right="15" w:hanging="124"/>
                      <w:rPr>
                        <w:rFonts w:ascii="Arial"/>
                        <w:b/>
                        <w:i/>
                        <w:sz w:val="16"/>
                      </w:rPr>
                    </w:pPr>
                    <w:r>
                      <w:rPr>
                        <w:rFonts w:ascii="ＭＳ ゴシック" w:eastAsia="ＭＳ ゴシック" w:hAnsi="ＭＳ ゴシック" w:cs="ＭＳ ゴシック" w:hint="eastAsia"/>
                        <w:b/>
                        <w:i/>
                        <w:color w:val="FFFFFF"/>
                        <w:w w:val="95"/>
                        <w:sz w:val="16"/>
                        <w:lang w:eastAsia="ja-JP"/>
                      </w:rPr>
                      <w:t>生産工程</w:t>
                    </w:r>
                  </w:p>
                </w:txbxContent>
              </v:textbox>
            </v:shape>
            <v:shape id="docshape1141" o:spid="_x0000_s2693" type="#_x0000_t202" style="position:absolute;left:4671;top:252;width:894;height:340" filled="f" stroked="f">
              <v:textbox style="mso-next-textbox:#docshape1141" inset="0,0,0,0">
                <w:txbxContent>
                  <w:p w14:paraId="607098AC" w14:textId="38E01245" w:rsidR="0055291C" w:rsidRDefault="002307CB">
                    <w:pPr>
                      <w:spacing w:before="18" w:line="208" w:lineRule="auto"/>
                      <w:ind w:left="156" w:right="7" w:hanging="157"/>
                      <w:rPr>
                        <w:rFonts w:ascii="Arial"/>
                        <w:b/>
                        <w:i/>
                        <w:sz w:val="16"/>
                      </w:rPr>
                    </w:pPr>
                    <w:r>
                      <w:rPr>
                        <w:rFonts w:ascii="ＭＳ ゴシック" w:eastAsia="ＭＳ ゴシック" w:hAnsi="ＭＳ ゴシック" w:cs="ＭＳ ゴシック" w:hint="eastAsia"/>
                        <w:b/>
                        <w:i/>
                        <w:color w:val="FFFFFF"/>
                        <w:spacing w:val="-1"/>
                        <w:sz w:val="16"/>
                        <w:lang w:eastAsia="ja-JP"/>
                      </w:rPr>
                      <w:t>流通過程</w:t>
                    </w:r>
                  </w:p>
                </w:txbxContent>
              </v:textbox>
            </v:shape>
            <v:shape id="docshape1142" o:spid="_x0000_s2692" type="#_x0000_t202" style="position:absolute;left:6132;top:252;width:582;height:340" filled="f" stroked="f">
              <v:textbox style="mso-next-textbox:#docshape1142" inset="0,0,0,0">
                <w:txbxContent>
                  <w:p w14:paraId="790A0593" w14:textId="51A3FB6D" w:rsidR="0055291C" w:rsidRPr="002307CB" w:rsidRDefault="002307CB">
                    <w:pPr>
                      <w:spacing w:before="18" w:line="208" w:lineRule="auto"/>
                      <w:ind w:right="9" w:firstLine="153"/>
                      <w:rPr>
                        <w:rFonts w:ascii="Arial"/>
                        <w:b/>
                        <w:i/>
                        <w:color w:val="FFFFFF" w:themeColor="background1"/>
                        <w:sz w:val="16"/>
                      </w:rPr>
                    </w:pPr>
                    <w:r w:rsidRPr="002307CB">
                      <w:rPr>
                        <w:rFonts w:ascii="ＭＳ ゴシック" w:eastAsia="ＭＳ ゴシック" w:hAnsi="ＭＳ ゴシック" w:cs="ＭＳ ゴシック" w:hint="eastAsia"/>
                        <w:b/>
                        <w:i/>
                        <w:color w:val="FFFFFF" w:themeColor="background1"/>
                        <w:sz w:val="16"/>
                        <w:lang w:eastAsia="ja-JP"/>
                      </w:rPr>
                      <w:t>使用</w:t>
                    </w:r>
                  </w:p>
                </w:txbxContent>
              </v:textbox>
            </v:shape>
            <v:shape id="docshape1143" o:spid="_x0000_s2691" type="#_x0000_t202" style="position:absolute;left:7356;top:252;width:740;height:340" filled="f" stroked="f">
              <v:textbox style="mso-next-textbox:#docshape1143" inset="0,0,0,0">
                <w:txbxContent>
                  <w:p w14:paraId="511ADF37" w14:textId="3413F076" w:rsidR="0055291C" w:rsidRDefault="002307CB">
                    <w:pPr>
                      <w:spacing w:before="18" w:line="208" w:lineRule="auto"/>
                      <w:ind w:left="79" w:right="11" w:hanging="80"/>
                      <w:rPr>
                        <w:rFonts w:ascii="Arial"/>
                        <w:b/>
                        <w:i/>
                        <w:sz w:val="16"/>
                      </w:rPr>
                    </w:pPr>
                    <w:r>
                      <w:rPr>
                        <w:rFonts w:ascii="ＭＳ ゴシック" w:eastAsia="ＭＳ ゴシック" w:hAnsi="ＭＳ ゴシック" w:cs="ＭＳ ゴシック" w:hint="eastAsia"/>
                        <w:b/>
                        <w:i/>
                        <w:color w:val="FFFFFF"/>
                        <w:w w:val="95"/>
                        <w:sz w:val="16"/>
                        <w:lang w:eastAsia="ja-JP"/>
                      </w:rPr>
                      <w:t>収集過程</w:t>
                    </w:r>
                  </w:p>
                </w:txbxContent>
              </v:textbox>
            </v:shape>
            <w10:wrap anchorx="page"/>
          </v:group>
        </w:pict>
      </w:r>
      <w:r w:rsidR="002307CB">
        <w:rPr>
          <w:rFonts w:ascii="ＭＳ ゴシック" w:eastAsia="ＭＳ ゴシック" w:hAnsi="ＭＳ ゴシック" w:cs="ＭＳ ゴシック" w:hint="eastAsia"/>
          <w:b/>
          <w:i/>
          <w:color w:val="7D7D82"/>
          <w:w w:val="95"/>
          <w:sz w:val="16"/>
          <w:lang w:eastAsia="ja-JP"/>
        </w:rPr>
        <w:t>回収物</w:t>
      </w:r>
      <w:r w:rsidR="00193F96">
        <w:rPr>
          <w:rFonts w:ascii="ＭＳ ゴシック" w:eastAsia="ＭＳ ゴシック" w:hAnsi="ＭＳ ゴシック" w:cs="ＭＳ ゴシック" w:hint="eastAsia"/>
          <w:b/>
          <w:i/>
          <w:color w:val="7D7D82"/>
          <w:w w:val="95"/>
          <w:sz w:val="16"/>
          <w:lang w:eastAsia="ja-JP"/>
        </w:rPr>
        <w:t>量</w:t>
      </w:r>
    </w:p>
    <w:p w14:paraId="3DFA51D2" w14:textId="77777777" w:rsidR="0055291C" w:rsidRDefault="0055291C">
      <w:pPr>
        <w:pStyle w:val="a3"/>
        <w:rPr>
          <w:rFonts w:ascii="Arial"/>
          <w:b/>
          <w:i/>
          <w:sz w:val="20"/>
          <w:lang w:eastAsia="ja-JP"/>
        </w:rPr>
      </w:pPr>
    </w:p>
    <w:p w14:paraId="4721AF8B" w14:textId="780C473E" w:rsidR="0055291C" w:rsidRDefault="00000000">
      <w:pPr>
        <w:pStyle w:val="a3"/>
        <w:rPr>
          <w:rFonts w:ascii="Arial"/>
          <w:b/>
          <w:i/>
          <w:sz w:val="20"/>
          <w:lang w:eastAsia="ja-JP"/>
        </w:rPr>
      </w:pPr>
      <w:r>
        <w:rPr>
          <w:sz w:val="22"/>
        </w:rPr>
        <w:pict w14:anchorId="6E3BA469">
          <v:group id="docshapegroup1144" o:spid="_x0000_s2684" style="position:absolute;margin-left:340.75pt;margin-top:8.45pt;width:213.5pt;height:91.8pt;z-index:251612672;mso-position-horizontal-relative:page" coordorigin="6837,-926" coordsize="4270,1836">
            <v:shape id="docshape1145" o:spid="_x0000_s2689" type="#_x0000_t75" style="position:absolute;left:6836;top:225;width:379;height:282">
              <v:imagedata r:id="rId232" o:title=""/>
            </v:shape>
            <v:shape id="docshape1146" o:spid="_x0000_s2688" style="position:absolute;left:8896;top:-926;width:1462;height:1440" coordorigin="8897,-926" coordsize="1462,1440" o:spt="100" adj="0,,0" path="m9536,307r-426,l9110,264r-4,-19l9096,234r-14,-2l9064,239r-148,99l8901,352r-4,16l8901,385r14,15l9066,506r17,8l9097,512r10,-11l9111,482r-1,-42l9536,439r,-132xm10358,-472r-2,-14l10345,-496r-19,-4l10283,-500r,-426l10151,-926r-1,426l10108,-500r-19,3l10078,-487r-2,14l10084,-456r106,151l10205,-291r16,5l10238,-291r14,-14l10351,-454r7,-18xe" fillcolor="#b8babd" stroked="f">
              <v:stroke joinstyle="round"/>
              <v:formulas/>
              <v:path arrowok="t" o:connecttype="segments"/>
            </v:shape>
            <v:shape id="docshape1147" o:spid="_x0000_s2687" style="position:absolute;left:7141;top:-249;width:3965;height:1158" coordorigin="7142,-248" coordsize="3965,1158" o:spt="100" adj="0,,0" path="m8843,-8r-4,-139l8813,-218r-72,-26l8603,-248r-1221,l7243,-244r-71,26l7146,-147r-4,139l7142,646r4,139l7172,856r71,26l7382,886r1221,l8741,882r72,-26l8839,785r4,-139l8843,-8xm11106,16r-4,-139l11076,-194r-71,-26l10866,-224r-1221,l9507,-220r-72,26l9409,-123r-4,139l9405,670r4,139l9435,880r72,26l9645,910r1221,l11005,906r71,-26l11102,809r4,-139l11106,16xe" fillcolor="#f47836" stroked="f">
              <v:stroke joinstyle="round"/>
              <v:formulas/>
              <v:path arrowok="t" o:connecttype="segments"/>
            </v:shape>
            <v:shape id="docshape1148" o:spid="_x0000_s2686" type="#_x0000_t202" style="position:absolute;left:7307;top:131;width:1390;height:340" filled="f" stroked="f">
              <v:textbox style="mso-next-textbox:#docshape1148" inset="0,0,0,0">
                <w:txbxContent>
                  <w:p w14:paraId="776C2DEF" w14:textId="44D8E570" w:rsidR="0055291C" w:rsidRDefault="002307CB">
                    <w:pPr>
                      <w:spacing w:before="18" w:line="208" w:lineRule="auto"/>
                      <w:ind w:left="139" w:right="18" w:hanging="140"/>
                      <w:rPr>
                        <w:rFonts w:ascii="Arial"/>
                        <w:b/>
                        <w:i/>
                        <w:sz w:val="16"/>
                      </w:rPr>
                    </w:pPr>
                    <w:r>
                      <w:rPr>
                        <w:rFonts w:ascii="ＭＳ ゴシック" w:eastAsia="ＭＳ ゴシック" w:hAnsi="ＭＳ ゴシック" w:cs="ＭＳ ゴシック" w:hint="eastAsia"/>
                        <w:b/>
                        <w:i/>
                        <w:color w:val="FFFFFF"/>
                        <w:spacing w:val="-2"/>
                        <w:sz w:val="16"/>
                        <w:lang w:eastAsia="ja-JP"/>
                      </w:rPr>
                      <w:t>再生材</w:t>
                    </w:r>
                    <w:r w:rsidR="00EE0F8E">
                      <w:rPr>
                        <w:rFonts w:ascii="ＭＳ ゴシック" w:eastAsia="ＭＳ ゴシック" w:hAnsi="ＭＳ ゴシック" w:cs="ＭＳ ゴシック" w:hint="eastAsia"/>
                        <w:b/>
                        <w:i/>
                        <w:color w:val="FFFFFF"/>
                        <w:spacing w:val="-2"/>
                        <w:sz w:val="16"/>
                        <w:lang w:eastAsia="ja-JP"/>
                      </w:rPr>
                      <w:t>料</w:t>
                    </w:r>
                    <w:r>
                      <w:rPr>
                        <w:rFonts w:ascii="ＭＳ ゴシック" w:eastAsia="ＭＳ ゴシック" w:hAnsi="ＭＳ ゴシック" w:cs="ＭＳ ゴシック" w:hint="eastAsia"/>
                        <w:b/>
                        <w:i/>
                        <w:color w:val="FFFFFF"/>
                        <w:spacing w:val="-2"/>
                        <w:sz w:val="16"/>
                        <w:lang w:eastAsia="ja-JP"/>
                      </w:rPr>
                      <w:t>前処理</w:t>
                    </w:r>
                  </w:p>
                </w:txbxContent>
              </v:textbox>
            </v:shape>
            <v:shape id="docshape1149" o:spid="_x0000_s2685" type="#_x0000_t202" style="position:absolute;left:9600;top:145;width:1331;height:360" filled="f" stroked="f">
              <v:textbox style="mso-next-textbox:#docshape1149" inset="0,0,0,0">
                <w:txbxContent>
                  <w:p w14:paraId="6E8245AA" w14:textId="11B36DE7" w:rsidR="0055291C" w:rsidRDefault="002307CB">
                    <w:pPr>
                      <w:spacing w:line="235" w:lineRule="auto"/>
                      <w:ind w:left="143" w:right="12" w:hanging="144"/>
                      <w:rPr>
                        <w:rFonts w:ascii="Arial"/>
                        <w:b/>
                        <w:i/>
                        <w:sz w:val="16"/>
                      </w:rPr>
                    </w:pPr>
                    <w:r>
                      <w:rPr>
                        <w:rFonts w:ascii="ＭＳ ゴシック" w:eastAsia="ＭＳ ゴシック" w:hAnsi="ＭＳ ゴシック" w:cs="ＭＳ ゴシック" w:hint="eastAsia"/>
                        <w:b/>
                        <w:i/>
                        <w:color w:val="FFFFFF"/>
                        <w:spacing w:val="-2"/>
                        <w:sz w:val="16"/>
                        <w:lang w:eastAsia="ja-JP"/>
                      </w:rPr>
                      <w:t>資源回収施設</w:t>
                    </w:r>
                    <w:r w:rsidR="00F23C61">
                      <w:rPr>
                        <w:rFonts w:ascii="Arial"/>
                        <w:b/>
                        <w:i/>
                        <w:color w:val="FFFFFF"/>
                        <w:spacing w:val="-2"/>
                        <w:sz w:val="16"/>
                      </w:rPr>
                      <w:t xml:space="preserve"> </w:t>
                    </w:r>
                    <w:r w:rsidR="00F23C61">
                      <w:rPr>
                        <w:rFonts w:ascii="Arial"/>
                        <w:b/>
                        <w:i/>
                        <w:color w:val="FFFFFF"/>
                        <w:sz w:val="16"/>
                      </w:rPr>
                      <w:t>(MRF)</w:t>
                    </w:r>
                  </w:p>
                </w:txbxContent>
              </v:textbox>
            </v:shape>
            <w10:wrap anchorx="page"/>
          </v:group>
        </w:pict>
      </w:r>
    </w:p>
    <w:p w14:paraId="7258418F" w14:textId="77777777" w:rsidR="0055291C" w:rsidRDefault="0055291C">
      <w:pPr>
        <w:pStyle w:val="a3"/>
        <w:rPr>
          <w:rFonts w:ascii="Arial"/>
          <w:b/>
          <w:i/>
          <w:sz w:val="20"/>
          <w:lang w:eastAsia="ja-JP"/>
        </w:rPr>
      </w:pPr>
    </w:p>
    <w:p w14:paraId="3ED7F187" w14:textId="1B0E17C8" w:rsidR="0055291C" w:rsidRDefault="00000000">
      <w:pPr>
        <w:pStyle w:val="a3"/>
        <w:spacing w:before="10"/>
        <w:rPr>
          <w:rFonts w:ascii="Arial"/>
          <w:b/>
          <w:i/>
          <w:sz w:val="26"/>
          <w:lang w:eastAsia="ja-JP"/>
        </w:rPr>
      </w:pPr>
      <w:r>
        <w:rPr>
          <w:sz w:val="22"/>
        </w:rPr>
        <w:pict w14:anchorId="011F44E3">
          <v:group id="docshapegroup1150" o:spid="_x0000_s2676" style="position:absolute;margin-left:170.05pt;margin-top:12.2pt;width:136.55pt;height:66.1pt;z-index:251614720;mso-position-horizontal-relative:page" coordorigin="3420,-322" coordsize="2249,1322">
            <v:line id="_x0000_s2683" style="position:absolute" from="4112,391" to="5669,391" strokecolor="#b6b8ba" strokeweight="8pt">
              <v:stroke dashstyle="dot"/>
            </v:line>
            <v:shape id="docshape1151" o:spid="_x0000_s2682" type="#_x0000_t75" style="position:absolute;left:3685;top:311;width:160;height:160">
              <v:imagedata r:id="rId233" o:title=""/>
            </v:shape>
            <v:line id="_x0000_s2681" style="position:absolute" from="3776,66" to="3776,527" strokecolor="#b6b8ba" strokeweight="8pt">
              <v:stroke dashstyle="dot"/>
            </v:line>
            <v:shape id="docshape1152" o:spid="_x0000_s2680" type="#_x0000_t75" style="position:absolute;left:3695;top:-322;width:160;height:160">
              <v:imagedata r:id="rId234" o:title=""/>
            </v:shape>
            <v:shape id="docshape1153" o:spid="_x0000_s2679" type="#_x0000_t75" style="position:absolute;left:3695;top:601;width:160;height:160">
              <v:imagedata r:id="rId235" o:title=""/>
            </v:shape>
            <v:shape id="docshape1154" o:spid="_x0000_s2678" style="position:absolute;left:3420;top:-135;width:1387;height:1134" coordorigin="3420,-135" coordsize="1387,1134" path="m4566,-135r-906,l3521,-131r-71,26l3424,-33r-4,138l3420,759r4,139l3450,969r71,26l3660,999r906,l4705,995r71,-26l4802,898r4,-139l4806,105r-4,-138l4776,-105r-71,-26l4566,-135xe" fillcolor="#fbb78e" stroked="f">
              <v:path arrowok="t"/>
            </v:shape>
            <v:shape id="docshape1155" o:spid="_x0000_s2677" type="#_x0000_t202" style="position:absolute;left:3420;top:-322;width:2249;height:1322" filled="f" stroked="f">
              <v:textbox style="mso-next-textbox:#docshape1155" inset="0,0,0,0">
                <w:txbxContent>
                  <w:p w14:paraId="18F3815B" w14:textId="77777777" w:rsidR="0055291C" w:rsidRDefault="0055291C">
                    <w:pPr>
                      <w:rPr>
                        <w:sz w:val="18"/>
                      </w:rPr>
                    </w:pPr>
                  </w:p>
                  <w:p w14:paraId="50B6516E" w14:textId="77777777" w:rsidR="0055291C" w:rsidRDefault="0055291C">
                    <w:pPr>
                      <w:spacing w:before="7"/>
                      <w:rPr>
                        <w:sz w:val="26"/>
                      </w:rPr>
                    </w:pPr>
                  </w:p>
                  <w:p w14:paraId="7D5ECCD6" w14:textId="783D4314" w:rsidR="0055291C" w:rsidRDefault="00AC0C2B">
                    <w:pPr>
                      <w:spacing w:line="208" w:lineRule="auto"/>
                      <w:ind w:left="130" w:right="996"/>
                      <w:jc w:val="center"/>
                      <w:rPr>
                        <w:rFonts w:ascii="Arial"/>
                        <w:b/>
                        <w:i/>
                        <w:sz w:val="16"/>
                      </w:rPr>
                    </w:pPr>
                    <w:r>
                      <w:rPr>
                        <w:rFonts w:ascii="ＭＳ ゴシック" w:eastAsia="ＭＳ ゴシック" w:hAnsi="ＭＳ ゴシック" w:cs="ＭＳ ゴシック" w:hint="eastAsia"/>
                        <w:b/>
                        <w:i/>
                        <w:color w:val="FFFFFF"/>
                        <w:spacing w:val="-1"/>
                        <w:w w:val="95"/>
                        <w:sz w:val="16"/>
                        <w:lang w:eastAsia="ja-JP"/>
                      </w:rPr>
                      <w:t>想定バージン材変位</w:t>
                    </w:r>
                  </w:p>
                </w:txbxContent>
              </v:textbox>
            </v:shape>
            <w10:wrap anchorx="page"/>
          </v:group>
        </w:pict>
      </w:r>
    </w:p>
    <w:p w14:paraId="0935D5CF" w14:textId="3F93AE64" w:rsidR="0050597D" w:rsidRPr="002B300B" w:rsidRDefault="00000000" w:rsidP="002B300B">
      <w:pPr>
        <w:spacing w:before="103" w:line="235" w:lineRule="auto"/>
        <w:ind w:left="5761" w:right="5565" w:firstLine="277"/>
        <w:rPr>
          <w:rFonts w:ascii="Arial"/>
          <w:b/>
          <w:i/>
          <w:sz w:val="16"/>
          <w:lang w:eastAsia="ja-JP"/>
        </w:rPr>
      </w:pPr>
      <w:r>
        <w:pict w14:anchorId="27A26BF1">
          <v:group id="docshapegroup1156" o:spid="_x0000_s2671" style="position:absolute;left:0;text-align:left;margin-left:56.5pt;margin-top:23.3pt;width:105.7pt;height:39.3pt;z-index:251615744;mso-position-horizontal-relative:page" coordorigin="1130,466" coordsize="2114,786">
            <v:shape id="docshape1157" o:spid="_x0000_s2675" style="position:absolute;left:1133;top:469;width:2106;height:779" coordorigin="1133,469" coordsize="2106,779" path="m1255,469r-71,2l1148,484r-13,36l1133,590r,536l1135,1196r13,36l1184,1245r71,2l3118,1247r70,-2l3224,1232r13,-36l3239,1126r,-536l3237,520r-13,-36l3188,471r-70,-2l1255,469xe" filled="f" strokecolor="#545456" strokeweight=".1284mm">
              <v:path arrowok="t"/>
            </v:shape>
            <v:shape id="docshape1158" o:spid="_x0000_s2674" type="#_x0000_t75" style="position:absolute;left:1326;top:571;width:318;height:201">
              <v:imagedata r:id="rId236" o:title=""/>
            </v:shape>
            <v:shape id="docshape1159" o:spid="_x0000_s2673" type="#_x0000_t75" style="position:absolute;left:1336;top:908;width:296;height:192">
              <v:imagedata r:id="rId237" o:title=""/>
            </v:shape>
            <v:shape id="docshape1160" o:spid="_x0000_s2672" type="#_x0000_t202" style="position:absolute;left:1129;top:465;width:2114;height:786" filled="f" stroked="f">
              <v:textbox style="mso-next-textbox:#docshape1160" inset="0,0,0,0">
                <w:txbxContent>
                  <w:p w14:paraId="4BDB462E" w14:textId="77777777" w:rsidR="0055291C" w:rsidRDefault="0055291C">
                    <w:pPr>
                      <w:spacing w:before="10"/>
                      <w:rPr>
                        <w:sz w:val="11"/>
                      </w:rPr>
                    </w:pPr>
                  </w:p>
                  <w:p w14:paraId="36202CC7" w14:textId="0DD1157E" w:rsidR="0055291C" w:rsidRDefault="00E766F9">
                    <w:pPr>
                      <w:spacing w:line="206" w:lineRule="auto"/>
                      <w:ind w:left="632" w:right="205"/>
                      <w:rPr>
                        <w:rFonts w:ascii="Arial"/>
                        <w:b/>
                        <w:i/>
                        <w:sz w:val="13"/>
                        <w:lang w:eastAsia="ja-JP"/>
                      </w:rPr>
                    </w:pPr>
                    <w:r>
                      <w:rPr>
                        <w:rFonts w:ascii="ＭＳ ゴシック" w:eastAsia="ＭＳ ゴシック" w:hAnsi="ＭＳ ゴシック" w:cs="ＭＳ ゴシック" w:hint="eastAsia"/>
                        <w:b/>
                        <w:i/>
                        <w:color w:val="545456"/>
                        <w:spacing w:val="-1"/>
                        <w:w w:val="95"/>
                        <w:sz w:val="13"/>
                        <w:lang w:eastAsia="ja-JP"/>
                      </w:rPr>
                      <w:t>ライフサイクルにおける物質移動</w:t>
                    </w:r>
                  </w:p>
                  <w:p w14:paraId="0B628E83" w14:textId="3E4FD78A" w:rsidR="0055291C" w:rsidRDefault="00E766F9">
                    <w:pPr>
                      <w:spacing w:before="54"/>
                      <w:ind w:left="636"/>
                      <w:rPr>
                        <w:rFonts w:ascii="Arial"/>
                        <w:b/>
                        <w:i/>
                        <w:sz w:val="13"/>
                      </w:rPr>
                    </w:pPr>
                    <w:r>
                      <w:rPr>
                        <w:rFonts w:ascii="ＭＳ ゴシック" w:eastAsia="ＭＳ ゴシック" w:hAnsi="ＭＳ ゴシック" w:cs="ＭＳ ゴシック" w:hint="eastAsia"/>
                        <w:b/>
                        <w:i/>
                        <w:color w:val="545456"/>
                        <w:w w:val="90"/>
                        <w:sz w:val="13"/>
                        <w:lang w:eastAsia="ja-JP"/>
                      </w:rPr>
                      <w:t>帰属プロセス</w:t>
                    </w:r>
                  </w:p>
                </w:txbxContent>
              </v:textbox>
            </v:shape>
            <w10:wrap anchorx="page"/>
          </v:group>
        </w:pict>
      </w:r>
      <w:r w:rsidR="00F23C61">
        <w:rPr>
          <w:rFonts w:ascii="Arial"/>
          <w:b/>
          <w:i/>
          <w:color w:val="7D7D82"/>
          <w:w w:val="95"/>
          <w:sz w:val="16"/>
          <w:lang w:eastAsia="ja-JP"/>
        </w:rPr>
        <w:t xml:space="preserve"> </w:t>
      </w:r>
    </w:p>
    <w:p w14:paraId="5EE8D078" w14:textId="5E4EF5A0" w:rsidR="0050597D" w:rsidRDefault="0050597D">
      <w:pPr>
        <w:spacing w:line="173" w:lineRule="exact"/>
        <w:ind w:left="6097"/>
        <w:rPr>
          <w:rFonts w:ascii="ＭＳ ゴシック" w:eastAsia="ＭＳ ゴシック" w:hAnsi="ＭＳ ゴシック" w:cs="ＭＳ ゴシック"/>
          <w:b/>
          <w:i/>
          <w:color w:val="808080" w:themeColor="background1" w:themeShade="80"/>
          <w:sz w:val="16"/>
          <w:lang w:eastAsia="ja-JP"/>
        </w:rPr>
      </w:pPr>
    </w:p>
    <w:p w14:paraId="70BB82C2" w14:textId="73F244D4" w:rsidR="0055291C" w:rsidRDefault="002B300B">
      <w:pPr>
        <w:spacing w:line="173" w:lineRule="exact"/>
        <w:ind w:left="6097"/>
        <w:rPr>
          <w:rFonts w:ascii="ＭＳ ゴシック" w:eastAsia="ＭＳ ゴシック" w:hAnsi="ＭＳ ゴシック" w:cs="ＭＳ ゴシック"/>
          <w:b/>
          <w:i/>
          <w:color w:val="808080" w:themeColor="background1" w:themeShade="80"/>
          <w:sz w:val="16"/>
          <w:lang w:eastAsia="ja-JP"/>
        </w:rPr>
      </w:pPr>
      <w:r>
        <w:rPr>
          <w:rFonts w:ascii="ＭＳ ゴシック" w:eastAsia="ＭＳ ゴシック" w:hAnsi="ＭＳ ゴシック" w:cs="ＭＳ ゴシック"/>
          <w:b/>
          <w:i/>
          <w:noProof/>
          <w:color w:val="FFFFFF" w:themeColor="background1"/>
          <w:sz w:val="16"/>
          <w:lang w:eastAsia="ja-JP"/>
        </w:rPr>
        <mc:AlternateContent>
          <mc:Choice Requires="wps">
            <w:drawing>
              <wp:anchor distT="0" distB="0" distL="114300" distR="114300" simplePos="0" relativeHeight="251493888" behindDoc="0" locked="0" layoutInCell="1" allowOverlap="1" wp14:anchorId="422A20BB" wp14:editId="4690456E">
                <wp:simplePos x="0" y="0"/>
                <wp:positionH relativeFrom="column">
                  <wp:posOffset>3279775</wp:posOffset>
                </wp:positionH>
                <wp:positionV relativeFrom="paragraph">
                  <wp:posOffset>35560</wp:posOffset>
                </wp:positionV>
                <wp:extent cx="171450" cy="165100"/>
                <wp:effectExtent l="22225" t="15875" r="22225" b="41275"/>
                <wp:wrapNone/>
                <wp:docPr id="98" name="矢印: 下 98"/>
                <wp:cNvGraphicFramePr/>
                <a:graphic xmlns:a="http://schemas.openxmlformats.org/drawingml/2006/main">
                  <a:graphicData uri="http://schemas.microsoft.com/office/word/2010/wordprocessingShape">
                    <wps:wsp>
                      <wps:cNvSpPr/>
                      <wps:spPr>
                        <a:xfrm rot="5400000">
                          <a:off x="0" y="0"/>
                          <a:ext cx="171450" cy="165100"/>
                        </a:xfrm>
                        <a:prstGeom prst="downArrow">
                          <a:avLst/>
                        </a:prstGeom>
                        <a:solidFill>
                          <a:schemeClr val="bg1">
                            <a:lumMod val="75000"/>
                          </a:schemeClr>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00E2F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98" o:spid="_x0000_s1026" type="#_x0000_t67" style="position:absolute;left:0;text-align:left;margin-left:258.25pt;margin-top:2.8pt;width:13.5pt;height:13pt;rotation:90;z-index:2514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" adj="10800" fillcolor="#bfbfbf [2412]" strokecolor="#bfbfbf [2412]" strokeweight="2pt"/>
            </w:pict>
          </mc:Fallback>
        </mc:AlternateContent>
      </w:r>
      <w:r w:rsidR="00AC0C2B" w:rsidRPr="00AC0C2B">
        <w:rPr>
          <w:rFonts w:ascii="ＭＳ ゴシック" w:eastAsia="ＭＳ ゴシック" w:hAnsi="ＭＳ ゴシック" w:cs="ＭＳ ゴシック" w:hint="eastAsia"/>
          <w:b/>
          <w:i/>
          <w:color w:val="808080" w:themeColor="background1" w:themeShade="80"/>
          <w:sz w:val="16"/>
          <w:lang w:eastAsia="ja-JP"/>
        </w:rPr>
        <w:t>再生材</w:t>
      </w:r>
    </w:p>
    <w:p w14:paraId="30476F07" w14:textId="4BBBA24D" w:rsidR="00193F96" w:rsidRPr="00AC0C2B" w:rsidRDefault="00193F96">
      <w:pPr>
        <w:spacing w:line="173" w:lineRule="exact"/>
        <w:ind w:left="6097"/>
        <w:rPr>
          <w:rFonts w:ascii="Arial"/>
          <w:b/>
          <w:i/>
          <w:color w:val="808080" w:themeColor="background1" w:themeShade="80"/>
          <w:sz w:val="16"/>
          <w:lang w:eastAsia="ja-JP"/>
        </w:rPr>
      </w:pPr>
      <w:r>
        <w:rPr>
          <w:rFonts w:ascii="ＭＳ ゴシック" w:eastAsia="ＭＳ ゴシック" w:hAnsi="ＭＳ ゴシック" w:cs="ＭＳ ゴシック" w:hint="eastAsia"/>
          <w:b/>
          <w:i/>
          <w:color w:val="808080" w:themeColor="background1" w:themeShade="80"/>
          <w:sz w:val="16"/>
          <w:lang w:eastAsia="ja-JP"/>
        </w:rPr>
        <w:t>再生量</w:t>
      </w:r>
    </w:p>
    <w:p w14:paraId="64942FE8" w14:textId="47CE5309" w:rsidR="0055291C" w:rsidRDefault="0055291C">
      <w:pPr>
        <w:pStyle w:val="a3"/>
        <w:rPr>
          <w:rFonts w:ascii="Arial"/>
          <w:b/>
          <w:i/>
          <w:sz w:val="20"/>
          <w:lang w:eastAsia="ja-JP"/>
        </w:rPr>
      </w:pPr>
    </w:p>
    <w:p w14:paraId="23FEB29F" w14:textId="6D85F644" w:rsidR="0055291C" w:rsidRDefault="0055291C">
      <w:pPr>
        <w:pStyle w:val="a3"/>
        <w:rPr>
          <w:rFonts w:ascii="Arial"/>
          <w:b/>
          <w:i/>
          <w:sz w:val="20"/>
          <w:lang w:eastAsia="ja-JP"/>
        </w:rPr>
      </w:pPr>
    </w:p>
    <w:p w14:paraId="7D174158" w14:textId="77777777" w:rsidR="0055291C" w:rsidRDefault="0055291C">
      <w:pPr>
        <w:pStyle w:val="a3"/>
        <w:rPr>
          <w:rFonts w:ascii="Arial"/>
          <w:b/>
          <w:i/>
          <w:sz w:val="20"/>
          <w:lang w:eastAsia="ja-JP"/>
        </w:rPr>
      </w:pPr>
    </w:p>
    <w:p w14:paraId="0032C708" w14:textId="77777777" w:rsidR="0055291C" w:rsidRDefault="0055291C">
      <w:pPr>
        <w:pStyle w:val="a3"/>
        <w:spacing w:before="5"/>
        <w:rPr>
          <w:rFonts w:ascii="Arial"/>
          <w:b/>
          <w:i/>
          <w:sz w:val="21"/>
          <w:lang w:eastAsia="ja-JP"/>
        </w:rPr>
      </w:pPr>
    </w:p>
    <w:p w14:paraId="370A2D56" w14:textId="77777777" w:rsidR="0055291C" w:rsidRDefault="0055291C">
      <w:pPr>
        <w:rPr>
          <w:rFonts w:ascii="Arial"/>
          <w:sz w:val="21"/>
          <w:lang w:eastAsia="ja-JP"/>
        </w:rPr>
        <w:sectPr w:rsidR="0055291C">
          <w:headerReference w:type="even" r:id="rId238"/>
          <w:footerReference w:type="even" r:id="rId239"/>
          <w:footerReference w:type="default" r:id="rId240"/>
          <w:pgSz w:w="12240" w:h="15840"/>
          <w:pgMar w:top="620" w:right="0" w:bottom="1040" w:left="0" w:header="0" w:footer="859" w:gutter="0"/>
          <w:pgNumType w:start="72"/>
          <w:cols w:space="720"/>
        </w:sectPr>
      </w:pPr>
    </w:p>
    <w:p w14:paraId="59B6FF47" w14:textId="3B1B37B9" w:rsidR="00EE0F8E" w:rsidRPr="00EE0F8E" w:rsidRDefault="00EE0F8E" w:rsidP="00EE0F8E">
      <w:pPr>
        <w:pStyle w:val="a3"/>
        <w:spacing w:before="1" w:line="312" w:lineRule="auto"/>
        <w:ind w:left="1129" w:right="169" w:firstLineChars="100" w:firstLine="190"/>
        <w:rPr>
          <w:color w:val="545456"/>
          <w:lang w:eastAsia="ja-JP"/>
        </w:rPr>
      </w:pPr>
      <w:r>
        <w:rPr>
          <w:rFonts w:ascii="ＭＳ ゴシック" w:eastAsia="ＭＳ ゴシック" w:hAnsi="ＭＳ ゴシック" w:cs="ＭＳ ゴシック" w:hint="eastAsia"/>
          <w:color w:val="545456"/>
          <w:lang w:eastAsia="ja-JP"/>
        </w:rPr>
        <w:t>資源</w:t>
      </w:r>
      <w:r w:rsidRPr="00EE0F8E">
        <w:rPr>
          <w:rFonts w:ascii="ＭＳ ゴシック" w:eastAsia="ＭＳ ゴシック" w:hAnsi="ＭＳ ゴシック" w:cs="ＭＳ ゴシック" w:hint="eastAsia"/>
          <w:color w:val="545456"/>
          <w:lang w:eastAsia="ja-JP"/>
        </w:rPr>
        <w:t>回収施設と再生材料前処理は、回収された材料（例えば、再利用のために回収された材料）を別の製品システムで使用できるような再生材料に変換するために必要な帰属プロセスの一般用語です。具体的には、選別、破砕、洗浄、溶融、脱墨などの工程が含まれます。</w:t>
      </w:r>
    </w:p>
    <w:p w14:paraId="7BC9BEBB" w14:textId="74C073C6" w:rsidR="0055291C" w:rsidRPr="00EE0F8E" w:rsidRDefault="00EE0F8E" w:rsidP="00EE0F8E">
      <w:pPr>
        <w:pStyle w:val="a3"/>
        <w:spacing w:before="1" w:line="312" w:lineRule="auto"/>
        <w:ind w:left="1129" w:right="169" w:firstLineChars="100" w:firstLine="190"/>
        <w:rPr>
          <w:color w:val="545456"/>
          <w:lang w:eastAsia="ja-JP"/>
        </w:rPr>
      </w:pPr>
      <w:r w:rsidRPr="00EE0F8E">
        <w:rPr>
          <w:rFonts w:ascii="ＭＳ ゴシック" w:eastAsia="ＭＳ ゴシック" w:hAnsi="ＭＳ ゴシック" w:cs="ＭＳ ゴシック" w:hint="eastAsia"/>
          <w:color w:val="545456"/>
          <w:lang w:eastAsia="ja-JP"/>
        </w:rPr>
        <w:t>クローズドループ近似法では、リサイクルに関連する排出量や除去量は別の製品系に割り当てされません。しかし、リサイクル可能な材料が作られることで、バージン材料が置き換えられ、その生成に伴う排出と除去が発生します。</w:t>
      </w:r>
    </w:p>
    <w:p w14:paraId="05A70ACB" w14:textId="0B010E22" w:rsidR="0055291C" w:rsidRDefault="00EE0F8E" w:rsidP="00EE0F8E">
      <w:pPr>
        <w:pStyle w:val="a3"/>
        <w:spacing w:before="141" w:line="312" w:lineRule="auto"/>
        <w:ind w:left="1129" w:right="199" w:firstLineChars="100" w:firstLine="190"/>
        <w:rPr>
          <w:lang w:eastAsia="ja-JP"/>
        </w:rPr>
      </w:pPr>
      <w:r>
        <w:rPr>
          <w:rFonts w:ascii="ＭＳ ゴシック" w:eastAsia="ＭＳ ゴシック" w:hAnsi="ＭＳ ゴシック" w:cs="ＭＳ ゴシック" w:hint="eastAsia"/>
          <w:lang w:eastAsia="ja-JP"/>
        </w:rPr>
        <w:t>以下で、図</w:t>
      </w:r>
      <w:r>
        <w:rPr>
          <w:lang w:eastAsia="ja-JP"/>
        </w:rPr>
        <w:t xml:space="preserve"> 9.5 </w:t>
      </w:r>
      <w:r>
        <w:rPr>
          <w:rFonts w:ascii="ＭＳ ゴシック" w:eastAsia="ＭＳ ゴシック" w:hAnsi="ＭＳ ゴシック" w:cs="ＭＳ ゴシック" w:hint="eastAsia"/>
          <w:lang w:eastAsia="ja-JP"/>
        </w:rPr>
        <w:t>に示すようにクローズドループ近似法を用いて、材料入手、使用済み段階、バージン材置換えの排出量を算出する方法を説明します。</w:t>
      </w:r>
    </w:p>
    <w:p w14:paraId="7455AEC9" w14:textId="0A22E33E" w:rsidR="0055291C" w:rsidRDefault="00EE0F8E">
      <w:pPr>
        <w:spacing w:before="148"/>
        <w:ind w:left="1129"/>
        <w:rPr>
          <w:rFonts w:ascii="Arial"/>
          <w:b/>
          <w:sz w:val="18"/>
          <w:lang w:eastAsia="ja-JP"/>
        </w:rPr>
      </w:pPr>
      <w:r w:rsidRPr="00EE0F8E">
        <w:rPr>
          <w:rFonts w:ascii="ＭＳ ゴシック" w:eastAsia="ＭＳ ゴシック" w:hAnsi="ＭＳ ゴシック" w:cs="ＭＳ ゴシック" w:hint="eastAsia"/>
          <w:b/>
          <w:bCs/>
          <w:color w:val="00ACA1"/>
          <w:sz w:val="19"/>
          <w:szCs w:val="19"/>
          <w:lang w:eastAsia="ja-JP"/>
        </w:rPr>
        <w:t>バージン材</w:t>
      </w:r>
      <w:r w:rsidR="00D64933">
        <w:rPr>
          <w:rFonts w:ascii="ＭＳ ゴシック" w:eastAsia="ＭＳ ゴシック" w:hAnsi="ＭＳ ゴシック" w:cs="ＭＳ ゴシック" w:hint="eastAsia"/>
          <w:b/>
          <w:bCs/>
          <w:color w:val="00ACA1"/>
          <w:sz w:val="19"/>
          <w:szCs w:val="19"/>
          <w:lang w:eastAsia="ja-JP"/>
        </w:rPr>
        <w:t>取得・</w:t>
      </w:r>
      <w:r w:rsidRPr="00EE0F8E">
        <w:rPr>
          <w:rFonts w:ascii="ＭＳ ゴシック" w:eastAsia="ＭＳ ゴシック" w:hAnsi="ＭＳ ゴシック" w:cs="ＭＳ ゴシック" w:hint="eastAsia"/>
          <w:b/>
          <w:bCs/>
          <w:color w:val="00ACA1"/>
          <w:sz w:val="19"/>
          <w:szCs w:val="19"/>
          <w:lang w:eastAsia="ja-JP"/>
        </w:rPr>
        <w:t>前処理</w:t>
      </w:r>
      <w:r w:rsidR="00D64933">
        <w:rPr>
          <w:rFonts w:ascii="ＭＳ ゴシック" w:eastAsia="ＭＳ ゴシック" w:hAnsi="ＭＳ ゴシック" w:cs="ＭＳ ゴシック" w:hint="eastAsia"/>
          <w:b/>
          <w:bCs/>
          <w:color w:val="00ACA1"/>
          <w:sz w:val="19"/>
          <w:szCs w:val="19"/>
          <w:lang w:eastAsia="ja-JP"/>
        </w:rPr>
        <w:t>段階</w:t>
      </w:r>
    </w:p>
    <w:p w14:paraId="161F5932" w14:textId="6DA2C45E" w:rsidR="0055291C" w:rsidRDefault="00D64933" w:rsidP="00D64933">
      <w:pPr>
        <w:pStyle w:val="a3"/>
        <w:spacing w:before="67" w:line="312" w:lineRule="auto"/>
        <w:ind w:left="1129" w:firstLineChars="100" w:firstLine="190"/>
        <w:rPr>
          <w:lang w:eastAsia="ja-JP"/>
        </w:rPr>
      </w:pPr>
      <w:r>
        <w:rPr>
          <w:rFonts w:ascii="ＭＳ ゴシック" w:eastAsia="ＭＳ ゴシック" w:hAnsi="ＭＳ ゴシック" w:cs="ＭＳ ゴシック" w:hint="eastAsia"/>
          <w:lang w:eastAsia="ja-JP"/>
        </w:rPr>
        <w:t>バージン材取得および前処理による全ての起因工程（投入材料は全てバージン材とする）</w:t>
      </w:r>
    </w:p>
    <w:p w14:paraId="5CC01F20" w14:textId="77777777" w:rsidR="00D64933" w:rsidRDefault="00D64933">
      <w:pPr>
        <w:pStyle w:val="a3"/>
        <w:spacing w:before="141" w:line="312" w:lineRule="auto"/>
        <w:ind w:left="1129" w:right="140"/>
        <w:rPr>
          <w:rFonts w:ascii="Arial"/>
          <w:b/>
          <w:color w:val="00ACA1"/>
          <w:sz w:val="18"/>
          <w:lang w:eastAsia="ja-JP"/>
        </w:rPr>
      </w:pPr>
      <w:r>
        <w:rPr>
          <w:rFonts w:ascii="ＭＳ ゴシック" w:eastAsia="ＭＳ ゴシック" w:hAnsi="ＭＳ ゴシック" w:cs="ＭＳ ゴシック" w:hint="eastAsia"/>
          <w:b/>
          <w:color w:val="00ACA1"/>
          <w:sz w:val="18"/>
          <w:lang w:eastAsia="ja-JP"/>
        </w:rPr>
        <w:t>使用済み製品段階</w:t>
      </w:r>
    </w:p>
    <w:p w14:paraId="4BAD9686" w14:textId="0A71DA2E" w:rsidR="0055291C" w:rsidRDefault="00D64933" w:rsidP="00D64933">
      <w:pPr>
        <w:pStyle w:val="a3"/>
        <w:spacing w:before="141" w:line="312" w:lineRule="auto"/>
        <w:ind w:left="1129" w:right="140" w:firstLineChars="100" w:firstLine="190"/>
        <w:rPr>
          <w:lang w:eastAsia="ja-JP"/>
        </w:rPr>
      </w:pPr>
      <w:r>
        <w:rPr>
          <w:rFonts w:ascii="ＭＳ ゴシック" w:eastAsia="ＭＳ ゴシック" w:hAnsi="ＭＳ ゴシック" w:cs="ＭＳ ゴシック" w:hint="eastAsia"/>
          <w:lang w:eastAsia="ja-JP"/>
        </w:rPr>
        <w:t>使用終了に伴うすべての帰属プロセス（リサイクルを含む）。図</w:t>
      </w:r>
      <w:r>
        <w:rPr>
          <w:lang w:eastAsia="ja-JP"/>
        </w:rPr>
        <w:t>9.5</w:t>
      </w:r>
      <w:r>
        <w:rPr>
          <w:rFonts w:ascii="ＭＳ ゴシック" w:eastAsia="ＭＳ ゴシック" w:hAnsi="ＭＳ ゴシック" w:cs="ＭＳ ゴシック" w:hint="eastAsia"/>
          <w:lang w:eastAsia="ja-JP"/>
        </w:rPr>
        <w:t>では、</w:t>
      </w:r>
      <w:r>
        <w:rPr>
          <w:lang w:eastAsia="ja-JP"/>
        </w:rPr>
        <w:t xml:space="preserve"> </w:t>
      </w:r>
      <w:r>
        <w:rPr>
          <w:rFonts w:ascii="ＭＳ ゴシック" w:eastAsia="ＭＳ ゴシック" w:hAnsi="ＭＳ ゴシック" w:cs="ＭＳ ゴシック" w:hint="eastAsia"/>
          <w:lang w:eastAsia="ja-JP"/>
        </w:rPr>
        <w:t>回収</w:t>
      </w:r>
      <w:r w:rsidR="00217FB1">
        <w:rPr>
          <w:rFonts w:asciiTheme="minorEastAsia" w:eastAsiaTheme="minorEastAsia" w:hAnsiTheme="minorEastAsia" w:hint="eastAsia"/>
          <w:vertAlign w:val="superscript"/>
          <w:lang w:eastAsia="ja-JP"/>
        </w:rPr>
        <w:t>9</w:t>
      </w:r>
      <w:r>
        <w:rPr>
          <w:rFonts w:ascii="ＭＳ ゴシック" w:eastAsia="ＭＳ ゴシック" w:hAnsi="ＭＳ ゴシック" w:cs="ＭＳ ゴシック" w:hint="eastAsia"/>
          <w:lang w:eastAsia="ja-JP"/>
        </w:rPr>
        <w:t>、廃棄物処理、材料回収施設、リサイクル材料の前処理を含みます。</w:t>
      </w:r>
    </w:p>
    <w:p w14:paraId="3F1E6B38" w14:textId="77777777" w:rsidR="00D64933" w:rsidRDefault="00F23C61">
      <w:pPr>
        <w:spacing w:before="103"/>
        <w:ind w:left="249"/>
        <w:rPr>
          <w:rFonts w:ascii="ＭＳ ゴシック" w:eastAsia="ＭＳ ゴシック" w:hAnsi="ＭＳ ゴシック" w:cs="ＭＳ ゴシック"/>
          <w:b/>
          <w:color w:val="00ACA1"/>
          <w:sz w:val="18"/>
          <w:lang w:eastAsia="ja-JP"/>
        </w:rPr>
      </w:pPr>
      <w:r>
        <w:rPr>
          <w:lang w:eastAsia="ja-JP"/>
        </w:rPr>
        <w:br w:type="column"/>
      </w:r>
      <w:r w:rsidR="00D64933">
        <w:rPr>
          <w:rFonts w:ascii="ＭＳ ゴシック" w:eastAsia="ＭＳ ゴシック" w:hAnsi="ＭＳ ゴシック" w:cs="ＭＳ ゴシック" w:hint="eastAsia"/>
          <w:b/>
          <w:color w:val="00ACA1"/>
          <w:sz w:val="18"/>
          <w:lang w:eastAsia="ja-JP"/>
        </w:rPr>
        <w:t>バージン材変位係数</w:t>
      </w:r>
    </w:p>
    <w:p w14:paraId="48FBAEFA" w14:textId="77777777" w:rsidR="009D2E37" w:rsidRDefault="009D2E37" w:rsidP="009D2E37">
      <w:pPr>
        <w:pStyle w:val="a3"/>
        <w:spacing w:before="141" w:line="312" w:lineRule="auto"/>
        <w:ind w:left="249" w:right="1295" w:firstLineChars="100" w:firstLine="190"/>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リサイクル率（リサイクル量／バージン材投入量）に</w:t>
      </w:r>
      <w:r>
        <w:rPr>
          <w:lang w:eastAsia="ja-JP"/>
        </w:rPr>
        <w:t xml:space="preserve"> </w:t>
      </w:r>
      <w:r>
        <w:rPr>
          <w:rFonts w:ascii="ＭＳ ゴシック" w:eastAsia="ＭＳ ゴシック" w:hAnsi="ＭＳ ゴシック" w:cs="ＭＳ ゴシック" w:hint="eastAsia"/>
          <w:lang w:eastAsia="ja-JP"/>
        </w:rPr>
        <w:t>、バージン材取得・前処理等の帰属工程を乗じたもの</w:t>
      </w:r>
      <w:r>
        <w:rPr>
          <w:lang w:eastAsia="ja-JP"/>
        </w:rPr>
        <w:t xml:space="preserve"> </w:t>
      </w:r>
      <w:r>
        <w:rPr>
          <w:rFonts w:ascii="ＭＳ ゴシック" w:eastAsia="ＭＳ ゴシック" w:hAnsi="ＭＳ ゴシック" w:cs="ＭＳ ゴシック" w:hint="eastAsia"/>
          <w:lang w:eastAsia="ja-JP"/>
        </w:rPr>
        <w:t>。</w:t>
      </w:r>
    </w:p>
    <w:p w14:paraId="461F67CA" w14:textId="0A5F01E2" w:rsidR="0055291C" w:rsidRPr="009D2E37" w:rsidRDefault="009D2E37" w:rsidP="009D2E37">
      <w:pPr>
        <w:pStyle w:val="a3"/>
        <w:spacing w:before="141" w:line="312" w:lineRule="auto"/>
        <w:ind w:left="249" w:right="987" w:firstLineChars="100" w:firstLine="190"/>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バージン材変位係数は、リサイクル材と同じ固有の特性を持つバージン材に対してのみ計算されます。複数の材料を投入する製品では、置き換えられた材料に関連する帰属プロセスのみを考慮します。</w:t>
      </w:r>
    </w:p>
    <w:p w14:paraId="3DDD90D1" w14:textId="4848F098" w:rsidR="0055291C" w:rsidRDefault="009D2E37" w:rsidP="009D2E37">
      <w:pPr>
        <w:pStyle w:val="a3"/>
        <w:spacing w:before="142" w:line="312" w:lineRule="auto"/>
        <w:ind w:left="249" w:right="987" w:firstLineChars="100" w:firstLine="190"/>
        <w:rPr>
          <w:lang w:eastAsia="ja-JP"/>
        </w:rPr>
      </w:pPr>
      <w:r>
        <w:rPr>
          <w:rFonts w:ascii="ＭＳ ゴシック" w:eastAsia="ＭＳ ゴシック" w:hAnsi="ＭＳ ゴシック" w:cs="ＭＳ ゴシック" w:hint="eastAsia"/>
          <w:lang w:eastAsia="ja-JP"/>
        </w:rPr>
        <w:t>バージン材取得と前処理による影響は、全ての材料投入がバージン材であると仮定して計算するべきでしょう。リサイクル材も投入物として使用されている場合、クローズドループ近似法を正しく適用するために、材料取得と前処理による影響は、すべてバージン材投入と仮定して計算されます。あるいは、二重計上を避けるために、リサイクル材投入量にリサイクル含有率法を適用し、残りの正味の材料出力にクローズドループ近似法を適用することもできます</w:t>
      </w:r>
      <w:r>
        <w:rPr>
          <w:lang w:eastAsia="ja-JP"/>
        </w:rPr>
        <w:t xml:space="preserve"> </w:t>
      </w:r>
      <w:r>
        <w:rPr>
          <w:rFonts w:ascii="ＭＳ ゴシック" w:eastAsia="ＭＳ ゴシック" w:hAnsi="ＭＳ ゴシック" w:cs="ＭＳ ゴシック" w:hint="eastAsia"/>
          <w:lang w:eastAsia="ja-JP"/>
        </w:rPr>
        <w:t>（一次材料投入量だけを置き換える）。しかし、これは</w:t>
      </w:r>
      <w:r>
        <w:rPr>
          <w:lang w:eastAsia="ja-JP"/>
        </w:rPr>
        <w:t xml:space="preserve"> </w:t>
      </w:r>
      <w:r>
        <w:rPr>
          <w:rFonts w:ascii="ＭＳ ゴシック" w:eastAsia="ＭＳ ゴシック" w:hAnsi="ＭＳ ゴシック" w:cs="ＭＳ ゴシック" w:hint="eastAsia"/>
          <w:lang w:eastAsia="ja-JP"/>
        </w:rPr>
        <w:t>困難であるため、推奨しません。</w:t>
      </w:r>
    </w:p>
    <w:p w14:paraId="780972FF" w14:textId="43BA5FFB" w:rsidR="0055291C" w:rsidRDefault="009D2E37" w:rsidP="009D2E37">
      <w:pPr>
        <w:pStyle w:val="a3"/>
        <w:spacing w:before="145" w:line="312" w:lineRule="auto"/>
        <w:ind w:left="249" w:right="987" w:firstLineChars="100" w:firstLine="190"/>
        <w:rPr>
          <w:lang w:eastAsia="ja-JP"/>
        </w:rPr>
      </w:pPr>
      <w:r>
        <w:rPr>
          <w:rFonts w:ascii="ＭＳ ゴシック" w:eastAsia="ＭＳ ゴシック" w:hAnsi="ＭＳ ゴシック" w:cs="ＭＳ ゴシック" w:hint="eastAsia"/>
          <w:lang w:eastAsia="ja-JP"/>
        </w:rPr>
        <w:t>また、クローズドループ近似法は、ライフサイクル</w:t>
      </w:r>
      <w:r w:rsidR="0076627D">
        <w:rPr>
          <w:rFonts w:ascii="ＭＳ ゴシック" w:eastAsia="ＭＳ ゴシック" w:hAnsi="ＭＳ ゴシック" w:cs="ＭＳ ゴシック" w:hint="eastAsia"/>
          <w:lang w:eastAsia="ja-JP"/>
        </w:rPr>
        <w:t>ステージ</w:t>
      </w:r>
      <w:r>
        <w:rPr>
          <w:rFonts w:ascii="ＭＳ ゴシック" w:eastAsia="ＭＳ ゴシック" w:hAnsi="ＭＳ ゴシック" w:cs="ＭＳ ゴシック" w:hint="eastAsia"/>
          <w:lang w:eastAsia="ja-JP"/>
        </w:rPr>
        <w:t>内のリサイクル（生産時のスクラップの発生と再利用など）</w:t>
      </w:r>
      <w:r>
        <w:rPr>
          <w:lang w:eastAsia="ja-JP"/>
        </w:rPr>
        <w:t xml:space="preserve"> </w:t>
      </w:r>
      <w:r>
        <w:rPr>
          <w:rFonts w:ascii="ＭＳ ゴシック" w:eastAsia="ＭＳ ゴシック" w:hAnsi="ＭＳ ゴシック" w:cs="ＭＳ ゴシック" w:hint="eastAsia"/>
          <w:lang w:eastAsia="ja-JP"/>
        </w:rPr>
        <w:t>にも利用でき</w:t>
      </w:r>
      <w:r w:rsidR="0076627D">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w:t>
      </w:r>
    </w:p>
    <w:p w14:paraId="1D8D8F02"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968" w:space="40"/>
            <w:col w:w="6232"/>
          </w:cols>
        </w:sectPr>
      </w:pPr>
    </w:p>
    <w:p w14:paraId="5AB408A1" w14:textId="77777777" w:rsidR="0055291C" w:rsidRDefault="0055291C">
      <w:pPr>
        <w:pStyle w:val="a3"/>
        <w:rPr>
          <w:sz w:val="20"/>
          <w:lang w:eastAsia="ja-JP"/>
        </w:rPr>
      </w:pPr>
    </w:p>
    <w:p w14:paraId="47BBFE93" w14:textId="77777777" w:rsidR="0055291C" w:rsidRDefault="0055291C">
      <w:pPr>
        <w:pStyle w:val="a3"/>
        <w:rPr>
          <w:sz w:val="20"/>
          <w:lang w:eastAsia="ja-JP"/>
        </w:rPr>
      </w:pPr>
    </w:p>
    <w:p w14:paraId="1222316F" w14:textId="77777777" w:rsidR="0055291C" w:rsidRDefault="0055291C">
      <w:pPr>
        <w:pStyle w:val="a3"/>
        <w:rPr>
          <w:sz w:val="20"/>
          <w:lang w:eastAsia="ja-JP"/>
        </w:rPr>
      </w:pPr>
    </w:p>
    <w:p w14:paraId="44CF359B" w14:textId="77777777" w:rsidR="0055291C" w:rsidRDefault="0055291C">
      <w:pPr>
        <w:pStyle w:val="a3"/>
        <w:spacing w:before="4"/>
        <w:rPr>
          <w:sz w:val="24"/>
          <w:lang w:eastAsia="ja-JP"/>
        </w:rPr>
      </w:pPr>
    </w:p>
    <w:p w14:paraId="5C4863AF" w14:textId="77777777" w:rsidR="0055291C" w:rsidRDefault="00000000">
      <w:pPr>
        <w:spacing w:before="1"/>
        <w:ind w:right="1121"/>
        <w:jc w:val="right"/>
        <w:rPr>
          <w:rFonts w:ascii="Arial"/>
          <w:i/>
          <w:sz w:val="19"/>
          <w:lang w:eastAsia="ja-JP"/>
        </w:rPr>
      </w:pPr>
      <w:r>
        <w:pict w14:anchorId="4609DB75">
          <v:shape id="docshape1161" o:spid="_x0000_s2670" style="position:absolute;left:0;text-align:left;margin-left:580.75pt;margin-top:-47.75pt;width:31.3pt;height:285.85pt;z-index:251616768;mso-position-horizontal-relative:page" coordorigin="11615,-955" coordsize="626,5717" path="m12240,-955r-625,l11615,4535r3,131l11643,4733r67,25l11842,4761r398,l12240,-955xe" fillcolor="#00aca1" stroked="f">
            <v:path arrowok="t"/>
            <w10:wrap anchorx="page"/>
          </v:shape>
        </w:pict>
      </w:r>
      <w:r w:rsidR="00F23C61">
        <w:rPr>
          <w:rFonts w:ascii="Arial"/>
          <w:b/>
          <w:i/>
          <w:color w:val="7F3F98"/>
          <w:sz w:val="19"/>
          <w:lang w:eastAsia="ja-JP"/>
        </w:rPr>
        <w:t>CHAPTER</w:t>
      </w:r>
      <w:r w:rsidR="00F23C61">
        <w:rPr>
          <w:rFonts w:ascii="Arial"/>
          <w:b/>
          <w:i/>
          <w:color w:val="7F3F98"/>
          <w:spacing w:val="14"/>
          <w:sz w:val="19"/>
          <w:lang w:eastAsia="ja-JP"/>
        </w:rPr>
        <w:t xml:space="preserve"> </w:t>
      </w:r>
      <w:r w:rsidR="00F23C61">
        <w:rPr>
          <w:rFonts w:ascii="Arial"/>
          <w:b/>
          <w:i/>
          <w:color w:val="7F3F98"/>
          <w:sz w:val="19"/>
          <w:lang w:eastAsia="ja-JP"/>
        </w:rPr>
        <w:t>09</w:t>
      </w:r>
      <w:r w:rsidR="00F23C61">
        <w:rPr>
          <w:rFonts w:ascii="Arial"/>
          <w:b/>
          <w:i/>
          <w:color w:val="7F3F98"/>
          <w:spacing w:val="15"/>
          <w:sz w:val="19"/>
          <w:lang w:eastAsia="ja-JP"/>
        </w:rPr>
        <w:t xml:space="preserve"> </w:t>
      </w:r>
      <w:r w:rsidR="00F23C61">
        <w:rPr>
          <w:rFonts w:ascii="Arial"/>
          <w:i/>
          <w:color w:val="545456"/>
          <w:sz w:val="19"/>
          <w:lang w:eastAsia="ja-JP"/>
        </w:rPr>
        <w:t>Allocation</w:t>
      </w:r>
    </w:p>
    <w:p w14:paraId="60250B63" w14:textId="77777777" w:rsidR="0055291C" w:rsidRDefault="0055291C">
      <w:pPr>
        <w:pStyle w:val="a3"/>
        <w:rPr>
          <w:rFonts w:ascii="Arial"/>
          <w:i/>
          <w:sz w:val="20"/>
          <w:lang w:eastAsia="ja-JP"/>
        </w:rPr>
      </w:pPr>
    </w:p>
    <w:p w14:paraId="0832B481" w14:textId="6FA9E05D" w:rsidR="0055291C" w:rsidRDefault="0055291C">
      <w:pPr>
        <w:pStyle w:val="a3"/>
        <w:spacing w:before="7"/>
        <w:rPr>
          <w:rFonts w:ascii="Arial"/>
          <w:i/>
          <w:sz w:val="24"/>
          <w:lang w:eastAsia="ja-JP"/>
        </w:rPr>
      </w:pPr>
    </w:p>
    <w:p w14:paraId="1C435CAE" w14:textId="01847700" w:rsidR="0055291C" w:rsidRDefault="0076627D">
      <w:pPr>
        <w:pStyle w:val="6"/>
        <w:ind w:left="1146"/>
        <w:rPr>
          <w:lang w:eastAsia="ja-JP"/>
        </w:rPr>
      </w:pPr>
      <w:r>
        <w:rPr>
          <w:rFonts w:ascii="ＭＳ 明朝" w:eastAsia="ＭＳ 明朝" w:hAnsi="ＭＳ 明朝" w:cs="ＭＳ 明朝" w:hint="eastAsia"/>
          <w:color w:val="00ACA1"/>
          <w:w w:val="95"/>
          <w:lang w:eastAsia="ja-JP"/>
        </w:rPr>
        <w:t>図</w:t>
      </w:r>
      <w:r w:rsidR="00F23C61">
        <w:rPr>
          <w:color w:val="00ACA1"/>
          <w:spacing w:val="14"/>
          <w:w w:val="95"/>
          <w:lang w:eastAsia="ja-JP"/>
        </w:rPr>
        <w:t xml:space="preserve"> </w:t>
      </w:r>
      <w:r w:rsidR="00F23C61">
        <w:rPr>
          <w:color w:val="00ACA1"/>
          <w:w w:val="95"/>
          <w:lang w:eastAsia="ja-JP"/>
        </w:rPr>
        <w:t>[9.6]</w:t>
      </w:r>
      <w:r>
        <w:rPr>
          <w:rFonts w:ascii="ＭＳ 明朝" w:eastAsia="ＭＳ 明朝" w:hAnsi="ＭＳ 明朝" w:cs="ＭＳ 明朝" w:hint="eastAsia"/>
          <w:color w:val="545456"/>
          <w:w w:val="95"/>
          <w:lang w:eastAsia="ja-JP"/>
        </w:rPr>
        <w:t xml:space="preserve">　リサイクル含有率法を説明する工程表の例</w:t>
      </w:r>
    </w:p>
    <w:p w14:paraId="5F47524E" w14:textId="0BFB1D34" w:rsidR="0055291C" w:rsidRDefault="0076627D">
      <w:pPr>
        <w:pStyle w:val="a3"/>
        <w:spacing w:before="11"/>
        <w:rPr>
          <w:rFonts w:ascii="Arial"/>
          <w:b/>
          <w:sz w:val="14"/>
          <w:lang w:eastAsia="ja-JP"/>
        </w:rPr>
      </w:pPr>
      <w:r>
        <w:rPr>
          <w:noProof/>
        </w:rPr>
        <mc:AlternateContent>
          <mc:Choice Requires="wps">
            <w:drawing>
              <wp:anchor distT="0" distB="0" distL="114300" distR="114300" simplePos="0" relativeHeight="251490816" behindDoc="0" locked="0" layoutInCell="1" allowOverlap="1" wp14:anchorId="3B9C16CD" wp14:editId="6DBE1214">
                <wp:simplePos x="0" y="0"/>
                <wp:positionH relativeFrom="column">
                  <wp:posOffset>4953000</wp:posOffset>
                </wp:positionH>
                <wp:positionV relativeFrom="paragraph">
                  <wp:posOffset>192405</wp:posOffset>
                </wp:positionV>
                <wp:extent cx="584200" cy="260350"/>
                <wp:effectExtent l="0" t="0" r="0" b="6350"/>
                <wp:wrapNone/>
                <wp:docPr id="103" name="テキスト ボックス 103"/>
                <wp:cNvGraphicFramePr/>
                <a:graphic xmlns:a="http://schemas.openxmlformats.org/drawingml/2006/main">
                  <a:graphicData uri="http://schemas.microsoft.com/office/word/2010/wordprocessingShape">
                    <wps:wsp>
                      <wps:cNvSpPr txBox="1"/>
                      <wps:spPr>
                        <a:xfrm>
                          <a:off x="0" y="0"/>
                          <a:ext cx="584200" cy="260350"/>
                        </a:xfrm>
                        <a:prstGeom prst="rect">
                          <a:avLst/>
                        </a:prstGeom>
                        <a:noFill/>
                        <a:ln w="6350">
                          <a:noFill/>
                        </a:ln>
                      </wps:spPr>
                      <wps:txbx>
                        <w:txbxContent>
                          <w:p w14:paraId="6691F127" w14:textId="52376683" w:rsidR="0076627D" w:rsidRPr="0076627D" w:rsidRDefault="0076627D">
                            <w:pPr>
                              <w:rPr>
                                <w:rFonts w:ascii="ＭＳ ゴシック" w:eastAsia="ＭＳ ゴシック" w:hAnsi="ＭＳ ゴシック" w:cs="ＭＳ ゴシック"/>
                                <w:b/>
                                <w:bCs/>
                                <w:i/>
                                <w:iCs/>
                                <w:color w:val="FFFFFF" w:themeColor="background1"/>
                                <w:sz w:val="20"/>
                                <w:szCs w:val="20"/>
                                <w:lang w:eastAsia="ja-JP"/>
                              </w:rPr>
                            </w:pPr>
                            <w:r w:rsidRPr="0076627D">
                              <w:rPr>
                                <w:rFonts w:ascii="ＭＳ ゴシック" w:eastAsia="ＭＳ ゴシック" w:hAnsi="ＭＳ ゴシック" w:cs="ＭＳ ゴシック" w:hint="eastAsia"/>
                                <w:b/>
                                <w:bCs/>
                                <w:i/>
                                <w:iCs/>
                                <w:color w:val="FFFFFF" w:themeColor="background1"/>
                                <w:sz w:val="20"/>
                                <w:szCs w:val="20"/>
                                <w:lang w:eastAsia="ja-JP"/>
                              </w:rPr>
                              <w:t>使用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9C16CD" id="テキスト ボックス 103" o:spid="_x0000_s1126" type="#_x0000_t202" style="position:absolute;margin-left:390pt;margin-top:15.15pt;width:46pt;height:20.5pt;z-index:25149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" filled="f" stroked="f" strokeweight=".5pt">
                <v:textbox>
                  <w:txbxContent>
                    <w:p w14:paraId="6691F127" w14:textId="52376683" w:rsidR="0076627D" w:rsidRPr="0076627D" w:rsidRDefault="0076627D">
                      <w:pPr>
                        <w:rPr>
                          <w:rFonts w:ascii="ＭＳ ゴシック" w:eastAsia="ＭＳ ゴシック" w:hAnsi="ＭＳ ゴシック" w:cs="ＭＳ ゴシック"/>
                          <w:b/>
                          <w:bCs/>
                          <w:i/>
                          <w:iCs/>
                          <w:color w:val="FFFFFF" w:themeColor="background1"/>
                          <w:sz w:val="20"/>
                          <w:szCs w:val="20"/>
                          <w:lang w:eastAsia="ja-JP"/>
                        </w:rPr>
                      </w:pPr>
                      <w:r w:rsidRPr="0076627D">
                        <w:rPr>
                          <w:rFonts w:ascii="ＭＳ ゴシック" w:eastAsia="ＭＳ ゴシック" w:hAnsi="ＭＳ ゴシック" w:cs="ＭＳ ゴシック" w:hint="eastAsia"/>
                          <w:b/>
                          <w:bCs/>
                          <w:i/>
                          <w:iCs/>
                          <w:color w:val="FFFFFF" w:themeColor="background1"/>
                          <w:sz w:val="20"/>
                          <w:szCs w:val="20"/>
                          <w:lang w:eastAsia="ja-JP"/>
                        </w:rPr>
                        <w:t>使用</w:t>
                      </w:r>
                    </w:p>
                  </w:txbxContent>
                </v:textbox>
              </v:shape>
            </w:pict>
          </mc:Fallback>
        </mc:AlternateContent>
      </w:r>
      <w:r w:rsidR="00000000">
        <w:pict w14:anchorId="0334E3AC">
          <v:group id="docshapegroup1162" o:spid="_x0000_s2659" style="position:absolute;margin-left:57.35pt;margin-top:9.95pt;width:498.45pt;height:30.8pt;z-index:-251473408;mso-wrap-distance-left:0;mso-wrap-distance-right:0;mso-position-horizontal-relative:page;mso-position-vertical-relative:text" coordorigin="1147,196" coordsize="9969,616">
            <v:shape id="docshape1163" o:spid="_x0000_s2669" style="position:absolute;left:8632;top:196;width:2483;height:616" coordorigin="8633,196" coordsize="2483,616" o:spt="100" adj="0,,0" path="m10570,196r-1758,l8708,199r-53,19l8635,268r-2,98l8633,641r2,99l8655,790r53,19l8812,811r1753,l10586,811r15,-2l10616,805r23,-9l10654,791r395,-207l11115,524r-7,-52l11071,434r-22,-14l10665,219r-25,-12l10617,200r-17,-3l10581,197r-6,l10570,196xm10598,197r-17,l10600,197r-2,xe" fillcolor="#f47836" stroked="f">
              <v:stroke joinstyle="round"/>
              <v:formulas/>
              <v:path arrowok="t" o:connecttype="segments"/>
            </v:shape>
            <v:shape id="docshape1164" o:spid="_x0000_s2668" style="position:absolute;left:6833;top:196;width:2483;height:616" coordorigin="6833,196" coordsize="2483,616" o:spt="100" adj="0,,0" path="m8771,196r-1759,l6908,199r-53,19l6836,268r-3,98l6833,641r3,99l6855,790r53,19l7012,811r1753,l8786,811r15,-2l8816,805r24,-9l8855,791,9250,584r66,-60l9308,472r-36,-38l9250,420,8865,219r-25,-12l8818,200r-18,-3l8781,197r-5,l8771,196xm8798,197r-17,l8800,197r-2,xe" fillcolor="#ed1065" stroked="f">
              <v:stroke joinstyle="round"/>
              <v:formulas/>
              <v:path arrowok="t" o:connecttype="segments"/>
            </v:shape>
            <v:shape id="docshape1165" o:spid="_x0000_s2667" style="position:absolute;left:4934;top:196;width:2483;height:616" coordorigin="4934,196" coordsize="2483,616" o:spt="100" adj="0,,0" path="m6872,196r-1759,l5010,199r-53,19l4937,268r-3,98l4934,641r3,99l4957,790r53,19l5113,811r1753,l6887,811r15,-2l6918,805r23,-9l6956,791,7351,584r66,-60l7410,472r-37,-38l7351,420,6966,219r-25,-12l6919,200r-18,-3l6882,197r-5,l6872,196xm6899,197r-17,l6901,197r-2,xe" fillcolor="#4f84c4" stroked="f">
              <v:stroke joinstyle="round"/>
              <v:formulas/>
              <v:path arrowok="t" o:connecttype="segments"/>
            </v:shape>
            <v:shape id="docshape1166" o:spid="_x0000_s2666" style="position:absolute;left:3028;top:196;width:2483;height:616" coordorigin="3028,196" coordsize="2483,616" o:spt="100" adj="0,,0" path="m4966,196r-1759,l3104,199r-54,19l3031,268r-3,98l3028,641r3,99l3050,790r54,19l3207,811r1753,l4981,811r15,-2l5011,805r24,-9l5050,791,5445,584r66,-60l5503,472r-36,-38l5445,420,5060,219r-25,-12l5013,200r-18,-3l4976,197r-5,l4966,196xm4993,197r-17,l4995,197r-2,xe" fillcolor="#7f3f98" stroked="f">
              <v:stroke joinstyle="round"/>
              <v:formulas/>
              <v:path arrowok="t" o:connecttype="segments"/>
            </v:shape>
            <v:shape id="docshape1167" o:spid="_x0000_s2665" style="position:absolute;left:1146;top:196;width:2483;height:616" coordorigin="1147,196" coordsize="2483,616" o:spt="100" adj="0,,0" path="m3084,196r-1759,l1222,199r-53,19l1149,268r-2,98l1147,641r2,99l1169,790r53,19l1325,811r1754,l3100,811r14,-2l3130,805r23,-9l3168,791,3563,584r66,-60l3622,472r-37,-38l3563,420,3179,219r-26,-12l3131,200r-17,-3l3095,197r-6,l3084,196xm3112,197r-17,l3114,197r-2,xe" fillcolor="#00aca1" stroked="f">
              <v:stroke joinstyle="round"/>
              <v:formulas/>
              <v:path arrowok="t" o:connecttype="segments"/>
            </v:shape>
            <v:shape id="docshape1168" o:spid="_x0000_s2664" type="#_x0000_t202" style="position:absolute;left:1364;top:271;width:1675;height:422;mso-position-vertical:absolute;v-text-anchor:middle" filled="f" stroked="f">
              <v:textbox style="mso-next-textbox:#docshape1168" inset="0,0,0,0">
                <w:txbxContent>
                  <w:p w14:paraId="65B832F6" w14:textId="4CB38C40" w:rsidR="0055291C" w:rsidRDefault="0076627D">
                    <w:pPr>
                      <w:spacing w:line="254" w:lineRule="auto"/>
                      <w:ind w:left="140" w:right="14" w:hanging="141"/>
                      <w:rPr>
                        <w:rFonts w:ascii="Arial"/>
                        <w:b/>
                        <w:i/>
                        <w:sz w:val="18"/>
                      </w:rPr>
                    </w:pPr>
                    <w:r>
                      <w:rPr>
                        <w:rFonts w:ascii="ＭＳ ゴシック" w:eastAsia="ＭＳ ゴシック" w:hAnsi="ＭＳ ゴシック" w:cs="ＭＳ ゴシック" w:hint="eastAsia"/>
                        <w:b/>
                        <w:i/>
                        <w:color w:val="FFFFFF"/>
                        <w:spacing w:val="-3"/>
                        <w:sz w:val="18"/>
                        <w:lang w:eastAsia="ja-JP"/>
                      </w:rPr>
                      <w:t>素材入手と前処理</w:t>
                    </w:r>
                  </w:p>
                </w:txbxContent>
              </v:textbox>
            </v:shape>
            <v:shape id="docshape1169" o:spid="_x0000_s2663" type="#_x0000_t202" style="position:absolute;left:3916;top:411;width:920;height:202" filled="f" stroked="f">
              <v:textbox style="mso-next-textbox:#docshape1169" inset="0,0,0,0">
                <w:txbxContent>
                  <w:p w14:paraId="07E58843" w14:textId="170B5DFE" w:rsidR="0055291C" w:rsidRDefault="0076627D">
                    <w:pPr>
                      <w:spacing w:line="202" w:lineRule="exact"/>
                      <w:rPr>
                        <w:rFonts w:ascii="Arial"/>
                        <w:b/>
                        <w:i/>
                        <w:sz w:val="18"/>
                      </w:rPr>
                    </w:pPr>
                    <w:r>
                      <w:rPr>
                        <w:rFonts w:ascii="ＭＳ ゴシック" w:eastAsia="ＭＳ ゴシック" w:hAnsi="ＭＳ ゴシック" w:cs="ＭＳ ゴシック" w:hint="eastAsia"/>
                        <w:b/>
                        <w:i/>
                        <w:color w:val="FFFFFF"/>
                        <w:w w:val="95"/>
                        <w:sz w:val="18"/>
                        <w:lang w:eastAsia="ja-JP"/>
                      </w:rPr>
                      <w:t>生産</w:t>
                    </w:r>
                  </w:p>
                </w:txbxContent>
              </v:textbox>
            </v:shape>
            <v:shape id="docshape1170" o:spid="_x0000_s2662" type="#_x0000_t202" style="position:absolute;left:5821;top:271;width:993;height:422;v-text-anchor:middle" filled="f" stroked="f">
              <v:textbox style="mso-next-textbox:#docshape1170" inset="0,0,0,0">
                <w:txbxContent>
                  <w:p w14:paraId="75025EBD" w14:textId="18E1626C" w:rsidR="0055291C" w:rsidRDefault="0076627D">
                    <w:pPr>
                      <w:spacing w:line="254" w:lineRule="auto"/>
                      <w:ind w:left="68" w:right="8" w:hanging="69"/>
                      <w:rPr>
                        <w:rFonts w:ascii="Arial"/>
                        <w:b/>
                        <w:i/>
                        <w:sz w:val="18"/>
                      </w:rPr>
                    </w:pPr>
                    <w:r>
                      <w:rPr>
                        <w:rFonts w:ascii="ＭＳ ゴシック" w:eastAsia="ＭＳ ゴシック" w:hAnsi="ＭＳ ゴシック" w:cs="ＭＳ ゴシック" w:hint="eastAsia"/>
                        <w:b/>
                        <w:i/>
                        <w:color w:val="FFFFFF"/>
                        <w:spacing w:val="-2"/>
                        <w:sz w:val="18"/>
                        <w:lang w:eastAsia="ja-JP"/>
                      </w:rPr>
                      <w:t>流通・保管</w:t>
                    </w:r>
                  </w:p>
                </w:txbxContent>
              </v:textbox>
            </v:shape>
            <v:shape id="docshape1171" o:spid="_x0000_s2661" type="#_x0000_t202" style="position:absolute;left:8000;top:411;width:305;height:202" filled="f" stroked="f">
              <v:textbox style="mso-next-textbox:#docshape1171" inset="0,0,0,0">
                <w:txbxContent>
                  <w:p w14:paraId="5AAA3319" w14:textId="1EB3A980" w:rsidR="0055291C" w:rsidRDefault="0055291C">
                    <w:pPr>
                      <w:spacing w:line="202" w:lineRule="exact"/>
                      <w:rPr>
                        <w:rFonts w:ascii="Arial"/>
                        <w:b/>
                        <w:i/>
                        <w:sz w:val="18"/>
                      </w:rPr>
                    </w:pPr>
                  </w:p>
                </w:txbxContent>
              </v:textbox>
            </v:shape>
            <v:shape id="docshape1172" o:spid="_x0000_s2660" type="#_x0000_t202" style="position:absolute;left:9684;top:411;width:905;height:202" filled="f" stroked="f">
              <v:textbox style="mso-next-textbox:#docshape1172" inset="0,0,0,0">
                <w:txbxContent>
                  <w:p w14:paraId="4DD95255" w14:textId="220A5448" w:rsidR="0055291C" w:rsidRDefault="0076627D">
                    <w:pPr>
                      <w:spacing w:line="202" w:lineRule="exact"/>
                      <w:rPr>
                        <w:rFonts w:ascii="Arial"/>
                        <w:b/>
                        <w:i/>
                        <w:sz w:val="18"/>
                      </w:rPr>
                    </w:pPr>
                    <w:r>
                      <w:rPr>
                        <w:rFonts w:ascii="ＭＳ ゴシック" w:eastAsia="ＭＳ ゴシック" w:hAnsi="ＭＳ ゴシック" w:cs="ＭＳ ゴシック" w:hint="eastAsia"/>
                        <w:b/>
                        <w:i/>
                        <w:color w:val="FFFFFF"/>
                        <w:sz w:val="18"/>
                        <w:lang w:eastAsia="ja-JP"/>
                      </w:rPr>
                      <w:t>廃棄</w:t>
                    </w:r>
                  </w:p>
                </w:txbxContent>
              </v:textbox>
            </v:shape>
            <w10:wrap type="topAndBottom" anchorx="page"/>
          </v:group>
        </w:pict>
      </w:r>
    </w:p>
    <w:p w14:paraId="4E2D6509" w14:textId="77777777" w:rsidR="0055291C" w:rsidRDefault="0055291C">
      <w:pPr>
        <w:pStyle w:val="a3"/>
        <w:spacing w:before="6"/>
        <w:rPr>
          <w:rFonts w:ascii="Arial"/>
          <w:b/>
          <w:sz w:val="12"/>
          <w:lang w:eastAsia="ja-JP"/>
        </w:rPr>
      </w:pPr>
    </w:p>
    <w:p w14:paraId="507D1EA2" w14:textId="77777777" w:rsidR="00193F96" w:rsidRDefault="00000000">
      <w:pPr>
        <w:spacing w:before="103" w:line="235" w:lineRule="auto"/>
        <w:ind w:left="8842" w:right="2603"/>
        <w:jc w:val="center"/>
        <w:rPr>
          <w:rFonts w:ascii="ＭＳ ゴシック" w:eastAsia="ＭＳ ゴシック" w:hAnsi="ＭＳ ゴシック" w:cs="ＭＳ ゴシック"/>
          <w:b/>
          <w:i/>
          <w:color w:val="7D7D82"/>
          <w:sz w:val="16"/>
          <w:lang w:eastAsia="ja-JP"/>
        </w:rPr>
      </w:pPr>
      <w:r>
        <w:pict w14:anchorId="1F0EF648">
          <v:group id="docshapegroup1173" o:spid="_x0000_s2644" style="position:absolute;left:0;text-align:left;margin-left:196.3pt;margin-top:33.35pt;width:294.75pt;height:104.9pt;z-index:-251472384;mso-wrap-distance-left:0;mso-wrap-distance-right:0;mso-position-horizontal-relative:page" coordorigin="3926,667" coordsize="5895,2098">
            <v:shape id="docshape1174" o:spid="_x0000_s2658" style="position:absolute;left:9104;top:667;width:311;height:2098" coordorigin="9105,667" coordsize="311,2098" o:spt="100" adj="0,,0" path="m9387,853r-8,-18l9281,687r-15,-15l9250,667r-17,5l9219,686,9113,837r-8,17l9107,868r10,10l9136,882r43,-1l9179,1226r132,l9312,881r42,l9373,877r11,-10l9387,853xm9415,2580r-2,-15l9402,2555r-19,-3l9340,2552r,-345l9207,2207r,344l9165,2551r-19,4l9135,2564r-2,14l9141,2596r106,151l9262,2761r16,4l9295,2760r14,-14l9407,2598r8,-18xe" fillcolor="#b8babd" stroked="f">
              <v:stroke joinstyle="round"/>
              <v:formulas/>
              <v:path arrowok="t" o:connecttype="segments"/>
            </v:shape>
            <v:line id="_x0000_s2657" style="position:absolute" from="4873,1714" to="9553,1714" strokecolor="#b6b8ba" strokeweight="8pt"/>
            <v:shape id="docshape1175" o:spid="_x0000_s2656" style="position:absolute;left:4774;top:1139;width:1134;height:1134" coordorigin="4775,1139" coordsize="1134,1134" path="m5669,1139r-654,l4876,1143r-71,26l4779,1241r-4,138l4775,2033r4,139l4805,2243r71,27l5015,2273r654,l5808,2270r71,-27l5905,2172r4,-139l5909,1379r-4,-138l5879,1169r-71,-26l5669,1139xe" fillcolor="#7f3f98" stroked="f">
              <v:path arrowok="t"/>
            </v:shape>
            <v:shape id="docshape1176" o:spid="_x0000_s2655" style="position:absolute;left:6078;top:1139;width:1134;height:1134" coordorigin="6079,1139" coordsize="1134,1134" path="m6973,1139r-654,l6180,1143r-71,26l6083,1241r-4,138l6079,2033r4,139l6109,2243r71,27l6319,2273r654,l7112,2270r71,-27l7209,2172r4,-139l7213,1379r-4,-138l7183,1169r-71,-26l6973,1139xe" fillcolor="#4f84c4" stroked="f">
              <v:path arrowok="t"/>
            </v:shape>
            <v:shape id="docshape1177" o:spid="_x0000_s2654" style="position:absolute;left:7382;top:1139;width:1134;height:1134" coordorigin="7383,1139" coordsize="1134,1134" path="m8277,1139r-654,l7484,1143r-71,26l7387,1241r-4,138l7383,2033r4,139l7413,2243r71,27l7623,2273r654,l8415,2270r72,-27l8513,2172r4,-139l8517,1379r-4,-138l8487,1169r-72,-26l8277,1139xe" fillcolor="#ed1065" stroked="f">
              <v:path arrowok="t"/>
            </v:shape>
            <v:shape id="docshape1178" o:spid="_x0000_s2653" style="position:absolute;left:8686;top:1139;width:1134;height:1134" coordorigin="8687,1139" coordsize="1134,1134" path="m9581,1139r-654,l8788,1143r-71,26l8691,1241r-4,138l8687,2033r4,139l8717,2243r71,27l8927,2273r654,l9719,2270r72,-27l9817,2172r4,-139l9821,1379r-4,-138l9791,1169r-72,-26l9581,1139xe" fillcolor="#f47836" stroked="f">
              <v:path arrowok="t"/>
            </v:shape>
            <v:shape id="docshape1179" o:spid="_x0000_s2652" style="position:absolute;left:4152;top:1586;width:559;height:282" coordorigin="4153,1586" coordsize="559,282" path="m4526,1586r-15,2l4502,1599r-4,19l4498,1661r-345,1l4153,1794r344,l4497,1837r4,19l4510,1866r15,2l4542,1860r151,-106l4707,1740r4,-17l4706,1707r-14,-15l4544,1594r-18,-8xe" fillcolor="#b8babd" stroked="f">
              <v:path arrowok="t"/>
            </v:shape>
            <v:line id="_x0000_s2651" style="position:absolute" from="4224,1363" to="4224,2083" strokecolor="#b6b8ba" strokeweight="8pt"/>
            <v:shape id="docshape1180" o:spid="_x0000_s2650" type="#_x0000_t202" style="position:absolute;left:3926;top:741;width:654;height:540" filled="f" stroked="f">
              <v:textbox style="mso-next-textbox:#docshape1180" inset="0,0,0,0">
                <w:txbxContent>
                  <w:p w14:paraId="00E2ED80" w14:textId="785CD596" w:rsidR="0055291C" w:rsidRPr="00193F96" w:rsidRDefault="00193F96">
                    <w:pPr>
                      <w:spacing w:line="235" w:lineRule="auto"/>
                      <w:ind w:right="18"/>
                      <w:jc w:val="center"/>
                      <w:rPr>
                        <w:rFonts w:ascii="Arial"/>
                        <w:b/>
                        <w:i/>
                        <w:sz w:val="14"/>
                        <w:szCs w:val="21"/>
                      </w:rPr>
                    </w:pPr>
                    <w:r w:rsidRPr="00193F96">
                      <w:rPr>
                        <w:rFonts w:ascii="ＭＳ ゴシック" w:eastAsia="ＭＳ ゴシック" w:hAnsi="ＭＳ ゴシック" w:cs="ＭＳ ゴシック" w:hint="eastAsia"/>
                        <w:b/>
                        <w:i/>
                        <w:color w:val="7D7D82"/>
                        <w:sz w:val="14"/>
                        <w:szCs w:val="21"/>
                        <w:lang w:eastAsia="ja-JP"/>
                      </w:rPr>
                      <w:t>バージン材投入</w:t>
                    </w:r>
                  </w:p>
                </w:txbxContent>
              </v:textbox>
            </v:shape>
            <v:shape id="docshape1181" o:spid="_x0000_s2649" type="#_x0000_t202" style="position:absolute;left:4931;top:1519;width:828;height:340" filled="f" stroked="f">
              <v:textbox style="mso-next-textbox:#docshape1181" inset="0,0,0,0">
                <w:txbxContent>
                  <w:p w14:paraId="3E8EA34A" w14:textId="3E75A4CB" w:rsidR="0055291C" w:rsidRDefault="00193F96">
                    <w:pPr>
                      <w:spacing w:before="18" w:line="208" w:lineRule="auto"/>
                      <w:ind w:left="123" w:right="15" w:hanging="124"/>
                      <w:rPr>
                        <w:rFonts w:ascii="Arial"/>
                        <w:b/>
                        <w:i/>
                        <w:sz w:val="16"/>
                      </w:rPr>
                    </w:pPr>
                    <w:r>
                      <w:rPr>
                        <w:rFonts w:ascii="ＭＳ ゴシック" w:eastAsia="ＭＳ ゴシック" w:hAnsi="ＭＳ ゴシック" w:cs="ＭＳ ゴシック" w:hint="eastAsia"/>
                        <w:b/>
                        <w:i/>
                        <w:color w:val="FFFFFF"/>
                        <w:w w:val="95"/>
                        <w:sz w:val="16"/>
                        <w:lang w:eastAsia="ja-JP"/>
                      </w:rPr>
                      <w:t>生産工程</w:t>
                    </w:r>
                  </w:p>
                </w:txbxContent>
              </v:textbox>
            </v:shape>
            <v:shape id="docshape1182" o:spid="_x0000_s2648" type="#_x0000_t202" style="position:absolute;left:6201;top:1519;width:894;height:340" filled="f" stroked="f">
              <v:textbox style="mso-next-textbox:#docshape1182" inset="0,0,0,0">
                <w:txbxContent>
                  <w:p w14:paraId="077860E2" w14:textId="075CC0C9" w:rsidR="0055291C" w:rsidRDefault="00193F96">
                    <w:pPr>
                      <w:spacing w:before="18" w:line="208" w:lineRule="auto"/>
                      <w:ind w:left="156" w:right="7" w:hanging="157"/>
                      <w:rPr>
                        <w:rFonts w:ascii="Arial"/>
                        <w:b/>
                        <w:i/>
                        <w:sz w:val="16"/>
                      </w:rPr>
                    </w:pPr>
                    <w:r>
                      <w:rPr>
                        <w:rFonts w:ascii="ＭＳ ゴシック" w:eastAsia="ＭＳ ゴシック" w:hAnsi="ＭＳ ゴシック" w:cs="ＭＳ ゴシック" w:hint="eastAsia"/>
                        <w:b/>
                        <w:i/>
                        <w:color w:val="FFFFFF"/>
                        <w:spacing w:val="-1"/>
                        <w:sz w:val="16"/>
                        <w:lang w:eastAsia="ja-JP"/>
                      </w:rPr>
                      <w:t>流通過程</w:t>
                    </w:r>
                  </w:p>
                </w:txbxContent>
              </v:textbox>
            </v:shape>
            <v:shape id="docshape1183" o:spid="_x0000_s2647" type="#_x0000_t202" style="position:absolute;left:7662;top:1519;width:582;height:340" filled="f" stroked="f">
              <v:textbox style="mso-next-textbox:#docshape1183" inset="0,0,0,0">
                <w:txbxContent>
                  <w:p w14:paraId="43B47862" w14:textId="0CAC01C2" w:rsidR="0055291C" w:rsidRDefault="00193F96">
                    <w:pPr>
                      <w:spacing w:before="18" w:line="208" w:lineRule="auto"/>
                      <w:ind w:right="9" w:firstLine="153"/>
                      <w:rPr>
                        <w:rFonts w:ascii="Arial"/>
                        <w:b/>
                        <w:i/>
                        <w:sz w:val="16"/>
                      </w:rPr>
                    </w:pPr>
                    <w:r>
                      <w:rPr>
                        <w:rFonts w:ascii="ＭＳ ゴシック" w:eastAsia="ＭＳ ゴシック" w:hAnsi="ＭＳ ゴシック" w:cs="ＭＳ ゴシック" w:hint="eastAsia"/>
                        <w:b/>
                        <w:i/>
                        <w:color w:val="FFFFFF"/>
                        <w:sz w:val="16"/>
                        <w:lang w:eastAsia="ja-JP"/>
                      </w:rPr>
                      <w:t>使用過程</w:t>
                    </w:r>
                  </w:p>
                </w:txbxContent>
              </v:textbox>
            </v:shape>
            <v:shape id="docshape1184" o:spid="_x0000_s2646" type="#_x0000_t202" style="position:absolute;left:8886;top:1519;width:740;height:340" filled="f" stroked="f">
              <v:textbox style="mso-next-textbox:#docshape1184" inset="0,0,0,0">
                <w:txbxContent>
                  <w:p w14:paraId="78A90338" w14:textId="21A6A03E" w:rsidR="0055291C" w:rsidRDefault="00193F96">
                    <w:pPr>
                      <w:spacing w:before="18" w:line="208" w:lineRule="auto"/>
                      <w:ind w:left="79" w:right="11" w:hanging="80"/>
                      <w:rPr>
                        <w:rFonts w:ascii="Arial"/>
                        <w:b/>
                        <w:i/>
                        <w:sz w:val="16"/>
                      </w:rPr>
                    </w:pPr>
                    <w:r>
                      <w:rPr>
                        <w:rFonts w:ascii="ＭＳ ゴシック" w:eastAsia="ＭＳ ゴシック" w:hAnsi="ＭＳ ゴシック" w:cs="ＭＳ ゴシック" w:hint="eastAsia"/>
                        <w:b/>
                        <w:i/>
                        <w:color w:val="FFFFFF"/>
                        <w:w w:val="95"/>
                        <w:sz w:val="16"/>
                        <w:lang w:eastAsia="ja-JP"/>
                      </w:rPr>
                      <w:t>収集過程</w:t>
                    </w:r>
                  </w:p>
                </w:txbxContent>
              </v:textbox>
            </v:shape>
            <v:shape id="docshape1185" o:spid="_x0000_s2645" type="#_x0000_t202" style="position:absolute;left:3926;top:2152;width:654;height:540" filled="f" stroked="f">
              <v:textbox style="mso-next-textbox:#docshape1185" inset="0,0,0,0">
                <w:txbxContent>
                  <w:p w14:paraId="7B43FAA4" w14:textId="77777777" w:rsidR="00193F96" w:rsidRDefault="00193F96">
                    <w:pPr>
                      <w:spacing w:line="235" w:lineRule="auto"/>
                      <w:ind w:right="18"/>
                      <w:jc w:val="center"/>
                      <w:rPr>
                        <w:rFonts w:ascii="ＭＳ ゴシック" w:eastAsia="ＭＳ ゴシック" w:hAnsi="ＭＳ ゴシック" w:cs="ＭＳ ゴシック"/>
                        <w:b/>
                        <w:i/>
                        <w:color w:val="7D7D82"/>
                        <w:w w:val="95"/>
                        <w:sz w:val="16"/>
                        <w:lang w:eastAsia="ja-JP"/>
                      </w:rPr>
                    </w:pPr>
                    <w:r>
                      <w:rPr>
                        <w:rFonts w:ascii="ＭＳ ゴシック" w:eastAsia="ＭＳ ゴシック" w:hAnsi="ＭＳ ゴシック" w:cs="ＭＳ ゴシック" w:hint="eastAsia"/>
                        <w:b/>
                        <w:i/>
                        <w:color w:val="7D7D82"/>
                        <w:w w:val="95"/>
                        <w:sz w:val="16"/>
                        <w:lang w:eastAsia="ja-JP"/>
                      </w:rPr>
                      <w:t>再生材</w:t>
                    </w:r>
                  </w:p>
                  <w:p w14:paraId="5BCCA818" w14:textId="4854E0E1" w:rsidR="0055291C" w:rsidRDefault="00193F96">
                    <w:pPr>
                      <w:spacing w:line="235" w:lineRule="auto"/>
                      <w:ind w:right="18"/>
                      <w:jc w:val="center"/>
                      <w:rPr>
                        <w:rFonts w:ascii="Arial"/>
                        <w:b/>
                        <w:i/>
                        <w:sz w:val="16"/>
                      </w:rPr>
                    </w:pPr>
                    <w:r>
                      <w:rPr>
                        <w:rFonts w:ascii="ＭＳ ゴシック" w:eastAsia="ＭＳ ゴシック" w:hAnsi="ＭＳ ゴシック" w:cs="ＭＳ ゴシック" w:hint="eastAsia"/>
                        <w:b/>
                        <w:i/>
                        <w:color w:val="7D7D82"/>
                        <w:w w:val="95"/>
                        <w:sz w:val="16"/>
                        <w:lang w:eastAsia="ja-JP"/>
                      </w:rPr>
                      <w:t>投入</w:t>
                    </w:r>
                  </w:p>
                </w:txbxContent>
              </v:textbox>
            </v:shape>
            <w10:wrap type="topAndBottom" anchorx="page"/>
          </v:group>
        </w:pict>
      </w:r>
      <w:r>
        <w:pict w14:anchorId="1C0AF5DD">
          <v:group id="docshapegroup1186" o:spid="_x0000_s2640" style="position:absolute;left:0;text-align:left;margin-left:486pt;margin-top:5.55pt;width:71.85pt;height:28.35pt;z-index:251617792;mso-position-horizontal-relative:page" coordorigin="9720,111" coordsize="1437,567">
            <v:shape id="docshape1187" o:spid="_x0000_s2643" style="position:absolute;left:10154;top:110;width:1003;height:567" coordorigin="10154,111" coordsize="1003,567" path="m10916,111r-522,l10256,114r-72,27l10158,212r-4,139l10154,438r4,138l10184,648r72,26l10394,678r522,l11055,674r71,-26l11153,576r3,-138l11156,351r-3,-139l11126,141r-71,-27l10916,111xe" fillcolor="#f47836" stroked="f">
              <v:path arrowok="t"/>
            </v:shape>
            <v:shape id="docshape1188" o:spid="_x0000_s2642" type="#_x0000_t75" style="position:absolute;left:9720;top:232;width:379;height:282">
              <v:imagedata r:id="rId231" o:title=""/>
            </v:shape>
            <v:shape id="docshape1189" o:spid="_x0000_s2641" type="#_x0000_t202" style="position:absolute;left:9720;top:110;width:1437;height:567" filled="f" stroked="f">
              <v:textbox style="mso-next-textbox:#docshape1189" inset="0,0,0,0">
                <w:txbxContent>
                  <w:p w14:paraId="6574A979" w14:textId="5C1C3BFB" w:rsidR="0055291C" w:rsidRDefault="00193F96">
                    <w:pPr>
                      <w:spacing w:before="115" w:line="208" w:lineRule="auto"/>
                      <w:ind w:left="557" w:right="103" w:firstLine="141"/>
                      <w:rPr>
                        <w:rFonts w:ascii="Arial"/>
                        <w:b/>
                        <w:i/>
                        <w:sz w:val="16"/>
                      </w:rPr>
                    </w:pPr>
                    <w:r>
                      <w:rPr>
                        <w:rFonts w:ascii="ＭＳ ゴシック" w:eastAsia="ＭＳ ゴシック" w:hAnsi="ＭＳ ゴシック" w:cs="ＭＳ ゴシック" w:hint="eastAsia"/>
                        <w:b/>
                        <w:i/>
                        <w:color w:val="FFFFFF"/>
                        <w:w w:val="105"/>
                        <w:sz w:val="16"/>
                        <w:lang w:eastAsia="ja-JP"/>
                      </w:rPr>
                      <w:t>廃棄物処理</w:t>
                    </w:r>
                  </w:p>
                </w:txbxContent>
              </v:textbox>
            </v:shape>
            <w10:wrap anchorx="page"/>
          </v:group>
        </w:pict>
      </w:r>
      <w:r>
        <w:pict w14:anchorId="6B86D143">
          <v:group id="docshapegroup1190" o:spid="_x0000_s2633" style="position:absolute;left:0;text-align:left;margin-left:57.4pt;margin-top:22.6pt;width:135.8pt;height:56.7pt;z-index:251618816;mso-position-horizontal-relative:page" coordorigin="1148,452" coordsize="2716,1134">
            <v:shape id="docshape1191" o:spid="_x0000_s2639" style="position:absolute;left:2225;top:908;width:1639;height:282" coordorigin="2225,908" coordsize="1639,282" path="m3678,908r-14,2l3654,921r-4,19l3650,983r-1425,1l2225,1116r1425,l3650,1159r3,18l3663,1188r14,2l3694,1182r151,-106l3859,1062r5,-17l3859,1028r-15,-14l3696,916r-18,-8xe" fillcolor="#b8babd" stroked="f">
              <v:path arrowok="t"/>
            </v:shape>
            <v:shape id="docshape1192" o:spid="_x0000_s2638" style="position:absolute;left:1148;top:452;width:2424;height:1134" coordorigin="1148,452" coordsize="2424,1134" o:spt="100" adj="0,,0" path="m2282,692r-4,-139l2252,482r-71,-26l2042,452r-654,l1249,456r-71,26l1152,553r-4,139l1148,1346r4,139l1178,1556r71,26l1388,1586r654,l2181,1582r71,-26l2278,1485r4,-139l2282,692xm3572,692r-4,-139l3542,482r-72,-26l3332,452r-654,l2539,456r-71,26l2442,553r-4,139l2438,1346r4,139l2468,1556r71,26l2678,1586r654,l3470,1582r72,-26l3568,1485r4,-139l3572,692xe" fillcolor="#00aca1" stroked="f">
              <v:stroke joinstyle="round"/>
              <v:formulas/>
              <v:path arrowok="t" o:connecttype="segments"/>
            </v:shape>
            <v:shape id="docshape1193" o:spid="_x0000_s2637" type="#_x0000_t202" style="position:absolute;left:1300;top:751;width:835;height:500" filled="f" stroked="f">
              <v:textbox style="mso-next-textbox:#docshape1193" inset="0,0,0,0">
                <w:txbxContent>
                  <w:p w14:paraId="7051152A" w14:textId="024B9A82" w:rsidR="0055291C" w:rsidRDefault="0076627D">
                    <w:pPr>
                      <w:spacing w:before="18" w:line="208" w:lineRule="auto"/>
                      <w:ind w:left="-1" w:right="18"/>
                      <w:jc w:val="center"/>
                      <w:rPr>
                        <w:rFonts w:ascii="Arial"/>
                        <w:b/>
                        <w:i/>
                        <w:sz w:val="16"/>
                      </w:rPr>
                    </w:pPr>
                    <w:r>
                      <w:rPr>
                        <w:rFonts w:ascii="ＭＳ ゴシック" w:eastAsia="ＭＳ ゴシック" w:hAnsi="ＭＳ ゴシック" w:cs="ＭＳ ゴシック" w:hint="eastAsia"/>
                        <w:b/>
                        <w:i/>
                        <w:color w:val="FFFFFF"/>
                        <w:sz w:val="16"/>
                        <w:lang w:eastAsia="ja-JP"/>
                      </w:rPr>
                      <w:t>バージン材取得</w:t>
                    </w:r>
                  </w:p>
                </w:txbxContent>
              </v:textbox>
            </v:shape>
            <v:shape id="docshape1194" o:spid="_x0000_s2636" type="#_x0000_t202" style="position:absolute;left:2680;top:671;width:654;height:340" filled="f" stroked="f">
              <v:textbox style="mso-next-textbox:#docshape1194" inset="0,0,0,0">
                <w:txbxContent>
                  <w:p w14:paraId="048FE6A7" w14:textId="767CB384" w:rsidR="0055291C" w:rsidRDefault="00193F96">
                    <w:pPr>
                      <w:spacing w:before="18" w:line="208" w:lineRule="auto"/>
                      <w:ind w:firstLine="104"/>
                      <w:rPr>
                        <w:rFonts w:ascii="Arial"/>
                        <w:b/>
                        <w:i/>
                        <w:sz w:val="16"/>
                      </w:rPr>
                    </w:pPr>
                    <w:r>
                      <w:rPr>
                        <w:rFonts w:ascii="ＭＳ ゴシック" w:eastAsia="ＭＳ ゴシック" w:hAnsi="ＭＳ ゴシック" w:cs="ＭＳ ゴシック" w:hint="eastAsia"/>
                        <w:b/>
                        <w:i/>
                        <w:color w:val="FFFFFF"/>
                        <w:sz w:val="16"/>
                        <w:lang w:eastAsia="ja-JP"/>
                      </w:rPr>
                      <w:t>バージン材前処理</w:t>
                    </w:r>
                  </w:p>
                </w:txbxContent>
              </v:textbox>
            </v:shape>
            <v:shape id="docshape1195" o:spid="_x0000_s2635" type="#_x0000_t202" style="position:absolute;left:2603;top:991;width:565;height:340" filled="f" stroked="f">
              <v:textbox style="mso-next-textbox:#docshape1195" inset="0,0,0,0">
                <w:txbxContent>
                  <w:p w14:paraId="7B2C17EA" w14:textId="206C8689" w:rsidR="0055291C" w:rsidRDefault="0055291C" w:rsidP="00193F96">
                    <w:pPr>
                      <w:spacing w:line="171" w:lineRule="exact"/>
                      <w:ind w:left="243"/>
                      <w:rPr>
                        <w:rFonts w:ascii="Arial"/>
                        <w:b/>
                        <w:i/>
                        <w:sz w:val="16"/>
                      </w:rPr>
                    </w:pPr>
                  </w:p>
                </w:txbxContent>
              </v:textbox>
            </v:shape>
            <v:shape id="docshape1196" o:spid="_x0000_s2634" type="#_x0000_t202" style="position:absolute;left:2761;top:1151;width:651;height:180" filled="f" stroked="f">
              <v:textbox style="mso-next-textbox:#docshape1196" inset="0,0,0,0">
                <w:txbxContent>
                  <w:p w14:paraId="08A77102" w14:textId="0DA2B094" w:rsidR="0055291C" w:rsidRDefault="0055291C">
                    <w:pPr>
                      <w:spacing w:line="179" w:lineRule="exact"/>
                      <w:rPr>
                        <w:rFonts w:ascii="Arial"/>
                        <w:b/>
                        <w:i/>
                        <w:sz w:val="16"/>
                      </w:rPr>
                    </w:pPr>
                  </w:p>
                </w:txbxContent>
              </v:textbox>
            </v:shape>
            <w10:wrap anchorx="page"/>
          </v:group>
        </w:pict>
      </w:r>
      <w:r>
        <w:pict w14:anchorId="2E16D71A">
          <v:group id="docshapegroup1197" o:spid="_x0000_s2628" style="position:absolute;left:0;text-align:left;margin-left:56.7pt;margin-top:89.55pt;width:136.5pt;height:56.7pt;z-index:251619840;mso-position-horizontal-relative:page" coordorigin="1134,1791" coordsize="2730,1134">
            <v:shape id="docshape1198" o:spid="_x0000_s2632" style="position:absolute;left:2225;top:2306;width:1639;height:282" coordorigin="2225,2306" coordsize="1639,282" path="m3678,2306r-14,2l3654,2319r-4,19l3650,2381r-1425,1l2225,2514r1425,l3650,2557r3,19l3663,2586r14,2l3694,2580r151,-106l3859,2460r5,-17l3859,2427r-15,-15l3696,2314r-18,-8xe" fillcolor="#b8babd" stroked="f">
              <v:path arrowok="t"/>
            </v:shape>
            <v:shape id="docshape1199" o:spid="_x0000_s2631" style="position:absolute;left:1133;top:1791;width:2438;height:1134" coordorigin="1134,1791" coordsize="2438,1134" o:spt="100" adj="0,,0" path="m2268,2031r-4,-138l2238,1821r-72,-26l2028,1791r-654,l1235,1795r-71,26l1138,1893r-4,138l1134,2685r4,139l1164,2895r71,27l1374,2925r654,l2166,2922r72,-27l2264,2824r4,-139l2268,2031xm3572,2031r-4,-138l3542,1821r-72,-26l3332,1791r-654,l2539,1795r-71,26l2442,1893r-4,138l2438,2685r4,139l2468,2895r71,27l2678,2925r654,l3470,2922r72,-27l3568,2824r4,-139l3572,2031xe" fillcolor="#00aca1" stroked="f">
              <v:stroke joinstyle="round"/>
              <v:formulas/>
              <v:path arrowok="t" o:connecttype="segments"/>
            </v:shape>
            <v:shape id="docshape1200" o:spid="_x0000_s2630" type="#_x0000_t202" style="position:absolute;left:1374;top:2011;width:659;height:660;v-text-anchor:middle" filled="f" stroked="f">
              <v:textbox style="mso-next-textbox:#docshape1200" inset="0,0,0,0">
                <w:txbxContent>
                  <w:p w14:paraId="14C3C04D" w14:textId="18D0A4D3" w:rsidR="0055291C" w:rsidRDefault="00F23C61">
                    <w:pPr>
                      <w:spacing w:before="18" w:line="208" w:lineRule="auto"/>
                      <w:ind w:right="18"/>
                      <w:jc w:val="center"/>
                      <w:rPr>
                        <w:rFonts w:ascii="Arial"/>
                        <w:b/>
                        <w:i/>
                        <w:sz w:val="16"/>
                      </w:rPr>
                    </w:pPr>
                    <w:r>
                      <w:rPr>
                        <w:rFonts w:ascii="Arial"/>
                        <w:b/>
                        <w:i/>
                        <w:color w:val="FFFFFF"/>
                        <w:sz w:val="16"/>
                      </w:rPr>
                      <w:t>MRF</w:t>
                    </w:r>
                  </w:p>
                </w:txbxContent>
              </v:textbox>
            </v:shape>
            <v:shape id="docshape1201" o:spid="_x0000_s2629" type="#_x0000_t202" style="position:absolute;left:2603;top:2011;width:809;height:660;v-text-anchor:middle" filled="f" stroked="f">
              <v:textbox style="mso-next-textbox:#docshape1201" inset="0,0,0,0">
                <w:txbxContent>
                  <w:p w14:paraId="1DDF1CCA" w14:textId="7B34239E" w:rsidR="0055291C" w:rsidRDefault="00193F96">
                    <w:pPr>
                      <w:spacing w:before="18" w:line="208" w:lineRule="auto"/>
                      <w:ind w:right="18"/>
                      <w:jc w:val="center"/>
                      <w:rPr>
                        <w:rFonts w:ascii="Arial"/>
                        <w:b/>
                        <w:i/>
                        <w:sz w:val="16"/>
                      </w:rPr>
                    </w:pPr>
                    <w:r>
                      <w:rPr>
                        <w:rFonts w:ascii="ＭＳ ゴシック" w:eastAsia="ＭＳ ゴシック" w:hAnsi="ＭＳ ゴシック" w:cs="ＭＳ ゴシック" w:hint="eastAsia"/>
                        <w:b/>
                        <w:i/>
                        <w:color w:val="FFFFFF"/>
                        <w:sz w:val="16"/>
                        <w:lang w:eastAsia="ja-JP"/>
                      </w:rPr>
                      <w:t>再生材前処理</w:t>
                    </w:r>
                  </w:p>
                </w:txbxContent>
              </v:textbox>
            </v:shape>
            <w10:wrap anchorx="page"/>
          </v:group>
        </w:pict>
      </w:r>
      <w:r>
        <w:pict w14:anchorId="3D46B951">
          <v:group id="docshapegroup1202" o:spid="_x0000_s2623" style="position:absolute;left:0;text-align:left;margin-left:57.35pt;margin-top:160.3pt;width:105.7pt;height:39.3pt;z-index:251620864;mso-position-horizontal-relative:page" coordorigin="1147,3206" coordsize="2114,786">
            <v:shape id="docshape1203" o:spid="_x0000_s2627" style="position:absolute;left:1150;top:3209;width:2106;height:779" coordorigin="1150,3210" coordsize="2106,779" path="m1272,3210r-71,1l1165,3225r-13,36l1150,3331r,535l1152,3936r13,36l1201,3986r71,2l3135,3988r70,-2l3241,3972r13,-36l3256,3866r,-535l3254,3261r-13,-36l3205,3211r-70,-1l1272,3210xe" filled="f" strokecolor="#545456" strokeweight=".1284mm">
              <v:path arrowok="t"/>
            </v:shape>
            <v:shape id="docshape1204" o:spid="_x0000_s2626" type="#_x0000_t75" style="position:absolute;left:1343;top:3311;width:318;height:201">
              <v:imagedata r:id="rId236" o:title=""/>
            </v:shape>
            <v:shape id="docshape1205" o:spid="_x0000_s2625" type="#_x0000_t75" style="position:absolute;left:1353;top:3648;width:296;height:192">
              <v:imagedata r:id="rId163" o:title=""/>
            </v:shape>
            <v:shape id="docshape1206" o:spid="_x0000_s2624" type="#_x0000_t202" style="position:absolute;left:1146;top:3205;width:2114;height:786" filled="f" stroked="f">
              <v:textbox style="mso-next-textbox:#docshape1206" inset="0,0,0,0">
                <w:txbxContent>
                  <w:p w14:paraId="6BE5ACE9" w14:textId="30C92F46" w:rsidR="0055291C" w:rsidRDefault="00193F96">
                    <w:pPr>
                      <w:spacing w:before="117" w:line="206" w:lineRule="auto"/>
                      <w:ind w:left="632" w:right="205"/>
                      <w:rPr>
                        <w:rFonts w:ascii="Arial"/>
                        <w:b/>
                        <w:i/>
                        <w:sz w:val="13"/>
                        <w:lang w:eastAsia="ja-JP"/>
                      </w:rPr>
                    </w:pPr>
                    <w:r>
                      <w:rPr>
                        <w:rFonts w:ascii="ＭＳ ゴシック" w:eastAsia="ＭＳ ゴシック" w:hAnsi="ＭＳ ゴシック" w:cs="ＭＳ ゴシック" w:hint="eastAsia"/>
                        <w:b/>
                        <w:i/>
                        <w:color w:val="545456"/>
                        <w:spacing w:val="-1"/>
                        <w:w w:val="95"/>
                        <w:sz w:val="13"/>
                        <w:lang w:eastAsia="ja-JP"/>
                      </w:rPr>
                      <w:t>ライフサイクルにおける物質移動</w:t>
                    </w:r>
                  </w:p>
                  <w:p w14:paraId="65274580" w14:textId="23562802" w:rsidR="0055291C" w:rsidRDefault="00875973">
                    <w:pPr>
                      <w:spacing w:before="86"/>
                      <w:ind w:left="636"/>
                      <w:rPr>
                        <w:rFonts w:ascii="Arial"/>
                        <w:b/>
                        <w:i/>
                        <w:sz w:val="13"/>
                      </w:rPr>
                    </w:pPr>
                    <w:r>
                      <w:rPr>
                        <w:rFonts w:ascii="ＭＳ ゴシック" w:eastAsia="ＭＳ ゴシック" w:hAnsi="ＭＳ ゴシック" w:cs="ＭＳ ゴシック" w:hint="eastAsia"/>
                        <w:b/>
                        <w:i/>
                        <w:color w:val="545456"/>
                        <w:w w:val="90"/>
                        <w:sz w:val="13"/>
                        <w:lang w:eastAsia="ja-JP"/>
                      </w:rPr>
                      <w:t>帰属プロセス</w:t>
                    </w:r>
                  </w:p>
                </w:txbxContent>
              </v:textbox>
            </v:shape>
            <w10:wrap anchorx="page"/>
          </v:group>
        </w:pict>
      </w:r>
      <w:r>
        <w:pict w14:anchorId="5D402D18">
          <v:shape id="docshape1207" o:spid="_x0000_s2622" type="#_x0000_t202" style="position:absolute;left:0;text-align:left;margin-left:585.65pt;margin-top:-13.5pt;width:17.7pt;height:119.1pt;z-index:251621888;mso-position-horizontal-relative:page" filled="f" stroked="f">
            <v:textbox style="layout-flow:vertical;mso-layout-flow-alt:bottom-to-top;mso-next-textbox:#docshape1207" inset="0,0,0,0">
              <w:txbxContent>
                <w:p w14:paraId="213930A7"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v:shape>
        </w:pict>
      </w:r>
      <w:r w:rsidR="00193F96">
        <w:rPr>
          <w:rFonts w:ascii="ＭＳ ゴシック" w:eastAsia="ＭＳ ゴシック" w:hAnsi="ＭＳ ゴシック" w:cs="ＭＳ ゴシック" w:hint="eastAsia"/>
          <w:b/>
          <w:i/>
          <w:color w:val="7D7D82"/>
          <w:sz w:val="16"/>
          <w:lang w:eastAsia="ja-JP"/>
        </w:rPr>
        <w:t>廃棄物</w:t>
      </w:r>
    </w:p>
    <w:p w14:paraId="3E89D6EC" w14:textId="357123F4" w:rsidR="0055291C" w:rsidRDefault="00193F96">
      <w:pPr>
        <w:spacing w:before="103" w:line="235" w:lineRule="auto"/>
        <w:ind w:left="8842" w:right="2603"/>
        <w:jc w:val="center"/>
        <w:rPr>
          <w:rFonts w:ascii="Arial"/>
          <w:b/>
          <w:i/>
          <w:sz w:val="16"/>
          <w:lang w:eastAsia="ja-JP"/>
        </w:rPr>
      </w:pPr>
      <w:r>
        <w:rPr>
          <w:rFonts w:ascii="ＭＳ ゴシック" w:eastAsia="ＭＳ ゴシック" w:hAnsi="ＭＳ ゴシック" w:cs="ＭＳ ゴシック" w:hint="eastAsia"/>
          <w:b/>
          <w:i/>
          <w:color w:val="7D7D82"/>
          <w:sz w:val="16"/>
          <w:lang w:eastAsia="ja-JP"/>
        </w:rPr>
        <w:t>発生量</w:t>
      </w:r>
    </w:p>
    <w:p w14:paraId="4906EE9B" w14:textId="201026BB" w:rsidR="0055291C" w:rsidRDefault="00193F96">
      <w:pPr>
        <w:spacing w:before="38" w:line="235" w:lineRule="auto"/>
        <w:ind w:left="8905" w:right="2603"/>
        <w:jc w:val="center"/>
        <w:rPr>
          <w:rFonts w:ascii="Arial"/>
          <w:b/>
          <w:i/>
          <w:sz w:val="16"/>
          <w:lang w:eastAsia="ja-JP"/>
        </w:rPr>
      </w:pPr>
      <w:r>
        <w:rPr>
          <w:rFonts w:ascii="ＭＳ ゴシック" w:eastAsia="ＭＳ ゴシック" w:hAnsi="ＭＳ ゴシック" w:cs="ＭＳ ゴシック" w:hint="eastAsia"/>
          <w:b/>
          <w:i/>
          <w:color w:val="7D7D82"/>
          <w:w w:val="95"/>
          <w:sz w:val="16"/>
          <w:lang w:eastAsia="ja-JP"/>
        </w:rPr>
        <w:t>回収物量</w:t>
      </w:r>
    </w:p>
    <w:p w14:paraId="29FC861A" w14:textId="77777777" w:rsidR="0055291C" w:rsidRDefault="0055291C">
      <w:pPr>
        <w:pStyle w:val="a3"/>
        <w:rPr>
          <w:rFonts w:ascii="Arial"/>
          <w:b/>
          <w:i/>
          <w:sz w:val="20"/>
          <w:lang w:eastAsia="ja-JP"/>
        </w:rPr>
      </w:pPr>
    </w:p>
    <w:p w14:paraId="57B16C76" w14:textId="77777777" w:rsidR="0055291C" w:rsidRDefault="0055291C">
      <w:pPr>
        <w:pStyle w:val="a3"/>
        <w:rPr>
          <w:rFonts w:ascii="Arial"/>
          <w:b/>
          <w:i/>
          <w:sz w:val="20"/>
          <w:lang w:eastAsia="ja-JP"/>
        </w:rPr>
      </w:pPr>
    </w:p>
    <w:p w14:paraId="4C9ABC9D" w14:textId="77777777" w:rsidR="0055291C" w:rsidRDefault="0055291C">
      <w:pPr>
        <w:pStyle w:val="a3"/>
        <w:rPr>
          <w:rFonts w:ascii="Arial"/>
          <w:b/>
          <w:i/>
          <w:sz w:val="20"/>
          <w:lang w:eastAsia="ja-JP"/>
        </w:rPr>
      </w:pPr>
    </w:p>
    <w:p w14:paraId="6742B364" w14:textId="77777777" w:rsidR="0055291C" w:rsidRDefault="0055291C">
      <w:pPr>
        <w:pStyle w:val="a3"/>
        <w:spacing w:before="1"/>
        <w:rPr>
          <w:rFonts w:ascii="Arial"/>
          <w:b/>
          <w:i/>
          <w:sz w:val="26"/>
          <w:lang w:eastAsia="ja-JP"/>
        </w:rPr>
      </w:pPr>
    </w:p>
    <w:p w14:paraId="04E8F3CD" w14:textId="77777777" w:rsidR="0055291C" w:rsidRDefault="0055291C">
      <w:pPr>
        <w:rPr>
          <w:rFonts w:ascii="Arial"/>
          <w:sz w:val="26"/>
          <w:lang w:eastAsia="ja-JP"/>
        </w:rPr>
        <w:sectPr w:rsidR="0055291C">
          <w:headerReference w:type="default" r:id="rId241"/>
          <w:pgSz w:w="12240" w:h="15840"/>
          <w:pgMar w:top="0" w:right="0" w:bottom="1040" w:left="0" w:header="0" w:footer="859" w:gutter="0"/>
          <w:cols w:space="720"/>
        </w:sectPr>
      </w:pPr>
    </w:p>
    <w:p w14:paraId="77DDA53C" w14:textId="0D279BD5" w:rsidR="0055291C" w:rsidRDefault="00875973">
      <w:pPr>
        <w:spacing w:before="99"/>
        <w:ind w:left="1146"/>
        <w:rPr>
          <w:rFonts w:ascii="Arial"/>
          <w:b/>
          <w:i/>
          <w:sz w:val="18"/>
          <w:lang w:eastAsia="ja-JP"/>
        </w:rPr>
      </w:pPr>
      <w:r>
        <w:rPr>
          <w:rFonts w:ascii="ＭＳ ゴシック" w:eastAsia="ＭＳ ゴシック" w:hAnsi="ＭＳ ゴシック" w:cs="ＭＳ ゴシック" w:hint="eastAsia"/>
          <w:b/>
          <w:i/>
          <w:color w:val="7F3F98"/>
          <w:w w:val="95"/>
          <w:sz w:val="18"/>
          <w:lang w:eastAsia="ja-JP"/>
        </w:rPr>
        <w:t>リサイクル含有率法</w:t>
      </w:r>
    </w:p>
    <w:p w14:paraId="73819A13" w14:textId="77B66776" w:rsidR="00875973" w:rsidRDefault="00875973" w:rsidP="00875973">
      <w:pPr>
        <w:pStyle w:val="a3"/>
        <w:spacing w:before="2" w:line="312" w:lineRule="auto"/>
        <w:ind w:left="1146" w:firstLineChars="100" w:firstLine="190"/>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リサイクル含有率法は、リサイクル工程での排出と除去を、リサイクル材を使用するライフサイクルに割り当てるものです。リサイクル含有量法は、リサイク</w:t>
      </w:r>
      <w:r>
        <w:rPr>
          <w:lang w:eastAsia="ja-JP"/>
        </w:rPr>
        <w:t xml:space="preserve"> </w:t>
      </w:r>
      <w:r>
        <w:rPr>
          <w:rFonts w:ascii="ＭＳ ゴシック" w:eastAsia="ＭＳ ゴシック" w:hAnsi="ＭＳ ゴシック" w:cs="ＭＳ ゴシック" w:hint="eastAsia"/>
          <w:lang w:eastAsia="ja-JP"/>
        </w:rPr>
        <w:t>ル材料の投入と生産を含むオープンループの状況</w:t>
      </w:r>
      <w:r w:rsidR="00CD3C07">
        <w:rPr>
          <w:rFonts w:asciiTheme="minorEastAsia" w:eastAsiaTheme="minorEastAsia" w:hAnsiTheme="minorEastAsia" w:hint="eastAsia"/>
          <w:vertAlign w:val="superscript"/>
          <w:lang w:eastAsia="ja-JP"/>
        </w:rPr>
        <w:t>10</w:t>
      </w:r>
      <w:r>
        <w:rPr>
          <w:rFonts w:ascii="ＭＳ ゴシック" w:eastAsia="ＭＳ ゴシック" w:hAnsi="ＭＳ ゴシック" w:cs="ＭＳ ゴシック" w:hint="eastAsia"/>
          <w:lang w:eastAsia="ja-JP"/>
        </w:rPr>
        <w:t>で使用することができます。図</w:t>
      </w:r>
      <w:r>
        <w:rPr>
          <w:lang w:eastAsia="ja-JP"/>
        </w:rPr>
        <w:t xml:space="preserve"> 9.6 </w:t>
      </w:r>
      <w:r>
        <w:rPr>
          <w:rFonts w:ascii="ＭＳ ゴシック" w:eastAsia="ＭＳ ゴシック" w:hAnsi="ＭＳ ゴシック" w:cs="ＭＳ ゴシック" w:hint="eastAsia"/>
          <w:lang w:eastAsia="ja-JP"/>
        </w:rPr>
        <w:t>は、リサイクル含有率法</w:t>
      </w:r>
      <w:r w:rsidR="00217FB1">
        <w:rPr>
          <w:rFonts w:asciiTheme="minorEastAsia" w:eastAsiaTheme="minorEastAsia" w:hAnsiTheme="minorEastAsia" w:hint="eastAsia"/>
          <w:vertAlign w:val="superscript"/>
          <w:lang w:eastAsia="ja-JP"/>
        </w:rPr>
        <w:t>11</w:t>
      </w:r>
      <w:r>
        <w:rPr>
          <w:lang w:eastAsia="ja-JP"/>
        </w:rPr>
        <w:t xml:space="preserve"> </w:t>
      </w:r>
      <w:r>
        <w:rPr>
          <w:rFonts w:ascii="ＭＳ ゴシック" w:eastAsia="ＭＳ ゴシック" w:hAnsi="ＭＳ ゴシック" w:cs="ＭＳ ゴシック" w:hint="eastAsia"/>
          <w:lang w:eastAsia="ja-JP"/>
        </w:rPr>
        <w:t>を用いた製品の簡略化した工程表を示したものです。再生材法は、カットオフ法、</w:t>
      </w:r>
      <w:r>
        <w:rPr>
          <w:lang w:eastAsia="ja-JP"/>
        </w:rPr>
        <w:t>100-0</w:t>
      </w:r>
      <w:r>
        <w:rPr>
          <w:rFonts w:ascii="ＭＳ ゴシック" w:eastAsia="ＭＳ ゴシック" w:hAnsi="ＭＳ ゴシック" w:cs="ＭＳ ゴシック" w:hint="eastAsia"/>
          <w:lang w:eastAsia="ja-JP"/>
        </w:rPr>
        <w:t>法とも呼ばれます。</w:t>
      </w:r>
    </w:p>
    <w:p w14:paraId="680E1D1C" w14:textId="7E920657" w:rsidR="0055291C" w:rsidRPr="00875973" w:rsidRDefault="00875973" w:rsidP="00875973">
      <w:pPr>
        <w:pStyle w:val="a3"/>
        <w:spacing w:before="2" w:line="312" w:lineRule="auto"/>
        <w:ind w:left="1146" w:firstLineChars="100" w:firstLine="190"/>
        <w:rPr>
          <w:rFonts w:ascii="ＭＳ ゴシック" w:eastAsia="ＭＳ ゴシック" w:hAnsi="ＭＳ ゴシック" w:cs="ＭＳ ゴシック"/>
          <w:lang w:eastAsia="ja-JP"/>
        </w:rPr>
      </w:pPr>
      <w:r>
        <w:rPr>
          <w:lang w:eastAsia="ja-JP"/>
        </w:rPr>
        <w:t xml:space="preserve"> </w:t>
      </w:r>
      <w:r>
        <w:rPr>
          <w:rFonts w:ascii="ＭＳ ゴシック" w:eastAsia="ＭＳ ゴシック" w:hAnsi="ＭＳ ゴシック" w:cs="ＭＳ ゴシック" w:hint="eastAsia"/>
          <w:lang w:eastAsia="ja-JP"/>
        </w:rPr>
        <w:t>以下では、図</w:t>
      </w:r>
      <w:r>
        <w:rPr>
          <w:lang w:eastAsia="ja-JP"/>
        </w:rPr>
        <w:t xml:space="preserve"> 9.6 </w:t>
      </w:r>
      <w:r>
        <w:rPr>
          <w:rFonts w:ascii="ＭＳ ゴシック" w:eastAsia="ＭＳ ゴシック" w:hAnsi="ＭＳ ゴシック" w:cs="ＭＳ ゴシック" w:hint="eastAsia"/>
          <w:lang w:eastAsia="ja-JP"/>
        </w:rPr>
        <w:t>に示すように、再生材料法による材料入手段階と使用済み段階での計算を説明します。</w:t>
      </w:r>
    </w:p>
    <w:p w14:paraId="007FA174" w14:textId="01550865" w:rsidR="0055291C" w:rsidRDefault="0085251E">
      <w:pPr>
        <w:spacing w:before="148"/>
        <w:ind w:left="1146"/>
        <w:rPr>
          <w:rFonts w:ascii="Arial"/>
          <w:b/>
          <w:sz w:val="18"/>
          <w:lang w:eastAsia="ja-JP"/>
        </w:rPr>
      </w:pPr>
      <w:r>
        <w:rPr>
          <w:rFonts w:ascii="ＭＳ ゴシック" w:eastAsia="ＭＳ ゴシック" w:hAnsi="ＭＳ ゴシック" w:cs="ＭＳ ゴシック" w:hint="eastAsia"/>
          <w:b/>
          <w:color w:val="00ACA1"/>
          <w:sz w:val="18"/>
          <w:lang w:eastAsia="ja-JP"/>
        </w:rPr>
        <w:t>素材入手・前処理段階</w:t>
      </w:r>
    </w:p>
    <w:p w14:paraId="3B61904B" w14:textId="13671B2E" w:rsidR="0055291C" w:rsidRDefault="0085251E" w:rsidP="0085251E">
      <w:pPr>
        <w:pStyle w:val="a3"/>
        <w:spacing w:before="66" w:line="312" w:lineRule="auto"/>
        <w:ind w:left="1146" w:right="58" w:firstLineChars="100" w:firstLine="190"/>
        <w:rPr>
          <w:lang w:eastAsia="ja-JP"/>
        </w:rPr>
      </w:pPr>
      <w:r>
        <w:rPr>
          <w:rFonts w:ascii="ＭＳ ゴシック" w:eastAsia="ＭＳ ゴシック" w:hAnsi="ＭＳ ゴシック" w:cs="ＭＳ ゴシック" w:hint="eastAsia"/>
          <w:lang w:eastAsia="ja-JP"/>
        </w:rPr>
        <w:t>バージン材、リサイクル材の取得と前処理に起因する全ての工程。図</w:t>
      </w:r>
      <w:r>
        <w:rPr>
          <w:lang w:eastAsia="ja-JP"/>
        </w:rPr>
        <w:t xml:space="preserve"> 9.6 </w:t>
      </w:r>
      <w:r>
        <w:rPr>
          <w:rFonts w:ascii="ＭＳ ゴシック" w:eastAsia="ＭＳ ゴシック" w:hAnsi="ＭＳ ゴシック" w:cs="ＭＳ ゴシック" w:hint="eastAsia"/>
          <w:lang w:eastAsia="ja-JP"/>
        </w:rPr>
        <w:t>では、バージン材前処理、バージン材取得、リサイクル材前処理、材料回収設備が含まれます。</w:t>
      </w:r>
    </w:p>
    <w:p w14:paraId="5E140033" w14:textId="77777777" w:rsidR="0085251E" w:rsidRDefault="0085251E">
      <w:pPr>
        <w:pStyle w:val="a3"/>
        <w:spacing w:before="142" w:line="312" w:lineRule="auto"/>
        <w:ind w:left="1146"/>
        <w:rPr>
          <w:rFonts w:ascii="ＭＳ ゴシック" w:eastAsia="ＭＳ ゴシック" w:hAnsi="ＭＳ ゴシック" w:cs="ＭＳ ゴシック"/>
          <w:b/>
          <w:color w:val="00ACA1"/>
          <w:sz w:val="18"/>
          <w:lang w:eastAsia="ja-JP"/>
        </w:rPr>
      </w:pPr>
      <w:r>
        <w:rPr>
          <w:rFonts w:ascii="ＭＳ ゴシック" w:eastAsia="ＭＳ ゴシック" w:hAnsi="ＭＳ ゴシック" w:cs="ＭＳ ゴシック" w:hint="eastAsia"/>
          <w:b/>
          <w:color w:val="00ACA1"/>
          <w:sz w:val="18"/>
          <w:lang w:eastAsia="ja-JP"/>
        </w:rPr>
        <w:t>廃棄段階</w:t>
      </w:r>
    </w:p>
    <w:p w14:paraId="28E96D15" w14:textId="688CAB40" w:rsidR="0055291C" w:rsidRDefault="0085251E" w:rsidP="0085251E">
      <w:pPr>
        <w:pStyle w:val="a3"/>
        <w:spacing w:before="142" w:line="312" w:lineRule="auto"/>
        <w:ind w:left="1146" w:firstLineChars="100" w:firstLine="190"/>
        <w:rPr>
          <w:lang w:eastAsia="ja-JP"/>
        </w:rPr>
      </w:pPr>
      <w:r>
        <w:rPr>
          <w:rFonts w:ascii="ＭＳ ゴシック" w:eastAsia="ＭＳ ゴシック" w:hAnsi="ＭＳ ゴシック" w:cs="ＭＳ ゴシック" w:hint="eastAsia"/>
          <w:lang w:eastAsia="ja-JP"/>
        </w:rPr>
        <w:t>排出される廃棄物の使用済み処理に起因する全ての工程。図</w:t>
      </w:r>
      <w:r>
        <w:rPr>
          <w:lang w:eastAsia="ja-JP"/>
        </w:rPr>
        <w:t>9.6</w:t>
      </w:r>
      <w:r>
        <w:rPr>
          <w:rFonts w:ascii="ＭＳ ゴシック" w:eastAsia="ＭＳ ゴシック" w:hAnsi="ＭＳ ゴシック" w:cs="ＭＳ ゴシック" w:hint="eastAsia"/>
          <w:lang w:eastAsia="ja-JP"/>
        </w:rPr>
        <w:t>では、回収と廃棄物処理を含みます。</w:t>
      </w:r>
    </w:p>
    <w:p w14:paraId="1E0A89C9" w14:textId="77777777" w:rsidR="0055291C" w:rsidRDefault="00F23C61">
      <w:pPr>
        <w:rPr>
          <w:sz w:val="20"/>
          <w:lang w:eastAsia="ja-JP"/>
        </w:rPr>
      </w:pPr>
      <w:r>
        <w:rPr>
          <w:lang w:eastAsia="ja-JP"/>
        </w:rPr>
        <w:br w:type="column"/>
      </w:r>
    </w:p>
    <w:p w14:paraId="5BD4E994" w14:textId="77777777" w:rsidR="0085251E" w:rsidRDefault="0085251E" w:rsidP="0085251E">
      <w:pPr>
        <w:pStyle w:val="a3"/>
        <w:spacing w:before="147" w:line="312" w:lineRule="auto"/>
        <w:ind w:left="405" w:right="1164"/>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リサイクル含有率法では、回収物の排出による帰属工程は含まれません。</w:t>
      </w:r>
    </w:p>
    <w:p w14:paraId="622E2C57" w14:textId="452D2449" w:rsidR="0055291C" w:rsidRDefault="0085251E" w:rsidP="0085251E">
      <w:pPr>
        <w:pStyle w:val="a3"/>
        <w:spacing w:before="147" w:line="312" w:lineRule="auto"/>
        <w:ind w:left="405" w:right="1164" w:firstLineChars="100" w:firstLine="190"/>
        <w:rPr>
          <w:lang w:eastAsia="ja-JP"/>
        </w:rPr>
      </w:pPr>
      <w:r>
        <w:rPr>
          <w:rFonts w:ascii="ＭＳ ゴシック" w:eastAsia="ＭＳ ゴシック" w:hAnsi="ＭＳ ゴシック" w:cs="ＭＳ ゴシック" w:hint="eastAsia"/>
          <w:lang w:eastAsia="ja-JP"/>
        </w:rPr>
        <w:t>この手法にはバージン材置換ファクターは含まれていませんが、図</w:t>
      </w:r>
      <w:r>
        <w:rPr>
          <w:lang w:eastAsia="ja-JP"/>
        </w:rPr>
        <w:t xml:space="preserve"> 9.6 </w:t>
      </w:r>
      <w:r>
        <w:rPr>
          <w:rFonts w:ascii="ＭＳ ゴシック" w:eastAsia="ＭＳ ゴシック" w:hAnsi="ＭＳ ゴシック" w:cs="ＭＳ ゴシック" w:hint="eastAsia"/>
          <w:lang w:eastAsia="ja-JP"/>
        </w:rPr>
        <w:t>は、調査対象製品のGHG算出における、リサイクルによる</w:t>
      </w:r>
      <w:r>
        <w:rPr>
          <w:lang w:eastAsia="ja-JP"/>
        </w:rPr>
        <w:t xml:space="preserve"> 2</w:t>
      </w:r>
      <w:r>
        <w:rPr>
          <w:rFonts w:ascii="ＭＳ ゴシック" w:eastAsia="ＭＳ ゴシック" w:hAnsi="ＭＳ ゴシック" w:cs="ＭＳ ゴシック" w:hint="eastAsia"/>
          <w:lang w:eastAsia="ja-JP"/>
        </w:rPr>
        <w:t>つの潜在的な利点を示しています。</w:t>
      </w:r>
      <w:r w:rsidR="00BB251D">
        <w:rPr>
          <w:rFonts w:ascii="ＭＳ ゴシック" w:eastAsia="ＭＳ ゴシック" w:hAnsi="ＭＳ ゴシック" w:cs="ＭＳ ゴシック" w:hint="eastAsia"/>
          <w:lang w:eastAsia="ja-JP"/>
        </w:rPr>
        <w:t>それは、</w:t>
      </w:r>
      <w:r>
        <w:rPr>
          <w:rFonts w:ascii="ＭＳ ゴシック" w:eastAsia="ＭＳ ゴシック" w:hAnsi="ＭＳ ゴシック" w:cs="ＭＳ ゴシック" w:hint="eastAsia"/>
          <w:lang w:eastAsia="ja-JP"/>
        </w:rPr>
        <w:t>廃棄物処理に入る廃棄物量の削減と上流のバージン材取得量の削減です。廃棄物処理に投入される廃棄物量の削減は、使用済み段階での廃棄物処理に伴う</w:t>
      </w:r>
      <w:r>
        <w:rPr>
          <w:lang w:eastAsia="ja-JP"/>
        </w:rPr>
        <w:t>GHG</w:t>
      </w:r>
      <w:r>
        <w:rPr>
          <w:rFonts w:ascii="ＭＳ ゴシック" w:eastAsia="ＭＳ ゴシック" w:hAnsi="ＭＳ ゴシック" w:cs="ＭＳ ゴシック" w:hint="eastAsia"/>
          <w:lang w:eastAsia="ja-JP"/>
        </w:rPr>
        <w:t>排出量を減らします。上流のバージン材取得量の削減は、リサイクル工程がバージン材取得よりも</w:t>
      </w:r>
      <w:r>
        <w:rPr>
          <w:lang w:eastAsia="ja-JP"/>
        </w:rPr>
        <w:t>GHG</w:t>
      </w:r>
      <w:r>
        <w:rPr>
          <w:rFonts w:ascii="ＭＳ ゴシック" w:eastAsia="ＭＳ ゴシック" w:hAnsi="ＭＳ ゴシック" w:cs="ＭＳ ゴシック" w:hint="eastAsia"/>
          <w:lang w:eastAsia="ja-JP"/>
        </w:rPr>
        <w:t>排出量が少ない場合</w:t>
      </w:r>
      <w:r>
        <w:rPr>
          <w:lang w:eastAsia="ja-JP"/>
        </w:rPr>
        <w:t xml:space="preserve"> </w:t>
      </w:r>
      <w:r>
        <w:rPr>
          <w:rFonts w:ascii="ＭＳ ゴシック" w:eastAsia="ＭＳ ゴシック" w:hAnsi="ＭＳ ゴシック" w:cs="ＭＳ ゴシック" w:hint="eastAsia"/>
          <w:lang w:eastAsia="ja-JP"/>
        </w:rPr>
        <w:t>、材料取得による</w:t>
      </w:r>
      <w:r>
        <w:rPr>
          <w:lang w:eastAsia="ja-JP"/>
        </w:rPr>
        <w:t>GHG</w:t>
      </w:r>
      <w:r>
        <w:rPr>
          <w:rFonts w:ascii="ＭＳ ゴシック" w:eastAsia="ＭＳ ゴシック" w:hAnsi="ＭＳ ゴシック" w:cs="ＭＳ ゴシック" w:hint="eastAsia"/>
          <w:lang w:eastAsia="ja-JP"/>
        </w:rPr>
        <w:t>排出量と除去量を削減することができます。そうでない場合（例えば、リサイクル工程がバージン材投入よりも</w:t>
      </w:r>
      <w:r w:rsidR="00BB251D">
        <w:rPr>
          <w:rFonts w:ascii="ＭＳ ゴシック" w:eastAsia="ＭＳ ゴシック" w:hAnsi="ＭＳ ゴシック" w:cs="ＭＳ ゴシック" w:hint="eastAsia"/>
          <w:lang w:eastAsia="ja-JP"/>
        </w:rPr>
        <w:t>高い</w:t>
      </w:r>
      <w:r>
        <w:rPr>
          <w:lang w:eastAsia="ja-JP"/>
        </w:rPr>
        <w:t>GHG</w:t>
      </w:r>
      <w:r w:rsidR="00BB251D">
        <w:rPr>
          <w:rFonts w:ascii="ＭＳ ゴシック" w:eastAsia="ＭＳ ゴシック" w:hAnsi="ＭＳ ゴシック" w:cs="ＭＳ ゴシック" w:hint="eastAsia"/>
          <w:lang w:eastAsia="ja-JP"/>
        </w:rPr>
        <w:t>排出量</w:t>
      </w:r>
      <w:r>
        <w:rPr>
          <w:rFonts w:ascii="ＭＳ ゴシック" w:eastAsia="ＭＳ ゴシック" w:hAnsi="ＭＳ ゴシック" w:cs="ＭＳ ゴシック" w:hint="eastAsia"/>
          <w:lang w:eastAsia="ja-JP"/>
        </w:rPr>
        <w:t>である）、バージン材を使用した方がリサイクル材を使用した場合よりも総</w:t>
      </w:r>
      <w:r w:rsidR="00BB251D">
        <w:rPr>
          <w:rFonts w:ascii="ＭＳ ゴシック" w:eastAsia="ＭＳ ゴシック" w:hAnsi="ＭＳ ゴシック" w:cs="ＭＳ ゴシック" w:hint="eastAsia"/>
          <w:lang w:eastAsia="ja-JP"/>
        </w:rPr>
        <w:t>排出量</w:t>
      </w:r>
      <w:r>
        <w:rPr>
          <w:rFonts w:ascii="ＭＳ ゴシック" w:eastAsia="ＭＳ ゴシック" w:hAnsi="ＭＳ ゴシック" w:cs="ＭＳ ゴシック" w:hint="eastAsia"/>
          <w:lang w:eastAsia="ja-JP"/>
        </w:rPr>
        <w:t>が低くなる可能性があ</w:t>
      </w:r>
      <w:r w:rsidR="00BB251D">
        <w:rPr>
          <w:rFonts w:ascii="ＭＳ ゴシック" w:eastAsia="ＭＳ ゴシック" w:hAnsi="ＭＳ ゴシック" w:cs="ＭＳ ゴシック" w:hint="eastAsia"/>
          <w:lang w:eastAsia="ja-JP"/>
        </w:rPr>
        <w:t>ります</w:t>
      </w:r>
      <w:r>
        <w:rPr>
          <w:rFonts w:ascii="ＭＳ ゴシック" w:eastAsia="ＭＳ ゴシック" w:hAnsi="ＭＳ ゴシック" w:cs="ＭＳ ゴシック" w:hint="eastAsia"/>
          <w:lang w:eastAsia="ja-JP"/>
        </w:rPr>
        <w:t>。これはある</w:t>
      </w:r>
      <w:r w:rsidR="004453EA">
        <w:rPr>
          <w:rFonts w:ascii="ＭＳ ゴシック" w:eastAsia="ＭＳ ゴシック" w:hAnsi="ＭＳ ゴシック" w:cs="ＭＳ ゴシック" w:hint="eastAsia"/>
          <w:lang w:eastAsia="ja-JP"/>
        </w:rPr>
        <w:t>ひとつの</w:t>
      </w:r>
      <w:r>
        <w:rPr>
          <w:rFonts w:ascii="ＭＳ ゴシック" w:eastAsia="ＭＳ ゴシック" w:hAnsi="ＭＳ ゴシック" w:cs="ＭＳ ゴシック" w:hint="eastAsia"/>
          <w:lang w:eastAsia="ja-JP"/>
        </w:rPr>
        <w:t>影響カテゴリー</w:t>
      </w:r>
      <w:r w:rsidR="00BB251D">
        <w:rPr>
          <w:rFonts w:ascii="ＭＳ ゴシック" w:eastAsia="ＭＳ ゴシック" w:hAnsi="ＭＳ ゴシック" w:cs="ＭＳ ゴシック" w:hint="eastAsia"/>
          <w:lang w:eastAsia="ja-JP"/>
        </w:rPr>
        <w:t>（例えば</w:t>
      </w:r>
      <w:r w:rsidR="00BB251D">
        <w:rPr>
          <w:lang w:eastAsia="ja-JP"/>
        </w:rPr>
        <w:t>GHG</w:t>
      </w:r>
      <w:r w:rsidR="00BB251D">
        <w:rPr>
          <w:rFonts w:ascii="ＭＳ ゴシック" w:eastAsia="ＭＳ ゴシック" w:hAnsi="ＭＳ ゴシック" w:cs="ＭＳ ゴシック" w:hint="eastAsia"/>
          <w:lang w:eastAsia="ja-JP"/>
        </w:rPr>
        <w:t>排出量）</w:t>
      </w:r>
      <w:r>
        <w:rPr>
          <w:rFonts w:ascii="ＭＳ ゴシック" w:eastAsia="ＭＳ ゴシック" w:hAnsi="ＭＳ ゴシック" w:cs="ＭＳ ゴシック" w:hint="eastAsia"/>
          <w:lang w:eastAsia="ja-JP"/>
        </w:rPr>
        <w:t>に焦点を当てることで、企業が</w:t>
      </w:r>
      <w:r w:rsidR="00BB251D">
        <w:rPr>
          <w:rFonts w:ascii="ＭＳ ゴシック" w:eastAsia="ＭＳ ゴシック" w:hAnsi="ＭＳ ゴシック" w:cs="ＭＳ ゴシック" w:hint="eastAsia"/>
          <w:lang w:eastAsia="ja-JP"/>
        </w:rPr>
        <w:t>その</w:t>
      </w:r>
      <w:r w:rsidR="004453EA">
        <w:rPr>
          <w:rFonts w:ascii="ＭＳ ゴシック" w:eastAsia="ＭＳ ゴシック" w:hAnsi="ＭＳ ゴシック" w:cs="ＭＳ ゴシック" w:hint="eastAsia"/>
          <w:lang w:eastAsia="ja-JP"/>
        </w:rPr>
        <w:t>ひとつの</w:t>
      </w:r>
      <w:r>
        <w:rPr>
          <w:rFonts w:ascii="ＭＳ ゴシック" w:eastAsia="ＭＳ ゴシック" w:hAnsi="ＭＳ ゴシック" w:cs="ＭＳ ゴシック" w:hint="eastAsia"/>
          <w:lang w:eastAsia="ja-JP"/>
        </w:rPr>
        <w:t>影響にとって望ましい製品決定を行うようになる場合の一例</w:t>
      </w:r>
      <w:r w:rsidR="00BB251D">
        <w:rPr>
          <w:rFonts w:ascii="ＭＳ ゴシック" w:eastAsia="ＭＳ ゴシック" w:hAnsi="ＭＳ ゴシック" w:cs="ＭＳ ゴシック" w:hint="eastAsia"/>
          <w:lang w:eastAsia="ja-JP"/>
        </w:rPr>
        <w:t>です</w:t>
      </w:r>
      <w:r>
        <w:rPr>
          <w:rFonts w:ascii="ＭＳ ゴシック" w:eastAsia="ＭＳ ゴシック" w:hAnsi="ＭＳ ゴシック" w:cs="ＭＳ ゴシック" w:hint="eastAsia"/>
          <w:lang w:eastAsia="ja-JP"/>
        </w:rPr>
        <w:t>が、別の</w:t>
      </w:r>
      <w:r w:rsidR="00BB251D">
        <w:rPr>
          <w:rFonts w:ascii="ＭＳ ゴシック" w:eastAsia="ＭＳ ゴシック" w:hAnsi="ＭＳ ゴシック" w:cs="ＭＳ ゴシック" w:hint="eastAsia"/>
          <w:lang w:eastAsia="ja-JP"/>
        </w:rPr>
        <w:t>影響</w:t>
      </w:r>
      <w:r>
        <w:rPr>
          <w:rFonts w:ascii="ＭＳ ゴシック" w:eastAsia="ＭＳ ゴシック" w:hAnsi="ＭＳ ゴシック" w:cs="ＭＳ ゴシック" w:hint="eastAsia"/>
          <w:lang w:eastAsia="ja-JP"/>
        </w:rPr>
        <w:t>（例えば、材料の枯渇）には不利にな</w:t>
      </w:r>
      <w:r w:rsidR="00BB251D">
        <w:rPr>
          <w:rFonts w:ascii="ＭＳ ゴシック" w:eastAsia="ＭＳ ゴシック" w:hAnsi="ＭＳ ゴシック" w:cs="ＭＳ ゴシック" w:hint="eastAsia"/>
          <w:lang w:eastAsia="ja-JP"/>
        </w:rPr>
        <w:t>ります</w:t>
      </w:r>
      <w:r>
        <w:rPr>
          <w:rFonts w:ascii="ＭＳ ゴシック" w:eastAsia="ＭＳ ゴシック" w:hAnsi="ＭＳ ゴシック" w:cs="ＭＳ ゴシック" w:hint="eastAsia"/>
          <w:lang w:eastAsia="ja-JP"/>
        </w:rPr>
        <w:t>。企業は、第</w:t>
      </w:r>
      <w:r>
        <w:rPr>
          <w:lang w:eastAsia="ja-JP"/>
        </w:rPr>
        <w:t>14</w:t>
      </w:r>
      <w:r>
        <w:rPr>
          <w:rFonts w:ascii="ＭＳ ゴシック" w:eastAsia="ＭＳ ゴシック" w:hAnsi="ＭＳ ゴシック" w:cs="ＭＳ ゴシック" w:hint="eastAsia"/>
          <w:lang w:eastAsia="ja-JP"/>
        </w:rPr>
        <w:t>章で述べるように、削減</w:t>
      </w:r>
      <w:r w:rsidR="00BB251D">
        <w:rPr>
          <w:rFonts w:ascii="ＭＳ ゴシック" w:eastAsia="ＭＳ ゴシック" w:hAnsi="ＭＳ ゴシック" w:cs="ＭＳ ゴシック" w:hint="eastAsia"/>
          <w:lang w:eastAsia="ja-JP"/>
        </w:rPr>
        <w:t>量</w:t>
      </w:r>
      <w:r>
        <w:rPr>
          <w:rFonts w:ascii="ＭＳ ゴシック" w:eastAsia="ＭＳ ゴシック" w:hAnsi="ＭＳ ゴシック" w:cs="ＭＳ ゴシック" w:hint="eastAsia"/>
          <w:lang w:eastAsia="ja-JP"/>
        </w:rPr>
        <w:t>を決定する前に、適用されるすべての環境</w:t>
      </w:r>
      <w:r w:rsidR="00BB251D">
        <w:rPr>
          <w:rFonts w:ascii="ＭＳ ゴシック" w:eastAsia="ＭＳ ゴシック" w:hAnsi="ＭＳ ゴシック" w:cs="ＭＳ ゴシック" w:hint="eastAsia"/>
          <w:lang w:eastAsia="ja-JP"/>
        </w:rPr>
        <w:t>指標を考慮することが推奨されています。</w:t>
      </w:r>
    </w:p>
    <w:p w14:paraId="20680283" w14:textId="7A26017D" w:rsidR="00BB251D" w:rsidRPr="00BB251D" w:rsidRDefault="00BB251D">
      <w:pPr>
        <w:spacing w:line="312" w:lineRule="auto"/>
        <w:rPr>
          <w:rFonts w:ascii="ＭＳ ゴシック" w:eastAsia="ＭＳ ゴシック" w:hAnsi="ＭＳ ゴシック" w:cs="ＭＳ ゴシック"/>
          <w:lang w:eastAsia="ja-JP"/>
        </w:rPr>
        <w:sectPr w:rsidR="00BB251D" w:rsidRPr="00BB251D">
          <w:type w:val="continuous"/>
          <w:pgSz w:w="12240" w:h="15840"/>
          <w:pgMar w:top="740" w:right="0" w:bottom="280" w:left="0" w:header="0" w:footer="859" w:gutter="0"/>
          <w:cols w:num="2" w:space="720" w:equalWidth="0">
            <w:col w:w="5829" w:space="40"/>
            <w:col w:w="6371"/>
          </w:cols>
        </w:sectPr>
      </w:pPr>
    </w:p>
    <w:p w14:paraId="51352D90" w14:textId="77777777" w:rsidR="0055291C" w:rsidRDefault="0055291C">
      <w:pPr>
        <w:pStyle w:val="a3"/>
        <w:rPr>
          <w:sz w:val="20"/>
          <w:lang w:eastAsia="ja-JP"/>
        </w:rPr>
      </w:pPr>
    </w:p>
    <w:p w14:paraId="0021BC37" w14:textId="77777777" w:rsidR="0055291C" w:rsidRDefault="0055291C">
      <w:pPr>
        <w:pStyle w:val="a3"/>
        <w:rPr>
          <w:sz w:val="20"/>
          <w:lang w:eastAsia="ja-JP"/>
        </w:rPr>
      </w:pPr>
    </w:p>
    <w:p w14:paraId="293E47B9" w14:textId="77777777" w:rsidR="0055291C" w:rsidRDefault="0055291C">
      <w:pPr>
        <w:pStyle w:val="a3"/>
        <w:rPr>
          <w:sz w:val="20"/>
          <w:lang w:eastAsia="ja-JP"/>
        </w:rPr>
      </w:pPr>
    </w:p>
    <w:p w14:paraId="55525175" w14:textId="77777777" w:rsidR="0055291C" w:rsidRDefault="0055291C">
      <w:pPr>
        <w:pStyle w:val="a3"/>
        <w:rPr>
          <w:sz w:val="20"/>
          <w:lang w:eastAsia="ja-JP"/>
        </w:rPr>
      </w:pPr>
    </w:p>
    <w:p w14:paraId="520BE825" w14:textId="77777777" w:rsidR="0055291C" w:rsidRDefault="0055291C">
      <w:pPr>
        <w:rPr>
          <w:sz w:val="20"/>
          <w:lang w:eastAsia="ja-JP"/>
        </w:rPr>
        <w:sectPr w:rsidR="0055291C">
          <w:headerReference w:type="even" r:id="rId242"/>
          <w:footerReference w:type="even" r:id="rId243"/>
          <w:footerReference w:type="default" r:id="rId244"/>
          <w:pgSz w:w="12240" w:h="15840"/>
          <w:pgMar w:top="620" w:right="0" w:bottom="1040" w:left="0" w:header="0" w:footer="859" w:gutter="0"/>
          <w:pgNumType w:start="74"/>
          <w:cols w:space="720"/>
        </w:sectPr>
      </w:pPr>
    </w:p>
    <w:p w14:paraId="2DD5A9D6" w14:textId="77777777" w:rsidR="0055291C" w:rsidRDefault="0055291C">
      <w:pPr>
        <w:pStyle w:val="a3"/>
        <w:spacing w:before="7"/>
        <w:rPr>
          <w:sz w:val="21"/>
          <w:lang w:eastAsia="ja-JP"/>
        </w:rPr>
      </w:pPr>
    </w:p>
    <w:p w14:paraId="78E13AC6" w14:textId="0E39150D" w:rsidR="0055291C" w:rsidRDefault="00DA63CF">
      <w:pPr>
        <w:pStyle w:val="7"/>
        <w:numPr>
          <w:ilvl w:val="2"/>
          <w:numId w:val="41"/>
        </w:numPr>
        <w:tabs>
          <w:tab w:val="left" w:pos="1814"/>
          <w:tab w:val="left" w:pos="1815"/>
        </w:tabs>
        <w:spacing w:before="1" w:line="292" w:lineRule="auto"/>
        <w:ind w:left="1814" w:right="1170"/>
        <w:jc w:val="left"/>
        <w:rPr>
          <w:lang w:eastAsia="ja-JP"/>
        </w:rPr>
      </w:pPr>
      <w:r>
        <w:rPr>
          <w:rFonts w:ascii="ＭＳ 明朝" w:eastAsia="ＭＳ 明朝" w:hAnsi="ＭＳ 明朝" w:cs="ＭＳ 明朝" w:hint="eastAsia"/>
          <w:color w:val="00B8B1"/>
          <w:w w:val="95"/>
          <w:lang w:eastAsia="ja-JP"/>
        </w:rPr>
        <w:t>クローズドループ近似法とリサイクル含有率法の選択</w:t>
      </w:r>
    </w:p>
    <w:p w14:paraId="455B74C1" w14:textId="711C8A08" w:rsidR="0055291C" w:rsidRDefault="00DA63CF" w:rsidP="007147FB">
      <w:pPr>
        <w:pStyle w:val="a3"/>
        <w:spacing w:before="142" w:line="312" w:lineRule="auto"/>
        <w:ind w:left="1094" w:right="248" w:firstLineChars="100" w:firstLine="190"/>
        <w:rPr>
          <w:lang w:eastAsia="ja-JP"/>
        </w:rPr>
      </w:pPr>
      <w:r>
        <w:rPr>
          <w:rFonts w:ascii="ＭＳ ゴシック" w:eastAsia="ＭＳ ゴシック" w:hAnsi="ＭＳ ゴシック" w:cs="ＭＳ ゴシック" w:hint="eastAsia"/>
          <w:lang w:eastAsia="ja-JP"/>
        </w:rPr>
        <w:t>クローズドループ近似法とリサイクル含有率法の両方が調査対象製品に等しく適用できる場合、以下のガイダンスは、特定の状況においてどちらの方法が最も適切であるかについての洞察を提供するものです。</w:t>
      </w:r>
      <w:r>
        <w:rPr>
          <w:lang w:eastAsia="ja-JP"/>
        </w:rPr>
        <w:t xml:space="preserve"> </w:t>
      </w:r>
      <w:r>
        <w:rPr>
          <w:rFonts w:ascii="ＭＳ ゴシック" w:eastAsia="ＭＳ ゴシック" w:hAnsi="ＭＳ ゴシック" w:cs="ＭＳ ゴシック" w:hint="eastAsia"/>
          <w:lang w:eastAsia="ja-JP"/>
        </w:rPr>
        <w:t>リサイクル含有率法は、以下のような場合に使用します。</w:t>
      </w:r>
    </w:p>
    <w:p w14:paraId="62DBF166" w14:textId="6CEAB4F3" w:rsidR="009562D2" w:rsidRPr="009562D2" w:rsidRDefault="00DA63CF">
      <w:pPr>
        <w:pStyle w:val="a5"/>
        <w:numPr>
          <w:ilvl w:val="1"/>
          <w:numId w:val="43"/>
        </w:numPr>
        <w:tabs>
          <w:tab w:val="left" w:pos="1355"/>
        </w:tabs>
        <w:spacing w:line="309" w:lineRule="auto"/>
        <w:ind w:right="79"/>
        <w:rPr>
          <w:sz w:val="19"/>
          <w:szCs w:val="19"/>
          <w:lang w:eastAsia="ja-JP"/>
        </w:rPr>
      </w:pPr>
      <w:r w:rsidRPr="009562D2">
        <w:rPr>
          <w:rFonts w:ascii="ＭＳ ゴシック" w:eastAsia="ＭＳ ゴシック" w:hAnsi="ＭＳ ゴシック" w:cs="ＭＳ ゴシック" w:hint="eastAsia"/>
          <w:sz w:val="19"/>
          <w:szCs w:val="19"/>
          <w:lang w:eastAsia="ja-JP"/>
        </w:rPr>
        <w:t>製品にリサイクル原料が含まれているが、下流でリサイクルが行われていない場合</w:t>
      </w:r>
    </w:p>
    <w:p w14:paraId="73ED895F" w14:textId="6698B1D8" w:rsidR="009562D2" w:rsidRPr="009562D2" w:rsidRDefault="00DA63CF">
      <w:pPr>
        <w:pStyle w:val="a5"/>
        <w:numPr>
          <w:ilvl w:val="1"/>
          <w:numId w:val="43"/>
        </w:numPr>
        <w:tabs>
          <w:tab w:val="left" w:pos="1355"/>
        </w:tabs>
        <w:spacing w:line="309" w:lineRule="auto"/>
        <w:ind w:right="79"/>
        <w:rPr>
          <w:sz w:val="19"/>
          <w:szCs w:val="19"/>
          <w:lang w:eastAsia="ja-JP"/>
        </w:rPr>
      </w:pPr>
      <w:r w:rsidRPr="009562D2">
        <w:rPr>
          <w:rFonts w:ascii="ＭＳ ゴシック" w:eastAsia="ＭＳ ゴシック" w:hAnsi="ＭＳ ゴシック" w:cs="ＭＳ ゴシック" w:hint="eastAsia"/>
          <w:sz w:val="19"/>
          <w:szCs w:val="19"/>
          <w:lang w:eastAsia="ja-JP"/>
        </w:rPr>
        <w:t>リサイクル材の市場が飽和している場合（例：回収された材料が全てリサイクル材として使用されるわけではない、供給が需要を上回っている）</w:t>
      </w:r>
      <w:r w:rsidR="009562D2" w:rsidRPr="009562D2">
        <w:rPr>
          <w:rFonts w:ascii="ＭＳ ゴシック" w:eastAsia="ＭＳ ゴシック" w:hAnsi="ＭＳ ゴシック" w:cs="ＭＳ ゴシック" w:hint="eastAsia"/>
          <w:sz w:val="19"/>
          <w:szCs w:val="19"/>
          <w:lang w:eastAsia="ja-JP"/>
        </w:rPr>
        <w:t>。</w:t>
      </w:r>
      <w:r w:rsidRPr="009562D2">
        <w:rPr>
          <w:rFonts w:ascii="ＭＳ ゴシック" w:eastAsia="ＭＳ ゴシック" w:hAnsi="ＭＳ ゴシック" w:cs="ＭＳ ゴシック" w:hint="eastAsia"/>
          <w:sz w:val="19"/>
          <w:szCs w:val="19"/>
          <w:lang w:eastAsia="ja-JP"/>
        </w:rPr>
        <w:t>したがって、リサイクル材の創出がバージン材の採取を代替しない可能性がある</w:t>
      </w:r>
    </w:p>
    <w:p w14:paraId="19CE58E7" w14:textId="0DD271EA" w:rsidR="009562D2" w:rsidRPr="009562D2" w:rsidRDefault="00DA63CF">
      <w:pPr>
        <w:pStyle w:val="a5"/>
        <w:numPr>
          <w:ilvl w:val="1"/>
          <w:numId w:val="43"/>
        </w:numPr>
        <w:tabs>
          <w:tab w:val="left" w:pos="1355"/>
        </w:tabs>
        <w:spacing w:line="309" w:lineRule="auto"/>
        <w:ind w:right="79"/>
        <w:rPr>
          <w:sz w:val="19"/>
          <w:szCs w:val="19"/>
          <w:lang w:eastAsia="ja-JP"/>
        </w:rPr>
      </w:pPr>
      <w:r w:rsidRPr="009562D2">
        <w:rPr>
          <w:rFonts w:ascii="ＭＳ ゴシック" w:eastAsia="ＭＳ ゴシック" w:hAnsi="ＭＳ ゴシック" w:cs="ＭＳ ゴシック" w:hint="eastAsia"/>
          <w:sz w:val="19"/>
          <w:szCs w:val="19"/>
          <w:lang w:eastAsia="ja-JP"/>
        </w:rPr>
        <w:t>製品に含まれる再生材の含有率が、企業の活動のみによって直接的に影響を受けるため、再生材の投入量を調達するために企業がコントロールできる場合</w:t>
      </w:r>
      <w:r w:rsidRPr="009562D2">
        <w:rPr>
          <w:sz w:val="19"/>
          <w:szCs w:val="19"/>
          <w:lang w:eastAsia="ja-JP"/>
        </w:rPr>
        <w:t xml:space="preserve"> </w:t>
      </w:r>
      <w:r w:rsidRPr="009562D2">
        <w:rPr>
          <w:rFonts w:ascii="ＭＳ ゴシック" w:eastAsia="ＭＳ ゴシック" w:hAnsi="ＭＳ ゴシック" w:cs="ＭＳ ゴシック" w:hint="eastAsia"/>
          <w:sz w:val="19"/>
          <w:szCs w:val="19"/>
          <w:lang w:eastAsia="ja-JP"/>
        </w:rPr>
        <w:t>（削減メカニズムとして利用できる可能性がある）</w:t>
      </w:r>
      <w:r w:rsidRPr="009562D2">
        <w:rPr>
          <w:sz w:val="19"/>
          <w:szCs w:val="19"/>
          <w:lang w:eastAsia="ja-JP"/>
        </w:rPr>
        <w:t xml:space="preserve"> </w:t>
      </w:r>
      <w:r w:rsidRPr="009562D2">
        <w:rPr>
          <w:rFonts w:ascii="ＭＳ ゴシック" w:eastAsia="ＭＳ ゴシック" w:hAnsi="ＭＳ ゴシック" w:cs="ＭＳ ゴシック" w:hint="eastAsia"/>
          <w:sz w:val="19"/>
          <w:szCs w:val="19"/>
          <w:lang w:eastAsia="ja-JP"/>
        </w:rPr>
        <w:t>。</w:t>
      </w:r>
    </w:p>
    <w:p w14:paraId="460CB16C" w14:textId="094A839A" w:rsidR="0055291C" w:rsidRPr="009562D2" w:rsidRDefault="00DA63CF">
      <w:pPr>
        <w:pStyle w:val="a5"/>
        <w:numPr>
          <w:ilvl w:val="1"/>
          <w:numId w:val="43"/>
        </w:numPr>
        <w:tabs>
          <w:tab w:val="left" w:pos="1355"/>
        </w:tabs>
        <w:spacing w:line="309" w:lineRule="auto"/>
        <w:ind w:right="79"/>
        <w:rPr>
          <w:sz w:val="19"/>
          <w:szCs w:val="19"/>
          <w:lang w:eastAsia="ja-JP"/>
        </w:rPr>
      </w:pPr>
      <w:r w:rsidRPr="009562D2">
        <w:rPr>
          <w:rFonts w:ascii="ＭＳ ゴシック" w:eastAsia="ＭＳ ゴシック" w:hAnsi="ＭＳ ゴシック" w:cs="ＭＳ ゴシック" w:hint="eastAsia"/>
          <w:sz w:val="19"/>
          <w:szCs w:val="19"/>
          <w:lang w:eastAsia="ja-JP"/>
        </w:rPr>
        <w:t>製品の使用段階の期間が長い、または不確実性が高いため、耐用年数終了時のリサイクル量も不確実性が高</w:t>
      </w:r>
      <w:r w:rsidR="009562D2" w:rsidRPr="009562D2">
        <w:rPr>
          <w:rFonts w:ascii="ＭＳ ゴシック" w:eastAsia="ＭＳ ゴシック" w:hAnsi="ＭＳ ゴシック" w:cs="ＭＳ ゴシック" w:hint="eastAsia"/>
          <w:sz w:val="19"/>
          <w:szCs w:val="19"/>
          <w:lang w:eastAsia="ja-JP"/>
        </w:rPr>
        <w:t>いとき</w:t>
      </w:r>
    </w:p>
    <w:p w14:paraId="6FFF4E47" w14:textId="33256B52" w:rsidR="0055291C" w:rsidRDefault="009562D2">
      <w:pPr>
        <w:pStyle w:val="a3"/>
        <w:spacing w:before="123" w:line="312" w:lineRule="auto"/>
        <w:ind w:left="1094" w:right="34"/>
        <w:rPr>
          <w:lang w:eastAsia="ja-JP"/>
        </w:rPr>
      </w:pPr>
      <w:r>
        <w:rPr>
          <w:rFonts w:ascii="ＭＳ ゴシック" w:eastAsia="ＭＳ ゴシック" w:hAnsi="ＭＳ ゴシック" w:cs="ＭＳ ゴシック" w:hint="eastAsia"/>
          <w:lang w:eastAsia="ja-JP"/>
        </w:rPr>
        <w:t>クローズドループ近似法は、以下のような場合に使用します。</w:t>
      </w:r>
    </w:p>
    <w:p w14:paraId="58FAE2C6" w14:textId="77777777" w:rsidR="009562D2" w:rsidRPr="009562D2" w:rsidRDefault="009562D2">
      <w:pPr>
        <w:pStyle w:val="a5"/>
        <w:numPr>
          <w:ilvl w:val="1"/>
          <w:numId w:val="43"/>
        </w:numPr>
        <w:tabs>
          <w:tab w:val="left" w:pos="1355"/>
        </w:tabs>
        <w:spacing w:line="304" w:lineRule="auto"/>
        <w:ind w:right="349"/>
        <w:rPr>
          <w:sz w:val="19"/>
          <w:szCs w:val="19"/>
          <w:lang w:eastAsia="ja-JP"/>
        </w:rPr>
      </w:pPr>
      <w:r w:rsidRPr="009562D2">
        <w:rPr>
          <w:rFonts w:ascii="ＭＳ ゴシック" w:eastAsia="ＭＳ ゴシック" w:hAnsi="ＭＳ ゴシック" w:cs="ＭＳ ゴシック" w:hint="eastAsia"/>
          <w:sz w:val="19"/>
          <w:szCs w:val="19"/>
          <w:lang w:eastAsia="ja-JP"/>
        </w:rPr>
        <w:t>再生材が市場でバージン材と区別がつかないため、</w:t>
      </w:r>
      <w:r w:rsidRPr="009562D2">
        <w:rPr>
          <w:sz w:val="19"/>
          <w:szCs w:val="19"/>
          <w:lang w:eastAsia="ja-JP"/>
        </w:rPr>
        <w:t xml:space="preserve"> </w:t>
      </w:r>
      <w:r w:rsidRPr="009562D2">
        <w:rPr>
          <w:rFonts w:ascii="ＭＳ ゴシック" w:eastAsia="ＭＳ ゴシック" w:hAnsi="ＭＳ ゴシック" w:cs="ＭＳ ゴシック" w:hint="eastAsia"/>
          <w:sz w:val="19"/>
          <w:szCs w:val="19"/>
          <w:lang w:eastAsia="ja-JP"/>
        </w:rPr>
        <w:t>製品の再生材含有率が不明な場合</w:t>
      </w:r>
      <w:r w:rsidRPr="009562D2">
        <w:rPr>
          <w:sz w:val="19"/>
          <w:szCs w:val="19"/>
          <w:lang w:eastAsia="ja-JP"/>
        </w:rPr>
        <w:t xml:space="preserve"> </w:t>
      </w:r>
    </w:p>
    <w:p w14:paraId="47718B71" w14:textId="77777777" w:rsidR="009562D2" w:rsidRPr="009562D2" w:rsidRDefault="009562D2">
      <w:pPr>
        <w:pStyle w:val="a5"/>
        <w:numPr>
          <w:ilvl w:val="1"/>
          <w:numId w:val="43"/>
        </w:numPr>
        <w:tabs>
          <w:tab w:val="left" w:pos="1355"/>
        </w:tabs>
        <w:spacing w:line="304" w:lineRule="auto"/>
        <w:ind w:right="349"/>
        <w:rPr>
          <w:sz w:val="19"/>
          <w:szCs w:val="19"/>
          <w:lang w:eastAsia="ja-JP"/>
        </w:rPr>
      </w:pPr>
      <w:r w:rsidRPr="009562D2">
        <w:rPr>
          <w:rFonts w:ascii="ＭＳ ゴシック" w:eastAsia="ＭＳ ゴシック" w:hAnsi="ＭＳ ゴシック" w:cs="ＭＳ ゴシック" w:hint="eastAsia"/>
          <w:sz w:val="19"/>
          <w:szCs w:val="19"/>
          <w:lang w:eastAsia="ja-JP"/>
        </w:rPr>
        <w:t>再生材の市場が飽和していない（例：回収した材料がすべて再生材として使用され、需要が供給を上回っている）ため、より多くの再生材を作り出すことが再生材の使用量を増加させると思われる場合</w:t>
      </w:r>
      <w:r w:rsidRPr="009562D2">
        <w:rPr>
          <w:sz w:val="19"/>
          <w:szCs w:val="19"/>
          <w:lang w:eastAsia="ja-JP"/>
        </w:rPr>
        <w:t xml:space="preserve"> </w:t>
      </w:r>
    </w:p>
    <w:p w14:paraId="0016ECA1" w14:textId="2D8D90EC" w:rsidR="0055291C" w:rsidRPr="009562D2" w:rsidRDefault="009562D2">
      <w:pPr>
        <w:pStyle w:val="a5"/>
        <w:numPr>
          <w:ilvl w:val="1"/>
          <w:numId w:val="43"/>
        </w:numPr>
        <w:tabs>
          <w:tab w:val="left" w:pos="1355"/>
        </w:tabs>
        <w:spacing w:line="304" w:lineRule="auto"/>
        <w:ind w:right="349"/>
        <w:rPr>
          <w:sz w:val="19"/>
          <w:szCs w:val="19"/>
          <w:lang w:eastAsia="ja-JP"/>
        </w:rPr>
      </w:pPr>
      <w:r w:rsidRPr="009562D2">
        <w:rPr>
          <w:rFonts w:ascii="ＭＳ ゴシック" w:eastAsia="ＭＳ ゴシック" w:hAnsi="ＭＳ ゴシック" w:cs="ＭＳ ゴシック" w:hint="eastAsia"/>
          <w:sz w:val="19"/>
          <w:szCs w:val="19"/>
          <w:lang w:eastAsia="ja-JP"/>
        </w:rPr>
        <w:t>製品の使用ステージの期間が短い、またはよく知られている場合</w:t>
      </w:r>
    </w:p>
    <w:p w14:paraId="0A808E9E" w14:textId="77777777" w:rsidR="0055291C" w:rsidRDefault="00F23C61">
      <w:pPr>
        <w:spacing w:before="9"/>
        <w:rPr>
          <w:lang w:eastAsia="ja-JP"/>
        </w:rPr>
      </w:pPr>
      <w:r>
        <w:rPr>
          <w:lang w:eastAsia="ja-JP"/>
        </w:rPr>
        <w:br w:type="column"/>
      </w:r>
    </w:p>
    <w:p w14:paraId="7E6C4034" w14:textId="09B9998C" w:rsidR="0055291C" w:rsidRDefault="009562D2" w:rsidP="00666613">
      <w:pPr>
        <w:pStyle w:val="a3"/>
        <w:spacing w:line="312" w:lineRule="auto"/>
        <w:ind w:left="291" w:right="753" w:firstLineChars="100" w:firstLine="190"/>
        <w:rPr>
          <w:lang w:eastAsia="ja-JP"/>
        </w:rPr>
      </w:pPr>
      <w:r>
        <w:rPr>
          <w:rFonts w:ascii="ＭＳ ゴシック" w:eastAsia="ＭＳ ゴシック" w:hAnsi="ＭＳ ゴシック" w:cs="ＭＳ ゴシック" w:hint="eastAsia"/>
          <w:lang w:eastAsia="ja-JP"/>
        </w:rPr>
        <w:t>あるリサイクル材料の投入・排出に対して、どちらの方法も適切でないと企業が感じる場合もあるでしょう。</w:t>
      </w:r>
      <w:r w:rsidR="00FB5424" w:rsidRPr="00FB5424">
        <w:rPr>
          <w:rFonts w:ascii="ＭＳ ゴシック" w:eastAsia="ＭＳ ゴシック" w:hAnsi="ＭＳ ゴシック" w:cs="ＭＳ ゴシック" w:hint="eastAsia"/>
          <w:lang w:eastAsia="ja-JP"/>
        </w:rPr>
        <w:t>このような場合、使用するメソッドは要求事項のセクションで示された仕様に従い、利用可能なセクターガイダンス、製品規則、技術報告書、雑誌記事、またはその他の規格から参照する必要があります。</w:t>
      </w:r>
      <w:r>
        <w:rPr>
          <w:rFonts w:ascii="ＭＳ ゴシック" w:eastAsia="ＭＳ ゴシック" w:hAnsi="ＭＳ ゴシック" w:cs="ＭＳ ゴシック" w:hint="eastAsia"/>
          <w:lang w:eastAsia="ja-JP"/>
        </w:rPr>
        <w:t>例えば、紙製品を扱う企業は、紙製品中のセルロース系繊維のリサイ</w:t>
      </w:r>
      <w:r>
        <w:rPr>
          <w:lang w:eastAsia="ja-JP"/>
        </w:rPr>
        <w:t xml:space="preserve"> </w:t>
      </w:r>
      <w:r>
        <w:rPr>
          <w:rFonts w:ascii="ＭＳ ゴシック" w:eastAsia="ＭＳ ゴシック" w:hAnsi="ＭＳ ゴシック" w:cs="ＭＳ ゴシック" w:hint="eastAsia"/>
          <w:lang w:eastAsia="ja-JP"/>
        </w:rPr>
        <w:t>クルのために、米国森林製紙協会が推奨する「その後の使用回数</w:t>
      </w:r>
      <w:r w:rsidR="00666613">
        <w:rPr>
          <w:rFonts w:ascii="ＭＳ ゴシック" w:eastAsia="ＭＳ ゴシック" w:hAnsi="ＭＳ ゴシック" w:cs="ＭＳ ゴシック" w:hint="eastAsia"/>
          <w:lang w:eastAsia="ja-JP"/>
        </w:rPr>
        <w:t>(</w:t>
      </w:r>
      <w:r w:rsidR="00666613">
        <w:rPr>
          <w:lang w:eastAsia="ja-JP"/>
        </w:rPr>
        <w:t>number of subsequent uses</w:t>
      </w:r>
      <w:r w:rsidR="00666613">
        <w:rPr>
          <w:rFonts w:ascii="ＭＳ ゴシック" w:eastAsia="ＭＳ ゴシック" w:hAnsi="ＭＳ ゴシック" w:cs="ＭＳ ゴシック"/>
          <w:lang w:eastAsia="ja-JP"/>
        </w:rPr>
        <w:t>)</w:t>
      </w:r>
      <w:r>
        <w:rPr>
          <w:rFonts w:ascii="ＭＳ ゴシック" w:eastAsia="ＭＳ ゴシック" w:hAnsi="ＭＳ ゴシック" w:cs="ＭＳ ゴシック" w:hint="eastAsia"/>
          <w:lang w:eastAsia="ja-JP"/>
        </w:rPr>
        <w:t>」方式を使用したいと思うかもしれません</w:t>
      </w:r>
      <w:r w:rsidR="00217FB1">
        <w:rPr>
          <w:rFonts w:ascii="ＭＳ ゴシック" w:eastAsia="ＭＳ ゴシック" w:hAnsi="ＭＳ ゴシック" w:cs="ＭＳ ゴシック" w:hint="eastAsia"/>
          <w:vertAlign w:val="superscript"/>
          <w:lang w:eastAsia="ja-JP"/>
        </w:rPr>
        <w:t>12</w:t>
      </w:r>
      <w:r>
        <w:rPr>
          <w:rFonts w:ascii="ＭＳ ゴシック" w:eastAsia="ＭＳ ゴシック" w:hAnsi="ＭＳ ゴシック" w:cs="ＭＳ ゴシック" w:hint="eastAsia"/>
          <w:lang w:eastAsia="ja-JP"/>
        </w:rPr>
        <w:t>。別の会社は、自社製品の</w:t>
      </w:r>
      <w:r w:rsidR="00666613">
        <w:rPr>
          <w:rFonts w:ascii="ＭＳ ゴシック" w:eastAsia="ＭＳ ゴシック" w:hAnsi="ＭＳ ゴシック" w:cs="ＭＳ ゴシック" w:hint="eastAsia"/>
          <w:lang w:eastAsia="ja-JP"/>
        </w:rPr>
        <w:t>算出</w:t>
      </w:r>
      <w:r>
        <w:rPr>
          <w:rFonts w:ascii="ＭＳ ゴシック" w:eastAsia="ＭＳ ゴシック" w:hAnsi="ＭＳ ゴシック" w:cs="ＭＳ ゴシック" w:hint="eastAsia"/>
          <w:lang w:eastAsia="ja-JP"/>
        </w:rPr>
        <w:t>には経済的配分がより適切であると考え、</w:t>
      </w:r>
      <w:r>
        <w:rPr>
          <w:lang w:eastAsia="ja-JP"/>
        </w:rPr>
        <w:t>ISO 14049:2000</w:t>
      </w:r>
      <w:r>
        <w:rPr>
          <w:rFonts w:ascii="ＭＳ ゴシック" w:eastAsia="ＭＳ ゴシック" w:hAnsi="ＭＳ ゴシック" w:cs="ＭＳ ゴシック" w:hint="eastAsia"/>
          <w:lang w:eastAsia="ja-JP"/>
        </w:rPr>
        <w:t>を参照す</w:t>
      </w:r>
      <w:r w:rsidR="00666613">
        <w:rPr>
          <w:rFonts w:ascii="ＭＳ ゴシック" w:eastAsia="ＭＳ ゴシック" w:hAnsi="ＭＳ ゴシック" w:cs="ＭＳ ゴシック" w:hint="eastAsia"/>
          <w:lang w:eastAsia="ja-JP"/>
        </w:rPr>
        <w:t>る</w:t>
      </w:r>
      <w:r>
        <w:rPr>
          <w:rFonts w:ascii="ＭＳ ゴシック" w:eastAsia="ＭＳ ゴシック" w:hAnsi="ＭＳ ゴシック" w:cs="ＭＳ ゴシック" w:hint="eastAsia"/>
          <w:lang w:eastAsia="ja-JP"/>
        </w:rPr>
        <w:t>かもしれ</w:t>
      </w:r>
      <w:r w:rsidR="00666613">
        <w:rPr>
          <w:rFonts w:ascii="ＭＳ ゴシック" w:eastAsia="ＭＳ ゴシック" w:hAnsi="ＭＳ ゴシック" w:cs="ＭＳ ゴシック" w:hint="eastAsia"/>
          <w:lang w:eastAsia="ja-JP"/>
        </w:rPr>
        <w:t>ません</w:t>
      </w:r>
      <w:r w:rsidR="00666613" w:rsidRPr="00666613">
        <w:rPr>
          <w:rFonts w:ascii="ＭＳ ゴシック" w:eastAsia="ＭＳ ゴシック" w:hAnsi="ＭＳ ゴシック" w:cs="ＭＳ ゴシック" w:hint="eastAsia"/>
          <w:vertAlign w:val="superscript"/>
          <w:lang w:eastAsia="ja-JP"/>
        </w:rPr>
        <w:t>13</w:t>
      </w:r>
      <w:r>
        <w:rPr>
          <w:rFonts w:ascii="ＭＳ ゴシック" w:eastAsia="ＭＳ ゴシック" w:hAnsi="ＭＳ ゴシック" w:cs="ＭＳ ゴシック" w:hint="eastAsia"/>
          <w:lang w:eastAsia="ja-JP"/>
        </w:rPr>
        <w:t>。会社が公表されていない方法を使用している場合、その方法の詳細を報告書</w:t>
      </w:r>
      <w:r w:rsidR="00666613">
        <w:rPr>
          <w:rFonts w:ascii="ＭＳ ゴシック" w:eastAsia="ＭＳ ゴシック" w:hAnsi="ＭＳ ゴシック" w:cs="ＭＳ ゴシック" w:hint="eastAsia"/>
          <w:lang w:eastAsia="ja-JP"/>
        </w:rPr>
        <w:t>内</w:t>
      </w:r>
      <w:r>
        <w:rPr>
          <w:rFonts w:ascii="ＭＳ ゴシック" w:eastAsia="ＭＳ ゴシック" w:hAnsi="ＭＳ ゴシック" w:cs="ＭＳ ゴシック" w:hint="eastAsia"/>
          <w:lang w:eastAsia="ja-JP"/>
        </w:rPr>
        <w:t>または補足文書として記載し、その方法が本規格に適合しているかどうか外部で検証することが強く奨励</w:t>
      </w:r>
      <w:r>
        <w:rPr>
          <w:lang w:eastAsia="ja-JP"/>
        </w:rPr>
        <w:t xml:space="preserve"> </w:t>
      </w:r>
      <w:r>
        <w:rPr>
          <w:rFonts w:ascii="ＭＳ ゴシック" w:eastAsia="ＭＳ ゴシック" w:hAnsi="ＭＳ ゴシック" w:cs="ＭＳ ゴシック" w:hint="eastAsia"/>
          <w:lang w:eastAsia="ja-JP"/>
        </w:rPr>
        <w:t>されてい</w:t>
      </w:r>
      <w:r w:rsidR="00666613">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w:t>
      </w:r>
    </w:p>
    <w:p w14:paraId="19E801CE" w14:textId="5D21AE81" w:rsidR="0055291C" w:rsidRDefault="00666613" w:rsidP="00666613">
      <w:pPr>
        <w:pStyle w:val="a3"/>
        <w:spacing w:before="146" w:line="312" w:lineRule="auto"/>
        <w:ind w:left="291" w:right="753" w:firstLineChars="100" w:firstLine="190"/>
        <w:rPr>
          <w:lang w:eastAsia="ja-JP"/>
        </w:rPr>
      </w:pPr>
      <w:r>
        <w:rPr>
          <w:rFonts w:ascii="ＭＳ ゴシック" w:eastAsia="ＭＳ ゴシック" w:hAnsi="ＭＳ ゴシック" w:cs="ＭＳ ゴシック" w:hint="eastAsia"/>
          <w:lang w:eastAsia="ja-JP"/>
        </w:rPr>
        <w:t>どの方法が最も適切であるか明らかでない場合、企業は</w:t>
      </w:r>
      <w:r>
        <w:rPr>
          <w:lang w:eastAsia="ja-JP"/>
        </w:rPr>
        <w:t xml:space="preserve"> </w:t>
      </w:r>
      <w:r>
        <w:rPr>
          <w:rFonts w:ascii="ＭＳ ゴシック" w:eastAsia="ＭＳ ゴシック" w:hAnsi="ＭＳ ゴシック" w:cs="ＭＳ ゴシック" w:hint="eastAsia"/>
          <w:lang w:eastAsia="ja-JP"/>
        </w:rPr>
        <w:t>、候補となる方法についてシナリオの不確実性評価（感度分析など）を行い、その結果を報告書に</w:t>
      </w:r>
      <w:r>
        <w:rPr>
          <w:lang w:eastAsia="ja-JP"/>
        </w:rPr>
        <w:t xml:space="preserve"> </w:t>
      </w:r>
      <w:r>
        <w:rPr>
          <w:rFonts w:ascii="ＭＳ ゴシック" w:eastAsia="ＭＳ ゴシック" w:hAnsi="ＭＳ ゴシック" w:cs="ＭＳ ゴシック" w:hint="eastAsia"/>
          <w:lang w:eastAsia="ja-JP"/>
        </w:rPr>
        <w:t>含めるべきです（不確実性に関する詳細は、第</w:t>
      </w:r>
      <w:r>
        <w:rPr>
          <w:lang w:eastAsia="ja-JP"/>
        </w:rPr>
        <w:t>10</w:t>
      </w:r>
      <w:r>
        <w:rPr>
          <w:rFonts w:ascii="ＭＳ ゴシック" w:eastAsia="ＭＳ ゴシック" w:hAnsi="ＭＳ ゴシック" w:cs="ＭＳ ゴシック" w:hint="eastAsia"/>
          <w:lang w:eastAsia="ja-JP"/>
        </w:rPr>
        <w:t>章を参照）。</w:t>
      </w:r>
    </w:p>
    <w:p w14:paraId="7499F980" w14:textId="77777777" w:rsidR="0055291C" w:rsidRDefault="0055291C">
      <w:pPr>
        <w:pStyle w:val="a3"/>
        <w:rPr>
          <w:sz w:val="20"/>
          <w:lang w:eastAsia="ja-JP"/>
        </w:rPr>
      </w:pPr>
    </w:p>
    <w:p w14:paraId="52059025" w14:textId="77777777" w:rsidR="0055291C" w:rsidRDefault="0055291C">
      <w:pPr>
        <w:pStyle w:val="a3"/>
        <w:spacing w:before="2"/>
        <w:rPr>
          <w:sz w:val="16"/>
          <w:lang w:eastAsia="ja-JP"/>
        </w:rPr>
      </w:pPr>
    </w:p>
    <w:p w14:paraId="3A77C3F8" w14:textId="65D3BF97" w:rsidR="0055291C" w:rsidRDefault="00000000">
      <w:pPr>
        <w:pStyle w:val="6"/>
        <w:spacing w:before="0"/>
        <w:ind w:left="361"/>
        <w:rPr>
          <w:lang w:eastAsia="ja-JP"/>
        </w:rPr>
      </w:pPr>
      <w:r>
        <w:pict w14:anchorId="020ED54D">
          <v:group id="docshapegroup1212" o:spid="_x0000_s2619" style="position:absolute;left:0;text-align:left;margin-left:315pt;margin-top:23.55pt;width:241.1pt;height:257.7pt;z-index:251622912;mso-position-horizontal-relative:page" coordorigin="6300,471" coordsize="4822,4882">
            <v:shape id="docshape1213" o:spid="_x0000_s2621" style="position:absolute;left:6300;top:471;width:4822;height:4882" coordorigin="6300,471" coordsize="4822,4882" path="m10895,471r-4368,l6396,475r-68,25l6304,567r-4,131l6300,5126r4,131l6328,5325r68,24l6527,5353r4368,l11026,5349r67,-24l11118,5257r4,-131l11122,698r-4,-131l11093,500r-67,-25l10895,471xe" fillcolor="#e4f3f1" stroked="f">
              <v:path arrowok="t"/>
            </v:shape>
            <v:shape id="docshape1214" o:spid="_x0000_s2620" type="#_x0000_t202" style="position:absolute;left:6300;top:471;width:4822;height:4882" filled="f" stroked="f">
              <v:textbox style="mso-next-textbox:#docshape1214" inset="0,0,0,0">
                <w:txbxContent>
                  <w:p w14:paraId="3082D610" w14:textId="77777777" w:rsidR="0055291C" w:rsidRDefault="0055291C">
                    <w:pPr>
                      <w:spacing w:before="8"/>
                      <w:rPr>
                        <w:rFonts w:ascii="Arial"/>
                        <w:b/>
                        <w:sz w:val="21"/>
                      </w:rPr>
                    </w:pPr>
                  </w:p>
                  <w:p w14:paraId="08B3E485" w14:textId="1888F683" w:rsidR="0055291C" w:rsidRDefault="00C20F11" w:rsidP="00C20F11">
                    <w:pPr>
                      <w:spacing w:before="9" w:line="328" w:lineRule="auto"/>
                      <w:ind w:left="226" w:right="284" w:firstLineChars="100" w:firstLine="188"/>
                      <w:rPr>
                        <w:sz w:val="18"/>
                        <w:lang w:eastAsia="ja-JP"/>
                      </w:rPr>
                    </w:pPr>
                    <w:r w:rsidRPr="00C20F11">
                      <w:rPr>
                        <w:rFonts w:ascii="ＭＳ ゴシック" w:eastAsia="ＭＳ ゴシック" w:hAnsi="ＭＳ ゴシック" w:cs="ＭＳ ゴシック" w:hint="eastAsia"/>
                        <w:color w:val="545456"/>
                        <w:w w:val="105"/>
                        <w:sz w:val="18"/>
                        <w:lang w:eastAsia="ja-JP"/>
                      </w:rPr>
                      <w:t>第</w:t>
                    </w:r>
                    <w:r w:rsidRPr="00C20F11">
                      <w:rPr>
                        <w:color w:val="545456"/>
                        <w:w w:val="105"/>
                        <w:sz w:val="18"/>
                        <w:lang w:eastAsia="ja-JP"/>
                      </w:rPr>
                      <w:t>7</w:t>
                    </w:r>
                    <w:r w:rsidRPr="00C20F11">
                      <w:rPr>
                        <w:rFonts w:ascii="ＭＳ ゴシック" w:eastAsia="ＭＳ ゴシック" w:hAnsi="ＭＳ ゴシック" w:cs="ＭＳ ゴシック" w:hint="eastAsia"/>
                        <w:color w:val="545456"/>
                        <w:w w:val="105"/>
                        <w:sz w:val="18"/>
                        <w:lang w:eastAsia="ja-JP"/>
                      </w:rPr>
                      <w:t>章で定義したように、</w:t>
                    </w:r>
                    <w:r w:rsidR="00AC0A1F">
                      <w:rPr>
                        <w:rFonts w:ascii="ＭＳ ゴシック" w:eastAsia="ＭＳ ゴシック" w:hAnsi="ＭＳ ゴシック" w:cs="ＭＳ ゴシック" w:hint="eastAsia"/>
                        <w:color w:val="545456"/>
                        <w:w w:val="105"/>
                        <w:sz w:val="18"/>
                        <w:lang w:eastAsia="ja-JP"/>
                      </w:rPr>
                      <w:t>「</w:t>
                    </w:r>
                    <w:r>
                      <w:rPr>
                        <w:rFonts w:ascii="ＭＳ ゴシック" w:eastAsia="ＭＳ ゴシック" w:hAnsi="ＭＳ ゴシック" w:cs="ＭＳ ゴシック" w:hint="eastAsia"/>
                        <w:color w:val="545456"/>
                        <w:w w:val="105"/>
                        <w:sz w:val="18"/>
                        <w:lang w:eastAsia="ja-JP"/>
                      </w:rPr>
                      <w:t>生産から出荷</w:t>
                    </w:r>
                    <w:r w:rsidRPr="00C20F11">
                      <w:rPr>
                        <w:rFonts w:ascii="ＭＳ ゴシック" w:eastAsia="ＭＳ ゴシック" w:hAnsi="ＭＳ ゴシック" w:cs="ＭＳ ゴシック" w:hint="eastAsia"/>
                        <w:color w:val="545456"/>
                        <w:w w:val="105"/>
                        <w:sz w:val="18"/>
                        <w:lang w:eastAsia="ja-JP"/>
                      </w:rPr>
                      <w:t>まで</w:t>
                    </w:r>
                    <w:r w:rsidR="00AC0A1F">
                      <w:rPr>
                        <w:rFonts w:ascii="ＭＳ ゴシック" w:eastAsia="ＭＳ ゴシック" w:hAnsi="ＭＳ ゴシック" w:cs="ＭＳ ゴシック" w:hint="eastAsia"/>
                        <w:color w:val="545456"/>
                        <w:w w:val="105"/>
                        <w:sz w:val="18"/>
                        <w:lang w:eastAsia="ja-JP"/>
                      </w:rPr>
                      <w:t>」</w:t>
                    </w:r>
                    <w:r w:rsidRPr="00C20F11">
                      <w:rPr>
                        <w:rFonts w:ascii="ＭＳ ゴシック" w:eastAsia="ＭＳ ゴシック" w:hAnsi="ＭＳ ゴシック" w:cs="ＭＳ ゴシック" w:hint="eastAsia"/>
                        <w:color w:val="545456"/>
                        <w:w w:val="105"/>
                        <w:sz w:val="18"/>
                        <w:lang w:eastAsia="ja-JP"/>
                      </w:rPr>
                      <w:t>の</w:t>
                    </w:r>
                    <w:r>
                      <w:rPr>
                        <w:rFonts w:ascii="ＭＳ ゴシック" w:eastAsia="ＭＳ ゴシック" w:hAnsi="ＭＳ ゴシック" w:cs="ＭＳ ゴシック" w:hint="eastAsia"/>
                        <w:color w:val="545456"/>
                        <w:w w:val="105"/>
                        <w:sz w:val="18"/>
                        <w:lang w:eastAsia="ja-JP"/>
                      </w:rPr>
                      <w:t>報告書</w:t>
                    </w:r>
                    <w:r w:rsidRPr="00C20F11">
                      <w:rPr>
                        <w:rFonts w:ascii="ＭＳ ゴシック" w:eastAsia="ＭＳ ゴシック" w:hAnsi="ＭＳ ゴシック" w:cs="ＭＳ ゴシック" w:hint="eastAsia"/>
                        <w:color w:val="545456"/>
                        <w:w w:val="105"/>
                        <w:sz w:val="18"/>
                        <w:lang w:eastAsia="ja-JP"/>
                      </w:rPr>
                      <w:t>の境界には、使用段階やライフサイクルの</w:t>
                    </w:r>
                    <w:r w:rsidRPr="00C20F11">
                      <w:rPr>
                        <w:color w:val="545456"/>
                        <w:w w:val="105"/>
                        <w:sz w:val="18"/>
                        <w:lang w:eastAsia="ja-JP"/>
                      </w:rPr>
                      <w:t xml:space="preserve"> </w:t>
                    </w:r>
                    <w:r w:rsidRPr="00C20F11">
                      <w:rPr>
                        <w:rFonts w:ascii="ＭＳ ゴシック" w:eastAsia="ＭＳ ゴシック" w:hAnsi="ＭＳ ゴシック" w:cs="ＭＳ ゴシック" w:hint="eastAsia"/>
                        <w:color w:val="545456"/>
                        <w:w w:val="105"/>
                        <w:sz w:val="18"/>
                        <w:lang w:eastAsia="ja-JP"/>
                      </w:rPr>
                      <w:t>終わりの段階は含まれ</w:t>
                    </w:r>
                    <w:r>
                      <w:rPr>
                        <w:rFonts w:ascii="ＭＳ ゴシック" w:eastAsia="ＭＳ ゴシック" w:hAnsi="ＭＳ ゴシック" w:cs="ＭＳ ゴシック" w:hint="eastAsia"/>
                        <w:color w:val="545456"/>
                        <w:w w:val="105"/>
                        <w:sz w:val="18"/>
                        <w:lang w:eastAsia="ja-JP"/>
                      </w:rPr>
                      <w:t>ません</w:t>
                    </w:r>
                    <w:r w:rsidRPr="00C20F11">
                      <w:rPr>
                        <w:rFonts w:ascii="ＭＳ ゴシック" w:eastAsia="ＭＳ ゴシック" w:hAnsi="ＭＳ ゴシック" w:cs="ＭＳ ゴシック" w:hint="eastAsia"/>
                        <w:color w:val="545456"/>
                        <w:w w:val="105"/>
                        <w:sz w:val="18"/>
                        <w:lang w:eastAsia="ja-JP"/>
                      </w:rPr>
                      <w:t>。中間製品にリサイクル</w:t>
                    </w:r>
                    <w:r>
                      <w:rPr>
                        <w:rFonts w:ascii="ＭＳ ゴシック" w:eastAsia="ＭＳ ゴシック" w:hAnsi="ＭＳ ゴシック" w:cs="ＭＳ ゴシック" w:hint="eastAsia"/>
                        <w:color w:val="545456"/>
                        <w:w w:val="105"/>
                        <w:sz w:val="18"/>
                        <w:lang w:eastAsia="ja-JP"/>
                      </w:rPr>
                      <w:t>投入</w:t>
                    </w:r>
                    <w:r w:rsidRPr="00C20F11">
                      <w:rPr>
                        <w:rFonts w:ascii="ＭＳ ゴシック" w:eastAsia="ＭＳ ゴシック" w:hAnsi="ＭＳ ゴシック" w:cs="ＭＳ ゴシック" w:hint="eastAsia"/>
                        <w:color w:val="545456"/>
                        <w:w w:val="105"/>
                        <w:sz w:val="18"/>
                        <w:lang w:eastAsia="ja-JP"/>
                      </w:rPr>
                      <w:t>がある場合、企業はリサイクル含有</w:t>
                    </w:r>
                    <w:r>
                      <w:rPr>
                        <w:rFonts w:ascii="ＭＳ ゴシック" w:eastAsia="ＭＳ ゴシック" w:hAnsi="ＭＳ ゴシック" w:cs="ＭＳ ゴシック" w:hint="eastAsia"/>
                        <w:color w:val="545456"/>
                        <w:w w:val="105"/>
                        <w:sz w:val="18"/>
                        <w:lang w:eastAsia="ja-JP"/>
                      </w:rPr>
                      <w:t>率</w:t>
                    </w:r>
                    <w:r w:rsidRPr="00C20F11">
                      <w:rPr>
                        <w:rFonts w:ascii="ＭＳ ゴシック" w:eastAsia="ＭＳ ゴシック" w:hAnsi="ＭＳ ゴシック" w:cs="ＭＳ ゴシック" w:hint="eastAsia"/>
                        <w:color w:val="545456"/>
                        <w:w w:val="105"/>
                        <w:sz w:val="18"/>
                        <w:lang w:eastAsia="ja-JP"/>
                      </w:rPr>
                      <w:t>法を用い、その</w:t>
                    </w:r>
                    <w:r>
                      <w:rPr>
                        <w:rFonts w:ascii="ＭＳ ゴシック" w:eastAsia="ＭＳ ゴシック" w:hAnsi="ＭＳ ゴシック" w:cs="ＭＳ ゴシック" w:hint="eastAsia"/>
                        <w:color w:val="545456"/>
                        <w:w w:val="105"/>
                        <w:sz w:val="18"/>
                        <w:lang w:eastAsia="ja-JP"/>
                      </w:rPr>
                      <w:t>投入</w:t>
                    </w:r>
                    <w:r w:rsidRPr="00C20F11">
                      <w:rPr>
                        <w:rFonts w:ascii="ＭＳ ゴシック" w:eastAsia="ＭＳ ゴシック" w:hAnsi="ＭＳ ゴシック" w:cs="ＭＳ ゴシック" w:hint="eastAsia"/>
                        <w:color w:val="545456"/>
                        <w:w w:val="105"/>
                        <w:sz w:val="18"/>
                        <w:lang w:eastAsia="ja-JP"/>
                      </w:rPr>
                      <w:t>に対する材料回収施設（</w:t>
                    </w:r>
                    <w:r w:rsidRPr="00C20F11">
                      <w:rPr>
                        <w:color w:val="545456"/>
                        <w:w w:val="105"/>
                        <w:sz w:val="18"/>
                        <w:lang w:eastAsia="ja-JP"/>
                      </w:rPr>
                      <w:t>MRF</w:t>
                    </w:r>
                    <w:r w:rsidRPr="00C20F11">
                      <w:rPr>
                        <w:rFonts w:ascii="ＭＳ ゴシック" w:eastAsia="ＭＳ ゴシック" w:hAnsi="ＭＳ ゴシック" w:cs="ＭＳ ゴシック" w:hint="eastAsia"/>
                        <w:color w:val="545456"/>
                        <w:w w:val="105"/>
                        <w:sz w:val="18"/>
                        <w:lang w:eastAsia="ja-JP"/>
                      </w:rPr>
                      <w:t>）とリサイクル工程の排出と除去を計上することができ</w:t>
                    </w:r>
                    <w:r>
                      <w:rPr>
                        <w:rFonts w:ascii="ＭＳ ゴシック" w:eastAsia="ＭＳ ゴシック" w:hAnsi="ＭＳ ゴシック" w:cs="ＭＳ ゴシック" w:hint="eastAsia"/>
                        <w:color w:val="545456"/>
                        <w:w w:val="105"/>
                        <w:sz w:val="18"/>
                        <w:lang w:eastAsia="ja-JP"/>
                      </w:rPr>
                      <w:t>ます</w:t>
                    </w:r>
                    <w:r w:rsidRPr="00C20F11">
                      <w:rPr>
                        <w:rFonts w:ascii="ＭＳ ゴシック" w:eastAsia="ＭＳ ゴシック" w:hAnsi="ＭＳ ゴシック" w:cs="ＭＳ ゴシック" w:hint="eastAsia"/>
                        <w:color w:val="545456"/>
                        <w:w w:val="105"/>
                        <w:sz w:val="18"/>
                        <w:lang w:eastAsia="ja-JP"/>
                      </w:rPr>
                      <w:t>。中間製品が</w:t>
                    </w:r>
                    <w:r>
                      <w:rPr>
                        <w:rFonts w:ascii="ＭＳ ゴシック" w:eastAsia="ＭＳ ゴシック" w:hAnsi="ＭＳ ゴシック" w:cs="ＭＳ ゴシック" w:hint="eastAsia"/>
                        <w:color w:val="545456"/>
                        <w:w w:val="105"/>
                        <w:sz w:val="18"/>
                        <w:lang w:eastAsia="ja-JP"/>
                      </w:rPr>
                      <w:t>、</w:t>
                    </w:r>
                    <w:r w:rsidRPr="00C20F11">
                      <w:rPr>
                        <w:rFonts w:ascii="ＭＳ ゴシック" w:eastAsia="ＭＳ ゴシック" w:hAnsi="ＭＳ ゴシック" w:cs="ＭＳ ゴシック" w:hint="eastAsia"/>
                        <w:color w:val="545456"/>
                        <w:w w:val="105"/>
                        <w:sz w:val="18"/>
                        <w:lang w:eastAsia="ja-JP"/>
                      </w:rPr>
                      <w:t>使用時の機能に関係なく最終的にリサイクルされることが分かっている場合、企業は</w:t>
                    </w:r>
                    <w:r>
                      <w:rPr>
                        <w:rFonts w:ascii="ＭＳ ゴシック" w:eastAsia="ＭＳ ゴシック" w:hAnsi="ＭＳ ゴシック" w:cs="ＭＳ ゴシック" w:hint="eastAsia"/>
                        <w:color w:val="545456"/>
                        <w:w w:val="105"/>
                        <w:sz w:val="18"/>
                        <w:lang w:eastAsia="ja-JP"/>
                      </w:rPr>
                      <w:t>排出量</w:t>
                    </w:r>
                    <w:r w:rsidRPr="00C20F11">
                      <w:rPr>
                        <w:rFonts w:ascii="ＭＳ ゴシック" w:eastAsia="ＭＳ ゴシック" w:hAnsi="ＭＳ ゴシック" w:cs="ＭＳ ゴシック" w:hint="eastAsia"/>
                        <w:color w:val="545456"/>
                        <w:w w:val="105"/>
                        <w:sz w:val="18"/>
                        <w:lang w:eastAsia="ja-JP"/>
                      </w:rPr>
                      <w:t>報告書において、他の最終製品に関する情報と共に、このことを個別に報告することができ</w:t>
                    </w:r>
                    <w:r>
                      <w:rPr>
                        <w:rFonts w:ascii="ＭＳ ゴシック" w:eastAsia="ＭＳ ゴシック" w:hAnsi="ＭＳ ゴシック" w:cs="ＭＳ ゴシック" w:hint="eastAsia"/>
                        <w:color w:val="545456"/>
                        <w:w w:val="105"/>
                        <w:sz w:val="18"/>
                        <w:lang w:eastAsia="ja-JP"/>
                      </w:rPr>
                      <w:t>ます</w:t>
                    </w:r>
                    <w:r w:rsidRPr="00C20F11">
                      <w:rPr>
                        <w:rFonts w:ascii="ＭＳ ゴシック" w:eastAsia="ＭＳ ゴシック" w:hAnsi="ＭＳ ゴシック" w:cs="ＭＳ ゴシック" w:hint="eastAsia"/>
                        <w:color w:val="545456"/>
                        <w:w w:val="105"/>
                        <w:sz w:val="18"/>
                        <w:lang w:eastAsia="ja-JP"/>
                      </w:rPr>
                      <w:t>。</w:t>
                    </w:r>
                    <w:r>
                      <w:rPr>
                        <w:rFonts w:ascii="ＭＳ ゴシック" w:eastAsia="ＭＳ ゴシック" w:hAnsi="ＭＳ ゴシック" w:cs="ＭＳ ゴシック" w:hint="eastAsia"/>
                        <w:color w:val="545456"/>
                        <w:w w:val="105"/>
                        <w:sz w:val="18"/>
                        <w:lang w:eastAsia="ja-JP"/>
                      </w:rPr>
                      <w:t>これは</w:t>
                    </w:r>
                    <w:r w:rsidRPr="00C20F11">
                      <w:rPr>
                        <w:rFonts w:ascii="ＭＳ ゴシック" w:eastAsia="ＭＳ ゴシック" w:hAnsi="ＭＳ ゴシック" w:cs="ＭＳ ゴシック" w:hint="eastAsia"/>
                        <w:color w:val="545456"/>
                        <w:w w:val="105"/>
                        <w:sz w:val="18"/>
                        <w:lang w:eastAsia="ja-JP"/>
                      </w:rPr>
                      <w:t>利害関係者にとって</w:t>
                    </w:r>
                    <w:r>
                      <w:rPr>
                        <w:rFonts w:ascii="ＭＳ ゴシック" w:eastAsia="ＭＳ ゴシック" w:hAnsi="ＭＳ ゴシック" w:cs="ＭＳ ゴシック" w:hint="eastAsia"/>
                        <w:color w:val="545456"/>
                        <w:w w:val="105"/>
                        <w:sz w:val="18"/>
                        <w:lang w:eastAsia="ja-JP"/>
                      </w:rPr>
                      <w:t>も</w:t>
                    </w:r>
                    <w:r w:rsidRPr="00C20F11">
                      <w:rPr>
                        <w:rFonts w:ascii="ＭＳ ゴシック" w:eastAsia="ＭＳ ゴシック" w:hAnsi="ＭＳ ゴシック" w:cs="ＭＳ ゴシック" w:hint="eastAsia"/>
                        <w:color w:val="545456"/>
                        <w:w w:val="105"/>
                        <w:sz w:val="18"/>
                        <w:lang w:eastAsia="ja-JP"/>
                      </w:rPr>
                      <w:t>有用で</w:t>
                    </w:r>
                    <w:r>
                      <w:rPr>
                        <w:rFonts w:ascii="ＭＳ ゴシック" w:eastAsia="ＭＳ ゴシック" w:hAnsi="ＭＳ ゴシック" w:cs="ＭＳ ゴシック" w:hint="eastAsia"/>
                        <w:color w:val="545456"/>
                        <w:w w:val="105"/>
                        <w:sz w:val="18"/>
                        <w:lang w:eastAsia="ja-JP"/>
                      </w:rPr>
                      <w:t>す</w:t>
                    </w:r>
                    <w:r w:rsidRPr="00C20F11">
                      <w:rPr>
                        <w:rFonts w:ascii="ＭＳ ゴシック" w:eastAsia="ＭＳ ゴシック" w:hAnsi="ＭＳ ゴシック" w:cs="ＭＳ ゴシック" w:hint="eastAsia"/>
                        <w:color w:val="545456"/>
                        <w:w w:val="105"/>
                        <w:sz w:val="18"/>
                        <w:lang w:eastAsia="ja-JP"/>
                      </w:rPr>
                      <w:t>。企業は、最終製品の機能を把握し、</w:t>
                    </w:r>
                    <w:r w:rsidR="00AC0A1F">
                      <w:rPr>
                        <w:rFonts w:ascii="ＭＳ ゴシック" w:eastAsia="ＭＳ ゴシック" w:hAnsi="ＭＳ ゴシック" w:cs="ＭＳ ゴシック" w:hint="eastAsia"/>
                        <w:color w:val="545456"/>
                        <w:w w:val="105"/>
                        <w:sz w:val="18"/>
                        <w:lang w:eastAsia="ja-JP"/>
                      </w:rPr>
                      <w:t>「</w:t>
                    </w:r>
                    <w:r w:rsidRPr="00C20F11">
                      <w:rPr>
                        <w:rFonts w:ascii="ＭＳ ゴシック" w:eastAsia="ＭＳ ゴシック" w:hAnsi="ＭＳ ゴシック" w:cs="ＭＳ ゴシック" w:hint="eastAsia"/>
                        <w:color w:val="545456"/>
                        <w:w w:val="105"/>
                        <w:sz w:val="18"/>
                        <w:lang w:eastAsia="ja-JP"/>
                      </w:rPr>
                      <w:t>ゆりかごから墓場まで</w:t>
                    </w:r>
                    <w:r w:rsidR="00AC0A1F">
                      <w:rPr>
                        <w:rFonts w:ascii="ＭＳ ゴシック" w:eastAsia="ＭＳ ゴシック" w:hAnsi="ＭＳ ゴシック" w:cs="ＭＳ ゴシック" w:hint="eastAsia"/>
                        <w:color w:val="545456"/>
                        <w:w w:val="105"/>
                        <w:sz w:val="18"/>
                        <w:lang w:eastAsia="ja-JP"/>
                      </w:rPr>
                      <w:t>」</w:t>
                    </w:r>
                    <w:r w:rsidRPr="00C20F11">
                      <w:rPr>
                        <w:rFonts w:ascii="ＭＳ ゴシック" w:eastAsia="ＭＳ ゴシック" w:hAnsi="ＭＳ ゴシック" w:cs="ＭＳ ゴシック" w:hint="eastAsia"/>
                        <w:color w:val="545456"/>
                        <w:w w:val="105"/>
                        <w:sz w:val="18"/>
                        <w:lang w:eastAsia="ja-JP"/>
                      </w:rPr>
                      <w:t>の</w:t>
                    </w:r>
                    <w:r w:rsidR="00AC0A1F">
                      <w:rPr>
                        <w:rFonts w:ascii="ＭＳ ゴシック" w:eastAsia="ＭＳ ゴシック" w:hAnsi="ＭＳ ゴシック" w:cs="ＭＳ ゴシック" w:hint="eastAsia"/>
                        <w:color w:val="545456"/>
                        <w:w w:val="105"/>
                        <w:sz w:val="18"/>
                        <w:lang w:eastAsia="ja-JP"/>
                      </w:rPr>
                      <w:t>算出</w:t>
                    </w:r>
                    <w:r w:rsidRPr="00C20F11">
                      <w:rPr>
                        <w:rFonts w:ascii="ＭＳ ゴシック" w:eastAsia="ＭＳ ゴシック" w:hAnsi="ＭＳ ゴシック" w:cs="ＭＳ ゴシック" w:hint="eastAsia"/>
                        <w:color w:val="545456"/>
                        <w:w w:val="105"/>
                        <w:sz w:val="18"/>
                        <w:lang w:eastAsia="ja-JP"/>
                      </w:rPr>
                      <w:t>を実施する場合にのみ、中間製品の</w:t>
                    </w:r>
                    <w:r w:rsidR="00AC0A1F">
                      <w:rPr>
                        <w:rFonts w:ascii="ＭＳ ゴシック" w:eastAsia="ＭＳ ゴシック" w:hAnsi="ＭＳ ゴシック" w:cs="ＭＳ ゴシック" w:hint="eastAsia"/>
                        <w:color w:val="545456"/>
                        <w:w w:val="105"/>
                        <w:sz w:val="18"/>
                        <w:lang w:eastAsia="ja-JP"/>
                      </w:rPr>
                      <w:t>算出</w:t>
                    </w:r>
                    <w:r w:rsidRPr="00C20F11">
                      <w:rPr>
                        <w:rFonts w:ascii="ＭＳ ゴシック" w:eastAsia="ＭＳ ゴシック" w:hAnsi="ＭＳ ゴシック" w:cs="ＭＳ ゴシック" w:hint="eastAsia"/>
                        <w:color w:val="545456"/>
                        <w:w w:val="105"/>
                        <w:sz w:val="18"/>
                        <w:lang w:eastAsia="ja-JP"/>
                      </w:rPr>
                      <w:t>結果に使用済みリサイクルを含めることができ</w:t>
                    </w:r>
                    <w:r w:rsidR="00AC0A1F">
                      <w:rPr>
                        <w:rFonts w:ascii="ＭＳ ゴシック" w:eastAsia="ＭＳ ゴシック" w:hAnsi="ＭＳ ゴシック" w:cs="ＭＳ ゴシック" w:hint="eastAsia"/>
                        <w:color w:val="545456"/>
                        <w:w w:val="105"/>
                        <w:sz w:val="18"/>
                        <w:lang w:eastAsia="ja-JP"/>
                      </w:rPr>
                      <w:t>ます</w:t>
                    </w:r>
                    <w:r w:rsidRPr="00C20F11">
                      <w:rPr>
                        <w:rFonts w:ascii="ＭＳ ゴシック" w:eastAsia="ＭＳ ゴシック" w:hAnsi="ＭＳ ゴシック" w:cs="ＭＳ ゴシック" w:hint="eastAsia"/>
                        <w:color w:val="545456"/>
                        <w:w w:val="105"/>
                        <w:sz w:val="18"/>
                        <w:lang w:eastAsia="ja-JP"/>
                      </w:rPr>
                      <w:t>。</w:t>
                    </w:r>
                  </w:p>
                </w:txbxContent>
              </v:textbox>
            </v:shape>
            <w10:wrap anchorx="page"/>
          </v:group>
        </w:pict>
      </w:r>
      <w:r w:rsidR="00F23C61">
        <w:rPr>
          <w:color w:val="00ACA1"/>
          <w:w w:val="95"/>
          <w:lang w:eastAsia="ja-JP"/>
        </w:rPr>
        <w:t>Box</w:t>
      </w:r>
      <w:r w:rsidR="00F23C61">
        <w:rPr>
          <w:color w:val="00ACA1"/>
          <w:spacing w:val="9"/>
          <w:w w:val="95"/>
          <w:lang w:eastAsia="ja-JP"/>
        </w:rPr>
        <w:t xml:space="preserve"> </w:t>
      </w:r>
      <w:r w:rsidR="00F23C61">
        <w:rPr>
          <w:color w:val="00ACA1"/>
          <w:w w:val="95"/>
          <w:lang w:eastAsia="ja-JP"/>
        </w:rPr>
        <w:t>[9.3]</w:t>
      </w:r>
      <w:r w:rsidR="00F23C61">
        <w:rPr>
          <w:color w:val="00ACA1"/>
          <w:spacing w:val="9"/>
          <w:w w:val="95"/>
          <w:lang w:eastAsia="ja-JP"/>
        </w:rPr>
        <w:t xml:space="preserve"> </w:t>
      </w:r>
      <w:r w:rsidR="00AC0A1F" w:rsidRPr="00AC0A1F">
        <w:rPr>
          <w:rFonts w:ascii="ＭＳ 明朝" w:eastAsia="ＭＳ 明朝" w:hAnsi="ＭＳ 明朝" w:cs="ＭＳ 明朝" w:hint="eastAsia"/>
          <w:spacing w:val="9"/>
          <w:w w:val="95"/>
          <w:lang w:eastAsia="ja-JP"/>
        </w:rPr>
        <w:t>「</w:t>
      </w:r>
      <w:r w:rsidR="00666613">
        <w:rPr>
          <w:rFonts w:ascii="ＭＳ 明朝" w:eastAsia="ＭＳ 明朝" w:hAnsi="ＭＳ 明朝" w:cs="ＭＳ 明朝" w:hint="eastAsia"/>
          <w:color w:val="545456"/>
          <w:w w:val="95"/>
          <w:lang w:eastAsia="ja-JP"/>
        </w:rPr>
        <w:t>生産から出荷まで</w:t>
      </w:r>
      <w:r w:rsidR="00AC0A1F">
        <w:rPr>
          <w:rFonts w:ascii="ＭＳ 明朝" w:eastAsia="ＭＳ 明朝" w:hAnsi="ＭＳ 明朝" w:cs="ＭＳ 明朝" w:hint="eastAsia"/>
          <w:color w:val="545456"/>
          <w:w w:val="95"/>
          <w:lang w:eastAsia="ja-JP"/>
        </w:rPr>
        <w:t>」</w:t>
      </w:r>
      <w:r w:rsidR="00666613">
        <w:rPr>
          <w:rFonts w:ascii="ＭＳ 明朝" w:eastAsia="ＭＳ 明朝" w:hAnsi="ＭＳ 明朝" w:cs="ＭＳ 明朝" w:hint="eastAsia"/>
          <w:color w:val="545456"/>
          <w:w w:val="95"/>
          <w:lang w:eastAsia="ja-JP"/>
        </w:rPr>
        <w:t>の</w:t>
      </w:r>
      <w:r w:rsidR="00C20F11">
        <w:rPr>
          <w:rFonts w:ascii="ＭＳ 明朝" w:eastAsia="ＭＳ 明朝" w:hAnsi="ＭＳ 明朝" w:cs="ＭＳ 明朝" w:hint="eastAsia"/>
          <w:color w:val="545456"/>
          <w:w w:val="95"/>
          <w:lang w:eastAsia="ja-JP"/>
        </w:rPr>
        <w:t>報告書におけるサイクル</w:t>
      </w:r>
    </w:p>
    <w:p w14:paraId="1FA5C37C" w14:textId="77777777" w:rsidR="0055291C" w:rsidRDefault="0055291C">
      <w:pPr>
        <w:rPr>
          <w:lang w:eastAsia="ja-JP"/>
        </w:rPr>
        <w:sectPr w:rsidR="0055291C">
          <w:type w:val="continuous"/>
          <w:pgSz w:w="12240" w:h="15840"/>
          <w:pgMar w:top="740" w:right="0" w:bottom="280" w:left="0" w:header="0" w:footer="859" w:gutter="0"/>
          <w:cols w:num="2" w:space="720" w:equalWidth="0">
            <w:col w:w="5918" w:space="40"/>
            <w:col w:w="6282"/>
          </w:cols>
        </w:sectPr>
      </w:pPr>
    </w:p>
    <w:p w14:paraId="35491CFA" w14:textId="77777777" w:rsidR="0055291C" w:rsidRDefault="0055291C">
      <w:pPr>
        <w:pStyle w:val="a3"/>
        <w:rPr>
          <w:rFonts w:ascii="Arial"/>
          <w:b/>
          <w:sz w:val="20"/>
          <w:lang w:eastAsia="ja-JP"/>
        </w:rPr>
      </w:pPr>
    </w:p>
    <w:p w14:paraId="50E96DBF" w14:textId="77777777" w:rsidR="0055291C" w:rsidRDefault="0055291C">
      <w:pPr>
        <w:pStyle w:val="a3"/>
        <w:rPr>
          <w:rFonts w:ascii="Arial"/>
          <w:b/>
          <w:sz w:val="20"/>
          <w:lang w:eastAsia="ja-JP"/>
        </w:rPr>
      </w:pPr>
    </w:p>
    <w:p w14:paraId="26242ACE" w14:textId="77777777" w:rsidR="0055291C" w:rsidRDefault="0055291C">
      <w:pPr>
        <w:pStyle w:val="a3"/>
        <w:rPr>
          <w:rFonts w:ascii="Arial"/>
          <w:b/>
          <w:sz w:val="20"/>
          <w:lang w:eastAsia="ja-JP"/>
        </w:rPr>
      </w:pPr>
    </w:p>
    <w:p w14:paraId="548AE253" w14:textId="77777777" w:rsidR="0055291C" w:rsidRDefault="0055291C">
      <w:pPr>
        <w:pStyle w:val="a3"/>
        <w:spacing w:before="1"/>
        <w:rPr>
          <w:rFonts w:ascii="Arial"/>
          <w:b/>
          <w:sz w:val="23"/>
          <w:lang w:eastAsia="ja-JP"/>
        </w:rPr>
      </w:pPr>
    </w:p>
    <w:p w14:paraId="6F195A8C" w14:textId="77777777" w:rsidR="0055291C" w:rsidRDefault="00000000">
      <w:pPr>
        <w:ind w:right="1121"/>
        <w:jc w:val="right"/>
        <w:rPr>
          <w:rFonts w:ascii="Arial"/>
          <w:i/>
          <w:sz w:val="19"/>
        </w:rPr>
      </w:pPr>
      <w:r>
        <w:pict w14:anchorId="0E19ADD0">
          <v:shape id="docshape1215" o:spid="_x0000_s2618" style="position:absolute;left:0;text-align:left;margin-left:580.75pt;margin-top:-47.8pt;width:31.3pt;height:285.85pt;z-index:251623936;mso-position-horizontal-relative:page" coordorigin="11615,-956" coordsize="626,5717" path="m12240,-956r-625,l11615,4534r3,131l11643,4732r67,25l11842,4760r398,l12240,-956xe" fillcolor="#00aca1" stroked="f">
            <v:path arrowok="t"/>
            <w10:wrap anchorx="page"/>
          </v:shape>
        </w:pict>
      </w:r>
      <w:r w:rsidR="00F23C61">
        <w:rPr>
          <w:rFonts w:ascii="Arial"/>
          <w:b/>
          <w:i/>
          <w:color w:val="7F3F98"/>
          <w:sz w:val="19"/>
        </w:rPr>
        <w:t>CHAPTER</w:t>
      </w:r>
      <w:r w:rsidR="00F23C61">
        <w:rPr>
          <w:rFonts w:ascii="Arial"/>
          <w:b/>
          <w:i/>
          <w:color w:val="7F3F98"/>
          <w:spacing w:val="14"/>
          <w:sz w:val="19"/>
        </w:rPr>
        <w:t xml:space="preserve"> </w:t>
      </w:r>
      <w:r w:rsidR="00F23C61">
        <w:rPr>
          <w:rFonts w:ascii="Arial"/>
          <w:b/>
          <w:i/>
          <w:color w:val="7F3F98"/>
          <w:sz w:val="19"/>
        </w:rPr>
        <w:t>09</w:t>
      </w:r>
      <w:r w:rsidR="00F23C61">
        <w:rPr>
          <w:rFonts w:ascii="Arial"/>
          <w:b/>
          <w:i/>
          <w:color w:val="7F3F98"/>
          <w:spacing w:val="15"/>
          <w:sz w:val="19"/>
        </w:rPr>
        <w:t xml:space="preserve"> </w:t>
      </w:r>
      <w:r w:rsidR="00F23C61">
        <w:rPr>
          <w:rFonts w:ascii="Arial"/>
          <w:i/>
          <w:color w:val="545456"/>
          <w:sz w:val="19"/>
        </w:rPr>
        <w:t>Allocation</w:t>
      </w:r>
    </w:p>
    <w:p w14:paraId="3AB3A93E" w14:textId="77777777" w:rsidR="0055291C" w:rsidRDefault="0055291C">
      <w:pPr>
        <w:pStyle w:val="a3"/>
        <w:rPr>
          <w:rFonts w:ascii="Arial"/>
          <w:i/>
          <w:sz w:val="20"/>
        </w:rPr>
      </w:pPr>
    </w:p>
    <w:p w14:paraId="19707715" w14:textId="77777777" w:rsidR="0055291C" w:rsidRDefault="0055291C">
      <w:pPr>
        <w:pStyle w:val="a3"/>
        <w:spacing w:before="7"/>
        <w:rPr>
          <w:rFonts w:ascii="Arial"/>
          <w:i/>
          <w:sz w:val="24"/>
        </w:rPr>
      </w:pPr>
    </w:p>
    <w:p w14:paraId="0A952604" w14:textId="77777777" w:rsidR="0055291C" w:rsidRDefault="0055291C">
      <w:pPr>
        <w:rPr>
          <w:rFonts w:ascii="Arial"/>
          <w:sz w:val="24"/>
        </w:rPr>
        <w:sectPr w:rsidR="0055291C">
          <w:headerReference w:type="default" r:id="rId245"/>
          <w:pgSz w:w="12240" w:h="15840"/>
          <w:pgMar w:top="0" w:right="0" w:bottom="1040" w:left="0" w:header="0" w:footer="859" w:gutter="0"/>
          <w:cols w:space="720"/>
        </w:sectPr>
      </w:pPr>
    </w:p>
    <w:p w14:paraId="16E02293" w14:textId="6C2EBADE" w:rsidR="0055291C" w:rsidRDefault="00AC0A1F">
      <w:pPr>
        <w:pStyle w:val="7"/>
        <w:numPr>
          <w:ilvl w:val="2"/>
          <w:numId w:val="41"/>
        </w:numPr>
        <w:tabs>
          <w:tab w:val="left" w:pos="1853"/>
          <w:tab w:val="left" w:pos="1854"/>
        </w:tabs>
        <w:spacing w:before="99"/>
        <w:ind w:left="1853" w:hanging="721"/>
        <w:jc w:val="left"/>
        <w:rPr>
          <w:lang w:eastAsia="ja-JP"/>
        </w:rPr>
      </w:pPr>
      <w:r>
        <w:rPr>
          <w:rFonts w:ascii="ＭＳ 明朝" w:eastAsia="ＭＳ 明朝" w:hAnsi="ＭＳ 明朝" w:cs="ＭＳ 明朝" w:hint="eastAsia"/>
          <w:color w:val="00B8B1"/>
          <w:w w:val="95"/>
          <w:lang w:eastAsia="ja-JP"/>
        </w:rPr>
        <w:t>リサイクルデータの収集</w:t>
      </w:r>
    </w:p>
    <w:p w14:paraId="2F9B20F1" w14:textId="463877A7" w:rsidR="0055291C" w:rsidRDefault="00AC0A1F" w:rsidP="00AC0A1F">
      <w:pPr>
        <w:pStyle w:val="a3"/>
        <w:spacing w:before="63" w:line="312" w:lineRule="auto"/>
        <w:ind w:left="1133" w:right="-4" w:firstLineChars="100" w:firstLine="190"/>
        <w:rPr>
          <w:lang w:eastAsia="ja-JP"/>
        </w:rPr>
      </w:pPr>
      <w:r>
        <w:rPr>
          <w:rFonts w:ascii="ＭＳ ゴシック" w:eastAsia="ＭＳ ゴシック" w:hAnsi="ＭＳ ゴシック" w:cs="ＭＳ ゴシック" w:hint="eastAsia"/>
          <w:lang w:eastAsia="ja-JP"/>
        </w:rPr>
        <w:t>本基準の帰責性アプローチを遵守するため、再生材の</w:t>
      </w:r>
      <w:r>
        <w:rPr>
          <w:lang w:eastAsia="ja-JP"/>
        </w:rPr>
        <w:t xml:space="preserve"> </w:t>
      </w:r>
      <w:r>
        <w:rPr>
          <w:rFonts w:ascii="ＭＳ ゴシック" w:eastAsia="ＭＳ ゴシック" w:hAnsi="ＭＳ ゴシック" w:cs="ＭＳ ゴシック" w:hint="eastAsia"/>
          <w:lang w:eastAsia="ja-JP"/>
        </w:rPr>
        <w:t>排出量を決定するために使用するデータは、製品の特定のリサイクルデータ、または製品が消費される地理的な場所（使用プロファイルで定義される）における製品の平均リサイクルデータのいずれかに基づいています。リサイクルデータは、第</w:t>
      </w:r>
      <w:r>
        <w:rPr>
          <w:lang w:eastAsia="ja-JP"/>
        </w:rPr>
        <w:t>8</w:t>
      </w:r>
      <w:r>
        <w:rPr>
          <w:rFonts w:ascii="ＭＳ ゴシック" w:eastAsia="ＭＳ ゴシック" w:hAnsi="ＭＳ ゴシック" w:cs="ＭＳ ゴシック" w:hint="eastAsia"/>
          <w:lang w:eastAsia="ja-JP"/>
        </w:rPr>
        <w:t>章のデータ収集と品質</w:t>
      </w:r>
      <w:r>
        <w:rPr>
          <w:lang w:eastAsia="ja-JP"/>
        </w:rPr>
        <w:t xml:space="preserve"> </w:t>
      </w:r>
      <w:r>
        <w:rPr>
          <w:rFonts w:ascii="ＭＳ ゴシック" w:eastAsia="ＭＳ ゴシック" w:hAnsi="ＭＳ ゴシック" w:cs="ＭＳ ゴシック" w:hint="eastAsia"/>
          <w:lang w:eastAsia="ja-JP"/>
        </w:rPr>
        <w:t>に関する要件やガイダンスと同じものが適用されます。</w:t>
      </w:r>
    </w:p>
    <w:p w14:paraId="6D4B9896" w14:textId="4F3FD6FC" w:rsidR="0055291C" w:rsidRDefault="00AC0A1F">
      <w:pPr>
        <w:pStyle w:val="a3"/>
        <w:spacing w:before="143" w:line="312" w:lineRule="auto"/>
        <w:ind w:left="1133" w:right="87"/>
        <w:rPr>
          <w:lang w:eastAsia="ja-JP"/>
        </w:rPr>
      </w:pPr>
      <w:r>
        <w:rPr>
          <w:rFonts w:ascii="ＭＳ ゴシック" w:eastAsia="ＭＳ ゴシック" w:hAnsi="ＭＳ ゴシック" w:cs="ＭＳ ゴシック" w:hint="eastAsia"/>
          <w:lang w:eastAsia="ja-JP"/>
        </w:rPr>
        <w:t>クローズドループ近似法を使用する企業は、再生材の生産量を決定するために使用するデータ</w:t>
      </w:r>
      <w:r w:rsidR="000E5599">
        <w:rPr>
          <w:rFonts w:ascii="ＭＳ ゴシック" w:eastAsia="ＭＳ ゴシック" w:hAnsi="ＭＳ ゴシック" w:cs="ＭＳ ゴシック" w:hint="eastAsia"/>
          <w:lang w:eastAsia="ja-JP"/>
        </w:rPr>
        <w:t>から</w:t>
      </w:r>
      <w:r>
        <w:rPr>
          <w:rFonts w:ascii="ＭＳ ゴシック" w:eastAsia="ＭＳ ゴシック" w:hAnsi="ＭＳ ゴシック" w:cs="ＭＳ ゴシック" w:hint="eastAsia"/>
          <w:lang w:eastAsia="ja-JP"/>
        </w:rPr>
        <w:t>、</w:t>
      </w:r>
      <w:r w:rsidR="000E5599">
        <w:rPr>
          <w:rFonts w:ascii="ＭＳ ゴシック" w:eastAsia="ＭＳ ゴシック" w:hAnsi="ＭＳ ゴシック" w:cs="ＭＳ ゴシック" w:hint="eastAsia"/>
          <w:lang w:eastAsia="ja-JP"/>
        </w:rPr>
        <w:t>その</w:t>
      </w:r>
      <w:r>
        <w:rPr>
          <w:rFonts w:ascii="ＭＳ ゴシック" w:eastAsia="ＭＳ ゴシック" w:hAnsi="ＭＳ ゴシック" w:cs="ＭＳ ゴシック" w:hint="eastAsia"/>
          <w:lang w:eastAsia="ja-JP"/>
        </w:rPr>
        <w:t>固有の特性が変化した材料を除外していることを確認する必要があります。</w:t>
      </w:r>
      <w:r w:rsidR="000E5599" w:rsidRPr="000E5599">
        <w:rPr>
          <w:rFonts w:ascii="ＭＳ ゴシック" w:eastAsia="ＭＳ ゴシック" w:hAnsi="ＭＳ ゴシック" w:cs="ＭＳ ゴシック" w:hint="eastAsia"/>
          <w:lang w:eastAsia="ja-JP"/>
        </w:rPr>
        <w:t>再生材の集合体のデータしかなく、</w:t>
      </w:r>
    </w:p>
    <w:p w14:paraId="0829A6EF" w14:textId="77777777" w:rsidR="0055291C" w:rsidRDefault="00F23C61">
      <w:pPr>
        <w:rPr>
          <w:sz w:val="20"/>
          <w:lang w:eastAsia="ja-JP"/>
        </w:rPr>
      </w:pPr>
      <w:r>
        <w:rPr>
          <w:lang w:eastAsia="ja-JP"/>
        </w:rPr>
        <w:br w:type="column"/>
      </w:r>
    </w:p>
    <w:p w14:paraId="40F5DCCA" w14:textId="2F18C9FF" w:rsidR="0055291C" w:rsidRDefault="000E5599">
      <w:pPr>
        <w:pStyle w:val="a3"/>
        <w:spacing w:before="165" w:line="312" w:lineRule="auto"/>
        <w:ind w:left="278" w:right="1147"/>
        <w:rPr>
          <w:lang w:eastAsia="ja-JP"/>
        </w:rPr>
      </w:pPr>
      <w:r>
        <w:rPr>
          <w:rFonts w:ascii="ＭＳ ゴシック" w:eastAsia="ＭＳ ゴシック" w:hAnsi="ＭＳ ゴシック" w:cs="ＭＳ ゴシック" w:hint="eastAsia"/>
          <w:lang w:eastAsia="ja-JP"/>
        </w:rPr>
        <w:t>何ら</w:t>
      </w:r>
      <w:r w:rsidRPr="000E5599">
        <w:rPr>
          <w:rFonts w:ascii="ＭＳ ゴシック" w:eastAsia="ＭＳ ゴシック" w:hAnsi="ＭＳ ゴシック" w:cs="ＭＳ ゴシック" w:hint="eastAsia"/>
          <w:lang w:eastAsia="ja-JP"/>
        </w:rPr>
        <w:t>かの固有の特性変化が起こることが分かっている場合</w:t>
      </w:r>
      <w:r>
        <w:rPr>
          <w:rFonts w:ascii="ＭＳ ゴシック" w:eastAsia="ＭＳ ゴシック" w:hAnsi="ＭＳ ゴシック" w:cs="ＭＳ ゴシック" w:hint="eastAsia"/>
          <w:color w:val="545456"/>
          <w:spacing w:val="-1"/>
          <w:lang w:eastAsia="ja-JP"/>
        </w:rPr>
        <w:t>、</w:t>
      </w:r>
      <w:r>
        <w:rPr>
          <w:rFonts w:ascii="ＭＳ ゴシック" w:eastAsia="ＭＳ ゴシック" w:hAnsi="ＭＳ ゴシック" w:cs="ＭＳ ゴシック" w:hint="eastAsia"/>
          <w:lang w:eastAsia="ja-JP"/>
        </w:rPr>
        <w:t>企業は他の利用可能なデータに基づいて特性損失の割合を想定する必要があります。他の利用可能なデータの例としては、経済的価値の減少や弾力性などの材料特性の損失割合があります。データを分解することは不可能ですが、材料特性の一部が変化することが知られている場合、報告書にデータ品質の制限として明確に記載するべきです。</w:t>
      </w:r>
    </w:p>
    <w:p w14:paraId="3324138A"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944" w:space="40"/>
            <w:col w:w="6256"/>
          </w:cols>
        </w:sectPr>
      </w:pPr>
    </w:p>
    <w:p w14:paraId="0A0E6D07" w14:textId="77777777" w:rsidR="0055291C" w:rsidRDefault="0055291C">
      <w:pPr>
        <w:pStyle w:val="a3"/>
        <w:rPr>
          <w:sz w:val="20"/>
          <w:lang w:eastAsia="ja-JP"/>
        </w:rPr>
      </w:pPr>
    </w:p>
    <w:p w14:paraId="66795B7D" w14:textId="77777777" w:rsidR="0055291C" w:rsidRDefault="0055291C">
      <w:pPr>
        <w:pStyle w:val="a3"/>
        <w:spacing w:before="7"/>
        <w:rPr>
          <w:sz w:val="23"/>
          <w:lang w:eastAsia="ja-JP"/>
        </w:rPr>
      </w:pPr>
    </w:p>
    <w:p w14:paraId="58B7C238" w14:textId="6A919EED" w:rsidR="0055291C" w:rsidRDefault="00000000">
      <w:pPr>
        <w:pStyle w:val="3"/>
        <w:spacing w:before="1"/>
        <w:ind w:left="1366"/>
        <w:rPr>
          <w:lang w:eastAsia="ja-JP"/>
        </w:rPr>
      </w:pPr>
      <w:r>
        <w:pict w14:anchorId="0A2DB8F1">
          <v:group id="docshapegroup1216" o:spid="_x0000_s2613" style="position:absolute;left:0;text-align:left;margin-left:54pt;margin-top:-6.5pt;width:506.5pt;height:415.85pt;z-index:-251563520;mso-position-horizontal-relative:page" coordorigin="1080,-130" coordsize="10130,8317">
            <v:shape id="docshape1217" o:spid="_x0000_s2617" style="position:absolute;left:1156;top:343;width:9973;height:7843" coordorigin="1157,343" coordsize="9973,7843" path="m11129,343r-9972,l1157,7959r3,131l1185,8158r67,24l1383,8186r9519,l11033,8182r67,-24l11125,8090r4,-131l11129,343xe" fillcolor="#f3f4f4" stroked="f">
              <v:path arrowok="t"/>
            </v:shape>
            <v:shape id="docshape1218" o:spid="_x0000_s2616" style="position:absolute;left:1156;top:-131;width:9973;height:545" coordorigin="1157,-130" coordsize="9973,545" path="m10902,-130r-9519,l1252,-127r-67,25l1160,-35r-3,132l1157,414r9972,l11129,97r-4,-132l11100,-102r-67,-25l10902,-130xe" fillcolor="#00aca1" stroked="f">
              <v:path arrowok="t"/>
            </v:shape>
            <v:line id="_x0000_s2615" style="position:absolute" from="1080,430" to="11209,430" strokecolor="white" strokeweight="3pt"/>
            <v:rect id="docshape1219" o:spid="_x0000_s2614" style="position:absolute;left:6300;top:7686;width:2340;height:141" fillcolor="#545456" stroked="f"/>
            <w10:wrap anchorx="page"/>
          </v:group>
        </w:pict>
      </w:r>
      <w:r>
        <w:pict w14:anchorId="171CBEC2">
          <v:shape id="docshape1220" o:spid="_x0000_s2612" type="#_x0000_t202" style="position:absolute;left:0;text-align:left;margin-left:585.65pt;margin-top:-168.45pt;width:17.7pt;height:119.1pt;z-index:251624960;mso-position-horizontal-relative:page" filled="f" stroked="f">
            <v:textbox style="layout-flow:vertical;mso-layout-flow-alt:bottom-to-top;mso-next-textbox:#docshape1220" inset="0,0,0,0">
              <w:txbxContent>
                <w:p w14:paraId="0FAE70B6"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v:shape>
        </w:pict>
      </w:r>
      <w:r w:rsidR="0035143C">
        <w:rPr>
          <w:rFonts w:ascii="ＭＳ 明朝" w:eastAsia="ＭＳ 明朝" w:hAnsi="ＭＳ 明朝" w:cs="ＭＳ 明朝" w:hint="eastAsia"/>
          <w:color w:val="F3F4F4"/>
          <w:lang w:eastAsia="ja-JP"/>
        </w:rPr>
        <w:t>アンヴィル・ニットウェア</w:t>
      </w:r>
    </w:p>
    <w:p w14:paraId="1CA2C932" w14:textId="77777777" w:rsidR="0055291C" w:rsidRDefault="0055291C">
      <w:pPr>
        <w:pStyle w:val="a3"/>
        <w:spacing w:before="5"/>
        <w:rPr>
          <w:rFonts w:ascii="Arial"/>
          <w:b/>
          <w:i/>
          <w:sz w:val="22"/>
          <w:lang w:eastAsia="ja-JP"/>
        </w:rPr>
      </w:pPr>
    </w:p>
    <w:p w14:paraId="2C0D3764" w14:textId="77777777" w:rsidR="0055291C" w:rsidRDefault="0055291C">
      <w:pPr>
        <w:rPr>
          <w:rFonts w:ascii="Arial"/>
          <w:lang w:eastAsia="ja-JP"/>
        </w:rPr>
        <w:sectPr w:rsidR="0055291C">
          <w:type w:val="continuous"/>
          <w:pgSz w:w="12240" w:h="15840"/>
          <w:pgMar w:top="740" w:right="0" w:bottom="280" w:left="0" w:header="0" w:footer="859" w:gutter="0"/>
          <w:cols w:space="720"/>
        </w:sectPr>
      </w:pPr>
    </w:p>
    <w:p w14:paraId="74A7AA8B" w14:textId="6F60A2DB" w:rsidR="0055291C" w:rsidRDefault="0035143C" w:rsidP="0044516B">
      <w:pPr>
        <w:spacing w:before="4" w:line="276" w:lineRule="auto"/>
        <w:ind w:left="1383" w:firstLineChars="100" w:firstLine="190"/>
        <w:rPr>
          <w:sz w:val="18"/>
          <w:lang w:eastAsia="ja-JP"/>
        </w:rPr>
      </w:pPr>
      <w:r>
        <w:rPr>
          <w:rFonts w:ascii="ＭＳ ゴシック" w:eastAsia="ＭＳ ゴシック" w:hAnsi="ＭＳ ゴシック" w:cs="ＭＳ ゴシック" w:hint="eastAsia"/>
          <w:sz w:val="19"/>
          <w:szCs w:val="19"/>
          <w:lang w:eastAsia="ja-JP"/>
        </w:rPr>
        <w:t>アンヴィル・ニットウェア社</w:t>
      </w:r>
      <w:r w:rsidRPr="0035143C">
        <w:rPr>
          <w:rFonts w:ascii="ＭＳ ゴシック" w:eastAsia="ＭＳ ゴシック" w:hAnsi="ＭＳ ゴシック" w:cs="ＭＳ ゴシック" w:hint="eastAsia"/>
          <w:sz w:val="19"/>
          <w:szCs w:val="19"/>
          <w:lang w:eastAsia="ja-JP"/>
        </w:rPr>
        <w:t>は、</w:t>
      </w:r>
      <w:r w:rsidRPr="0035143C">
        <w:rPr>
          <w:sz w:val="19"/>
          <w:szCs w:val="19"/>
          <w:lang w:eastAsia="ja-JP"/>
        </w:rPr>
        <w:t>2</w:t>
      </w:r>
      <w:r w:rsidRPr="0035143C">
        <w:rPr>
          <w:rFonts w:ascii="ＭＳ ゴシック" w:eastAsia="ＭＳ ゴシック" w:hAnsi="ＭＳ ゴシック" w:cs="ＭＳ ゴシック" w:hint="eastAsia"/>
          <w:sz w:val="19"/>
          <w:szCs w:val="19"/>
          <w:lang w:eastAsia="ja-JP"/>
        </w:rPr>
        <w:t>つの</w:t>
      </w:r>
      <w:r w:rsidRPr="0035143C">
        <w:rPr>
          <w:sz w:val="19"/>
          <w:szCs w:val="19"/>
          <w:lang w:eastAsia="ja-JP"/>
        </w:rPr>
        <w:t>T</w:t>
      </w:r>
      <w:r w:rsidRPr="0035143C">
        <w:rPr>
          <w:rFonts w:ascii="ＭＳ ゴシック" w:eastAsia="ＭＳ ゴシック" w:hAnsi="ＭＳ ゴシック" w:cs="ＭＳ ゴシック" w:hint="eastAsia"/>
          <w:sz w:val="19"/>
          <w:szCs w:val="19"/>
          <w:lang w:eastAsia="ja-JP"/>
        </w:rPr>
        <w:t>シャツ</w:t>
      </w:r>
      <w:r>
        <w:rPr>
          <w:rFonts w:ascii="ＭＳ ゴシック" w:eastAsia="ＭＳ ゴシック" w:hAnsi="ＭＳ ゴシック" w:cs="ＭＳ ゴシック" w:hint="eastAsia"/>
          <w:sz w:val="19"/>
          <w:szCs w:val="19"/>
          <w:lang w:eastAsia="ja-JP"/>
        </w:rPr>
        <w:t>製造</w:t>
      </w:r>
      <w:r w:rsidRPr="0035143C">
        <w:rPr>
          <w:rFonts w:ascii="ＭＳ ゴシック" w:eastAsia="ＭＳ ゴシック" w:hAnsi="ＭＳ ゴシック" w:cs="ＭＳ ゴシック" w:hint="eastAsia"/>
          <w:sz w:val="19"/>
          <w:szCs w:val="19"/>
          <w:lang w:eastAsia="ja-JP"/>
        </w:rPr>
        <w:t>ライン（消費者使用前のリサイクル糸を使用したラインと消費者使用後のリサイクル糸を使用したライン）について、</w:t>
      </w:r>
      <w:r>
        <w:rPr>
          <w:rFonts w:ascii="ＭＳ ゴシック" w:eastAsia="ＭＳ ゴシック" w:hAnsi="ＭＳ ゴシック" w:cs="ＭＳ ゴシック" w:hint="eastAsia"/>
          <w:sz w:val="19"/>
          <w:szCs w:val="19"/>
          <w:lang w:eastAsia="ja-JP"/>
        </w:rPr>
        <w:t>「</w:t>
      </w:r>
      <w:r w:rsidRPr="0035143C">
        <w:rPr>
          <w:rFonts w:ascii="ＭＳ ゴシック" w:eastAsia="ＭＳ ゴシック" w:hAnsi="ＭＳ ゴシック" w:cs="ＭＳ ゴシック" w:hint="eastAsia"/>
          <w:sz w:val="19"/>
          <w:szCs w:val="19"/>
          <w:lang w:eastAsia="ja-JP"/>
        </w:rPr>
        <w:t>ゆりかごから墓場まで</w:t>
      </w:r>
      <w:r>
        <w:rPr>
          <w:rFonts w:ascii="ＭＳ ゴシック" w:eastAsia="ＭＳ ゴシック" w:hAnsi="ＭＳ ゴシック" w:cs="ＭＳ ゴシック" w:hint="eastAsia"/>
          <w:sz w:val="19"/>
          <w:szCs w:val="19"/>
          <w:lang w:eastAsia="ja-JP"/>
        </w:rPr>
        <w:t>」</w:t>
      </w:r>
      <w:r w:rsidRPr="0035143C">
        <w:rPr>
          <w:rFonts w:ascii="ＭＳ ゴシック" w:eastAsia="ＭＳ ゴシック" w:hAnsi="ＭＳ ゴシック" w:cs="ＭＳ ゴシック" w:hint="eastAsia"/>
          <w:sz w:val="19"/>
          <w:szCs w:val="19"/>
          <w:lang w:eastAsia="ja-JP"/>
        </w:rPr>
        <w:t>の</w:t>
      </w:r>
      <w:r w:rsidRPr="0035143C">
        <w:rPr>
          <w:sz w:val="19"/>
          <w:szCs w:val="19"/>
          <w:lang w:eastAsia="ja-JP"/>
        </w:rPr>
        <w:t>GHG</w:t>
      </w:r>
      <w:r>
        <w:rPr>
          <w:rFonts w:ascii="ＭＳ ゴシック" w:eastAsia="ＭＳ ゴシック" w:hAnsi="ＭＳ ゴシック" w:cs="ＭＳ ゴシック" w:hint="eastAsia"/>
          <w:sz w:val="19"/>
          <w:szCs w:val="19"/>
          <w:lang w:eastAsia="ja-JP"/>
        </w:rPr>
        <w:t>算出</w:t>
      </w:r>
      <w:r w:rsidRPr="0035143C">
        <w:rPr>
          <w:rFonts w:ascii="ＭＳ ゴシック" w:eastAsia="ＭＳ ゴシック" w:hAnsi="ＭＳ ゴシック" w:cs="ＭＳ ゴシック" w:hint="eastAsia"/>
          <w:sz w:val="19"/>
          <w:szCs w:val="19"/>
          <w:lang w:eastAsia="ja-JP"/>
        </w:rPr>
        <w:t>を実施しました。</w:t>
      </w:r>
      <w:r>
        <w:rPr>
          <w:rFonts w:ascii="ＭＳ ゴシック" w:eastAsia="ＭＳ ゴシック" w:hAnsi="ＭＳ ゴシック" w:cs="ＭＳ ゴシック" w:hint="eastAsia"/>
          <w:sz w:val="19"/>
          <w:szCs w:val="19"/>
          <w:lang w:eastAsia="ja-JP"/>
        </w:rPr>
        <w:t>アンヴィル・サステイナブル</w:t>
      </w:r>
      <w:r w:rsidRPr="0035143C">
        <w:rPr>
          <w:sz w:val="19"/>
          <w:szCs w:val="19"/>
          <w:lang w:eastAsia="ja-JP"/>
        </w:rPr>
        <w:t>T</w:t>
      </w:r>
      <w:r w:rsidRPr="0035143C">
        <w:rPr>
          <w:rFonts w:ascii="ＭＳ ゴシック" w:eastAsia="ＭＳ ゴシック" w:hAnsi="ＭＳ ゴシック" w:cs="ＭＳ ゴシック" w:hint="eastAsia"/>
          <w:sz w:val="19"/>
          <w:szCs w:val="19"/>
          <w:lang w:eastAsia="ja-JP"/>
        </w:rPr>
        <w:t>シャツ</w:t>
      </w:r>
      <w:r w:rsidRPr="0035143C">
        <w:rPr>
          <w:rFonts w:ascii="ＭＳ ゴシック" w:eastAsia="ＭＳ ゴシック" w:hAnsi="ＭＳ ゴシック" w:cs="ＭＳ ゴシック" w:hint="eastAsia"/>
          <w:sz w:val="19"/>
          <w:szCs w:val="19"/>
          <w:vertAlign w:val="superscript"/>
          <w:lang w:eastAsia="ja-JP"/>
        </w:rPr>
        <w:t>TM</w:t>
      </w:r>
      <w:r w:rsidRPr="0035143C">
        <w:rPr>
          <w:rFonts w:ascii="ＭＳ ゴシック" w:eastAsia="ＭＳ ゴシック" w:hAnsi="ＭＳ ゴシック" w:cs="ＭＳ ゴシック" w:hint="eastAsia"/>
          <w:sz w:val="19"/>
          <w:szCs w:val="19"/>
          <w:lang w:eastAsia="ja-JP"/>
        </w:rPr>
        <w:t>は、</w:t>
      </w:r>
      <w:r>
        <w:rPr>
          <w:rFonts w:ascii="ＭＳ ゴシック" w:eastAsia="ＭＳ ゴシック" w:hAnsi="ＭＳ ゴシック" w:cs="ＭＳ ゴシック" w:hint="eastAsia"/>
          <w:sz w:val="19"/>
          <w:szCs w:val="19"/>
          <w:lang w:eastAsia="ja-JP"/>
        </w:rPr>
        <w:t>オーガニック</w:t>
      </w:r>
      <w:r w:rsidRPr="0035143C">
        <w:rPr>
          <w:rFonts w:ascii="ＭＳ ゴシック" w:eastAsia="ＭＳ ゴシック" w:hAnsi="ＭＳ ゴシック" w:cs="ＭＳ ゴシック" w:hint="eastAsia"/>
          <w:sz w:val="19"/>
          <w:szCs w:val="19"/>
          <w:lang w:eastAsia="ja-JP"/>
        </w:rPr>
        <w:t>コットンとリサイクルポリエステル（ペットボトルからのリサイクル）の混紡で作られています。</w:t>
      </w:r>
      <w:r>
        <w:rPr>
          <w:rFonts w:ascii="ＭＳ ゴシック" w:eastAsia="ＭＳ ゴシック" w:hAnsi="ＭＳ ゴシック" w:cs="ＭＳ ゴシック" w:hint="eastAsia"/>
          <w:sz w:val="19"/>
          <w:szCs w:val="19"/>
          <w:lang w:eastAsia="ja-JP"/>
        </w:rPr>
        <w:t>アンヴィル・リサイクル</w:t>
      </w:r>
      <w:r w:rsidRPr="0035143C">
        <w:rPr>
          <w:sz w:val="19"/>
          <w:szCs w:val="19"/>
          <w:lang w:eastAsia="ja-JP"/>
        </w:rPr>
        <w:t>® T</w:t>
      </w:r>
      <w:r w:rsidRPr="0035143C">
        <w:rPr>
          <w:rFonts w:ascii="ＭＳ ゴシック" w:eastAsia="ＭＳ ゴシック" w:hAnsi="ＭＳ ゴシック" w:cs="ＭＳ ゴシック" w:hint="eastAsia"/>
          <w:sz w:val="19"/>
          <w:szCs w:val="19"/>
          <w:lang w:eastAsia="ja-JP"/>
        </w:rPr>
        <w:t>シャツは、</w:t>
      </w:r>
      <w:r w:rsidRPr="0035143C">
        <w:rPr>
          <w:sz w:val="19"/>
          <w:szCs w:val="19"/>
          <w:lang w:eastAsia="ja-JP"/>
        </w:rPr>
        <w:t xml:space="preserve"> </w:t>
      </w:r>
      <w:r w:rsidRPr="0035143C">
        <w:rPr>
          <w:rFonts w:ascii="ＭＳ ゴシック" w:eastAsia="ＭＳ ゴシック" w:hAnsi="ＭＳ ゴシック" w:cs="ＭＳ ゴシック" w:hint="eastAsia"/>
          <w:sz w:val="19"/>
          <w:szCs w:val="19"/>
          <w:lang w:eastAsia="ja-JP"/>
        </w:rPr>
        <w:t>繊維の裁断・縫製工程で発生する繊維くずをリサイクルして紡いだ糸から生産されています。また、</w:t>
      </w:r>
      <w:r w:rsidRPr="0035143C">
        <w:rPr>
          <w:sz w:val="19"/>
          <w:szCs w:val="19"/>
          <w:lang w:eastAsia="ja-JP"/>
        </w:rPr>
        <w:t xml:space="preserve"> </w:t>
      </w:r>
      <w:r w:rsidR="00DE6FDA">
        <w:rPr>
          <w:rFonts w:ascii="ＭＳ ゴシック" w:eastAsia="ＭＳ ゴシック" w:hAnsi="ＭＳ ゴシック" w:cs="ＭＳ ゴシック" w:hint="eastAsia"/>
          <w:sz w:val="19"/>
          <w:szCs w:val="19"/>
          <w:lang w:eastAsia="ja-JP"/>
        </w:rPr>
        <w:t>アンヴィル・リサイクル</w:t>
      </w:r>
      <w:r w:rsidRPr="0035143C">
        <w:rPr>
          <w:sz w:val="19"/>
          <w:szCs w:val="19"/>
          <w:lang w:eastAsia="ja-JP"/>
        </w:rPr>
        <w:t>® T</w:t>
      </w:r>
      <w:r w:rsidRPr="0035143C">
        <w:rPr>
          <w:rFonts w:ascii="ＭＳ ゴシック" w:eastAsia="ＭＳ ゴシック" w:hAnsi="ＭＳ ゴシック" w:cs="ＭＳ ゴシック" w:hint="eastAsia"/>
          <w:sz w:val="19"/>
          <w:szCs w:val="19"/>
          <w:lang w:eastAsia="ja-JP"/>
        </w:rPr>
        <w:t>シャツの裁断・縫製工程で発生する裁ち屑は、リサイクル原料として販売されています。</w:t>
      </w:r>
    </w:p>
    <w:p w14:paraId="5F468ED4" w14:textId="00848C01" w:rsidR="0055291C" w:rsidRPr="00DE6FDA" w:rsidRDefault="0044516B" w:rsidP="0044516B">
      <w:pPr>
        <w:spacing w:before="50" w:line="276" w:lineRule="auto"/>
        <w:ind w:left="1383" w:right="191" w:firstLineChars="100" w:firstLine="190"/>
        <w:rPr>
          <w:sz w:val="19"/>
          <w:szCs w:val="19"/>
          <w:lang w:eastAsia="ja-JP"/>
        </w:rPr>
      </w:pPr>
      <w:r>
        <w:rPr>
          <w:rFonts w:ascii="ＭＳ ゴシック" w:eastAsia="ＭＳ ゴシック" w:hAnsi="ＭＳ ゴシック" w:cs="ＭＳ ゴシック" w:hint="eastAsia"/>
          <w:noProof/>
          <w:sz w:val="19"/>
          <w:szCs w:val="19"/>
          <w:lang w:eastAsia="ja-JP"/>
        </w:rPr>
        <mc:AlternateContent>
          <mc:Choice Requires="wps">
            <w:drawing>
              <wp:anchor distT="0" distB="0" distL="114300" distR="114300" simplePos="0" relativeHeight="251494912" behindDoc="0" locked="0" layoutInCell="1" allowOverlap="1" wp14:anchorId="77FBA0B5" wp14:editId="27C46AB3">
                <wp:simplePos x="0" y="0"/>
                <wp:positionH relativeFrom="column">
                  <wp:posOffset>3949700</wp:posOffset>
                </wp:positionH>
                <wp:positionV relativeFrom="paragraph">
                  <wp:posOffset>731520</wp:posOffset>
                </wp:positionV>
                <wp:extent cx="1676400" cy="1447800"/>
                <wp:effectExtent l="0" t="0" r="0" b="0"/>
                <wp:wrapNone/>
                <wp:docPr id="29" name="テキスト ボックス 29"/>
                <wp:cNvGraphicFramePr/>
                <a:graphic xmlns:a="http://schemas.openxmlformats.org/drawingml/2006/main">
                  <a:graphicData uri="http://schemas.microsoft.com/office/word/2010/wordprocessingShape">
                    <wps:wsp>
                      <wps:cNvSpPr txBox="1"/>
                      <wps:spPr>
                        <a:xfrm>
                          <a:off x="0" y="0"/>
                          <a:ext cx="1676400" cy="1447800"/>
                        </a:xfrm>
                        <a:prstGeom prst="rect">
                          <a:avLst/>
                        </a:prstGeom>
                        <a:noFill/>
                        <a:ln w="6350">
                          <a:noFill/>
                        </a:ln>
                      </wps:spPr>
                      <wps:txbx>
                        <w:txbxContent>
                          <w:p w14:paraId="280713B4" w14:textId="0675FB6B" w:rsidR="0044516B" w:rsidRPr="0044516B" w:rsidRDefault="0044516B">
                            <w:pPr>
                              <w:rPr>
                                <w:rFonts w:ascii="ＭＳ ゴシック" w:eastAsia="ＭＳ ゴシック" w:hAnsi="ＭＳ ゴシック"/>
                                <w:sz w:val="24"/>
                                <w:szCs w:val="24"/>
                                <w:lang w:eastAsia="ja-JP"/>
                              </w:rPr>
                            </w:pPr>
                            <w:r w:rsidRPr="0044516B">
                              <w:rPr>
                                <w:rFonts w:ascii="ＭＳ ゴシック" w:eastAsia="ＭＳ ゴシック" w:hAnsi="ＭＳ ゴシック" w:cs="ＭＳ ゴシック" w:hint="eastAsia"/>
                                <w:color w:val="00ACA1"/>
                                <w:w w:val="95"/>
                                <w:sz w:val="24"/>
                                <w:szCs w:val="24"/>
                                <w:lang w:eastAsia="ja-JP"/>
                              </w:rPr>
                              <w:t>アンヴィル・リサイクル</w:t>
                            </w:r>
                            <w:r w:rsidRPr="0044516B">
                              <w:rPr>
                                <w:rFonts w:ascii="ＭＳ ゴシック" w:eastAsia="ＭＳ ゴシック" w:hAnsi="ＭＳ ゴシック"/>
                                <w:color w:val="00ACA1"/>
                                <w:w w:val="95"/>
                                <w:sz w:val="24"/>
                                <w:szCs w:val="24"/>
                                <w:lang w:eastAsia="ja-JP"/>
                              </w:rPr>
                              <w:t>®T</w:t>
                            </w:r>
                            <w:r w:rsidRPr="0044516B">
                              <w:rPr>
                                <w:rFonts w:ascii="ＭＳ ゴシック" w:eastAsia="ＭＳ ゴシック" w:hAnsi="ＭＳ ゴシック" w:cs="ＭＳ ゴシック" w:hint="eastAsia"/>
                                <w:color w:val="00ACA1"/>
                                <w:w w:val="95"/>
                                <w:sz w:val="24"/>
                                <w:szCs w:val="24"/>
                                <w:lang w:eastAsia="ja-JP"/>
                              </w:rPr>
                              <w:t>シャツ</w:t>
                            </w:r>
                            <w:r w:rsidRPr="0044516B">
                              <w:rPr>
                                <w:rFonts w:ascii="ＭＳ ゴシック" w:eastAsia="ＭＳ ゴシック" w:hAnsi="ＭＳ ゴシック" w:cs="ＭＳ 明朝" w:hint="eastAsia"/>
                                <w:color w:val="00ACA1"/>
                                <w:w w:val="95"/>
                                <w:sz w:val="24"/>
                                <w:szCs w:val="24"/>
                                <w:lang w:eastAsia="ja-JP"/>
                              </w:rPr>
                              <w:t>の</w:t>
                            </w:r>
                            <w:r w:rsidRPr="0044516B">
                              <w:rPr>
                                <w:rFonts w:ascii="ＭＳ ゴシック" w:eastAsia="ＭＳ ゴシック" w:hAnsi="ＭＳ ゴシック"/>
                                <w:color w:val="00ACA1"/>
                                <w:w w:val="95"/>
                                <w:sz w:val="24"/>
                                <w:szCs w:val="24"/>
                                <w:lang w:eastAsia="ja-JP"/>
                              </w:rPr>
                              <w:t>GHG</w:t>
                            </w:r>
                            <w:r w:rsidRPr="0044516B">
                              <w:rPr>
                                <w:rFonts w:ascii="ＭＳ ゴシック" w:eastAsia="ＭＳ ゴシック" w:hAnsi="ＭＳ ゴシック" w:cs="ＭＳ 明朝" w:hint="eastAsia"/>
                                <w:color w:val="00ACA1"/>
                                <w:w w:val="95"/>
                                <w:sz w:val="24"/>
                                <w:szCs w:val="24"/>
                                <w:lang w:eastAsia="ja-JP"/>
                              </w:rPr>
                              <w:t>排出量は、バージン糸の排出係数を仮定して実施した排出量に比べ、大幅に削減されました。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BA0B5" id="テキスト ボックス 29" o:spid="_x0000_s1127" type="#_x0000_t202" style="position:absolute;left:0;text-align:left;margin-left:311pt;margin-top:57.6pt;width:132pt;height:114pt;z-index:2514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" filled="f" stroked="f" strokeweight=".5pt">
                <v:textbox>
                  <w:txbxContent>
                    <w:p w14:paraId="280713B4" w14:textId="0675FB6B" w:rsidR="0044516B" w:rsidRPr="0044516B" w:rsidRDefault="0044516B">
                      <w:pPr>
                        <w:rPr>
                          <w:rFonts w:ascii="ＭＳ ゴシック" w:eastAsia="ＭＳ ゴシック" w:hAnsi="ＭＳ ゴシック"/>
                          <w:sz w:val="24"/>
                          <w:szCs w:val="24"/>
                          <w:lang w:eastAsia="ja-JP"/>
                        </w:rPr>
                      </w:pPr>
                      <w:r w:rsidRPr="0044516B">
                        <w:rPr>
                          <w:rFonts w:ascii="ＭＳ ゴシック" w:eastAsia="ＭＳ ゴシック" w:hAnsi="ＭＳ ゴシック" w:cs="ＭＳ ゴシック" w:hint="eastAsia"/>
                          <w:color w:val="00ACA1"/>
                          <w:w w:val="95"/>
                          <w:sz w:val="24"/>
                          <w:szCs w:val="24"/>
                          <w:lang w:eastAsia="ja-JP"/>
                        </w:rPr>
                        <w:t>アンヴィル・リサイクル</w:t>
                      </w:r>
                      <w:r w:rsidRPr="0044516B">
                        <w:rPr>
                          <w:rFonts w:ascii="ＭＳ ゴシック" w:eastAsia="ＭＳ ゴシック" w:hAnsi="ＭＳ ゴシック"/>
                          <w:color w:val="00ACA1"/>
                          <w:w w:val="95"/>
                          <w:sz w:val="24"/>
                          <w:szCs w:val="24"/>
                          <w:lang w:eastAsia="ja-JP"/>
                        </w:rPr>
                        <w:t>®T</w:t>
                      </w:r>
                      <w:r w:rsidRPr="0044516B">
                        <w:rPr>
                          <w:rFonts w:ascii="ＭＳ ゴシック" w:eastAsia="ＭＳ ゴシック" w:hAnsi="ＭＳ ゴシック" w:cs="ＭＳ ゴシック" w:hint="eastAsia"/>
                          <w:color w:val="00ACA1"/>
                          <w:w w:val="95"/>
                          <w:sz w:val="24"/>
                          <w:szCs w:val="24"/>
                          <w:lang w:eastAsia="ja-JP"/>
                        </w:rPr>
                        <w:t>シャツ</w:t>
                      </w:r>
                      <w:r w:rsidRPr="0044516B">
                        <w:rPr>
                          <w:rFonts w:ascii="ＭＳ ゴシック" w:eastAsia="ＭＳ ゴシック" w:hAnsi="ＭＳ ゴシック" w:cs="ＭＳ 明朝" w:hint="eastAsia"/>
                          <w:color w:val="00ACA1"/>
                          <w:w w:val="95"/>
                          <w:sz w:val="24"/>
                          <w:szCs w:val="24"/>
                          <w:lang w:eastAsia="ja-JP"/>
                        </w:rPr>
                        <w:t>の</w:t>
                      </w:r>
                      <w:r w:rsidRPr="0044516B">
                        <w:rPr>
                          <w:rFonts w:ascii="ＭＳ ゴシック" w:eastAsia="ＭＳ ゴシック" w:hAnsi="ＭＳ ゴシック"/>
                          <w:color w:val="00ACA1"/>
                          <w:w w:val="95"/>
                          <w:sz w:val="24"/>
                          <w:szCs w:val="24"/>
                          <w:lang w:eastAsia="ja-JP"/>
                        </w:rPr>
                        <w:t>GHG</w:t>
                      </w:r>
                      <w:r w:rsidRPr="0044516B">
                        <w:rPr>
                          <w:rFonts w:ascii="ＭＳ ゴシック" w:eastAsia="ＭＳ ゴシック" w:hAnsi="ＭＳ ゴシック" w:cs="ＭＳ 明朝" w:hint="eastAsia"/>
                          <w:color w:val="00ACA1"/>
                          <w:w w:val="95"/>
                          <w:sz w:val="24"/>
                          <w:szCs w:val="24"/>
                          <w:lang w:eastAsia="ja-JP"/>
                        </w:rPr>
                        <w:t>排出量は、バージン糸の排出係数を仮定して実施した排出量に比べ、大幅に削減されました。</w:t>
                      </w:r>
                    </w:p>
                  </w:txbxContent>
                </v:textbox>
              </v:shape>
            </w:pict>
          </mc:Fallback>
        </mc:AlternateContent>
      </w:r>
      <w:r w:rsidR="00DE6FDA">
        <w:rPr>
          <w:rFonts w:ascii="ＭＳ ゴシック" w:eastAsia="ＭＳ ゴシック" w:hAnsi="ＭＳ ゴシック" w:cs="ＭＳ ゴシック" w:hint="eastAsia"/>
          <w:sz w:val="19"/>
          <w:szCs w:val="19"/>
          <w:lang w:eastAsia="ja-JP"/>
        </w:rPr>
        <w:t>アンヴィル・サステイナブル</w:t>
      </w:r>
      <w:r w:rsidR="00DE6FDA" w:rsidRPr="00DE6FDA">
        <w:rPr>
          <w:sz w:val="19"/>
          <w:szCs w:val="19"/>
          <w:vertAlign w:val="superscript"/>
          <w:lang w:eastAsia="ja-JP"/>
        </w:rPr>
        <w:t>TM</w:t>
      </w:r>
      <w:r w:rsidR="00DE6FDA" w:rsidRPr="00DE6FDA">
        <w:rPr>
          <w:sz w:val="19"/>
          <w:szCs w:val="19"/>
          <w:lang w:eastAsia="ja-JP"/>
        </w:rPr>
        <w:t xml:space="preserve"> T</w:t>
      </w:r>
      <w:r w:rsidR="00DE6FDA" w:rsidRPr="00DE6FDA">
        <w:rPr>
          <w:rFonts w:ascii="ＭＳ ゴシック" w:eastAsia="ＭＳ ゴシック" w:hAnsi="ＭＳ ゴシック" w:cs="ＭＳ ゴシック" w:hint="eastAsia"/>
          <w:sz w:val="19"/>
          <w:szCs w:val="19"/>
          <w:lang w:eastAsia="ja-JP"/>
        </w:rPr>
        <w:t>シャツは、リサイクルされたペットボトルから作られたポリエチレンテレフタレート</w:t>
      </w:r>
      <w:r w:rsidR="00DE6FDA" w:rsidRPr="00DE6FDA">
        <w:rPr>
          <w:sz w:val="19"/>
          <w:szCs w:val="19"/>
          <w:lang w:eastAsia="ja-JP"/>
        </w:rPr>
        <w:t xml:space="preserve"> </w:t>
      </w:r>
      <w:r w:rsidR="00DE6FDA" w:rsidRPr="00DE6FDA">
        <w:rPr>
          <w:rFonts w:ascii="ＭＳ ゴシック" w:eastAsia="ＭＳ ゴシック" w:hAnsi="ＭＳ ゴシック" w:cs="ＭＳ ゴシック" w:hint="eastAsia"/>
          <w:sz w:val="19"/>
          <w:szCs w:val="19"/>
          <w:lang w:eastAsia="ja-JP"/>
        </w:rPr>
        <w:t>（</w:t>
      </w:r>
      <w:r w:rsidR="00DE6FDA" w:rsidRPr="00DE6FDA">
        <w:rPr>
          <w:sz w:val="19"/>
          <w:szCs w:val="19"/>
          <w:lang w:eastAsia="ja-JP"/>
        </w:rPr>
        <w:t>PET</w:t>
      </w:r>
      <w:r w:rsidR="00DE6FDA" w:rsidRPr="00DE6FDA">
        <w:rPr>
          <w:rFonts w:ascii="ＭＳ ゴシック" w:eastAsia="ＭＳ ゴシック" w:hAnsi="ＭＳ ゴシック" w:cs="ＭＳ ゴシック" w:hint="eastAsia"/>
          <w:sz w:val="19"/>
          <w:szCs w:val="19"/>
          <w:lang w:eastAsia="ja-JP"/>
        </w:rPr>
        <w:t>）を</w:t>
      </w:r>
      <w:r w:rsidR="00DE6FDA" w:rsidRPr="00DE6FDA">
        <w:rPr>
          <w:sz w:val="19"/>
          <w:szCs w:val="19"/>
          <w:lang w:eastAsia="ja-JP"/>
        </w:rPr>
        <w:t>50</w:t>
      </w:r>
      <w:r w:rsidR="00DE6FDA" w:rsidRPr="00DE6FDA">
        <w:rPr>
          <w:rFonts w:ascii="ＭＳ ゴシック" w:eastAsia="ＭＳ ゴシック" w:hAnsi="ＭＳ ゴシック" w:cs="ＭＳ ゴシック" w:hint="eastAsia"/>
          <w:sz w:val="19"/>
          <w:szCs w:val="19"/>
          <w:lang w:eastAsia="ja-JP"/>
        </w:rPr>
        <w:t>％含んでおり、使用後は通常の埋立地に廃棄されると想定しています。使用済みの</w:t>
      </w:r>
      <w:r w:rsidR="00DE6FDA" w:rsidRPr="00DE6FDA">
        <w:rPr>
          <w:sz w:val="19"/>
          <w:szCs w:val="19"/>
          <w:lang w:eastAsia="ja-JP"/>
        </w:rPr>
        <w:t>PET</w:t>
      </w:r>
      <w:r w:rsidR="00DE6FDA" w:rsidRPr="00DE6FDA">
        <w:rPr>
          <w:rFonts w:ascii="ＭＳ ゴシック" w:eastAsia="ＭＳ ゴシック" w:hAnsi="ＭＳ ゴシック" w:cs="ＭＳ ゴシック" w:hint="eastAsia"/>
          <w:sz w:val="19"/>
          <w:szCs w:val="19"/>
          <w:lang w:eastAsia="ja-JP"/>
        </w:rPr>
        <w:t>はリサイクルされないため、</w:t>
      </w:r>
      <w:r w:rsidR="00DE6FDA">
        <w:rPr>
          <w:rFonts w:ascii="ＭＳ ゴシック" w:eastAsia="ＭＳ ゴシック" w:hAnsi="ＭＳ ゴシック" w:cs="ＭＳ ゴシック" w:hint="eastAsia"/>
          <w:sz w:val="19"/>
          <w:szCs w:val="19"/>
          <w:lang w:eastAsia="ja-JP"/>
        </w:rPr>
        <w:t>アンヴィル</w:t>
      </w:r>
      <w:r w:rsidR="00DE6FDA" w:rsidRPr="00DE6FDA">
        <w:rPr>
          <w:rFonts w:ascii="ＭＳ ゴシック" w:eastAsia="ＭＳ ゴシック" w:hAnsi="ＭＳ ゴシック" w:cs="ＭＳ ゴシック" w:hint="eastAsia"/>
          <w:sz w:val="19"/>
          <w:szCs w:val="19"/>
          <w:lang w:eastAsia="ja-JP"/>
        </w:rPr>
        <w:t>はリサイクル</w:t>
      </w:r>
      <w:r w:rsidR="00DE6FDA">
        <w:rPr>
          <w:rFonts w:ascii="ＭＳ ゴシック" w:eastAsia="ＭＳ ゴシック" w:hAnsi="ＭＳ ゴシック" w:cs="ＭＳ ゴシック" w:hint="eastAsia"/>
          <w:sz w:val="19"/>
          <w:szCs w:val="19"/>
          <w:lang w:eastAsia="ja-JP"/>
        </w:rPr>
        <w:t>含有</w:t>
      </w:r>
      <w:r w:rsidR="00DE6FDA" w:rsidRPr="00DE6FDA">
        <w:rPr>
          <w:rFonts w:ascii="ＭＳ ゴシック" w:eastAsia="ＭＳ ゴシック" w:hAnsi="ＭＳ ゴシック" w:cs="ＭＳ ゴシック" w:hint="eastAsia"/>
          <w:sz w:val="19"/>
          <w:szCs w:val="19"/>
          <w:lang w:eastAsia="ja-JP"/>
        </w:rPr>
        <w:t>率法を用いてリサイクル</w:t>
      </w:r>
      <w:r w:rsidR="00DE6FDA" w:rsidRPr="00DE6FDA">
        <w:rPr>
          <w:sz w:val="19"/>
          <w:szCs w:val="19"/>
          <w:lang w:eastAsia="ja-JP"/>
        </w:rPr>
        <w:t>PET</w:t>
      </w:r>
      <w:r w:rsidR="00DE6FDA" w:rsidRPr="00DE6FDA">
        <w:rPr>
          <w:rFonts w:ascii="ＭＳ ゴシック" w:eastAsia="ＭＳ ゴシック" w:hAnsi="ＭＳ ゴシック" w:cs="ＭＳ ゴシック" w:hint="eastAsia"/>
          <w:sz w:val="19"/>
          <w:szCs w:val="19"/>
          <w:lang w:eastAsia="ja-JP"/>
        </w:rPr>
        <w:t>の投入量を計算しました。</w:t>
      </w:r>
      <w:r w:rsidR="00DE6FDA" w:rsidRPr="00DE6FDA">
        <w:rPr>
          <w:sz w:val="19"/>
          <w:szCs w:val="19"/>
          <w:lang w:eastAsia="ja-JP"/>
        </w:rPr>
        <w:t xml:space="preserve"> </w:t>
      </w:r>
      <w:r w:rsidR="00DE6FDA" w:rsidRPr="00DE6FDA">
        <w:rPr>
          <w:rFonts w:ascii="ＭＳ ゴシック" w:eastAsia="ＭＳ ゴシック" w:hAnsi="ＭＳ ゴシック" w:cs="ＭＳ ゴシック" w:hint="eastAsia"/>
          <w:sz w:val="19"/>
          <w:szCs w:val="19"/>
          <w:lang w:eastAsia="ja-JP"/>
        </w:rPr>
        <w:t>リサイクル</w:t>
      </w:r>
      <w:r w:rsidR="00DE6FDA" w:rsidRPr="00DE6FDA">
        <w:rPr>
          <w:sz w:val="19"/>
          <w:szCs w:val="19"/>
          <w:lang w:eastAsia="ja-JP"/>
        </w:rPr>
        <w:t>PET</w:t>
      </w:r>
      <w:r w:rsidR="00DE6FDA" w:rsidRPr="00DE6FDA">
        <w:rPr>
          <w:rFonts w:ascii="ＭＳ ゴシック" w:eastAsia="ＭＳ ゴシック" w:hAnsi="ＭＳ ゴシック" w:cs="ＭＳ ゴシック" w:hint="eastAsia"/>
          <w:sz w:val="19"/>
          <w:szCs w:val="19"/>
          <w:lang w:eastAsia="ja-JP"/>
        </w:rPr>
        <w:t>の原料調達と前処理には、</w:t>
      </w:r>
      <w:r w:rsidR="00DE6FDA" w:rsidRPr="00DE6FDA">
        <w:rPr>
          <w:sz w:val="19"/>
          <w:szCs w:val="19"/>
          <w:lang w:eastAsia="ja-JP"/>
        </w:rPr>
        <w:t>PET</w:t>
      </w:r>
      <w:r w:rsidR="00DE6FDA" w:rsidRPr="00DE6FDA">
        <w:rPr>
          <w:rFonts w:ascii="ＭＳ ゴシック" w:eastAsia="ＭＳ ゴシック" w:hAnsi="ＭＳ ゴシック" w:cs="ＭＳ ゴシック" w:hint="eastAsia"/>
          <w:sz w:val="19"/>
          <w:szCs w:val="19"/>
          <w:lang w:eastAsia="ja-JP"/>
        </w:rPr>
        <w:t>ボトルの回収、選別、剥離などの工程があります。</w:t>
      </w:r>
    </w:p>
    <w:p w14:paraId="753457A3" w14:textId="57C9A2EE" w:rsidR="0055291C" w:rsidRDefault="00F23C61" w:rsidP="0044516B">
      <w:pPr>
        <w:spacing w:before="102" w:line="276" w:lineRule="auto"/>
        <w:ind w:left="344" w:right="1483"/>
        <w:rPr>
          <w:sz w:val="18"/>
          <w:lang w:eastAsia="ja-JP"/>
        </w:rPr>
      </w:pPr>
      <w:r>
        <w:rPr>
          <w:lang w:eastAsia="ja-JP"/>
        </w:rPr>
        <w:br w:type="column"/>
      </w:r>
      <w:r w:rsidR="009B4602" w:rsidRPr="00BD122E">
        <w:rPr>
          <w:rFonts w:ascii="ＭＳ ゴシック" w:eastAsia="ＭＳ ゴシック" w:hAnsi="ＭＳ ゴシック" w:cs="ＭＳ ゴシック" w:hint="eastAsia"/>
          <w:sz w:val="19"/>
          <w:szCs w:val="19"/>
          <w:lang w:eastAsia="ja-JP"/>
        </w:rPr>
        <w:t>保守的なアプローチをとりました。しかし、この規格が提供する追加ガイダンスとロードテストの過程で、アンヴィル・リサイクル</w:t>
      </w:r>
      <w:r w:rsidR="009B4602" w:rsidRPr="00BD122E">
        <w:rPr>
          <w:sz w:val="19"/>
          <w:szCs w:val="19"/>
          <w:lang w:eastAsia="ja-JP"/>
        </w:rPr>
        <w:t xml:space="preserve">® T </w:t>
      </w:r>
      <w:r w:rsidR="009B4602" w:rsidRPr="00BD122E">
        <w:rPr>
          <w:rFonts w:ascii="ＭＳ ゴシック" w:eastAsia="ＭＳ ゴシック" w:hAnsi="ＭＳ ゴシック" w:cs="ＭＳ ゴシック" w:hint="eastAsia"/>
          <w:sz w:val="19"/>
          <w:szCs w:val="19"/>
          <w:lang w:eastAsia="ja-JP"/>
        </w:rPr>
        <w:t>シャツにはリサイクル含有量法も適切であると判断されました。</w:t>
      </w:r>
      <w:r w:rsidR="00BD122E" w:rsidRPr="00BD122E">
        <w:rPr>
          <w:rFonts w:ascii="ＭＳ ゴシック" w:eastAsia="ＭＳ ゴシック" w:hAnsi="ＭＳ ゴシック" w:cs="ＭＳ ゴシック" w:hint="eastAsia"/>
          <w:color w:val="545456"/>
          <w:sz w:val="19"/>
          <w:szCs w:val="19"/>
          <w:lang w:eastAsia="ja-JP"/>
        </w:rPr>
        <w:t>アンヴィルは、リサイクルされた繊維の切り抜きから作られた糸の入手と前処理に、輸送、洗浄、製造を帰属工程に含めて、リサイクル</w:t>
      </w:r>
      <w:r w:rsidR="00BD122E">
        <w:rPr>
          <w:rFonts w:ascii="ＭＳ ゴシック" w:eastAsia="ＭＳ ゴシック" w:hAnsi="ＭＳ ゴシック" w:cs="ＭＳ ゴシック" w:hint="eastAsia"/>
          <w:color w:val="545456"/>
          <w:sz w:val="19"/>
          <w:szCs w:val="19"/>
          <w:lang w:eastAsia="ja-JP"/>
        </w:rPr>
        <w:t>含有率</w:t>
      </w:r>
      <w:r w:rsidR="00BD122E" w:rsidRPr="00BD122E">
        <w:rPr>
          <w:rFonts w:ascii="ＭＳ ゴシック" w:eastAsia="ＭＳ ゴシック" w:hAnsi="ＭＳ ゴシック" w:cs="ＭＳ ゴシック" w:hint="eastAsia"/>
          <w:color w:val="545456"/>
          <w:sz w:val="19"/>
          <w:szCs w:val="19"/>
          <w:lang w:eastAsia="ja-JP"/>
        </w:rPr>
        <w:t>法を実施しました。</w:t>
      </w:r>
      <w:r w:rsidR="00BD122E" w:rsidRPr="00BD122E">
        <w:rPr>
          <w:rFonts w:ascii="ＭＳ ゴシック" w:eastAsia="ＭＳ ゴシック" w:hAnsi="ＭＳ ゴシック" w:cs="ＭＳ ゴシック" w:hint="eastAsia"/>
          <w:color w:val="545456"/>
          <w:sz w:val="18"/>
          <w:lang w:eastAsia="ja-JP"/>
        </w:rPr>
        <w:t>また、カットソー事業から排出される端材は、他の製品ライフサイクルのリサイクル原料として使用されるため、廃棄物処理に起因する工程はないと仮定しています。</w:t>
      </w:r>
      <w:r w:rsidR="00BD122E">
        <w:rPr>
          <w:rFonts w:ascii="ＭＳ ゴシック" w:eastAsia="ＭＳ ゴシック" w:hAnsi="ＭＳ ゴシック" w:cs="ＭＳ ゴシック" w:hint="eastAsia"/>
          <w:color w:val="545456"/>
          <w:sz w:val="18"/>
          <w:lang w:eastAsia="ja-JP"/>
        </w:rPr>
        <w:t>アンヴィル・リサイクル</w:t>
      </w:r>
      <w:r w:rsidR="00BD122E" w:rsidRPr="00BD122E">
        <w:rPr>
          <w:color w:val="545456"/>
          <w:sz w:val="18"/>
          <w:lang w:eastAsia="ja-JP"/>
        </w:rPr>
        <w:t>®T</w:t>
      </w:r>
      <w:r w:rsidR="00BD122E" w:rsidRPr="00BD122E">
        <w:rPr>
          <w:rFonts w:ascii="ＭＳ ゴシック" w:eastAsia="ＭＳ ゴシック" w:hAnsi="ＭＳ ゴシック" w:cs="ＭＳ ゴシック" w:hint="eastAsia"/>
          <w:color w:val="545456"/>
          <w:sz w:val="18"/>
          <w:lang w:eastAsia="ja-JP"/>
        </w:rPr>
        <w:t>シャツの</w:t>
      </w:r>
      <w:r w:rsidR="00BD122E" w:rsidRPr="00BD122E">
        <w:rPr>
          <w:color w:val="545456"/>
          <w:sz w:val="18"/>
          <w:lang w:eastAsia="ja-JP"/>
        </w:rPr>
        <w:t>GHG</w:t>
      </w:r>
      <w:r w:rsidR="00BD122E">
        <w:rPr>
          <w:rFonts w:ascii="ＭＳ ゴシック" w:eastAsia="ＭＳ ゴシック" w:hAnsi="ＭＳ ゴシック" w:cs="ＭＳ ゴシック" w:hint="eastAsia"/>
          <w:color w:val="545456"/>
          <w:sz w:val="18"/>
          <w:lang w:eastAsia="ja-JP"/>
        </w:rPr>
        <w:t>算出</w:t>
      </w:r>
      <w:r w:rsidR="00BD122E" w:rsidRPr="00BD122E">
        <w:rPr>
          <w:rFonts w:ascii="ＭＳ ゴシック" w:eastAsia="ＭＳ ゴシック" w:hAnsi="ＭＳ ゴシック" w:cs="ＭＳ ゴシック" w:hint="eastAsia"/>
          <w:color w:val="545456"/>
          <w:sz w:val="18"/>
          <w:lang w:eastAsia="ja-JP"/>
        </w:rPr>
        <w:t>は、リサイクル素材を使用することで、バージン糸の排出係数を仮定した</w:t>
      </w:r>
      <w:r w:rsidR="00BD122E">
        <w:rPr>
          <w:rFonts w:ascii="ＭＳ ゴシック" w:eastAsia="ＭＳ ゴシック" w:hAnsi="ＭＳ ゴシック" w:cs="ＭＳ ゴシック" w:hint="eastAsia"/>
          <w:color w:val="545456"/>
          <w:sz w:val="18"/>
          <w:lang w:eastAsia="ja-JP"/>
        </w:rPr>
        <w:t>排出量</w:t>
      </w:r>
      <w:r w:rsidR="00BD122E" w:rsidRPr="00BD122E">
        <w:rPr>
          <w:rFonts w:ascii="ＭＳ ゴシック" w:eastAsia="ＭＳ ゴシック" w:hAnsi="ＭＳ ゴシック" w:cs="ＭＳ ゴシック" w:hint="eastAsia"/>
          <w:color w:val="545456"/>
          <w:sz w:val="18"/>
          <w:lang w:eastAsia="ja-JP"/>
        </w:rPr>
        <w:t>に比べて大幅に削減されました。この規格で提供される追加的な具体性により、</w:t>
      </w:r>
      <w:r w:rsidR="00BD122E">
        <w:rPr>
          <w:rFonts w:ascii="ＭＳ ゴシック" w:eastAsia="ＭＳ ゴシック" w:hAnsi="ＭＳ ゴシック" w:cs="ＭＳ ゴシック" w:hint="eastAsia"/>
          <w:color w:val="545456"/>
          <w:sz w:val="18"/>
          <w:lang w:eastAsia="ja-JP"/>
        </w:rPr>
        <w:t>アンヴィル</w:t>
      </w:r>
      <w:r w:rsidR="00BD122E" w:rsidRPr="00BD122E">
        <w:rPr>
          <w:rFonts w:ascii="ＭＳ ゴシック" w:eastAsia="ＭＳ ゴシック" w:hAnsi="ＭＳ ゴシック" w:cs="ＭＳ ゴシック" w:hint="eastAsia"/>
          <w:color w:val="545456"/>
          <w:sz w:val="18"/>
          <w:lang w:eastAsia="ja-JP"/>
        </w:rPr>
        <w:t>は確立され、受け入れられているリサイクル配分方法を使用しているという確信を持つことができました。</w:t>
      </w:r>
    </w:p>
    <w:p w14:paraId="7412F396" w14:textId="77777777" w:rsidR="0055291C" w:rsidRDefault="0055291C" w:rsidP="0044516B">
      <w:pPr>
        <w:spacing w:line="276" w:lineRule="auto"/>
        <w:rPr>
          <w:sz w:val="18"/>
          <w:lang w:eastAsia="ja-JP"/>
        </w:rPr>
        <w:sectPr w:rsidR="0055291C">
          <w:type w:val="continuous"/>
          <w:pgSz w:w="12240" w:h="15840"/>
          <w:pgMar w:top="740" w:right="0" w:bottom="280" w:left="0" w:header="0" w:footer="859" w:gutter="0"/>
          <w:cols w:num="2" w:space="720" w:equalWidth="0">
            <w:col w:w="5900" w:space="40"/>
            <w:col w:w="6300"/>
          </w:cols>
        </w:sectPr>
      </w:pPr>
    </w:p>
    <w:p w14:paraId="245E0A3B" w14:textId="61D01678" w:rsidR="0055291C" w:rsidRDefault="009B4602" w:rsidP="0044516B">
      <w:pPr>
        <w:spacing w:before="3" w:line="276" w:lineRule="auto"/>
        <w:ind w:left="1383" w:right="53" w:firstLineChars="100" w:firstLine="180"/>
        <w:rPr>
          <w:sz w:val="18"/>
          <w:lang w:eastAsia="ja-JP"/>
        </w:rPr>
      </w:pPr>
      <w:r w:rsidRPr="009B4602">
        <w:rPr>
          <w:rFonts w:ascii="ＭＳ ゴシック" w:eastAsia="ＭＳ ゴシック" w:hAnsi="ＭＳ ゴシック" w:cs="ＭＳ ゴシック" w:hint="eastAsia"/>
          <w:color w:val="545456"/>
          <w:sz w:val="18"/>
          <w:lang w:eastAsia="ja-JP"/>
        </w:rPr>
        <w:t>しかし、</w:t>
      </w:r>
      <w:r>
        <w:rPr>
          <w:rFonts w:ascii="ＭＳ ゴシック" w:eastAsia="ＭＳ ゴシック" w:hAnsi="ＭＳ ゴシック" w:cs="ＭＳ ゴシック" w:hint="eastAsia"/>
          <w:color w:val="545456"/>
          <w:sz w:val="18"/>
          <w:lang w:eastAsia="ja-JP"/>
        </w:rPr>
        <w:t>アンヴィル・リサイクル</w:t>
      </w:r>
      <w:r w:rsidRPr="009B4602">
        <w:rPr>
          <w:color w:val="545456"/>
          <w:sz w:val="18"/>
          <w:lang w:eastAsia="ja-JP"/>
        </w:rPr>
        <w:t>® T</w:t>
      </w:r>
      <w:r w:rsidRPr="009B4602">
        <w:rPr>
          <w:rFonts w:ascii="ＭＳ ゴシック" w:eastAsia="ＭＳ ゴシック" w:hAnsi="ＭＳ ゴシック" w:cs="ＭＳ ゴシック" w:hint="eastAsia"/>
          <w:color w:val="545456"/>
          <w:sz w:val="18"/>
          <w:lang w:eastAsia="ja-JP"/>
        </w:rPr>
        <w:t>シャツでは、消費者使用前の再生糸の投入と排出があるため、リサイクルの</w:t>
      </w:r>
      <w:r w:rsidR="00364979">
        <w:rPr>
          <w:rFonts w:ascii="ＭＳ ゴシック" w:eastAsia="ＭＳ ゴシック" w:hAnsi="ＭＳ ゴシック" w:cs="ＭＳ ゴシック" w:hint="eastAsia"/>
          <w:color w:val="545456"/>
          <w:sz w:val="18"/>
          <w:lang w:eastAsia="ja-JP"/>
        </w:rPr>
        <w:t>算出</w:t>
      </w:r>
      <w:r w:rsidRPr="009B4602">
        <w:rPr>
          <w:rFonts w:ascii="ＭＳ ゴシック" w:eastAsia="ＭＳ ゴシック" w:hAnsi="ＭＳ ゴシック" w:cs="ＭＳ ゴシック" w:hint="eastAsia"/>
          <w:color w:val="545456"/>
          <w:sz w:val="18"/>
          <w:lang w:eastAsia="ja-JP"/>
        </w:rPr>
        <w:t>処理はより困難でした。以前の評価では、</w:t>
      </w:r>
      <w:r>
        <w:rPr>
          <w:rFonts w:ascii="ＭＳ ゴシック" w:eastAsia="ＭＳ ゴシック" w:hAnsi="ＭＳ ゴシック" w:cs="ＭＳ ゴシック" w:hint="eastAsia"/>
          <w:color w:val="545456"/>
          <w:sz w:val="18"/>
          <w:lang w:eastAsia="ja-JP"/>
        </w:rPr>
        <w:t>アンヴィル</w:t>
      </w:r>
      <w:r w:rsidRPr="009B4602">
        <w:rPr>
          <w:rFonts w:ascii="ＭＳ ゴシック" w:eastAsia="ＭＳ ゴシック" w:hAnsi="ＭＳ ゴシック" w:cs="ＭＳ ゴシック" w:hint="eastAsia"/>
          <w:color w:val="545456"/>
          <w:sz w:val="18"/>
          <w:lang w:eastAsia="ja-JP"/>
        </w:rPr>
        <w:t>は消費者使用前の糸の投入は、材料の取得と前処理にバージン糸と同じ排出係数を持っていると仮定し、</w:t>
      </w:r>
    </w:p>
    <w:p w14:paraId="1BC3D3A6" w14:textId="069293B3" w:rsidR="0055291C" w:rsidRDefault="0055291C" w:rsidP="00BD122E">
      <w:pPr>
        <w:spacing w:before="2" w:line="328" w:lineRule="auto"/>
        <w:ind w:right="270"/>
        <w:rPr>
          <w:sz w:val="18"/>
          <w:lang w:eastAsia="ja-JP"/>
        </w:rPr>
      </w:pPr>
    </w:p>
    <w:p w14:paraId="580E1D9F" w14:textId="633CAA04" w:rsidR="0055291C" w:rsidRDefault="00F23C61" w:rsidP="0044516B">
      <w:pPr>
        <w:pStyle w:val="3"/>
        <w:spacing w:before="8" w:line="278" w:lineRule="auto"/>
        <w:ind w:left="0"/>
        <w:rPr>
          <w:b w:val="0"/>
          <w:i w:val="0"/>
          <w:lang w:eastAsia="ja-JP"/>
        </w:rPr>
      </w:pPr>
      <w:r>
        <w:rPr>
          <w:b w:val="0"/>
          <w:i w:val="0"/>
          <w:lang w:eastAsia="ja-JP"/>
        </w:rPr>
        <w:br w:type="column"/>
      </w:r>
    </w:p>
    <w:p w14:paraId="306D5A4A" w14:textId="4212B87F" w:rsidR="0055291C" w:rsidRPr="0044516B" w:rsidRDefault="0055291C" w:rsidP="0044516B">
      <w:pPr>
        <w:spacing w:line="160" w:lineRule="exact"/>
        <w:rPr>
          <w:color w:val="545456"/>
          <w:spacing w:val="-45"/>
          <w:sz w:val="18"/>
          <w:lang w:eastAsia="ja-JP"/>
        </w:rPr>
      </w:pPr>
    </w:p>
    <w:p w14:paraId="6E2DA318" w14:textId="77777777" w:rsidR="0055291C" w:rsidRDefault="0055291C">
      <w:pPr>
        <w:spacing w:line="328" w:lineRule="auto"/>
        <w:jc w:val="both"/>
        <w:rPr>
          <w:sz w:val="18"/>
          <w:lang w:eastAsia="ja-JP"/>
        </w:rPr>
        <w:sectPr w:rsidR="0055291C">
          <w:type w:val="continuous"/>
          <w:pgSz w:w="12240" w:h="15840"/>
          <w:pgMar w:top="740" w:right="0" w:bottom="280" w:left="0" w:header="0" w:footer="859" w:gutter="0"/>
          <w:cols w:num="3" w:space="720" w:equalWidth="0">
            <w:col w:w="6001" w:space="40"/>
            <w:col w:w="2549" w:space="39"/>
            <w:col w:w="3611"/>
          </w:cols>
        </w:sectPr>
      </w:pPr>
    </w:p>
    <w:p w14:paraId="67D6C43B" w14:textId="77777777" w:rsidR="0055291C" w:rsidRDefault="0055291C">
      <w:pPr>
        <w:pStyle w:val="a3"/>
        <w:rPr>
          <w:sz w:val="20"/>
          <w:lang w:eastAsia="ja-JP"/>
        </w:rPr>
      </w:pPr>
    </w:p>
    <w:p w14:paraId="3532F6A8" w14:textId="77777777" w:rsidR="0055291C" w:rsidRDefault="0055291C">
      <w:pPr>
        <w:pStyle w:val="a3"/>
        <w:rPr>
          <w:sz w:val="20"/>
          <w:lang w:eastAsia="ja-JP"/>
        </w:rPr>
      </w:pPr>
    </w:p>
    <w:p w14:paraId="7F2D6218" w14:textId="77777777" w:rsidR="0055291C" w:rsidRDefault="0055291C">
      <w:pPr>
        <w:pStyle w:val="a3"/>
        <w:rPr>
          <w:sz w:val="20"/>
          <w:lang w:eastAsia="ja-JP"/>
        </w:rPr>
      </w:pPr>
    </w:p>
    <w:p w14:paraId="0B193579" w14:textId="77777777" w:rsidR="0055291C" w:rsidRDefault="0055291C">
      <w:pPr>
        <w:pStyle w:val="a3"/>
        <w:rPr>
          <w:sz w:val="20"/>
          <w:lang w:eastAsia="ja-JP"/>
        </w:rPr>
      </w:pPr>
    </w:p>
    <w:p w14:paraId="61251515" w14:textId="77777777" w:rsidR="0055291C" w:rsidRDefault="0055291C">
      <w:pPr>
        <w:pStyle w:val="a3"/>
        <w:spacing w:before="7"/>
        <w:rPr>
          <w:sz w:val="21"/>
          <w:lang w:eastAsia="ja-JP"/>
        </w:rPr>
      </w:pPr>
    </w:p>
    <w:p w14:paraId="66A6B452" w14:textId="3FE2CB2D" w:rsidR="0055291C" w:rsidRDefault="00F23C61">
      <w:pPr>
        <w:pStyle w:val="6"/>
        <w:spacing w:before="1"/>
        <w:rPr>
          <w:lang w:eastAsia="ja-JP"/>
        </w:rPr>
      </w:pPr>
      <w:r>
        <w:rPr>
          <w:color w:val="00ACA1"/>
          <w:w w:val="95"/>
          <w:lang w:eastAsia="ja-JP"/>
        </w:rPr>
        <w:t>Box</w:t>
      </w:r>
      <w:r>
        <w:rPr>
          <w:color w:val="00ACA1"/>
          <w:spacing w:val="12"/>
          <w:w w:val="95"/>
          <w:lang w:eastAsia="ja-JP"/>
        </w:rPr>
        <w:t xml:space="preserve"> </w:t>
      </w:r>
      <w:r>
        <w:rPr>
          <w:color w:val="00ACA1"/>
          <w:w w:val="95"/>
          <w:lang w:eastAsia="ja-JP"/>
        </w:rPr>
        <w:t>[9.4]</w:t>
      </w:r>
      <w:r>
        <w:rPr>
          <w:color w:val="00ACA1"/>
          <w:spacing w:val="13"/>
          <w:w w:val="95"/>
          <w:lang w:eastAsia="ja-JP"/>
        </w:rPr>
        <w:t xml:space="preserve"> </w:t>
      </w:r>
      <w:r w:rsidR="00C12A14">
        <w:rPr>
          <w:rFonts w:ascii="ＭＳ 明朝" w:eastAsia="ＭＳ 明朝" w:hAnsi="ＭＳ 明朝" w:cs="ＭＳ 明朝" w:hint="eastAsia"/>
          <w:color w:val="545456"/>
          <w:w w:val="95"/>
          <w:lang w:eastAsia="ja-JP"/>
        </w:rPr>
        <w:t>クローズドループ近似法とリサイクル含有率法の比較</w:t>
      </w:r>
    </w:p>
    <w:p w14:paraId="2460AAFF" w14:textId="77777777" w:rsidR="0055291C" w:rsidRDefault="0055291C">
      <w:pPr>
        <w:pStyle w:val="a3"/>
        <w:rPr>
          <w:rFonts w:ascii="Arial"/>
          <w:b/>
          <w:sz w:val="20"/>
          <w:lang w:eastAsia="ja-JP"/>
        </w:rPr>
      </w:pPr>
    </w:p>
    <w:p w14:paraId="2B8CC01F" w14:textId="77777777" w:rsidR="0055291C" w:rsidRDefault="0055291C">
      <w:pPr>
        <w:pStyle w:val="a3"/>
        <w:spacing w:before="10"/>
        <w:rPr>
          <w:rFonts w:ascii="Arial"/>
          <w:b/>
          <w:sz w:val="21"/>
          <w:lang w:eastAsia="ja-JP"/>
        </w:rPr>
      </w:pPr>
    </w:p>
    <w:p w14:paraId="51B323AD" w14:textId="55270DEA" w:rsidR="0055291C" w:rsidRDefault="00000000" w:rsidP="00C12A14">
      <w:pPr>
        <w:pStyle w:val="a3"/>
        <w:spacing w:before="1" w:line="312" w:lineRule="auto"/>
        <w:ind w:left="1371" w:right="1138" w:firstLineChars="100" w:firstLine="190"/>
        <w:rPr>
          <w:lang w:eastAsia="ja-JP"/>
        </w:rPr>
      </w:pPr>
      <w:r>
        <w:pict w14:anchorId="44CEDDB6">
          <v:group id="docshapegroup1225" o:spid="_x0000_s2601" style="position:absolute;left:0;text-align:left;margin-left:57.25pt;margin-top:-10.65pt;width:498.65pt;height:536.4pt;z-index:-251562496;mso-position-horizontal-relative:page" coordorigin="1145,-213" coordsize="9973,10728">
            <v:shape id="docshape1226" o:spid="_x0000_s2611" style="position:absolute;left:1145;top:-214;width:9973;height:10728" coordorigin="1145,-213" coordsize="9973,10728" path="m10891,-213r-9519,l1241,-210r-67,25l1149,-118r-4,131l1145,10287r4,132l1174,10486r67,25l1372,10514r9519,l11022,10511r67,-25l11114,10419r3,-132l11117,13r-3,-131l11089,-185r-67,-25l10891,-213xe" fillcolor="#e4f3f1" stroked="f">
              <v:path arrowok="t"/>
            </v:shape>
            <v:shape id="docshape1227" o:spid="_x0000_s2610" style="position:absolute;left:1340;top:1769;width:9474;height:471" coordorigin="1340,1770" coordsize="9474,471" o:spt="100" adj="0,,0" path="m7160,1931r-2,-93l7140,1790r-48,-18l6999,1770r-5497,l1408,1772r-48,18l1343,1838r-3,93l1340,2240r5820,l7160,1931xm8378,1931r-2,-93l8358,1790r-48,-18l8217,1770r-631,l7492,1772r-48,18l7427,1838r-3,93l7424,2240r954,l8378,1931xm10814,1931r-3,-93l10794,1790r-48,-18l10652,1770r-1848,l8710,1772r-48,18l8645,1838r-3,93l8642,2240r2172,l10814,1931xe" fillcolor="#00aca1" stroked="f">
              <v:stroke joinstyle="round"/>
              <v:formulas/>
              <v:path arrowok="t" o:connecttype="segments"/>
            </v:shape>
            <v:shape id="docshape1228" o:spid="_x0000_s2609" style="position:absolute;left:1340;top:2299;width:9474;height:3870" coordorigin="1340,2300" coordsize="9474,3870" o:spt="100" adj="0,,0" path="m7160,2300r-5820,l1340,6008r3,93l1360,6149r48,18l1502,6169r5497,l7092,6167r48,-18l7158,6101r2,-93l7160,2300xm8378,2300r-954,l7424,6008r3,93l7444,6149r48,18l7586,6169r631,l8310,6167r48,-18l8376,6101r2,-93l8378,2300xm10814,2300r-2172,l8642,6008r3,93l8662,6149r48,18l8804,6169r1848,l10746,6167r48,-18l10811,6101r3,-93l10814,2300xe" fillcolor="#f3f4f4" stroked="f">
              <v:stroke joinstyle="round"/>
              <v:formulas/>
              <v:path arrowok="t" o:connecttype="segments"/>
            </v:shape>
            <v:line id="_x0000_s2608" style="position:absolute" from="1303,2755" to="11050,2755" strokecolor="#e4f3f1" strokeweight="1.9pt"/>
            <v:shape id="docshape1229" o:spid="_x0000_s2607" style="position:absolute;left:1302;top:3153;width:9747;height:2128" coordorigin="1303,3154" coordsize="9747,2128" o:spt="100" adj="0,,0" path="m11050,5244r-9747,l1303,5282r9747,l11050,5244xm11050,4826r-9747,l1303,4864r9747,l11050,4826xm11050,4408r-9747,l1303,4446r9747,l11050,4408xm11050,3990r-9747,l1303,4028r9747,l11050,3990xm11050,3572r-9747,l1303,3610r9747,l11050,3572xm11050,3154r-9747,l1303,3192r9747,l11050,3154xe" fillcolor="#e4f3f1" stroked="f">
              <v:stroke joinstyle="round"/>
              <v:formulas/>
              <v:path arrowok="t" o:connecttype="segments"/>
            </v:shape>
            <v:line id="_x0000_s2606" style="position:absolute" from="1303,5681" to="11050,5681" strokecolor="#e4f3f1" strokeweight="1.9pt"/>
            <v:shape id="docshape1230" o:spid="_x0000_s2605" style="position:absolute;left:1297;top:7279;width:9474;height:656" coordorigin="1298,7280" coordsize="9474,656" o:spt="100" adj="0,,0" path="m6133,7442r-2,-94l6113,7300r-48,-18l5972,7280r-4513,l1366,7282r-48,18l1300,7348r-2,94l1298,7935r4835,l6133,7442xm8336,7442r-3,-94l8315,7300r-48,-18l8174,7280r-1659,l6422,7282r-48,18l6356,7348r-2,94l6354,7935r1982,l8336,7442xm10771,7442r-2,-94l10751,7300r-48,-18l10610,7280r-1849,l8668,7282r-48,18l8602,7348r-2,94l8600,7935r2171,l10771,7442xe" fillcolor="#00aca1" stroked="f">
              <v:stroke joinstyle="round"/>
              <v:formulas/>
              <v:path arrowok="t" o:connecttype="segments"/>
            </v:shape>
            <v:shape id="docshape1231" o:spid="_x0000_s2604" style="position:absolute;left:1297;top:7994;width:9474;height:1876" coordorigin="1298,7995" coordsize="9474,1876" o:spt="100" adj="0,,0" path="m6134,7995r-4836,l1298,9708r2,94l1318,9850r48,17l1459,9870r4513,l6065,9867r48,-17l6131,9802r3,-94l6134,7995xm8336,7995r-1982,l6354,9708r2,94l6374,9850r48,17l6515,9870r1659,l8267,9867r48,-17l8333,9802r3,-94l8336,7995xm10771,7995r-2171,l8600,9708r2,94l8620,9850r48,17l8761,9870r1849,l10703,9867r48,-17l10769,9802r2,-94l10771,7995xe" fillcolor="#f3f4f4" stroked="f">
              <v:stroke joinstyle="round"/>
              <v:formulas/>
              <v:path arrowok="t" o:connecttype="segments"/>
            </v:shape>
            <v:line id="_x0000_s2603" style="position:absolute" from="1260,8450" to="11007,8450" strokecolor="#e4f3f1" strokeweight="1.9pt"/>
            <v:shape id="docshape1232" o:spid="_x0000_s2602" style="position:absolute;left:1260;top:8849;width:9747;height:874" coordorigin="1260,8849" coordsize="9747,874" o:spt="100" adj="0,,0" path="m11007,9685r-9747,l1260,9723r9747,l11007,9685xm11007,9267r-9747,l1260,9305r9747,l11007,9267xm11007,8849r-9747,l1260,8887r9747,l11007,8849xe" fillcolor="#e4f3f1" stroked="f">
              <v:stroke joinstyle="round"/>
              <v:formulas/>
              <v:path arrowok="t" o:connecttype="segments"/>
            </v:shape>
            <w10:wrap anchorx="page"/>
          </v:group>
        </w:pict>
      </w:r>
      <w:r w:rsidR="00C12A14">
        <w:rPr>
          <w:rFonts w:ascii="ＭＳ ゴシック" w:eastAsia="ＭＳ ゴシック" w:hAnsi="ＭＳ ゴシック" w:cs="ＭＳ ゴシック" w:hint="eastAsia"/>
          <w:lang w:eastAsia="ja-JP"/>
        </w:rPr>
        <w:t>クローズドループ近似法とリサイクル含有量法は、排出量と除去量の配分が異なるため、どちらかの方法を選択すると、</w:t>
      </w:r>
      <w:r w:rsidR="00C12A14">
        <w:rPr>
          <w:lang w:eastAsia="ja-JP"/>
        </w:rPr>
        <w:t xml:space="preserve"> </w:t>
      </w:r>
      <w:r w:rsidR="00C12A14">
        <w:rPr>
          <w:rFonts w:ascii="ＭＳ ゴシック" w:eastAsia="ＭＳ ゴシック" w:hAnsi="ＭＳ ゴシック" w:cs="ＭＳ ゴシック" w:hint="eastAsia"/>
          <w:lang w:eastAsia="ja-JP"/>
        </w:rPr>
        <w:t>排出量の算出結果が異なる場合があ</w:t>
      </w:r>
      <w:r w:rsidR="0076224F">
        <w:rPr>
          <w:rFonts w:ascii="ＭＳ ゴシック" w:eastAsia="ＭＳ ゴシック" w:hAnsi="ＭＳ ゴシック" w:cs="ＭＳ ゴシック" w:hint="eastAsia"/>
          <w:lang w:eastAsia="ja-JP"/>
        </w:rPr>
        <w:t>ります</w:t>
      </w:r>
      <w:r w:rsidR="00C12A14">
        <w:rPr>
          <w:rFonts w:ascii="ＭＳ ゴシック" w:eastAsia="ＭＳ ゴシック" w:hAnsi="ＭＳ ゴシック" w:cs="ＭＳ ゴシック" w:hint="eastAsia"/>
          <w:lang w:eastAsia="ja-JP"/>
        </w:rPr>
        <w:t>。この場合、バージン材とリサイクル材の投入、リサイクル材の排出、廃棄物がある製品に対しては、どちらの方法も等しく適切であると言えます。</w:t>
      </w:r>
      <w:r w:rsidR="00F23C61">
        <w:rPr>
          <w:color w:val="545456"/>
          <w:w w:val="105"/>
          <w:lang w:eastAsia="ja-JP"/>
        </w:rPr>
        <w:t>.</w:t>
      </w:r>
    </w:p>
    <w:p w14:paraId="606C8973" w14:textId="77777777" w:rsidR="0055291C" w:rsidRDefault="0055291C">
      <w:pPr>
        <w:pStyle w:val="a3"/>
        <w:spacing w:before="7"/>
        <w:rPr>
          <w:sz w:val="24"/>
          <w:lang w:eastAsia="ja-JP"/>
        </w:rPr>
      </w:pPr>
    </w:p>
    <w:p w14:paraId="3EE1E64E" w14:textId="0FAD6EBE" w:rsidR="0055291C" w:rsidRDefault="0076224F">
      <w:pPr>
        <w:pStyle w:val="5"/>
        <w:spacing w:before="0"/>
        <w:rPr>
          <w:lang w:eastAsia="ja-JP"/>
        </w:rPr>
      </w:pPr>
      <w:r>
        <w:rPr>
          <w:rFonts w:ascii="ＭＳ 明朝" w:eastAsia="ＭＳ 明朝" w:hAnsi="ＭＳ 明朝" w:cs="ＭＳ 明朝" w:hint="eastAsia"/>
          <w:color w:val="545456"/>
          <w:w w:val="95"/>
          <w:lang w:eastAsia="ja-JP"/>
        </w:rPr>
        <w:t>パラメータ例</w:t>
      </w:r>
    </w:p>
    <w:p w14:paraId="7B4D1CE4" w14:textId="77777777" w:rsidR="0055291C" w:rsidRDefault="0055291C">
      <w:pPr>
        <w:pStyle w:val="a3"/>
        <w:spacing w:before="11"/>
        <w:rPr>
          <w:rFonts w:ascii="Arial"/>
          <w:b/>
          <w:i/>
          <w:sz w:val="11"/>
          <w:lang w:eastAsia="ja-JP"/>
        </w:rPr>
      </w:pPr>
    </w:p>
    <w:p w14:paraId="585A5FDF" w14:textId="764B351B" w:rsidR="0055291C" w:rsidRDefault="0076224F">
      <w:pPr>
        <w:tabs>
          <w:tab w:val="left" w:pos="7510"/>
          <w:tab w:val="left" w:pos="8783"/>
        </w:tabs>
        <w:spacing w:before="98"/>
        <w:ind w:left="1449"/>
        <w:rPr>
          <w:rFonts w:ascii="Arial"/>
          <w:b/>
          <w:i/>
          <w:sz w:val="21"/>
          <w:lang w:eastAsia="ja-JP"/>
        </w:rPr>
      </w:pPr>
      <w:r>
        <w:rPr>
          <w:rFonts w:ascii="ＭＳ ゴシック" w:eastAsia="ＭＳ ゴシック" w:hAnsi="ＭＳ ゴシック" w:cs="ＭＳ ゴシック" w:hint="eastAsia"/>
          <w:b/>
          <w:i/>
          <w:color w:val="F1F1F2"/>
          <w:sz w:val="21"/>
          <w:lang w:eastAsia="ja-JP"/>
        </w:rPr>
        <w:t>データ</w:t>
      </w:r>
      <w:r w:rsidR="00F23C61">
        <w:rPr>
          <w:rFonts w:ascii="Arial"/>
          <w:b/>
          <w:i/>
          <w:color w:val="F1F1F2"/>
          <w:sz w:val="21"/>
          <w:lang w:eastAsia="ja-JP"/>
        </w:rPr>
        <w:tab/>
      </w:r>
      <w:r>
        <w:rPr>
          <w:rFonts w:ascii="ＭＳ ゴシック" w:eastAsia="ＭＳ ゴシック" w:hAnsi="ＭＳ ゴシック" w:cs="ＭＳ ゴシック" w:hint="eastAsia"/>
          <w:b/>
          <w:i/>
          <w:color w:val="F1F1F2"/>
          <w:sz w:val="21"/>
          <w:lang w:eastAsia="ja-JP"/>
        </w:rPr>
        <w:t>数値</w:t>
      </w:r>
      <w:r w:rsidR="00F23C61">
        <w:rPr>
          <w:rFonts w:ascii="Arial"/>
          <w:b/>
          <w:i/>
          <w:color w:val="F1F1F2"/>
          <w:sz w:val="21"/>
          <w:lang w:eastAsia="ja-JP"/>
        </w:rPr>
        <w:tab/>
      </w:r>
      <w:r>
        <w:rPr>
          <w:rFonts w:ascii="ＭＳ ゴシック" w:eastAsia="ＭＳ ゴシック" w:hAnsi="ＭＳ ゴシック" w:cs="ＭＳ ゴシック" w:hint="eastAsia"/>
          <w:b/>
          <w:i/>
          <w:color w:val="F1F1F2"/>
          <w:sz w:val="21"/>
          <w:lang w:eastAsia="ja-JP"/>
        </w:rPr>
        <w:t>単位</w:t>
      </w:r>
    </w:p>
    <w:p w14:paraId="1E1CD065" w14:textId="77777777" w:rsidR="0055291C" w:rsidRDefault="0055291C">
      <w:pPr>
        <w:pStyle w:val="a3"/>
        <w:spacing w:before="8"/>
        <w:rPr>
          <w:rFonts w:ascii="Arial"/>
          <w:b/>
          <w:i/>
          <w:sz w:val="27"/>
          <w:lang w:eastAsia="ja-JP"/>
        </w:rPr>
      </w:pPr>
    </w:p>
    <w:p w14:paraId="52737920" w14:textId="112D6DEE" w:rsidR="0055291C" w:rsidRDefault="0076224F">
      <w:pPr>
        <w:tabs>
          <w:tab w:val="left" w:pos="7510"/>
          <w:tab w:val="left" w:pos="8783"/>
        </w:tabs>
        <w:ind w:left="1449"/>
        <w:rPr>
          <w:sz w:val="18"/>
          <w:lang w:eastAsia="ja-JP"/>
        </w:rPr>
      </w:pPr>
      <w:r>
        <w:rPr>
          <w:rFonts w:ascii="ＭＳ ゴシック" w:eastAsia="ＭＳ ゴシック" w:hAnsi="ＭＳ ゴシック" w:cs="ＭＳ ゴシック" w:hint="eastAsia"/>
          <w:b/>
          <w:color w:val="545456"/>
          <w:w w:val="105"/>
          <w:sz w:val="18"/>
          <w:lang w:eastAsia="ja-JP"/>
        </w:rPr>
        <w:t>材料投入量</w:t>
      </w:r>
      <w:r w:rsidR="00F23C61">
        <w:rPr>
          <w:rFonts w:ascii="Arial"/>
          <w:b/>
          <w:color w:val="545456"/>
          <w:w w:val="105"/>
          <w:sz w:val="18"/>
          <w:lang w:eastAsia="ja-JP"/>
        </w:rPr>
        <w:tab/>
      </w:r>
      <w:r w:rsidR="00F23C61">
        <w:rPr>
          <w:color w:val="545456"/>
          <w:w w:val="105"/>
          <w:sz w:val="18"/>
          <w:lang w:eastAsia="ja-JP"/>
        </w:rPr>
        <w:t>5</w:t>
      </w:r>
      <w:r w:rsidR="00F23C61">
        <w:rPr>
          <w:color w:val="545456"/>
          <w:w w:val="105"/>
          <w:sz w:val="18"/>
          <w:lang w:eastAsia="ja-JP"/>
        </w:rPr>
        <w:tab/>
      </w:r>
      <w:r>
        <w:rPr>
          <w:rFonts w:ascii="ＭＳ ゴシック" w:eastAsia="ＭＳ ゴシック" w:hAnsi="ＭＳ ゴシック" w:cs="ＭＳ ゴシック" w:hint="eastAsia"/>
          <w:color w:val="545456"/>
          <w:w w:val="105"/>
          <w:sz w:val="18"/>
          <w:lang w:eastAsia="ja-JP"/>
        </w:rPr>
        <w:t>トン</w:t>
      </w:r>
    </w:p>
    <w:p w14:paraId="32FA9093" w14:textId="77777777" w:rsidR="0055291C" w:rsidRDefault="0055291C">
      <w:pPr>
        <w:pStyle w:val="a3"/>
        <w:spacing w:before="7"/>
        <w:rPr>
          <w:sz w:val="18"/>
          <w:lang w:eastAsia="ja-JP"/>
        </w:rPr>
      </w:pPr>
    </w:p>
    <w:p w14:paraId="518929F9" w14:textId="50305936" w:rsidR="0055291C" w:rsidRDefault="0076224F">
      <w:pPr>
        <w:tabs>
          <w:tab w:val="left" w:pos="7510"/>
          <w:tab w:val="left" w:pos="8783"/>
        </w:tabs>
        <w:ind w:left="1449"/>
        <w:rPr>
          <w:sz w:val="18"/>
          <w:lang w:eastAsia="ja-JP"/>
        </w:rPr>
      </w:pPr>
      <w:r>
        <w:rPr>
          <w:rFonts w:ascii="ＭＳ ゴシック" w:eastAsia="ＭＳ ゴシック" w:hAnsi="ＭＳ ゴシック" w:cs="ＭＳ ゴシック" w:hint="eastAsia"/>
          <w:b/>
          <w:color w:val="545456"/>
          <w:w w:val="105"/>
          <w:sz w:val="18"/>
          <w:lang w:eastAsia="ja-JP"/>
        </w:rPr>
        <w:t>材料出力</w:t>
      </w:r>
      <w:r w:rsidR="00F23C61">
        <w:rPr>
          <w:rFonts w:ascii="Arial"/>
          <w:b/>
          <w:color w:val="545456"/>
          <w:w w:val="105"/>
          <w:sz w:val="18"/>
          <w:lang w:eastAsia="ja-JP"/>
        </w:rPr>
        <w:tab/>
      </w:r>
      <w:r w:rsidR="00F23C61">
        <w:rPr>
          <w:color w:val="545456"/>
          <w:w w:val="105"/>
          <w:sz w:val="18"/>
          <w:lang w:eastAsia="ja-JP"/>
        </w:rPr>
        <w:t>5</w:t>
      </w:r>
      <w:r w:rsidR="00F23C61">
        <w:rPr>
          <w:color w:val="545456"/>
          <w:w w:val="105"/>
          <w:sz w:val="18"/>
          <w:lang w:eastAsia="ja-JP"/>
        </w:rPr>
        <w:tab/>
      </w:r>
      <w:r>
        <w:rPr>
          <w:rFonts w:ascii="ＭＳ ゴシック" w:eastAsia="ＭＳ ゴシック" w:hAnsi="ＭＳ ゴシック" w:cs="ＭＳ ゴシック" w:hint="eastAsia"/>
          <w:color w:val="545456"/>
          <w:w w:val="105"/>
          <w:sz w:val="18"/>
          <w:lang w:eastAsia="ja-JP"/>
        </w:rPr>
        <w:t>トン</w:t>
      </w:r>
    </w:p>
    <w:p w14:paraId="161C15BE" w14:textId="77777777" w:rsidR="0055291C" w:rsidRDefault="0055291C">
      <w:pPr>
        <w:pStyle w:val="a3"/>
        <w:spacing w:before="7"/>
        <w:rPr>
          <w:sz w:val="18"/>
          <w:lang w:eastAsia="ja-JP"/>
        </w:rPr>
      </w:pPr>
    </w:p>
    <w:p w14:paraId="4E7ADD29" w14:textId="0AB093FE" w:rsidR="0055291C" w:rsidRDefault="0076224F">
      <w:pPr>
        <w:tabs>
          <w:tab w:val="left" w:pos="7510"/>
          <w:tab w:val="left" w:pos="8783"/>
        </w:tabs>
        <w:spacing w:before="1"/>
        <w:ind w:left="1449"/>
        <w:rPr>
          <w:sz w:val="18"/>
          <w:lang w:eastAsia="ja-JP"/>
        </w:rPr>
      </w:pPr>
      <w:r>
        <w:rPr>
          <w:rFonts w:ascii="ＭＳ ゴシック" w:eastAsia="ＭＳ ゴシック" w:hAnsi="ＭＳ ゴシック" w:cs="ＭＳ ゴシック" w:hint="eastAsia"/>
          <w:b/>
          <w:color w:val="545456"/>
          <w:sz w:val="18"/>
          <w:lang w:eastAsia="ja-JP"/>
        </w:rPr>
        <w:t>リサイクル材投入量</w:t>
      </w:r>
      <w:r w:rsidR="00F23C61">
        <w:rPr>
          <w:rFonts w:ascii="Arial"/>
          <w:b/>
          <w:color w:val="545456"/>
          <w:sz w:val="18"/>
          <w:lang w:eastAsia="ja-JP"/>
        </w:rPr>
        <w:tab/>
      </w:r>
      <w:r w:rsidR="00F23C61">
        <w:rPr>
          <w:color w:val="545456"/>
          <w:w w:val="105"/>
          <w:sz w:val="18"/>
          <w:lang w:eastAsia="ja-JP"/>
        </w:rPr>
        <w:t>40%</w:t>
      </w:r>
      <w:r w:rsidR="00F23C61">
        <w:rPr>
          <w:color w:val="545456"/>
          <w:w w:val="105"/>
          <w:sz w:val="18"/>
          <w:lang w:eastAsia="ja-JP"/>
        </w:rPr>
        <w:tab/>
      </w:r>
      <w:r>
        <w:rPr>
          <w:rFonts w:ascii="ＭＳ ゴシック" w:eastAsia="ＭＳ ゴシック" w:hAnsi="ＭＳ ゴシック" w:cs="ＭＳ ゴシック" w:hint="eastAsia"/>
          <w:color w:val="545456"/>
          <w:w w:val="105"/>
          <w:sz w:val="18"/>
          <w:lang w:eastAsia="ja-JP"/>
        </w:rPr>
        <w:t>総投入量に占める割合</w:t>
      </w:r>
    </w:p>
    <w:p w14:paraId="5A833E24" w14:textId="77777777" w:rsidR="0055291C" w:rsidRDefault="0055291C">
      <w:pPr>
        <w:pStyle w:val="a3"/>
        <w:spacing w:before="7"/>
        <w:rPr>
          <w:sz w:val="18"/>
          <w:lang w:eastAsia="ja-JP"/>
        </w:rPr>
      </w:pPr>
    </w:p>
    <w:p w14:paraId="77F3D985" w14:textId="4C81B8DB" w:rsidR="0055291C" w:rsidRDefault="0076224F">
      <w:pPr>
        <w:tabs>
          <w:tab w:val="left" w:pos="7510"/>
          <w:tab w:val="left" w:pos="8783"/>
        </w:tabs>
        <w:ind w:left="1449"/>
        <w:rPr>
          <w:sz w:val="18"/>
          <w:lang w:eastAsia="ja-JP"/>
        </w:rPr>
      </w:pPr>
      <w:r>
        <w:rPr>
          <w:rFonts w:ascii="ＭＳ ゴシック" w:eastAsia="ＭＳ ゴシック" w:hAnsi="ＭＳ ゴシック" w:cs="ＭＳ ゴシック" w:hint="eastAsia"/>
          <w:b/>
          <w:color w:val="545456"/>
          <w:spacing w:val="-1"/>
          <w:w w:val="105"/>
          <w:sz w:val="18"/>
          <w:lang w:eastAsia="ja-JP"/>
        </w:rPr>
        <w:t>バージン材投入量</w:t>
      </w:r>
      <w:r w:rsidR="00F23C61">
        <w:rPr>
          <w:rFonts w:ascii="Arial"/>
          <w:b/>
          <w:color w:val="545456"/>
          <w:w w:val="105"/>
          <w:sz w:val="18"/>
          <w:lang w:eastAsia="ja-JP"/>
        </w:rPr>
        <w:tab/>
      </w:r>
      <w:r w:rsidR="00F23C61">
        <w:rPr>
          <w:color w:val="545456"/>
          <w:w w:val="105"/>
          <w:sz w:val="18"/>
          <w:lang w:eastAsia="ja-JP"/>
        </w:rPr>
        <w:t>60%</w:t>
      </w:r>
      <w:r w:rsidR="00F23C61">
        <w:rPr>
          <w:color w:val="545456"/>
          <w:w w:val="105"/>
          <w:sz w:val="18"/>
          <w:lang w:eastAsia="ja-JP"/>
        </w:rPr>
        <w:tab/>
      </w:r>
      <w:r w:rsidR="006C6C8C">
        <w:rPr>
          <w:rFonts w:ascii="ＭＳ ゴシック" w:eastAsia="ＭＳ ゴシック" w:hAnsi="ＭＳ ゴシック" w:cs="ＭＳ ゴシック" w:hint="eastAsia"/>
          <w:color w:val="545456"/>
          <w:w w:val="105"/>
          <w:sz w:val="18"/>
          <w:lang w:eastAsia="ja-JP"/>
        </w:rPr>
        <w:t>総投入量に占める割合</w:t>
      </w:r>
    </w:p>
    <w:p w14:paraId="60ECB97A" w14:textId="77777777" w:rsidR="0055291C" w:rsidRDefault="0055291C">
      <w:pPr>
        <w:pStyle w:val="a3"/>
        <w:spacing w:before="7"/>
        <w:rPr>
          <w:sz w:val="18"/>
          <w:lang w:eastAsia="ja-JP"/>
        </w:rPr>
      </w:pPr>
    </w:p>
    <w:p w14:paraId="74946864" w14:textId="3A38A262" w:rsidR="0055291C" w:rsidRDefault="0076224F">
      <w:pPr>
        <w:tabs>
          <w:tab w:val="left" w:pos="7510"/>
          <w:tab w:val="left" w:pos="8783"/>
        </w:tabs>
        <w:ind w:left="1449"/>
        <w:rPr>
          <w:sz w:val="18"/>
          <w:lang w:eastAsia="ja-JP"/>
        </w:rPr>
      </w:pPr>
      <w:r>
        <w:rPr>
          <w:rFonts w:ascii="ＭＳ ゴシック" w:eastAsia="ＭＳ ゴシック" w:hAnsi="ＭＳ ゴシック" w:cs="ＭＳ ゴシック" w:hint="eastAsia"/>
          <w:b/>
          <w:color w:val="545456"/>
          <w:sz w:val="18"/>
          <w:lang w:eastAsia="ja-JP"/>
        </w:rPr>
        <w:t>リサイクル材排出量</w:t>
      </w:r>
      <w:r w:rsidR="00F23C61">
        <w:rPr>
          <w:rFonts w:ascii="Arial"/>
          <w:b/>
          <w:color w:val="545456"/>
          <w:sz w:val="18"/>
          <w:lang w:eastAsia="ja-JP"/>
        </w:rPr>
        <w:tab/>
      </w:r>
      <w:r w:rsidR="00F23C61">
        <w:rPr>
          <w:color w:val="545456"/>
          <w:w w:val="105"/>
          <w:sz w:val="18"/>
          <w:lang w:eastAsia="ja-JP"/>
        </w:rPr>
        <w:t>25%</w:t>
      </w:r>
      <w:r w:rsidR="00F23C61">
        <w:rPr>
          <w:color w:val="545456"/>
          <w:w w:val="105"/>
          <w:sz w:val="18"/>
          <w:lang w:eastAsia="ja-JP"/>
        </w:rPr>
        <w:tab/>
      </w:r>
      <w:r w:rsidR="006C6C8C">
        <w:rPr>
          <w:rFonts w:ascii="ＭＳ ゴシック" w:eastAsia="ＭＳ ゴシック" w:hAnsi="ＭＳ ゴシック" w:cs="ＭＳ ゴシック" w:hint="eastAsia"/>
          <w:color w:val="545456"/>
          <w:w w:val="105"/>
          <w:sz w:val="18"/>
          <w:lang w:eastAsia="ja-JP"/>
        </w:rPr>
        <w:t>総排出量に占める割合</w:t>
      </w:r>
    </w:p>
    <w:p w14:paraId="7C75B3D1" w14:textId="77777777" w:rsidR="0055291C" w:rsidRDefault="0055291C">
      <w:pPr>
        <w:pStyle w:val="a3"/>
        <w:spacing w:before="7"/>
        <w:rPr>
          <w:sz w:val="18"/>
          <w:lang w:eastAsia="ja-JP"/>
        </w:rPr>
      </w:pPr>
    </w:p>
    <w:p w14:paraId="4A8063EB" w14:textId="653453AF" w:rsidR="0055291C" w:rsidRDefault="0076224F">
      <w:pPr>
        <w:tabs>
          <w:tab w:val="left" w:pos="7510"/>
          <w:tab w:val="left" w:pos="8783"/>
        </w:tabs>
        <w:ind w:left="1449"/>
        <w:rPr>
          <w:sz w:val="18"/>
          <w:lang w:eastAsia="ja-JP"/>
        </w:rPr>
      </w:pPr>
      <w:r>
        <w:rPr>
          <w:rFonts w:ascii="ＭＳ ゴシック" w:eastAsia="ＭＳ ゴシック" w:hAnsi="ＭＳ ゴシック" w:cs="ＭＳ ゴシック" w:hint="eastAsia"/>
          <w:b/>
          <w:color w:val="545456"/>
          <w:sz w:val="18"/>
          <w:lang w:eastAsia="ja-JP"/>
        </w:rPr>
        <w:t>廃棄物発生量</w:t>
      </w:r>
      <w:r w:rsidR="00F23C61">
        <w:rPr>
          <w:rFonts w:ascii="Arial"/>
          <w:b/>
          <w:color w:val="545456"/>
          <w:sz w:val="18"/>
          <w:lang w:eastAsia="ja-JP"/>
        </w:rPr>
        <w:tab/>
      </w:r>
      <w:r w:rsidR="00F23C61">
        <w:rPr>
          <w:color w:val="545456"/>
          <w:w w:val="105"/>
          <w:sz w:val="18"/>
          <w:lang w:eastAsia="ja-JP"/>
        </w:rPr>
        <w:t>75%</w:t>
      </w:r>
      <w:r w:rsidR="00F23C61">
        <w:rPr>
          <w:color w:val="545456"/>
          <w:w w:val="105"/>
          <w:sz w:val="18"/>
          <w:lang w:eastAsia="ja-JP"/>
        </w:rPr>
        <w:tab/>
      </w:r>
      <w:r w:rsidR="006C6C8C">
        <w:rPr>
          <w:rFonts w:ascii="ＭＳ ゴシック" w:eastAsia="ＭＳ ゴシック" w:hAnsi="ＭＳ ゴシック" w:cs="ＭＳ ゴシック" w:hint="eastAsia"/>
          <w:color w:val="545456"/>
          <w:w w:val="105"/>
          <w:sz w:val="18"/>
          <w:lang w:eastAsia="ja-JP"/>
        </w:rPr>
        <w:t>総排出量に占める割合</w:t>
      </w:r>
    </w:p>
    <w:p w14:paraId="3A86061D" w14:textId="77777777" w:rsidR="0055291C" w:rsidRDefault="0055291C">
      <w:pPr>
        <w:pStyle w:val="a3"/>
        <w:spacing w:before="7"/>
        <w:rPr>
          <w:sz w:val="18"/>
          <w:lang w:eastAsia="ja-JP"/>
        </w:rPr>
      </w:pPr>
    </w:p>
    <w:p w14:paraId="64688311" w14:textId="71A26B53" w:rsidR="006C6C8C" w:rsidRDefault="0076224F" w:rsidP="006C6C8C">
      <w:pPr>
        <w:tabs>
          <w:tab w:val="left" w:pos="7510"/>
          <w:tab w:val="left" w:pos="8783"/>
        </w:tabs>
        <w:spacing w:before="1" w:line="484" w:lineRule="auto"/>
        <w:ind w:left="1449" w:right="1325"/>
        <w:jc w:val="both"/>
        <w:rPr>
          <w:color w:val="545456"/>
          <w:spacing w:val="-45"/>
          <w:sz w:val="18"/>
          <w:lang w:eastAsia="ja-JP"/>
        </w:rPr>
      </w:pPr>
      <w:r>
        <w:rPr>
          <w:rFonts w:ascii="ＭＳ ゴシック" w:eastAsia="ＭＳ ゴシック" w:hAnsi="ＭＳ ゴシック" w:cs="ＭＳ ゴシック" w:hint="eastAsia"/>
          <w:b/>
          <w:color w:val="545456"/>
          <w:sz w:val="18"/>
          <w:lang w:eastAsia="ja-JP"/>
        </w:rPr>
        <w:t>バージン材取得及び前処理</w:t>
      </w:r>
      <w:r w:rsidR="00F23C61">
        <w:rPr>
          <w:rFonts w:ascii="Arial"/>
          <w:b/>
          <w:color w:val="545456"/>
          <w:sz w:val="18"/>
          <w:lang w:eastAsia="ja-JP"/>
        </w:rPr>
        <w:tab/>
      </w:r>
      <w:r w:rsidR="00F23C61">
        <w:rPr>
          <w:color w:val="545456"/>
          <w:sz w:val="18"/>
          <w:lang w:eastAsia="ja-JP"/>
        </w:rPr>
        <w:t>10</w:t>
      </w:r>
      <w:r w:rsidR="00F23C61">
        <w:rPr>
          <w:color w:val="545456"/>
          <w:sz w:val="18"/>
          <w:lang w:eastAsia="ja-JP"/>
        </w:rPr>
        <w:tab/>
        <w:t>kg CO</w:t>
      </w:r>
      <w:r w:rsidR="00F23C61">
        <w:rPr>
          <w:color w:val="545456"/>
          <w:sz w:val="18"/>
          <w:vertAlign w:val="subscript"/>
          <w:lang w:eastAsia="ja-JP"/>
        </w:rPr>
        <w:t>2</w:t>
      </w:r>
      <w:r w:rsidR="00F23C61">
        <w:rPr>
          <w:color w:val="545456"/>
          <w:sz w:val="18"/>
          <w:lang w:eastAsia="ja-JP"/>
        </w:rPr>
        <w:t>e/</w:t>
      </w:r>
      <w:r w:rsidR="006C6C8C">
        <w:rPr>
          <w:rFonts w:ascii="ＭＳ ゴシック" w:eastAsia="ＭＳ ゴシック" w:hAnsi="ＭＳ ゴシック" w:cs="ＭＳ ゴシック" w:hint="eastAsia"/>
          <w:color w:val="545456"/>
          <w:sz w:val="18"/>
          <w:lang w:eastAsia="ja-JP"/>
        </w:rPr>
        <w:t>トン</w:t>
      </w:r>
      <w:r w:rsidR="00F23C61">
        <w:rPr>
          <w:color w:val="545456"/>
          <w:spacing w:val="-45"/>
          <w:sz w:val="18"/>
          <w:lang w:eastAsia="ja-JP"/>
        </w:rPr>
        <w:t xml:space="preserve"> </w:t>
      </w:r>
    </w:p>
    <w:p w14:paraId="7605034F" w14:textId="24B67F3B" w:rsidR="006C6C8C" w:rsidRDefault="0076224F" w:rsidP="006C6C8C">
      <w:pPr>
        <w:tabs>
          <w:tab w:val="left" w:pos="7510"/>
          <w:tab w:val="left" w:pos="8783"/>
        </w:tabs>
        <w:spacing w:before="1" w:line="484" w:lineRule="auto"/>
        <w:ind w:left="1449" w:right="1325"/>
        <w:jc w:val="both"/>
        <w:rPr>
          <w:color w:val="545456"/>
          <w:sz w:val="18"/>
          <w:lang w:eastAsia="ja-JP"/>
        </w:rPr>
      </w:pPr>
      <w:r w:rsidRPr="0076224F">
        <w:rPr>
          <w:rFonts w:ascii="ＭＳ ゴシック" w:eastAsia="ＭＳ ゴシック" w:hAnsi="ＭＳ ゴシック" w:cs="ＭＳ ゴシック" w:hint="eastAsia"/>
          <w:b/>
          <w:bCs/>
          <w:color w:val="545456"/>
          <w:spacing w:val="-45"/>
          <w:sz w:val="18"/>
          <w:szCs w:val="18"/>
          <w:lang w:eastAsia="ja-JP"/>
        </w:rPr>
        <w:t>リサイクル材取得</w:t>
      </w:r>
      <w:r w:rsidR="00F23C61" w:rsidRPr="0076224F">
        <w:rPr>
          <w:rFonts w:ascii="Arial"/>
          <w:b/>
          <w:color w:val="545456"/>
          <w:spacing w:val="-10"/>
          <w:sz w:val="16"/>
          <w:szCs w:val="21"/>
          <w:lang w:eastAsia="ja-JP"/>
        </w:rPr>
        <w:t xml:space="preserve"> </w:t>
      </w:r>
      <w:r w:rsidR="00F23C61">
        <w:rPr>
          <w:rFonts w:ascii="Arial"/>
          <w:b/>
          <w:color w:val="545456"/>
          <w:sz w:val="18"/>
          <w:lang w:eastAsia="ja-JP"/>
        </w:rPr>
        <w:t>(MRF)</w:t>
      </w:r>
      <w:r w:rsidR="00F23C61">
        <w:rPr>
          <w:rFonts w:ascii="Arial"/>
          <w:b/>
          <w:color w:val="545456"/>
          <w:spacing w:val="-10"/>
          <w:sz w:val="18"/>
          <w:lang w:eastAsia="ja-JP"/>
        </w:rPr>
        <w:t xml:space="preserve"> </w:t>
      </w:r>
      <w:r>
        <w:rPr>
          <w:rFonts w:ascii="ＭＳ ゴシック" w:eastAsia="ＭＳ ゴシック" w:hAnsi="ＭＳ ゴシック" w:cs="ＭＳ ゴシック" w:hint="eastAsia"/>
          <w:b/>
          <w:color w:val="545456"/>
          <w:sz w:val="18"/>
          <w:lang w:eastAsia="ja-JP"/>
        </w:rPr>
        <w:t>と前処理</w:t>
      </w:r>
      <w:r w:rsidR="00F23C61">
        <w:rPr>
          <w:rFonts w:ascii="Arial"/>
          <w:b/>
          <w:color w:val="545456"/>
          <w:sz w:val="18"/>
          <w:lang w:eastAsia="ja-JP"/>
        </w:rPr>
        <w:tab/>
      </w:r>
      <w:r w:rsidR="00F23C61">
        <w:rPr>
          <w:color w:val="545456"/>
          <w:sz w:val="18"/>
          <w:lang w:eastAsia="ja-JP"/>
        </w:rPr>
        <w:t>3</w:t>
      </w:r>
      <w:r w:rsidR="00F23C61">
        <w:rPr>
          <w:color w:val="545456"/>
          <w:sz w:val="18"/>
          <w:lang w:eastAsia="ja-JP"/>
        </w:rPr>
        <w:tab/>
        <w:t>kg CO</w:t>
      </w:r>
      <w:r w:rsidR="00F23C61">
        <w:rPr>
          <w:color w:val="545456"/>
          <w:sz w:val="18"/>
          <w:vertAlign w:val="subscript"/>
          <w:lang w:eastAsia="ja-JP"/>
        </w:rPr>
        <w:t>2</w:t>
      </w:r>
      <w:r w:rsidR="00F23C61">
        <w:rPr>
          <w:color w:val="545456"/>
          <w:sz w:val="18"/>
          <w:lang w:eastAsia="ja-JP"/>
        </w:rPr>
        <w:t>e/</w:t>
      </w:r>
      <w:r w:rsidR="006C6C8C">
        <w:rPr>
          <w:rFonts w:ascii="ＭＳ ゴシック" w:eastAsia="ＭＳ ゴシック" w:hAnsi="ＭＳ ゴシック" w:cs="ＭＳ ゴシック" w:hint="eastAsia"/>
          <w:color w:val="545456"/>
          <w:sz w:val="18"/>
          <w:lang w:eastAsia="ja-JP"/>
        </w:rPr>
        <w:t>トン</w:t>
      </w:r>
    </w:p>
    <w:p w14:paraId="42A554E9" w14:textId="6F7FA804" w:rsidR="0055291C" w:rsidRDefault="00F23C61" w:rsidP="006C6C8C">
      <w:pPr>
        <w:tabs>
          <w:tab w:val="left" w:pos="7510"/>
          <w:tab w:val="left" w:pos="8783"/>
        </w:tabs>
        <w:spacing w:before="1" w:line="484" w:lineRule="auto"/>
        <w:ind w:left="1449" w:right="1325"/>
        <w:jc w:val="both"/>
        <w:rPr>
          <w:sz w:val="18"/>
          <w:lang w:eastAsia="ja-JP"/>
        </w:rPr>
      </w:pPr>
      <w:r>
        <w:rPr>
          <w:color w:val="545456"/>
          <w:spacing w:val="-45"/>
          <w:sz w:val="18"/>
          <w:lang w:eastAsia="ja-JP"/>
        </w:rPr>
        <w:t xml:space="preserve"> </w:t>
      </w:r>
      <w:r w:rsidR="0076224F">
        <w:rPr>
          <w:rFonts w:ascii="ＭＳ ゴシック" w:eastAsia="ＭＳ ゴシック" w:hAnsi="ＭＳ ゴシック" w:cs="ＭＳ ゴシック" w:hint="eastAsia"/>
          <w:b/>
          <w:color w:val="545456"/>
          <w:sz w:val="18"/>
          <w:lang w:eastAsia="ja-JP"/>
        </w:rPr>
        <w:t>廃棄物処理</w:t>
      </w:r>
      <w:r>
        <w:rPr>
          <w:rFonts w:ascii="Arial"/>
          <w:b/>
          <w:color w:val="545456"/>
          <w:sz w:val="18"/>
          <w:lang w:eastAsia="ja-JP"/>
        </w:rPr>
        <w:tab/>
      </w:r>
      <w:r>
        <w:rPr>
          <w:color w:val="545456"/>
          <w:sz w:val="18"/>
          <w:lang w:eastAsia="ja-JP"/>
        </w:rPr>
        <w:t>5</w:t>
      </w:r>
      <w:r>
        <w:rPr>
          <w:color w:val="545456"/>
          <w:sz w:val="18"/>
          <w:lang w:eastAsia="ja-JP"/>
        </w:rPr>
        <w:tab/>
        <w:t>kg</w:t>
      </w:r>
      <w:r>
        <w:rPr>
          <w:color w:val="545456"/>
          <w:spacing w:val="-11"/>
          <w:sz w:val="18"/>
          <w:lang w:eastAsia="ja-JP"/>
        </w:rPr>
        <w:t xml:space="preserve"> </w:t>
      </w:r>
      <w:r>
        <w:rPr>
          <w:color w:val="545456"/>
          <w:sz w:val="18"/>
          <w:lang w:eastAsia="ja-JP"/>
        </w:rPr>
        <w:t>CO</w:t>
      </w:r>
      <w:r>
        <w:rPr>
          <w:color w:val="545456"/>
          <w:sz w:val="18"/>
          <w:vertAlign w:val="subscript"/>
          <w:lang w:eastAsia="ja-JP"/>
        </w:rPr>
        <w:t>2</w:t>
      </w:r>
      <w:r>
        <w:rPr>
          <w:color w:val="545456"/>
          <w:sz w:val="18"/>
          <w:lang w:eastAsia="ja-JP"/>
        </w:rPr>
        <w:t>e/</w:t>
      </w:r>
      <w:r w:rsidR="006C6C8C">
        <w:rPr>
          <w:rFonts w:ascii="ＭＳ ゴシック" w:eastAsia="ＭＳ ゴシック" w:hAnsi="ＭＳ ゴシック" w:cs="ＭＳ ゴシック" w:hint="eastAsia"/>
          <w:color w:val="545456"/>
          <w:sz w:val="18"/>
          <w:lang w:eastAsia="ja-JP"/>
        </w:rPr>
        <w:t>トン</w:t>
      </w:r>
    </w:p>
    <w:p w14:paraId="5BB74855" w14:textId="77777777" w:rsidR="0055291C" w:rsidRDefault="0055291C">
      <w:pPr>
        <w:pStyle w:val="a3"/>
        <w:rPr>
          <w:sz w:val="20"/>
          <w:lang w:eastAsia="ja-JP"/>
        </w:rPr>
      </w:pPr>
    </w:p>
    <w:p w14:paraId="215ECEFB" w14:textId="77777777" w:rsidR="0055291C" w:rsidRDefault="0055291C">
      <w:pPr>
        <w:pStyle w:val="a3"/>
        <w:spacing w:before="9"/>
        <w:rPr>
          <w:sz w:val="20"/>
          <w:lang w:eastAsia="ja-JP"/>
        </w:rPr>
      </w:pPr>
    </w:p>
    <w:p w14:paraId="4D372E74" w14:textId="5C6179BD" w:rsidR="0055291C" w:rsidRDefault="006C6C8C">
      <w:pPr>
        <w:pStyle w:val="5"/>
        <w:rPr>
          <w:lang w:eastAsia="ja-JP"/>
        </w:rPr>
      </w:pPr>
      <w:r>
        <w:rPr>
          <w:rFonts w:ascii="ＭＳ 明朝" w:eastAsia="ＭＳ 明朝" w:hAnsi="ＭＳ 明朝" w:cs="ＭＳ 明朝" w:hint="eastAsia"/>
          <w:color w:val="545456"/>
          <w:w w:val="95"/>
          <w:lang w:eastAsia="ja-JP"/>
        </w:rPr>
        <w:t>実施例</w:t>
      </w:r>
    </w:p>
    <w:p w14:paraId="101B2E25" w14:textId="6FD6C074" w:rsidR="006C6C8C" w:rsidRDefault="006C6C8C" w:rsidP="006C6C8C">
      <w:pPr>
        <w:pStyle w:val="a3"/>
        <w:tabs>
          <w:tab w:val="left" w:pos="2000"/>
        </w:tabs>
        <w:spacing w:before="2"/>
        <w:rPr>
          <w:rFonts w:ascii="ＭＳ ゴシック" w:eastAsia="ＭＳ ゴシック" w:hAnsi="ＭＳ ゴシック" w:cs="ＭＳ ゴシック"/>
          <w:b/>
          <w:i/>
          <w:color w:val="F1F1F2"/>
          <w:w w:val="95"/>
          <w:sz w:val="21"/>
          <w:lang w:eastAsia="ja-JP"/>
        </w:rPr>
      </w:pPr>
      <w:r>
        <w:rPr>
          <w:rFonts w:ascii="Arial"/>
          <w:b/>
          <w:i/>
          <w:sz w:val="23"/>
          <w:lang w:eastAsia="ja-JP"/>
        </w:rPr>
        <w:tab/>
      </w:r>
      <w:r>
        <w:rPr>
          <w:rFonts w:ascii="ＭＳ ゴシック" w:eastAsia="ＭＳ ゴシック" w:hAnsi="ＭＳ ゴシック" w:cs="ＭＳ ゴシック" w:hint="eastAsia"/>
          <w:b/>
          <w:i/>
          <w:color w:val="F1F1F2"/>
          <w:w w:val="95"/>
          <w:sz w:val="21"/>
          <w:lang w:eastAsia="ja-JP"/>
        </w:rPr>
        <w:t>排出結果</w:t>
      </w:r>
      <w:r w:rsidR="00F23C61">
        <w:rPr>
          <w:rFonts w:ascii="Arial"/>
          <w:b/>
          <w:i/>
          <w:color w:val="F1F1F2"/>
          <w:spacing w:val="2"/>
          <w:w w:val="95"/>
          <w:sz w:val="21"/>
          <w:lang w:eastAsia="ja-JP"/>
        </w:rPr>
        <w:t xml:space="preserve"> </w:t>
      </w:r>
      <w:r w:rsidR="00F23C61">
        <w:rPr>
          <w:rFonts w:ascii="Arial"/>
          <w:b/>
          <w:i/>
          <w:color w:val="F1F1F2"/>
          <w:w w:val="95"/>
          <w:sz w:val="21"/>
          <w:lang w:eastAsia="ja-JP"/>
        </w:rPr>
        <w:t>(CO</w:t>
      </w:r>
      <w:r w:rsidR="00F23C61">
        <w:rPr>
          <w:rFonts w:ascii="Arial"/>
          <w:b/>
          <w:i/>
          <w:color w:val="F1F1F2"/>
          <w:w w:val="95"/>
          <w:sz w:val="21"/>
          <w:vertAlign w:val="subscript"/>
          <w:lang w:eastAsia="ja-JP"/>
        </w:rPr>
        <w:t>2</w:t>
      </w:r>
      <w:r w:rsidR="00F23C61">
        <w:rPr>
          <w:rFonts w:ascii="Arial"/>
          <w:b/>
          <w:i/>
          <w:color w:val="F1F1F2"/>
          <w:w w:val="95"/>
          <w:sz w:val="21"/>
          <w:lang w:eastAsia="ja-JP"/>
        </w:rPr>
        <w:t>e)</w:t>
      </w:r>
      <w:r w:rsidR="00F23C61">
        <w:rPr>
          <w:rFonts w:ascii="Arial"/>
          <w:b/>
          <w:i/>
          <w:color w:val="F1F1F2"/>
          <w:w w:val="95"/>
          <w:sz w:val="21"/>
          <w:lang w:eastAsia="ja-JP"/>
        </w:rPr>
        <w:tab/>
      </w:r>
      <w:r>
        <w:rPr>
          <w:rFonts w:ascii="Arial"/>
          <w:b/>
          <w:i/>
          <w:color w:val="F1F1F2"/>
          <w:w w:val="95"/>
          <w:sz w:val="21"/>
          <w:lang w:eastAsia="ja-JP"/>
        </w:rPr>
        <w:tab/>
      </w:r>
      <w:r>
        <w:rPr>
          <w:rFonts w:ascii="Arial"/>
          <w:b/>
          <w:i/>
          <w:color w:val="F1F1F2"/>
          <w:w w:val="95"/>
          <w:sz w:val="21"/>
          <w:lang w:eastAsia="ja-JP"/>
        </w:rPr>
        <w:tab/>
      </w:r>
      <w:r>
        <w:rPr>
          <w:rFonts w:ascii="Arial"/>
          <w:b/>
          <w:i/>
          <w:color w:val="F1F1F2"/>
          <w:w w:val="95"/>
          <w:sz w:val="21"/>
          <w:lang w:eastAsia="ja-JP"/>
        </w:rPr>
        <w:tab/>
      </w:r>
      <w:r>
        <w:rPr>
          <w:rFonts w:ascii="Arial"/>
          <w:b/>
          <w:i/>
          <w:color w:val="F1F1F2"/>
          <w:w w:val="95"/>
          <w:sz w:val="21"/>
          <w:lang w:eastAsia="ja-JP"/>
        </w:rPr>
        <w:tab/>
      </w:r>
      <w:r w:rsidRPr="006C6C8C">
        <w:rPr>
          <w:rFonts w:ascii="ＭＳ ゴシック" w:eastAsia="ＭＳ ゴシック" w:hAnsi="ＭＳ ゴシック" w:cs="ＭＳ ゴシック" w:hint="eastAsia"/>
          <w:b/>
          <w:bCs/>
          <w:i/>
          <w:iCs/>
          <w:color w:val="FFFFFF" w:themeColor="background1"/>
          <w:lang w:eastAsia="ja-JP"/>
        </w:rPr>
        <w:t>リサイクル含有率法</w:t>
      </w:r>
      <w:r w:rsidR="00F23C61">
        <w:rPr>
          <w:rFonts w:ascii="Arial"/>
          <w:b/>
          <w:i/>
          <w:color w:val="F1F1F2"/>
          <w:w w:val="95"/>
          <w:sz w:val="21"/>
          <w:lang w:eastAsia="ja-JP"/>
        </w:rPr>
        <w:tab/>
      </w:r>
      <w:r>
        <w:rPr>
          <w:rFonts w:ascii="ＭＳ ゴシック" w:eastAsia="ＭＳ ゴシック" w:hAnsi="ＭＳ ゴシック" w:cs="ＭＳ ゴシック" w:hint="eastAsia"/>
          <w:b/>
          <w:i/>
          <w:color w:val="F1F1F2"/>
          <w:w w:val="95"/>
          <w:sz w:val="21"/>
          <w:lang w:eastAsia="ja-JP"/>
        </w:rPr>
        <w:t xml:space="preserve">　クローズドループ</w:t>
      </w:r>
    </w:p>
    <w:p w14:paraId="5BBA2F52" w14:textId="771EB370" w:rsidR="006C6C8C" w:rsidRDefault="006C6C8C" w:rsidP="006C6C8C">
      <w:pPr>
        <w:pStyle w:val="a3"/>
        <w:tabs>
          <w:tab w:val="left" w:pos="2000"/>
        </w:tabs>
        <w:spacing w:before="2"/>
        <w:rPr>
          <w:rFonts w:ascii="Arial"/>
          <w:b/>
          <w:i/>
          <w:color w:val="F1F1F2"/>
          <w:spacing w:val="1"/>
          <w:w w:val="95"/>
          <w:sz w:val="21"/>
          <w:lang w:eastAsia="ja-JP"/>
        </w:rPr>
      </w:pPr>
      <w:r>
        <w:rPr>
          <w:rFonts w:ascii="ＭＳ ゴシック" w:eastAsia="ＭＳ ゴシック" w:hAnsi="ＭＳ ゴシック" w:cs="ＭＳ ゴシック"/>
          <w:b/>
          <w:i/>
          <w:color w:val="F1F1F2"/>
          <w:w w:val="95"/>
          <w:sz w:val="21"/>
          <w:lang w:eastAsia="ja-JP"/>
        </w:rPr>
        <w:tab/>
      </w:r>
      <w:r>
        <w:rPr>
          <w:rFonts w:ascii="ＭＳ ゴシック" w:eastAsia="ＭＳ ゴシック" w:hAnsi="ＭＳ ゴシック" w:cs="ＭＳ ゴシック"/>
          <w:b/>
          <w:i/>
          <w:color w:val="F1F1F2"/>
          <w:w w:val="95"/>
          <w:sz w:val="21"/>
          <w:lang w:eastAsia="ja-JP"/>
        </w:rPr>
        <w:tab/>
      </w:r>
      <w:r>
        <w:rPr>
          <w:rFonts w:ascii="ＭＳ ゴシック" w:eastAsia="ＭＳ ゴシック" w:hAnsi="ＭＳ ゴシック" w:cs="ＭＳ ゴシック"/>
          <w:b/>
          <w:i/>
          <w:color w:val="F1F1F2"/>
          <w:w w:val="95"/>
          <w:sz w:val="21"/>
          <w:lang w:eastAsia="ja-JP"/>
        </w:rPr>
        <w:tab/>
      </w:r>
      <w:r>
        <w:rPr>
          <w:rFonts w:ascii="ＭＳ ゴシック" w:eastAsia="ＭＳ ゴシック" w:hAnsi="ＭＳ ゴシック" w:cs="ＭＳ ゴシック"/>
          <w:b/>
          <w:i/>
          <w:color w:val="F1F1F2"/>
          <w:w w:val="95"/>
          <w:sz w:val="21"/>
          <w:lang w:eastAsia="ja-JP"/>
        </w:rPr>
        <w:tab/>
      </w:r>
      <w:r>
        <w:rPr>
          <w:rFonts w:ascii="ＭＳ ゴシック" w:eastAsia="ＭＳ ゴシック" w:hAnsi="ＭＳ ゴシック" w:cs="ＭＳ ゴシック"/>
          <w:b/>
          <w:i/>
          <w:color w:val="F1F1F2"/>
          <w:w w:val="95"/>
          <w:sz w:val="21"/>
          <w:lang w:eastAsia="ja-JP"/>
        </w:rPr>
        <w:tab/>
      </w:r>
      <w:r>
        <w:rPr>
          <w:rFonts w:ascii="ＭＳ ゴシック" w:eastAsia="ＭＳ ゴシック" w:hAnsi="ＭＳ ゴシック" w:cs="ＭＳ ゴシック"/>
          <w:b/>
          <w:i/>
          <w:color w:val="F1F1F2"/>
          <w:w w:val="95"/>
          <w:sz w:val="21"/>
          <w:lang w:eastAsia="ja-JP"/>
        </w:rPr>
        <w:tab/>
      </w:r>
      <w:r>
        <w:rPr>
          <w:rFonts w:ascii="ＭＳ ゴシック" w:eastAsia="ＭＳ ゴシック" w:hAnsi="ＭＳ ゴシック" w:cs="ＭＳ ゴシック"/>
          <w:b/>
          <w:i/>
          <w:color w:val="F1F1F2"/>
          <w:w w:val="95"/>
          <w:sz w:val="21"/>
          <w:lang w:eastAsia="ja-JP"/>
        </w:rPr>
        <w:tab/>
      </w:r>
      <w:r>
        <w:rPr>
          <w:rFonts w:ascii="ＭＳ ゴシック" w:eastAsia="ＭＳ ゴシック" w:hAnsi="ＭＳ ゴシック" w:cs="ＭＳ ゴシック"/>
          <w:b/>
          <w:i/>
          <w:color w:val="F1F1F2"/>
          <w:w w:val="95"/>
          <w:sz w:val="21"/>
          <w:lang w:eastAsia="ja-JP"/>
        </w:rPr>
        <w:tab/>
      </w:r>
      <w:r>
        <w:rPr>
          <w:rFonts w:ascii="ＭＳ ゴシック" w:eastAsia="ＭＳ ゴシック" w:hAnsi="ＭＳ ゴシック" w:cs="ＭＳ ゴシック"/>
          <w:b/>
          <w:i/>
          <w:color w:val="F1F1F2"/>
          <w:w w:val="95"/>
          <w:sz w:val="21"/>
          <w:lang w:eastAsia="ja-JP"/>
        </w:rPr>
        <w:tab/>
      </w:r>
      <w:r>
        <w:rPr>
          <w:rFonts w:ascii="ＭＳ ゴシック" w:eastAsia="ＭＳ ゴシック" w:hAnsi="ＭＳ ゴシック" w:cs="ＭＳ ゴシック"/>
          <w:b/>
          <w:i/>
          <w:color w:val="F1F1F2"/>
          <w:w w:val="95"/>
          <w:sz w:val="21"/>
          <w:lang w:eastAsia="ja-JP"/>
        </w:rPr>
        <w:tab/>
      </w:r>
      <w:r>
        <w:rPr>
          <w:rFonts w:ascii="ＭＳ ゴシック" w:eastAsia="ＭＳ ゴシック" w:hAnsi="ＭＳ ゴシック" w:cs="ＭＳ ゴシック"/>
          <w:b/>
          <w:i/>
          <w:color w:val="F1F1F2"/>
          <w:w w:val="95"/>
          <w:sz w:val="21"/>
          <w:lang w:eastAsia="ja-JP"/>
        </w:rPr>
        <w:tab/>
      </w:r>
      <w:r>
        <w:rPr>
          <w:rFonts w:ascii="ＭＳ ゴシック" w:eastAsia="ＭＳ ゴシック" w:hAnsi="ＭＳ ゴシック" w:cs="ＭＳ ゴシック"/>
          <w:b/>
          <w:i/>
          <w:color w:val="F1F1F2"/>
          <w:w w:val="95"/>
          <w:sz w:val="21"/>
          <w:lang w:eastAsia="ja-JP"/>
        </w:rPr>
        <w:tab/>
      </w:r>
      <w:r>
        <w:rPr>
          <w:rFonts w:ascii="ＭＳ ゴシック" w:eastAsia="ＭＳ ゴシック" w:hAnsi="ＭＳ ゴシック" w:cs="ＭＳ ゴシック" w:hint="eastAsia"/>
          <w:b/>
          <w:i/>
          <w:color w:val="F1F1F2"/>
          <w:w w:val="95"/>
          <w:sz w:val="21"/>
          <w:lang w:eastAsia="ja-JP"/>
        </w:rPr>
        <w:t>近似法</w:t>
      </w:r>
      <w:r w:rsidR="00F23C61">
        <w:rPr>
          <w:rFonts w:ascii="Arial"/>
          <w:b/>
          <w:i/>
          <w:color w:val="F1F1F2"/>
          <w:spacing w:val="1"/>
          <w:w w:val="95"/>
          <w:sz w:val="21"/>
          <w:lang w:eastAsia="ja-JP"/>
        </w:rPr>
        <w:t xml:space="preserve"> </w:t>
      </w:r>
    </w:p>
    <w:p w14:paraId="53198954" w14:textId="77777777" w:rsidR="006C6C8C" w:rsidRPr="006C6C8C" w:rsidRDefault="006C6C8C" w:rsidP="006C6C8C">
      <w:pPr>
        <w:pStyle w:val="a3"/>
        <w:tabs>
          <w:tab w:val="left" w:pos="2000"/>
        </w:tabs>
        <w:spacing w:before="2"/>
        <w:rPr>
          <w:rFonts w:ascii="Arial" w:eastAsiaTheme="minorEastAsia"/>
          <w:b/>
          <w:i/>
          <w:color w:val="F1F1F2"/>
          <w:spacing w:val="-3"/>
          <w:sz w:val="21"/>
          <w:lang w:eastAsia="ja-JP"/>
        </w:rPr>
      </w:pPr>
    </w:p>
    <w:p w14:paraId="0EC099FE" w14:textId="4828AE79" w:rsidR="0055291C" w:rsidRDefault="006C6C8C" w:rsidP="006C6C8C">
      <w:pPr>
        <w:tabs>
          <w:tab w:val="left" w:pos="6435"/>
          <w:tab w:val="left" w:pos="8749"/>
        </w:tabs>
        <w:spacing w:before="98" w:line="249" w:lineRule="auto"/>
        <w:ind w:left="6435" w:right="2066" w:hanging="5020"/>
        <w:rPr>
          <w:sz w:val="18"/>
          <w:lang w:eastAsia="ja-JP"/>
        </w:rPr>
      </w:pPr>
      <w:r>
        <w:rPr>
          <w:rFonts w:ascii="ＭＳ ゴシック" w:eastAsia="ＭＳ ゴシック" w:hAnsi="ＭＳ ゴシック" w:cs="ＭＳ ゴシック" w:hint="eastAsia"/>
          <w:b/>
          <w:color w:val="545456"/>
          <w:sz w:val="18"/>
          <w:lang w:eastAsia="ja-JP"/>
        </w:rPr>
        <w:t>素材入手と前処理</w:t>
      </w:r>
      <w:r w:rsidR="00F23C61">
        <w:rPr>
          <w:rFonts w:ascii="Arial"/>
          <w:b/>
          <w:color w:val="545456"/>
          <w:sz w:val="18"/>
          <w:lang w:eastAsia="ja-JP"/>
        </w:rPr>
        <w:tab/>
      </w:r>
      <w:r w:rsidR="00F23C61">
        <w:rPr>
          <w:color w:val="545456"/>
          <w:sz w:val="18"/>
          <w:lang w:eastAsia="ja-JP"/>
        </w:rPr>
        <w:t>36</w:t>
      </w:r>
      <w:r w:rsidR="00F23C61">
        <w:rPr>
          <w:rFonts w:ascii="Times New Roman"/>
          <w:color w:val="545456"/>
          <w:sz w:val="18"/>
          <w:lang w:eastAsia="ja-JP"/>
        </w:rPr>
        <w:tab/>
      </w:r>
      <w:r w:rsidR="00F23C61">
        <w:rPr>
          <w:color w:val="545456"/>
          <w:sz w:val="18"/>
          <w:lang w:eastAsia="ja-JP"/>
        </w:rPr>
        <w:t>50</w:t>
      </w:r>
    </w:p>
    <w:p w14:paraId="0DE05C0D" w14:textId="79C789B7" w:rsidR="0055291C" w:rsidRDefault="006C6C8C">
      <w:pPr>
        <w:tabs>
          <w:tab w:val="left" w:pos="6435"/>
          <w:tab w:val="right" w:pos="8952"/>
        </w:tabs>
        <w:spacing w:before="211"/>
        <w:ind w:left="1415"/>
        <w:rPr>
          <w:sz w:val="18"/>
          <w:lang w:eastAsia="ja-JP"/>
        </w:rPr>
      </w:pPr>
      <w:r>
        <w:rPr>
          <w:rFonts w:ascii="ＭＳ ゴシック" w:eastAsia="ＭＳ ゴシック" w:hAnsi="ＭＳ ゴシック" w:cs="ＭＳ ゴシック" w:hint="eastAsia"/>
          <w:b/>
          <w:color w:val="545456"/>
          <w:w w:val="105"/>
          <w:sz w:val="18"/>
          <w:lang w:eastAsia="ja-JP"/>
        </w:rPr>
        <w:t>廃棄</w:t>
      </w:r>
      <w:r w:rsidR="00F23C61">
        <w:rPr>
          <w:rFonts w:ascii="Arial"/>
          <w:b/>
          <w:color w:val="545456"/>
          <w:w w:val="105"/>
          <w:sz w:val="18"/>
          <w:lang w:eastAsia="ja-JP"/>
        </w:rPr>
        <w:tab/>
      </w:r>
      <w:r w:rsidR="00F23C61">
        <w:rPr>
          <w:color w:val="545456"/>
          <w:w w:val="105"/>
          <w:sz w:val="18"/>
          <w:lang w:eastAsia="ja-JP"/>
        </w:rPr>
        <w:t>19</w:t>
      </w:r>
      <w:r w:rsidR="00F23C61">
        <w:rPr>
          <w:rFonts w:ascii="Times New Roman"/>
          <w:color w:val="545456"/>
          <w:w w:val="105"/>
          <w:sz w:val="18"/>
          <w:lang w:eastAsia="ja-JP"/>
        </w:rPr>
        <w:tab/>
      </w:r>
      <w:r w:rsidR="00F23C61">
        <w:rPr>
          <w:color w:val="545456"/>
          <w:w w:val="105"/>
          <w:sz w:val="18"/>
          <w:lang w:eastAsia="ja-JP"/>
        </w:rPr>
        <w:t>23</w:t>
      </w:r>
    </w:p>
    <w:p w14:paraId="733809BB" w14:textId="77777777" w:rsidR="0055291C" w:rsidRDefault="0055291C">
      <w:pPr>
        <w:pStyle w:val="a3"/>
        <w:spacing w:before="7"/>
        <w:rPr>
          <w:sz w:val="18"/>
          <w:lang w:eastAsia="ja-JP"/>
        </w:rPr>
      </w:pPr>
    </w:p>
    <w:p w14:paraId="47DA2ED0" w14:textId="57AB8AC7" w:rsidR="0055291C" w:rsidRDefault="006C6C8C">
      <w:pPr>
        <w:tabs>
          <w:tab w:val="left" w:pos="6476"/>
          <w:tab w:val="left" w:pos="8749"/>
        </w:tabs>
        <w:spacing w:before="1"/>
        <w:ind w:left="1415"/>
        <w:rPr>
          <w:sz w:val="18"/>
          <w:lang w:eastAsia="ja-JP"/>
        </w:rPr>
      </w:pPr>
      <w:r>
        <w:rPr>
          <w:rFonts w:ascii="ＭＳ ゴシック" w:eastAsia="ＭＳ ゴシック" w:hAnsi="ＭＳ ゴシック" w:cs="ＭＳ ゴシック" w:hint="eastAsia"/>
          <w:b/>
          <w:color w:val="545456"/>
          <w:sz w:val="18"/>
          <w:lang w:eastAsia="ja-JP"/>
        </w:rPr>
        <w:t>バージン材変位係数</w:t>
      </w:r>
      <w:r w:rsidR="00F23C61">
        <w:rPr>
          <w:rFonts w:ascii="Arial"/>
          <w:b/>
          <w:color w:val="545456"/>
          <w:sz w:val="18"/>
          <w:lang w:eastAsia="ja-JP"/>
        </w:rPr>
        <w:tab/>
      </w:r>
      <w:r w:rsidR="00F23C61">
        <w:rPr>
          <w:color w:val="545456"/>
          <w:w w:val="105"/>
          <w:sz w:val="18"/>
          <w:lang w:eastAsia="ja-JP"/>
        </w:rPr>
        <w:t>0</w:t>
      </w:r>
      <w:r w:rsidR="00F23C61">
        <w:rPr>
          <w:color w:val="545456"/>
          <w:w w:val="105"/>
          <w:sz w:val="18"/>
          <w:lang w:eastAsia="ja-JP"/>
        </w:rPr>
        <w:tab/>
        <w:t>[13]</w:t>
      </w:r>
    </w:p>
    <w:p w14:paraId="1842C059" w14:textId="77777777" w:rsidR="0055291C" w:rsidRDefault="0055291C">
      <w:pPr>
        <w:pStyle w:val="a3"/>
        <w:spacing w:before="7"/>
        <w:rPr>
          <w:sz w:val="18"/>
          <w:lang w:eastAsia="ja-JP"/>
        </w:rPr>
      </w:pPr>
    </w:p>
    <w:p w14:paraId="53D9E78E" w14:textId="25A4D61E" w:rsidR="0055291C" w:rsidRDefault="006C6C8C">
      <w:pPr>
        <w:tabs>
          <w:tab w:val="left" w:pos="6435"/>
          <w:tab w:val="left" w:pos="8749"/>
        </w:tabs>
        <w:ind w:left="1415"/>
        <w:rPr>
          <w:sz w:val="18"/>
          <w:lang w:eastAsia="ja-JP"/>
        </w:rPr>
      </w:pPr>
      <w:r>
        <w:rPr>
          <w:rFonts w:ascii="ＭＳ ゴシック" w:eastAsia="ＭＳ ゴシック" w:hAnsi="ＭＳ ゴシック" w:cs="ＭＳ ゴシック" w:hint="eastAsia"/>
          <w:b/>
          <w:color w:val="545456"/>
          <w:w w:val="105"/>
          <w:sz w:val="18"/>
          <w:lang w:eastAsia="ja-JP"/>
        </w:rPr>
        <w:t>合計</w:t>
      </w:r>
      <w:r w:rsidR="00F23C61">
        <w:rPr>
          <w:rFonts w:ascii="Arial"/>
          <w:b/>
          <w:color w:val="545456"/>
          <w:w w:val="105"/>
          <w:sz w:val="18"/>
          <w:lang w:eastAsia="ja-JP"/>
        </w:rPr>
        <w:tab/>
      </w:r>
      <w:r w:rsidR="00F23C61">
        <w:rPr>
          <w:color w:val="545456"/>
          <w:w w:val="105"/>
          <w:sz w:val="18"/>
          <w:lang w:eastAsia="ja-JP"/>
        </w:rPr>
        <w:t>55</w:t>
      </w:r>
      <w:r w:rsidR="00F23C61">
        <w:rPr>
          <w:color w:val="545456"/>
          <w:w w:val="105"/>
          <w:sz w:val="18"/>
          <w:lang w:eastAsia="ja-JP"/>
        </w:rPr>
        <w:tab/>
        <w:t>60*</w:t>
      </w:r>
    </w:p>
    <w:p w14:paraId="69950887" w14:textId="77777777" w:rsidR="0055291C" w:rsidRDefault="0055291C">
      <w:pPr>
        <w:pStyle w:val="a3"/>
        <w:spacing w:before="3"/>
        <w:rPr>
          <w:sz w:val="29"/>
          <w:lang w:eastAsia="ja-JP"/>
        </w:rPr>
      </w:pPr>
    </w:p>
    <w:p w14:paraId="157509FF" w14:textId="37FE4921" w:rsidR="0055291C" w:rsidRDefault="00F23C61">
      <w:pPr>
        <w:ind w:left="1415"/>
        <w:rPr>
          <w:sz w:val="16"/>
          <w:lang w:eastAsia="ja-JP"/>
        </w:rPr>
      </w:pPr>
      <w:r>
        <w:rPr>
          <w:color w:val="545456"/>
          <w:sz w:val="16"/>
          <w:lang w:eastAsia="ja-JP"/>
        </w:rPr>
        <w:t>*</w:t>
      </w:r>
      <w:r w:rsidR="00A015D8">
        <w:rPr>
          <w:rFonts w:ascii="ＭＳ ゴシック" w:eastAsia="ＭＳ ゴシック" w:hAnsi="ＭＳ ゴシック" w:cs="ＭＳ ゴシック" w:hint="eastAsia"/>
          <w:color w:val="545456"/>
          <w:sz w:val="16"/>
          <w:lang w:eastAsia="ja-JP"/>
        </w:rPr>
        <w:t>合計</w:t>
      </w:r>
      <w:r>
        <w:rPr>
          <w:color w:val="545456"/>
          <w:spacing w:val="-6"/>
          <w:sz w:val="16"/>
          <w:lang w:eastAsia="ja-JP"/>
        </w:rPr>
        <w:t xml:space="preserve"> </w:t>
      </w:r>
      <w:r>
        <w:rPr>
          <w:rFonts w:ascii="Arial"/>
          <w:b/>
          <w:color w:val="00ACA1"/>
          <w:sz w:val="16"/>
          <w:lang w:eastAsia="ja-JP"/>
        </w:rPr>
        <w:t>=</w:t>
      </w:r>
      <w:r>
        <w:rPr>
          <w:rFonts w:ascii="Arial"/>
          <w:b/>
          <w:color w:val="00ACA1"/>
          <w:spacing w:val="-6"/>
          <w:sz w:val="16"/>
          <w:lang w:eastAsia="ja-JP"/>
        </w:rPr>
        <w:t xml:space="preserve"> </w:t>
      </w:r>
      <w:r w:rsidR="00A015D8" w:rsidRPr="00A015D8">
        <w:rPr>
          <w:rFonts w:ascii="ＭＳ ゴシック" w:eastAsia="ＭＳ ゴシック" w:hAnsi="ＭＳ ゴシック" w:cs="ＭＳ ゴシック" w:hint="eastAsia"/>
          <w:bCs/>
          <w:color w:val="000000" w:themeColor="text1"/>
          <w:spacing w:val="-6"/>
          <w:sz w:val="16"/>
          <w:lang w:eastAsia="ja-JP"/>
        </w:rPr>
        <w:t>素材入手と前処理</w:t>
      </w:r>
      <w:r w:rsidRPr="00A015D8">
        <w:rPr>
          <w:b/>
          <w:color w:val="545456"/>
          <w:spacing w:val="-5"/>
          <w:sz w:val="16"/>
          <w:lang w:eastAsia="ja-JP"/>
        </w:rPr>
        <w:t xml:space="preserve"> </w:t>
      </w:r>
      <w:r w:rsidRPr="00A015D8">
        <w:rPr>
          <w:rFonts w:ascii="Arial"/>
          <w:b/>
          <w:color w:val="00ACA1"/>
          <w:sz w:val="16"/>
          <w:lang w:eastAsia="ja-JP"/>
        </w:rPr>
        <w:t>+</w:t>
      </w:r>
      <w:r w:rsidRPr="00A015D8">
        <w:rPr>
          <w:rFonts w:ascii="Arial"/>
          <w:bCs/>
          <w:color w:val="00ACA1"/>
          <w:spacing w:val="-7"/>
          <w:sz w:val="16"/>
          <w:lang w:eastAsia="ja-JP"/>
        </w:rPr>
        <w:t xml:space="preserve"> </w:t>
      </w:r>
      <w:r w:rsidR="00A015D8" w:rsidRPr="00A015D8">
        <w:rPr>
          <w:rFonts w:ascii="ＭＳ ゴシック" w:eastAsia="ＭＳ ゴシック" w:hAnsi="ＭＳ ゴシック" w:cs="ＭＳ ゴシック" w:hint="eastAsia"/>
          <w:bCs/>
          <w:color w:val="000000" w:themeColor="text1"/>
          <w:spacing w:val="-7"/>
          <w:sz w:val="16"/>
          <w:lang w:eastAsia="ja-JP"/>
        </w:rPr>
        <w:t>廃棄</w:t>
      </w:r>
      <w:r w:rsidRPr="00A015D8">
        <w:rPr>
          <w:b/>
          <w:color w:val="545456"/>
          <w:spacing w:val="-6"/>
          <w:sz w:val="16"/>
          <w:lang w:eastAsia="ja-JP"/>
        </w:rPr>
        <w:t xml:space="preserve"> </w:t>
      </w:r>
      <w:r w:rsidR="00A015D8" w:rsidRPr="00A015D8">
        <w:rPr>
          <w:rFonts w:ascii="Arial"/>
          <w:b/>
          <w:color w:val="00ACA1"/>
          <w:sz w:val="16"/>
          <w:lang w:eastAsia="ja-JP"/>
        </w:rPr>
        <w:t>–</w:t>
      </w:r>
      <w:r w:rsidRPr="00A015D8">
        <w:rPr>
          <w:rFonts w:ascii="Arial"/>
          <w:bCs/>
          <w:color w:val="00ACA1"/>
          <w:spacing w:val="-7"/>
          <w:sz w:val="16"/>
          <w:lang w:eastAsia="ja-JP"/>
        </w:rPr>
        <w:t xml:space="preserve"> </w:t>
      </w:r>
      <w:r w:rsidR="00A015D8" w:rsidRPr="00A015D8">
        <w:rPr>
          <w:rFonts w:ascii="ＭＳ ゴシック" w:eastAsia="ＭＳ ゴシック" w:hAnsi="ＭＳ ゴシック" w:cs="ＭＳ ゴシック" w:hint="eastAsia"/>
          <w:bCs/>
          <w:color w:val="000000" w:themeColor="text1"/>
          <w:spacing w:val="-7"/>
          <w:sz w:val="16"/>
          <w:lang w:eastAsia="ja-JP"/>
        </w:rPr>
        <w:t>バージン材変位係数</w:t>
      </w:r>
    </w:p>
    <w:p w14:paraId="460D4524" w14:textId="77777777" w:rsidR="0055291C" w:rsidRDefault="0055291C">
      <w:pPr>
        <w:rPr>
          <w:sz w:val="16"/>
          <w:lang w:eastAsia="ja-JP"/>
        </w:rPr>
        <w:sectPr w:rsidR="0055291C">
          <w:headerReference w:type="even" r:id="rId246"/>
          <w:footerReference w:type="even" r:id="rId247"/>
          <w:footerReference w:type="default" r:id="rId248"/>
          <w:pgSz w:w="12240" w:h="15840"/>
          <w:pgMar w:top="620" w:right="0" w:bottom="1040" w:left="0" w:header="0" w:footer="859" w:gutter="0"/>
          <w:pgNumType w:start="76"/>
          <w:cols w:space="720"/>
        </w:sectPr>
      </w:pPr>
    </w:p>
    <w:p w14:paraId="06225730" w14:textId="77777777" w:rsidR="0055291C" w:rsidRDefault="0055291C">
      <w:pPr>
        <w:pStyle w:val="a3"/>
        <w:rPr>
          <w:sz w:val="20"/>
          <w:lang w:eastAsia="ja-JP"/>
        </w:rPr>
      </w:pPr>
    </w:p>
    <w:p w14:paraId="6E778F7F" w14:textId="77777777" w:rsidR="0055291C" w:rsidRDefault="0055291C">
      <w:pPr>
        <w:pStyle w:val="a3"/>
        <w:rPr>
          <w:sz w:val="20"/>
          <w:lang w:eastAsia="ja-JP"/>
        </w:rPr>
      </w:pPr>
    </w:p>
    <w:p w14:paraId="7BC8EAC7" w14:textId="77777777" w:rsidR="0055291C" w:rsidRDefault="0055291C">
      <w:pPr>
        <w:pStyle w:val="a3"/>
        <w:rPr>
          <w:sz w:val="20"/>
          <w:lang w:eastAsia="ja-JP"/>
        </w:rPr>
      </w:pPr>
    </w:p>
    <w:p w14:paraId="65E3C702" w14:textId="77777777" w:rsidR="0055291C" w:rsidRDefault="0055291C">
      <w:pPr>
        <w:pStyle w:val="a3"/>
        <w:spacing w:before="4"/>
        <w:rPr>
          <w:sz w:val="24"/>
          <w:lang w:eastAsia="ja-JP"/>
        </w:rPr>
      </w:pPr>
    </w:p>
    <w:p w14:paraId="6E567529" w14:textId="77777777" w:rsidR="0055291C" w:rsidRDefault="00000000">
      <w:pPr>
        <w:spacing w:before="1"/>
        <w:ind w:right="1121"/>
        <w:jc w:val="right"/>
        <w:rPr>
          <w:rFonts w:ascii="Arial"/>
          <w:i/>
          <w:sz w:val="19"/>
          <w:lang w:eastAsia="ja-JP"/>
        </w:rPr>
      </w:pPr>
      <w:r>
        <w:pict w14:anchorId="4F1C62A9">
          <v:shape id="docshape1233" o:spid="_x0000_s2600" style="position:absolute;left:0;text-align:left;margin-left:580.75pt;margin-top:-47.75pt;width:31.3pt;height:285.85pt;z-index:251625984;mso-position-horizontal-relative:page" coordorigin="11615,-955" coordsize="626,5717" path="m12240,-955r-625,l11615,4535r3,131l11643,4733r67,25l11842,4761r398,l12240,-955xe" fillcolor="#00aca1" stroked="f">
            <v:path arrowok="t"/>
            <w10:wrap anchorx="page"/>
          </v:shape>
        </w:pict>
      </w:r>
      <w:r w:rsidR="00F23C61">
        <w:rPr>
          <w:rFonts w:ascii="Arial"/>
          <w:b/>
          <w:i/>
          <w:color w:val="7F3F98"/>
          <w:sz w:val="19"/>
          <w:lang w:eastAsia="ja-JP"/>
        </w:rPr>
        <w:t>CHAPTER</w:t>
      </w:r>
      <w:r w:rsidR="00F23C61">
        <w:rPr>
          <w:rFonts w:ascii="Arial"/>
          <w:b/>
          <w:i/>
          <w:color w:val="7F3F98"/>
          <w:spacing w:val="14"/>
          <w:sz w:val="19"/>
          <w:lang w:eastAsia="ja-JP"/>
        </w:rPr>
        <w:t xml:space="preserve"> </w:t>
      </w:r>
      <w:r w:rsidR="00F23C61">
        <w:rPr>
          <w:rFonts w:ascii="Arial"/>
          <w:b/>
          <w:i/>
          <w:color w:val="7F3F98"/>
          <w:sz w:val="19"/>
          <w:lang w:eastAsia="ja-JP"/>
        </w:rPr>
        <w:t>09</w:t>
      </w:r>
      <w:r w:rsidR="00F23C61">
        <w:rPr>
          <w:rFonts w:ascii="Arial"/>
          <w:b/>
          <w:i/>
          <w:color w:val="7F3F98"/>
          <w:spacing w:val="15"/>
          <w:sz w:val="19"/>
          <w:lang w:eastAsia="ja-JP"/>
        </w:rPr>
        <w:t xml:space="preserve"> </w:t>
      </w:r>
      <w:r w:rsidR="00F23C61">
        <w:rPr>
          <w:rFonts w:ascii="Arial"/>
          <w:i/>
          <w:color w:val="545456"/>
          <w:sz w:val="19"/>
          <w:lang w:eastAsia="ja-JP"/>
        </w:rPr>
        <w:t>Allocation</w:t>
      </w:r>
    </w:p>
    <w:p w14:paraId="05D99325" w14:textId="77777777" w:rsidR="0055291C" w:rsidRDefault="0055291C">
      <w:pPr>
        <w:pStyle w:val="a3"/>
        <w:rPr>
          <w:rFonts w:ascii="Arial"/>
          <w:i/>
          <w:sz w:val="20"/>
          <w:lang w:eastAsia="ja-JP"/>
        </w:rPr>
      </w:pPr>
    </w:p>
    <w:p w14:paraId="06EE9FA1" w14:textId="77777777" w:rsidR="0055291C" w:rsidRDefault="0055291C">
      <w:pPr>
        <w:pStyle w:val="a3"/>
        <w:spacing w:before="7"/>
        <w:rPr>
          <w:rFonts w:ascii="Arial"/>
          <w:i/>
          <w:sz w:val="24"/>
          <w:lang w:eastAsia="ja-JP"/>
        </w:rPr>
      </w:pPr>
    </w:p>
    <w:p w14:paraId="0B6E84E9" w14:textId="23D36223" w:rsidR="0055291C" w:rsidRDefault="00F23C61">
      <w:pPr>
        <w:pStyle w:val="6"/>
        <w:rPr>
          <w:lang w:eastAsia="ja-JP"/>
        </w:rPr>
      </w:pPr>
      <w:r>
        <w:rPr>
          <w:color w:val="00ACA1"/>
          <w:w w:val="95"/>
          <w:lang w:eastAsia="ja-JP"/>
        </w:rPr>
        <w:t>Box</w:t>
      </w:r>
      <w:r>
        <w:rPr>
          <w:color w:val="00ACA1"/>
          <w:spacing w:val="14"/>
          <w:w w:val="95"/>
          <w:lang w:eastAsia="ja-JP"/>
        </w:rPr>
        <w:t xml:space="preserve"> </w:t>
      </w:r>
      <w:r>
        <w:rPr>
          <w:color w:val="00ACA1"/>
          <w:w w:val="95"/>
          <w:lang w:eastAsia="ja-JP"/>
        </w:rPr>
        <w:t>[9.4]</w:t>
      </w:r>
      <w:r>
        <w:rPr>
          <w:color w:val="00ACA1"/>
          <w:spacing w:val="14"/>
          <w:w w:val="95"/>
          <w:lang w:eastAsia="ja-JP"/>
        </w:rPr>
        <w:t xml:space="preserve"> </w:t>
      </w:r>
      <w:r w:rsidR="007C49B2">
        <w:rPr>
          <w:rFonts w:ascii="ＭＳ 明朝" w:eastAsia="ＭＳ 明朝" w:hAnsi="ＭＳ 明朝" w:cs="ＭＳ 明朝" w:hint="eastAsia"/>
          <w:color w:val="545456"/>
          <w:w w:val="95"/>
          <w:lang w:eastAsia="ja-JP"/>
        </w:rPr>
        <w:t>クローズドループ近似法とリサイクル含有率法の比較</w:t>
      </w:r>
      <w:r>
        <w:rPr>
          <w:color w:val="545456"/>
          <w:spacing w:val="14"/>
          <w:w w:val="95"/>
          <w:lang w:eastAsia="ja-JP"/>
        </w:rPr>
        <w:t xml:space="preserve"> </w:t>
      </w:r>
      <w:r>
        <w:rPr>
          <w:color w:val="545456"/>
          <w:w w:val="95"/>
          <w:lang w:eastAsia="ja-JP"/>
        </w:rPr>
        <w:t>(</w:t>
      </w:r>
      <w:r w:rsidR="007C49B2">
        <w:rPr>
          <w:rFonts w:ascii="ＭＳ 明朝" w:eastAsia="ＭＳ 明朝" w:hAnsi="ＭＳ 明朝" w:cs="ＭＳ 明朝" w:hint="eastAsia"/>
          <w:color w:val="545456"/>
          <w:w w:val="95"/>
          <w:lang w:eastAsia="ja-JP"/>
        </w:rPr>
        <w:t>続き</w:t>
      </w:r>
      <w:r>
        <w:rPr>
          <w:color w:val="545456"/>
          <w:w w:val="95"/>
          <w:lang w:eastAsia="ja-JP"/>
        </w:rPr>
        <w:t>)</w:t>
      </w:r>
    </w:p>
    <w:p w14:paraId="29ED9292" w14:textId="77777777" w:rsidR="0055291C" w:rsidRDefault="0055291C">
      <w:pPr>
        <w:pStyle w:val="a3"/>
        <w:rPr>
          <w:rFonts w:ascii="Arial"/>
          <w:b/>
          <w:sz w:val="20"/>
          <w:lang w:eastAsia="ja-JP"/>
        </w:rPr>
      </w:pPr>
    </w:p>
    <w:p w14:paraId="1A1CC029" w14:textId="77777777" w:rsidR="0055291C" w:rsidRDefault="0055291C">
      <w:pPr>
        <w:pStyle w:val="a3"/>
        <w:rPr>
          <w:rFonts w:ascii="Arial"/>
          <w:b/>
          <w:sz w:val="26"/>
          <w:lang w:eastAsia="ja-JP"/>
        </w:rPr>
      </w:pPr>
    </w:p>
    <w:p w14:paraId="5C04A58E" w14:textId="77777777" w:rsidR="0055291C" w:rsidRDefault="0055291C">
      <w:pPr>
        <w:rPr>
          <w:rFonts w:ascii="Arial"/>
          <w:sz w:val="26"/>
          <w:lang w:eastAsia="ja-JP"/>
        </w:rPr>
        <w:sectPr w:rsidR="0055291C">
          <w:headerReference w:type="default" r:id="rId249"/>
          <w:pgSz w:w="12240" w:h="15840"/>
          <w:pgMar w:top="0" w:right="0" w:bottom="1040" w:left="0" w:header="0" w:footer="859" w:gutter="0"/>
          <w:cols w:space="720"/>
        </w:sectPr>
      </w:pPr>
    </w:p>
    <w:p w14:paraId="39502F6C" w14:textId="085C0A4B" w:rsidR="0055291C" w:rsidRPr="00A015D8" w:rsidRDefault="00000000" w:rsidP="00A015D8">
      <w:pPr>
        <w:spacing w:before="103" w:line="328" w:lineRule="auto"/>
        <w:ind w:left="1371" w:right="88" w:firstLineChars="100" w:firstLine="190"/>
        <w:rPr>
          <w:sz w:val="19"/>
          <w:szCs w:val="19"/>
          <w:lang w:eastAsia="ja-JP"/>
        </w:rPr>
      </w:pPr>
      <w:r>
        <w:rPr>
          <w:sz w:val="19"/>
          <w:szCs w:val="19"/>
        </w:rPr>
        <w:pict w14:anchorId="0F01DB8B">
          <v:shape id="docshape1234" o:spid="_x0000_s2599" style="position:absolute;left:0;text-align:left;margin-left:57.25pt;margin-top:-13.75pt;width:498.65pt;height:270.2pt;z-index:-251561472;mso-position-horizontal-relative:page" coordorigin="1145,-275" coordsize="9973,5404" path="m10891,-275r-9519,l1241,-271r-67,25l1149,-179r-4,131l1145,4902r4,131l1174,5100r67,25l1372,5128r9519,l11022,5125r67,-25l11114,5033r3,-131l11117,-48r-3,-131l11089,-246r-67,-25l10891,-275xe" fillcolor="#e4f3f1" stroked="f">
            <v:path arrowok="t"/>
            <w10:wrap anchorx="page"/>
          </v:shape>
        </w:pict>
      </w:r>
      <w:r w:rsidR="00A015D8" w:rsidRPr="00A015D8">
        <w:rPr>
          <w:rFonts w:ascii="ＭＳ ゴシック" w:eastAsia="ＭＳ ゴシック" w:hAnsi="ＭＳ ゴシック" w:cs="ＭＳ ゴシック" w:hint="eastAsia"/>
          <w:sz w:val="19"/>
          <w:szCs w:val="19"/>
          <w:lang w:eastAsia="ja-JP"/>
        </w:rPr>
        <w:t>この例では、リサイクル含有率法を用いることで、調査対象製品に割り当てられる排出量と除去量が少なくなっていますが、異なるシナリオでは逆の結果になるかもしれません。方法論の選択の誤用や誤解を避けるために、</w:t>
      </w:r>
      <w:r w:rsidR="00EA56B8">
        <w:rPr>
          <w:rFonts w:ascii="ＭＳ ゴシック" w:eastAsia="ＭＳ ゴシック" w:hAnsi="ＭＳ ゴシック" w:cs="ＭＳ ゴシック" w:hint="eastAsia"/>
          <w:sz w:val="19"/>
          <w:szCs w:val="19"/>
          <w:lang w:eastAsia="ja-JP"/>
        </w:rPr>
        <w:t>規格は</w:t>
      </w:r>
    </w:p>
    <w:p w14:paraId="2359EABB" w14:textId="0E242A21" w:rsidR="00A015D8" w:rsidRPr="00A015D8" w:rsidRDefault="00A015D8">
      <w:pPr>
        <w:pStyle w:val="a5"/>
        <w:numPr>
          <w:ilvl w:val="0"/>
          <w:numId w:val="78"/>
        </w:numPr>
        <w:spacing w:before="72"/>
        <w:rPr>
          <w:color w:val="545456"/>
          <w:sz w:val="18"/>
          <w:lang w:eastAsia="ja-JP"/>
        </w:rPr>
      </w:pPr>
      <w:r w:rsidRPr="00A015D8">
        <w:rPr>
          <w:rFonts w:ascii="ＭＳ ゴシック" w:eastAsia="ＭＳ ゴシック" w:hAnsi="ＭＳ ゴシック" w:cs="ＭＳ ゴシック" w:hint="eastAsia"/>
          <w:color w:val="545456"/>
          <w:sz w:val="18"/>
          <w:lang w:eastAsia="ja-JP"/>
        </w:rPr>
        <w:t>リサイクルに使用した方法を開示し、正当性を示す</w:t>
      </w:r>
      <w:r>
        <w:rPr>
          <w:rFonts w:ascii="ＭＳ ゴシック" w:eastAsia="ＭＳ ゴシック" w:hAnsi="ＭＳ ゴシック" w:cs="ＭＳ ゴシック" w:hint="eastAsia"/>
          <w:color w:val="545456"/>
          <w:sz w:val="18"/>
          <w:lang w:eastAsia="ja-JP"/>
        </w:rPr>
        <w:t>こと、</w:t>
      </w:r>
    </w:p>
    <w:p w14:paraId="4319C4FE" w14:textId="08C79C12" w:rsidR="00A015D8" w:rsidRPr="00A015D8" w:rsidRDefault="00A015D8">
      <w:pPr>
        <w:pStyle w:val="a5"/>
        <w:numPr>
          <w:ilvl w:val="0"/>
          <w:numId w:val="78"/>
        </w:numPr>
        <w:spacing w:before="72"/>
        <w:rPr>
          <w:color w:val="545456"/>
          <w:sz w:val="18"/>
          <w:lang w:eastAsia="ja-JP"/>
        </w:rPr>
      </w:pPr>
      <w:r w:rsidRPr="00A015D8">
        <w:rPr>
          <w:rFonts w:ascii="ＭＳ ゴシック" w:eastAsia="ＭＳ ゴシック" w:hAnsi="ＭＳ ゴシック" w:cs="ＭＳ ゴシック" w:hint="eastAsia"/>
          <w:color w:val="545456"/>
          <w:sz w:val="18"/>
          <w:lang w:eastAsia="ja-JP"/>
        </w:rPr>
        <w:t>パフォーマンスを追跡するために、長期間にわたって一貫して同じ方法を使用する</w:t>
      </w:r>
      <w:r>
        <w:rPr>
          <w:rFonts w:ascii="ＭＳ ゴシック" w:eastAsia="ＭＳ ゴシック" w:hAnsi="ＭＳ ゴシック" w:cs="ＭＳ ゴシック" w:hint="eastAsia"/>
          <w:color w:val="545456"/>
          <w:sz w:val="18"/>
          <w:lang w:eastAsia="ja-JP"/>
        </w:rPr>
        <w:t>こと、</w:t>
      </w:r>
      <w:r w:rsidRPr="00A015D8">
        <w:rPr>
          <w:rFonts w:ascii="ＭＳ ゴシック" w:eastAsia="ＭＳ ゴシック" w:hAnsi="ＭＳ ゴシック" w:cs="ＭＳ ゴシック" w:hint="eastAsia"/>
          <w:color w:val="545456"/>
          <w:sz w:val="18"/>
          <w:lang w:eastAsia="ja-JP"/>
        </w:rPr>
        <w:t>または、方法を変更した場合は、第</w:t>
      </w:r>
      <w:r w:rsidRPr="00A015D8">
        <w:rPr>
          <w:color w:val="545456"/>
          <w:sz w:val="18"/>
          <w:lang w:eastAsia="ja-JP"/>
        </w:rPr>
        <w:t>14</w:t>
      </w:r>
      <w:r w:rsidRPr="00A015D8">
        <w:rPr>
          <w:rFonts w:ascii="ＭＳ ゴシック" w:eastAsia="ＭＳ ゴシック" w:hAnsi="ＭＳ ゴシック" w:cs="ＭＳ ゴシック" w:hint="eastAsia"/>
          <w:color w:val="545456"/>
          <w:sz w:val="18"/>
          <w:lang w:eastAsia="ja-JP"/>
        </w:rPr>
        <w:t>章で要求されているように、基準</w:t>
      </w:r>
      <w:r>
        <w:rPr>
          <w:rFonts w:ascii="ＭＳ ゴシック" w:eastAsia="ＭＳ ゴシック" w:hAnsi="ＭＳ ゴシック" w:cs="ＭＳ ゴシック" w:hint="eastAsia"/>
          <w:color w:val="545456"/>
          <w:sz w:val="18"/>
          <w:lang w:eastAsia="ja-JP"/>
        </w:rPr>
        <w:t>排出量</w:t>
      </w:r>
      <w:r w:rsidRPr="00A015D8">
        <w:rPr>
          <w:rFonts w:ascii="ＭＳ ゴシック" w:eastAsia="ＭＳ ゴシック" w:hAnsi="ＭＳ ゴシック" w:cs="ＭＳ ゴシック" w:hint="eastAsia"/>
          <w:color w:val="545456"/>
          <w:sz w:val="18"/>
          <w:lang w:eastAsia="ja-JP"/>
        </w:rPr>
        <w:t>を再計算する</w:t>
      </w:r>
      <w:r>
        <w:rPr>
          <w:rFonts w:ascii="ＭＳ ゴシック" w:eastAsia="ＭＳ ゴシック" w:hAnsi="ＭＳ ゴシック" w:cs="ＭＳ ゴシック" w:hint="eastAsia"/>
          <w:color w:val="545456"/>
          <w:sz w:val="18"/>
          <w:lang w:eastAsia="ja-JP"/>
        </w:rPr>
        <w:t>こと、</w:t>
      </w:r>
    </w:p>
    <w:p w14:paraId="60161C58" w14:textId="6206F8D0" w:rsidR="00A015D8" w:rsidRPr="00A015D8" w:rsidRDefault="00A015D8">
      <w:pPr>
        <w:pStyle w:val="a5"/>
        <w:numPr>
          <w:ilvl w:val="0"/>
          <w:numId w:val="79"/>
        </w:numPr>
        <w:spacing w:before="72"/>
        <w:rPr>
          <w:color w:val="545456"/>
          <w:sz w:val="18"/>
          <w:lang w:eastAsia="ja-JP"/>
        </w:rPr>
      </w:pPr>
      <w:r w:rsidRPr="00A015D8">
        <w:rPr>
          <w:rFonts w:ascii="ＭＳ ゴシック" w:eastAsia="ＭＳ ゴシック" w:hAnsi="ＭＳ ゴシック" w:cs="ＭＳ ゴシック" w:hint="eastAsia"/>
          <w:color w:val="545456"/>
          <w:sz w:val="18"/>
          <w:lang w:eastAsia="ja-JP"/>
        </w:rPr>
        <w:t>計算されたバージン材変位量を開示する</w:t>
      </w:r>
      <w:r>
        <w:rPr>
          <w:rFonts w:ascii="ＭＳ ゴシック" w:eastAsia="ＭＳ ゴシック" w:hAnsi="ＭＳ ゴシック" w:cs="ＭＳ ゴシック" w:hint="eastAsia"/>
          <w:color w:val="545456"/>
          <w:sz w:val="18"/>
          <w:lang w:eastAsia="ja-JP"/>
        </w:rPr>
        <w:t>こと</w:t>
      </w:r>
    </w:p>
    <w:p w14:paraId="6362C87C" w14:textId="73F689EA" w:rsidR="0055291C" w:rsidRDefault="00A015D8" w:rsidP="00A015D8">
      <w:pPr>
        <w:spacing w:before="72"/>
        <w:ind w:left="1542"/>
        <w:rPr>
          <w:sz w:val="18"/>
          <w:lang w:eastAsia="ja-JP"/>
        </w:rPr>
      </w:pPr>
      <w:r>
        <w:rPr>
          <w:rFonts w:ascii="ＭＳ ゴシック" w:eastAsia="ＭＳ ゴシック" w:hAnsi="ＭＳ ゴシック" w:cs="ＭＳ ゴシック" w:hint="eastAsia"/>
          <w:color w:val="545456"/>
          <w:sz w:val="18"/>
          <w:lang w:eastAsia="ja-JP"/>
        </w:rPr>
        <w:t>の３つの要求事項を含んでいます。</w:t>
      </w:r>
    </w:p>
    <w:p w14:paraId="5FB234B5" w14:textId="77777777" w:rsidR="0055291C" w:rsidRDefault="0055291C">
      <w:pPr>
        <w:pStyle w:val="a3"/>
        <w:spacing w:before="1"/>
        <w:rPr>
          <w:lang w:eastAsia="ja-JP"/>
        </w:rPr>
      </w:pPr>
    </w:p>
    <w:p w14:paraId="529CE0AA" w14:textId="60BB7279" w:rsidR="0055291C" w:rsidRPr="00EA56B8" w:rsidRDefault="00EA56B8" w:rsidP="00EA56B8">
      <w:pPr>
        <w:spacing w:line="328" w:lineRule="auto"/>
        <w:ind w:left="1371" w:right="-5" w:firstLineChars="100" w:firstLine="190"/>
        <w:rPr>
          <w:rFonts w:ascii="ＭＳ ゴシック" w:eastAsia="ＭＳ ゴシック" w:hAnsi="ＭＳ ゴシック"/>
          <w:sz w:val="19"/>
          <w:szCs w:val="19"/>
          <w:lang w:eastAsia="ja-JP"/>
        </w:rPr>
      </w:pPr>
      <w:r w:rsidRPr="00EA56B8">
        <w:rPr>
          <w:rFonts w:ascii="ＭＳ ゴシック" w:eastAsia="ＭＳ ゴシック" w:hAnsi="ＭＳ ゴシック" w:cs="ＭＳ ゴシック" w:hint="eastAsia"/>
          <w:sz w:val="19"/>
          <w:szCs w:val="19"/>
          <w:lang w:eastAsia="ja-JP"/>
        </w:rPr>
        <w:t>また、同基準では、</w:t>
      </w:r>
      <w:r>
        <w:rPr>
          <w:rFonts w:ascii="ＭＳ ゴシック" w:eastAsia="ＭＳ ゴシック" w:hAnsi="ＭＳ ゴシック" w:cs="ＭＳ ゴシック" w:hint="eastAsia"/>
          <w:sz w:val="19"/>
          <w:szCs w:val="19"/>
          <w:lang w:eastAsia="ja-JP"/>
        </w:rPr>
        <w:t>報告書</w:t>
      </w:r>
      <w:r w:rsidRPr="00EA56B8">
        <w:rPr>
          <w:rFonts w:ascii="ＭＳ ゴシック" w:eastAsia="ＭＳ ゴシック" w:hAnsi="ＭＳ ゴシック" w:cs="ＭＳ ゴシック" w:hint="eastAsia"/>
          <w:sz w:val="19"/>
          <w:szCs w:val="19"/>
          <w:lang w:eastAsia="ja-JP"/>
        </w:rPr>
        <w:t>に定量的な不確実性</w:t>
      </w:r>
      <w:r>
        <w:rPr>
          <w:rFonts w:ascii="ＭＳ ゴシック" w:eastAsia="ＭＳ ゴシック" w:hAnsi="ＭＳ ゴシック" w:cs="ＭＳ ゴシック" w:hint="eastAsia"/>
          <w:sz w:val="19"/>
          <w:szCs w:val="19"/>
          <w:lang w:eastAsia="ja-JP"/>
        </w:rPr>
        <w:t>検査</w:t>
      </w:r>
      <w:r w:rsidRPr="00EA56B8">
        <w:rPr>
          <w:rFonts w:ascii="ＭＳ ゴシック" w:eastAsia="ＭＳ ゴシック" w:hAnsi="ＭＳ ゴシック" w:cs="ＭＳ ゴシック" w:hint="eastAsia"/>
          <w:sz w:val="19"/>
          <w:szCs w:val="19"/>
          <w:lang w:eastAsia="ja-JP"/>
        </w:rPr>
        <w:t>の結果を含めるこ</w:t>
      </w:r>
      <w:r>
        <w:rPr>
          <w:rFonts w:ascii="ＭＳ ゴシック" w:eastAsia="ＭＳ ゴシック" w:hAnsi="ＭＳ ゴシック" w:cs="ＭＳ ゴシック" w:hint="eastAsia"/>
          <w:sz w:val="19"/>
          <w:szCs w:val="19"/>
          <w:lang w:eastAsia="ja-JP"/>
        </w:rPr>
        <w:t>と</w:t>
      </w:r>
      <w:r w:rsidRPr="00EA56B8">
        <w:rPr>
          <w:rFonts w:ascii="ＭＳ ゴシック" w:eastAsia="ＭＳ ゴシック" w:hAnsi="ＭＳ ゴシック" w:cs="ＭＳ ゴシック" w:hint="eastAsia"/>
          <w:sz w:val="19"/>
          <w:szCs w:val="19"/>
          <w:lang w:eastAsia="ja-JP"/>
        </w:rPr>
        <w:t>を推奨してい</w:t>
      </w:r>
      <w:r>
        <w:rPr>
          <w:rFonts w:ascii="ＭＳ ゴシック" w:eastAsia="ＭＳ ゴシック" w:hAnsi="ＭＳ ゴシック" w:cs="ＭＳ ゴシック" w:hint="eastAsia"/>
          <w:sz w:val="19"/>
          <w:szCs w:val="19"/>
          <w:lang w:eastAsia="ja-JP"/>
        </w:rPr>
        <w:t>ます</w:t>
      </w:r>
      <w:r w:rsidRPr="00EA56B8">
        <w:rPr>
          <w:rFonts w:ascii="ＭＳ ゴシック" w:eastAsia="ＭＳ ゴシック" w:hAnsi="ＭＳ ゴシック" w:cs="ＭＳ ゴシック" w:hint="eastAsia"/>
          <w:sz w:val="19"/>
          <w:szCs w:val="19"/>
          <w:lang w:eastAsia="ja-JP"/>
        </w:rPr>
        <w:t>（感度分析</w:t>
      </w:r>
      <w:r w:rsidRPr="00EA56B8">
        <w:rPr>
          <w:rFonts w:ascii="ＭＳ ゴシック" w:eastAsia="ＭＳ ゴシック" w:hAnsi="ＭＳ ゴシック"/>
          <w:sz w:val="19"/>
          <w:szCs w:val="19"/>
          <w:lang w:eastAsia="ja-JP"/>
        </w:rPr>
        <w:t xml:space="preserve"> </w:t>
      </w:r>
      <w:r w:rsidRPr="00EA56B8">
        <w:rPr>
          <w:rFonts w:ascii="ＭＳ ゴシック" w:eastAsia="ＭＳ ゴシック" w:hAnsi="ＭＳ ゴシック" w:cs="ＭＳ ゴシック" w:hint="eastAsia"/>
          <w:sz w:val="19"/>
          <w:szCs w:val="19"/>
          <w:lang w:eastAsia="ja-JP"/>
        </w:rPr>
        <w:t>など）。</w:t>
      </w:r>
    </w:p>
    <w:p w14:paraId="7846B6BB" w14:textId="07DC18E9" w:rsidR="0055291C" w:rsidRPr="00EA56B8" w:rsidRDefault="00F23C61" w:rsidP="00EA56B8">
      <w:pPr>
        <w:spacing w:before="103" w:line="328" w:lineRule="auto"/>
        <w:ind w:left="339" w:right="1360" w:firstLineChars="100" w:firstLine="220"/>
        <w:rPr>
          <w:sz w:val="19"/>
          <w:szCs w:val="19"/>
          <w:lang w:eastAsia="ja-JP"/>
        </w:rPr>
      </w:pPr>
      <w:r>
        <w:rPr>
          <w:lang w:eastAsia="ja-JP"/>
        </w:rPr>
        <w:br w:type="column"/>
      </w:r>
      <w:r w:rsidR="00EA56B8" w:rsidRPr="00EA56B8">
        <w:rPr>
          <w:rFonts w:ascii="ＭＳ ゴシック" w:eastAsia="ＭＳ ゴシック" w:hAnsi="ＭＳ ゴシック" w:cs="ＭＳ ゴシック" w:hint="eastAsia"/>
          <w:sz w:val="19"/>
          <w:szCs w:val="19"/>
          <w:lang w:eastAsia="ja-JP"/>
        </w:rPr>
        <w:t>さらに、異なる配分方法に基づく</w:t>
      </w:r>
      <w:r w:rsidR="00EA56B8">
        <w:rPr>
          <w:rFonts w:ascii="ＭＳ ゴシック" w:eastAsia="ＭＳ ゴシック" w:hAnsi="ＭＳ ゴシック" w:cs="ＭＳ ゴシック" w:hint="eastAsia"/>
          <w:sz w:val="19"/>
          <w:szCs w:val="19"/>
          <w:lang w:eastAsia="ja-JP"/>
        </w:rPr>
        <w:t>算出</w:t>
      </w:r>
      <w:r w:rsidR="00EA56B8" w:rsidRPr="00EA56B8">
        <w:rPr>
          <w:rFonts w:ascii="ＭＳ ゴシック" w:eastAsia="ＭＳ ゴシック" w:hAnsi="ＭＳ ゴシック" w:cs="ＭＳ ゴシック" w:hint="eastAsia"/>
          <w:sz w:val="19"/>
          <w:szCs w:val="19"/>
          <w:lang w:eastAsia="ja-JP"/>
        </w:rPr>
        <w:t>結果の誤った比較を避けるために、報告書の一部として免責事項を記載することが求められ</w:t>
      </w:r>
      <w:r w:rsidR="00EA56B8">
        <w:rPr>
          <w:rFonts w:ascii="ＭＳ ゴシック" w:eastAsia="ＭＳ ゴシック" w:hAnsi="ＭＳ ゴシック" w:cs="ＭＳ ゴシック" w:hint="eastAsia"/>
          <w:sz w:val="19"/>
          <w:szCs w:val="19"/>
          <w:lang w:eastAsia="ja-JP"/>
        </w:rPr>
        <w:t>ています</w:t>
      </w:r>
      <w:r w:rsidR="00EA56B8" w:rsidRPr="00EA56B8">
        <w:rPr>
          <w:rFonts w:ascii="ＭＳ ゴシック" w:eastAsia="ＭＳ ゴシック" w:hAnsi="ＭＳ ゴシック" w:cs="ＭＳ ゴシック" w:hint="eastAsia"/>
          <w:sz w:val="19"/>
          <w:szCs w:val="19"/>
          <w:lang w:eastAsia="ja-JP"/>
        </w:rPr>
        <w:t>（詳細は第</w:t>
      </w:r>
      <w:r w:rsidR="00EA56B8" w:rsidRPr="00EA56B8">
        <w:rPr>
          <w:sz w:val="19"/>
          <w:szCs w:val="19"/>
          <w:lang w:eastAsia="ja-JP"/>
        </w:rPr>
        <w:t xml:space="preserve">13 </w:t>
      </w:r>
      <w:r w:rsidR="00EA56B8" w:rsidRPr="00EA56B8">
        <w:rPr>
          <w:rFonts w:ascii="ＭＳ ゴシック" w:eastAsia="ＭＳ ゴシック" w:hAnsi="ＭＳ ゴシック" w:cs="ＭＳ ゴシック" w:hint="eastAsia"/>
          <w:sz w:val="19"/>
          <w:szCs w:val="19"/>
          <w:lang w:eastAsia="ja-JP"/>
        </w:rPr>
        <w:t>章を参照）。広範な製品に対応するために一般的な基準</w:t>
      </w:r>
      <w:r w:rsidR="00EA56B8" w:rsidRPr="00EA56B8">
        <w:rPr>
          <w:sz w:val="19"/>
          <w:szCs w:val="19"/>
          <w:lang w:eastAsia="ja-JP"/>
        </w:rPr>
        <w:t xml:space="preserve"> </w:t>
      </w:r>
      <w:r w:rsidR="00EA56B8" w:rsidRPr="00EA56B8">
        <w:rPr>
          <w:rFonts w:ascii="ＭＳ ゴシック" w:eastAsia="ＭＳ ゴシック" w:hAnsi="ＭＳ ゴシック" w:cs="ＭＳ ゴシック" w:hint="eastAsia"/>
          <w:sz w:val="19"/>
          <w:szCs w:val="19"/>
          <w:lang w:eastAsia="ja-JP"/>
        </w:rPr>
        <w:t>での選択が必要な場合、企業は製品カテゴリーやセクター内での一貫性と比較可能性を確保するために、利用可能な製品規則やセクターガイダンスに目を向けること（希望する場合）</w:t>
      </w:r>
      <w:r w:rsidR="007C49B2">
        <w:rPr>
          <w:rFonts w:ascii="ＭＳ ゴシック" w:eastAsia="ＭＳ ゴシック" w:hAnsi="ＭＳ ゴシック" w:cs="ＭＳ ゴシック" w:hint="eastAsia"/>
          <w:sz w:val="19"/>
          <w:szCs w:val="19"/>
          <w:lang w:eastAsia="ja-JP"/>
        </w:rPr>
        <w:t>を推奨されています</w:t>
      </w:r>
      <w:r w:rsidR="00EA56B8" w:rsidRPr="00EA56B8">
        <w:rPr>
          <w:rFonts w:ascii="ＭＳ ゴシック" w:eastAsia="ＭＳ ゴシック" w:hAnsi="ＭＳ ゴシック" w:cs="ＭＳ ゴシック" w:hint="eastAsia"/>
          <w:sz w:val="19"/>
          <w:szCs w:val="19"/>
          <w:lang w:eastAsia="ja-JP"/>
        </w:rPr>
        <w:t>。企業は、</w:t>
      </w:r>
      <w:r w:rsidR="007C49B2">
        <w:rPr>
          <w:rFonts w:ascii="ＭＳ ゴシック" w:eastAsia="ＭＳ ゴシック" w:hAnsi="ＭＳ ゴシック" w:cs="ＭＳ ゴシック" w:hint="eastAsia"/>
          <w:sz w:val="19"/>
          <w:szCs w:val="19"/>
          <w:lang w:eastAsia="ja-JP"/>
        </w:rPr>
        <w:t>報告書</w:t>
      </w:r>
      <w:r w:rsidR="00EA56B8" w:rsidRPr="00EA56B8">
        <w:rPr>
          <w:rFonts w:ascii="ＭＳ ゴシック" w:eastAsia="ＭＳ ゴシック" w:hAnsi="ＭＳ ゴシック" w:cs="ＭＳ ゴシック" w:hint="eastAsia"/>
          <w:sz w:val="19"/>
          <w:szCs w:val="19"/>
          <w:lang w:eastAsia="ja-JP"/>
        </w:rPr>
        <w:t>で開示され正当化される限り、製品規則やセクターガイダンスに基づく</w:t>
      </w:r>
      <w:r w:rsidR="007C49B2">
        <w:rPr>
          <w:rFonts w:ascii="ＭＳ ゴシック" w:eastAsia="ＭＳ ゴシック" w:hAnsi="ＭＳ ゴシック" w:cs="ＭＳ ゴシック" w:hint="eastAsia"/>
          <w:sz w:val="19"/>
          <w:szCs w:val="19"/>
          <w:lang w:eastAsia="ja-JP"/>
        </w:rPr>
        <w:t>リサイクル含有率法</w:t>
      </w:r>
      <w:r w:rsidR="00EA56B8" w:rsidRPr="00EA56B8">
        <w:rPr>
          <w:rFonts w:ascii="ＭＳ ゴシック" w:eastAsia="ＭＳ ゴシック" w:hAnsi="ＭＳ ゴシック" w:cs="ＭＳ ゴシック" w:hint="eastAsia"/>
          <w:sz w:val="19"/>
          <w:szCs w:val="19"/>
          <w:lang w:eastAsia="ja-JP"/>
        </w:rPr>
        <w:t>や</w:t>
      </w:r>
      <w:r w:rsidR="007C49B2">
        <w:rPr>
          <w:rFonts w:ascii="ＭＳ ゴシック" w:eastAsia="ＭＳ ゴシック" w:hAnsi="ＭＳ ゴシック" w:cs="ＭＳ ゴシック" w:hint="eastAsia"/>
          <w:sz w:val="19"/>
          <w:szCs w:val="19"/>
          <w:lang w:eastAsia="ja-JP"/>
        </w:rPr>
        <w:t>クローズドループ近似法</w:t>
      </w:r>
      <w:r w:rsidR="00EA56B8" w:rsidRPr="00EA56B8">
        <w:rPr>
          <w:rFonts w:ascii="ＭＳ ゴシック" w:eastAsia="ＭＳ ゴシック" w:hAnsi="ＭＳ ゴシック" w:cs="ＭＳ ゴシック" w:hint="eastAsia"/>
          <w:sz w:val="19"/>
          <w:szCs w:val="19"/>
          <w:lang w:eastAsia="ja-JP"/>
        </w:rPr>
        <w:t>以外の方法を選択することができ</w:t>
      </w:r>
      <w:r w:rsidR="007C49B2">
        <w:rPr>
          <w:rFonts w:ascii="ＭＳ ゴシック" w:eastAsia="ＭＳ ゴシック" w:hAnsi="ＭＳ ゴシック" w:cs="ＭＳ ゴシック" w:hint="eastAsia"/>
          <w:sz w:val="19"/>
          <w:szCs w:val="19"/>
          <w:lang w:eastAsia="ja-JP"/>
        </w:rPr>
        <w:t>ます</w:t>
      </w:r>
      <w:r w:rsidR="00EA56B8" w:rsidRPr="00EA56B8">
        <w:rPr>
          <w:rFonts w:ascii="ＭＳ ゴシック" w:eastAsia="ＭＳ ゴシック" w:hAnsi="ＭＳ ゴシック" w:cs="ＭＳ ゴシック" w:hint="eastAsia"/>
          <w:sz w:val="19"/>
          <w:szCs w:val="19"/>
          <w:lang w:eastAsia="ja-JP"/>
        </w:rPr>
        <w:t>。</w:t>
      </w:r>
    </w:p>
    <w:p w14:paraId="4BDD27E2" w14:textId="77777777" w:rsidR="0055291C" w:rsidRDefault="0055291C">
      <w:pPr>
        <w:spacing w:line="328" w:lineRule="auto"/>
        <w:rPr>
          <w:sz w:val="18"/>
          <w:lang w:eastAsia="ja-JP"/>
        </w:rPr>
        <w:sectPr w:rsidR="0055291C">
          <w:type w:val="continuous"/>
          <w:pgSz w:w="12240" w:h="15840"/>
          <w:pgMar w:top="740" w:right="0" w:bottom="280" w:left="0" w:header="0" w:footer="859" w:gutter="0"/>
          <w:cols w:num="2" w:space="720" w:equalWidth="0">
            <w:col w:w="5911" w:space="40"/>
            <w:col w:w="6289"/>
          </w:cols>
        </w:sectPr>
      </w:pPr>
    </w:p>
    <w:p w14:paraId="7E4FDDFE" w14:textId="77777777" w:rsidR="0055291C" w:rsidRDefault="0055291C">
      <w:pPr>
        <w:pStyle w:val="a3"/>
        <w:rPr>
          <w:sz w:val="20"/>
          <w:lang w:eastAsia="ja-JP"/>
        </w:rPr>
      </w:pPr>
    </w:p>
    <w:p w14:paraId="590451C2" w14:textId="77777777" w:rsidR="0055291C" w:rsidRDefault="0055291C">
      <w:pPr>
        <w:pStyle w:val="a3"/>
        <w:rPr>
          <w:sz w:val="20"/>
          <w:lang w:eastAsia="ja-JP"/>
        </w:rPr>
      </w:pPr>
    </w:p>
    <w:p w14:paraId="15C15C51" w14:textId="77777777" w:rsidR="0055291C" w:rsidRDefault="0055291C">
      <w:pPr>
        <w:pStyle w:val="a3"/>
        <w:rPr>
          <w:sz w:val="20"/>
          <w:lang w:eastAsia="ja-JP"/>
        </w:rPr>
      </w:pPr>
    </w:p>
    <w:p w14:paraId="35FF44ED" w14:textId="77777777" w:rsidR="0055291C" w:rsidRDefault="0055291C">
      <w:pPr>
        <w:rPr>
          <w:sz w:val="20"/>
          <w:lang w:eastAsia="ja-JP"/>
        </w:rPr>
        <w:sectPr w:rsidR="0055291C">
          <w:type w:val="continuous"/>
          <w:pgSz w:w="12240" w:h="15840"/>
          <w:pgMar w:top="740" w:right="0" w:bottom="280" w:left="0" w:header="0" w:footer="859" w:gutter="0"/>
          <w:cols w:space="720"/>
        </w:sectPr>
      </w:pPr>
    </w:p>
    <w:p w14:paraId="1D04061A" w14:textId="77777777" w:rsidR="0055291C" w:rsidRDefault="0055291C">
      <w:pPr>
        <w:pStyle w:val="a3"/>
        <w:spacing w:before="6"/>
        <w:rPr>
          <w:sz w:val="21"/>
          <w:lang w:eastAsia="ja-JP"/>
        </w:rPr>
      </w:pPr>
    </w:p>
    <w:p w14:paraId="3E6ACA4B" w14:textId="77777777" w:rsidR="0055291C" w:rsidRDefault="00F23C61">
      <w:pPr>
        <w:pStyle w:val="3"/>
        <w:spacing w:before="1"/>
        <w:ind w:left="1133"/>
      </w:pPr>
      <w:r>
        <w:rPr>
          <w:color w:val="00ACA1"/>
        </w:rPr>
        <w:t>Endnotes</w:t>
      </w:r>
    </w:p>
    <w:p w14:paraId="0F631649" w14:textId="61182278" w:rsidR="00456BE0" w:rsidRPr="00F62844" w:rsidRDefault="00F23C61">
      <w:pPr>
        <w:pStyle w:val="a5"/>
        <w:numPr>
          <w:ilvl w:val="0"/>
          <w:numId w:val="80"/>
        </w:numPr>
        <w:spacing w:before="61" w:line="345" w:lineRule="auto"/>
        <w:rPr>
          <w:rFonts w:ascii="ＭＳ ゴシック" w:eastAsia="ＭＳ ゴシック" w:hAnsi="ＭＳ ゴシック"/>
          <w:sz w:val="16"/>
          <w:szCs w:val="16"/>
          <w:lang w:eastAsia="ja-JP"/>
        </w:rPr>
      </w:pPr>
      <w:r w:rsidRPr="00F62844">
        <w:rPr>
          <w:rFonts w:ascii="ＭＳ ゴシック" w:eastAsia="ＭＳ ゴシック" w:hAnsi="ＭＳ ゴシック"/>
          <w:color w:val="545456"/>
          <w:sz w:val="16"/>
          <w:szCs w:val="16"/>
          <w:lang w:eastAsia="ja-JP"/>
        </w:rPr>
        <w:t>.</w:t>
      </w:r>
      <w:r w:rsidR="00456BE0" w:rsidRPr="00F62844">
        <w:rPr>
          <w:rFonts w:ascii="ＭＳ ゴシック" w:eastAsia="ＭＳ ゴシック" w:hAnsi="ＭＳ ゴシック"/>
          <w:sz w:val="16"/>
          <w:szCs w:val="16"/>
          <w:lang w:eastAsia="ja-JP"/>
        </w:rPr>
        <w:t xml:space="preserve"> </w:t>
      </w:r>
      <w:r w:rsidR="00456BE0" w:rsidRPr="00F62844">
        <w:rPr>
          <w:rFonts w:ascii="ＭＳ ゴシック" w:eastAsia="ＭＳ ゴシック" w:hAnsi="ＭＳ ゴシック" w:cs="ＭＳ ゴシック" w:hint="eastAsia"/>
          <w:sz w:val="16"/>
          <w:szCs w:val="16"/>
          <w:lang w:eastAsia="ja-JP"/>
        </w:rPr>
        <w:t>「共通過程」とは、割り当てを必要とする</w:t>
      </w:r>
      <w:r w:rsidR="00456BE0" w:rsidRPr="00F62844">
        <w:rPr>
          <w:rFonts w:ascii="ＭＳ ゴシック" w:eastAsia="ＭＳ ゴシック" w:hAnsi="ＭＳ ゴシック"/>
          <w:sz w:val="16"/>
          <w:szCs w:val="16"/>
          <w:lang w:eastAsia="ja-JP"/>
        </w:rPr>
        <w:t>1</w:t>
      </w:r>
      <w:r w:rsidR="00456BE0" w:rsidRPr="00F62844">
        <w:rPr>
          <w:rFonts w:ascii="ＭＳ ゴシック" w:eastAsia="ＭＳ ゴシック" w:hAnsi="ＭＳ ゴシック" w:cs="ＭＳ ゴシック" w:hint="eastAsia"/>
          <w:sz w:val="16"/>
          <w:szCs w:val="16"/>
          <w:lang w:eastAsia="ja-JP"/>
        </w:rPr>
        <w:t>つまたは複数のプロセスを指すことができ</w:t>
      </w:r>
      <w:r w:rsidR="007E180A" w:rsidRPr="00F62844">
        <w:rPr>
          <w:rFonts w:ascii="ＭＳ ゴシック" w:eastAsia="ＭＳ ゴシック" w:hAnsi="ＭＳ ゴシック" w:cs="ＭＳ ゴシック" w:hint="eastAsia"/>
          <w:sz w:val="16"/>
          <w:szCs w:val="16"/>
          <w:lang w:eastAsia="ja-JP"/>
        </w:rPr>
        <w:t>ます</w:t>
      </w:r>
      <w:r w:rsidR="00456BE0" w:rsidRPr="00F62844">
        <w:rPr>
          <w:rFonts w:ascii="ＭＳ ゴシック" w:eastAsia="ＭＳ ゴシック" w:hAnsi="ＭＳ ゴシック" w:cs="ＭＳ ゴシック" w:hint="eastAsia"/>
          <w:sz w:val="16"/>
          <w:szCs w:val="16"/>
          <w:lang w:eastAsia="ja-JP"/>
        </w:rPr>
        <w:t>。</w:t>
      </w:r>
      <w:r w:rsidR="00456BE0" w:rsidRPr="00F62844">
        <w:rPr>
          <w:rFonts w:ascii="ＭＳ ゴシック" w:eastAsia="ＭＳ ゴシック" w:hAnsi="ＭＳ ゴシック"/>
          <w:sz w:val="16"/>
          <w:szCs w:val="16"/>
          <w:lang w:eastAsia="ja-JP"/>
        </w:rPr>
        <w:t xml:space="preserve"> </w:t>
      </w:r>
    </w:p>
    <w:p w14:paraId="73B6CA2B" w14:textId="77777777" w:rsidR="00456BE0" w:rsidRPr="00F62844" w:rsidRDefault="00456BE0">
      <w:pPr>
        <w:pStyle w:val="a5"/>
        <w:numPr>
          <w:ilvl w:val="0"/>
          <w:numId w:val="80"/>
        </w:numPr>
        <w:spacing w:before="61" w:line="345" w:lineRule="auto"/>
        <w:rPr>
          <w:rFonts w:ascii="ＭＳ ゴシック" w:eastAsia="ＭＳ ゴシック" w:hAnsi="ＭＳ ゴシック"/>
          <w:sz w:val="16"/>
          <w:szCs w:val="16"/>
          <w:lang w:eastAsia="ja-JP"/>
        </w:rPr>
      </w:pPr>
      <w:r w:rsidRPr="00F62844">
        <w:rPr>
          <w:rFonts w:ascii="ＭＳ ゴシック" w:eastAsia="ＭＳ ゴシック" w:hAnsi="ＭＳ ゴシック"/>
          <w:sz w:val="16"/>
          <w:szCs w:val="16"/>
          <w:lang w:eastAsia="ja-JP"/>
        </w:rPr>
        <w:t xml:space="preserve">ISO 14044:2006 </w:t>
      </w:r>
      <w:r w:rsidRPr="00F62844">
        <w:rPr>
          <w:rFonts w:ascii="ＭＳ ゴシック" w:eastAsia="ＭＳ ゴシック" w:hAnsi="ＭＳ ゴシック" w:cs="ＭＳ ゴシック" w:hint="eastAsia"/>
          <w:sz w:val="16"/>
          <w:szCs w:val="16"/>
          <w:lang w:eastAsia="ja-JP"/>
        </w:rPr>
        <w:t>第</w:t>
      </w:r>
      <w:r w:rsidRPr="00F62844">
        <w:rPr>
          <w:rFonts w:ascii="ＭＳ ゴシック" w:eastAsia="ＭＳ ゴシック" w:hAnsi="ＭＳ ゴシック"/>
          <w:sz w:val="16"/>
          <w:szCs w:val="16"/>
          <w:lang w:eastAsia="ja-JP"/>
        </w:rPr>
        <w:t xml:space="preserve"> 4.3.4.3 </w:t>
      </w:r>
      <w:r w:rsidRPr="00F62844">
        <w:rPr>
          <w:rFonts w:ascii="ＭＳ ゴシック" w:eastAsia="ＭＳ ゴシック" w:hAnsi="ＭＳ ゴシック" w:cs="ＭＳ ゴシック" w:hint="eastAsia"/>
          <w:sz w:val="16"/>
          <w:szCs w:val="16"/>
          <w:lang w:eastAsia="ja-JP"/>
        </w:rPr>
        <w:t>項に定義されています。</w:t>
      </w:r>
      <w:r w:rsidRPr="00F62844">
        <w:rPr>
          <w:rFonts w:ascii="ＭＳ ゴシック" w:eastAsia="ＭＳ ゴシック" w:hAnsi="ＭＳ ゴシック"/>
          <w:sz w:val="16"/>
          <w:szCs w:val="16"/>
          <w:lang w:eastAsia="ja-JP"/>
        </w:rPr>
        <w:t xml:space="preserve"> </w:t>
      </w:r>
    </w:p>
    <w:p w14:paraId="6C122093" w14:textId="0EF89331" w:rsidR="00456BE0" w:rsidRPr="00F62844" w:rsidRDefault="00456BE0">
      <w:pPr>
        <w:pStyle w:val="a5"/>
        <w:numPr>
          <w:ilvl w:val="0"/>
          <w:numId w:val="80"/>
        </w:numPr>
        <w:spacing w:before="61" w:line="345" w:lineRule="auto"/>
        <w:rPr>
          <w:rFonts w:ascii="ＭＳ ゴシック" w:eastAsia="ＭＳ ゴシック" w:hAnsi="ＭＳ ゴシック"/>
          <w:sz w:val="16"/>
          <w:szCs w:val="16"/>
          <w:lang w:eastAsia="ja-JP"/>
        </w:rPr>
      </w:pPr>
      <w:r w:rsidRPr="00F62844">
        <w:rPr>
          <w:rFonts w:ascii="ＭＳ ゴシック" w:eastAsia="ＭＳ ゴシック" w:hAnsi="ＭＳ ゴシック"/>
          <w:sz w:val="16"/>
          <w:szCs w:val="16"/>
          <w:lang w:eastAsia="ja-JP"/>
        </w:rPr>
        <w:t>LCA</w:t>
      </w:r>
      <w:r w:rsidRPr="00F62844">
        <w:rPr>
          <w:rFonts w:ascii="ＭＳ ゴシック" w:eastAsia="ＭＳ ゴシック" w:hAnsi="ＭＳ ゴシック" w:cs="ＭＳ ゴシック" w:hint="eastAsia"/>
          <w:sz w:val="16"/>
          <w:szCs w:val="16"/>
          <w:lang w:eastAsia="ja-JP"/>
        </w:rPr>
        <w:t>の文献によっては、この方法は代替法または回避負担法と呼ばれてい</w:t>
      </w:r>
      <w:r w:rsidR="007E180A" w:rsidRPr="00F62844">
        <w:rPr>
          <w:rFonts w:ascii="ＭＳ ゴシック" w:eastAsia="ＭＳ ゴシック" w:hAnsi="ＭＳ ゴシック" w:cs="ＭＳ ゴシック" w:hint="eastAsia"/>
          <w:sz w:val="16"/>
          <w:szCs w:val="16"/>
          <w:lang w:eastAsia="ja-JP"/>
        </w:rPr>
        <w:t>ます</w:t>
      </w:r>
      <w:r w:rsidRPr="00F62844">
        <w:rPr>
          <w:rFonts w:ascii="ＭＳ ゴシック" w:eastAsia="ＭＳ ゴシック" w:hAnsi="ＭＳ ゴシック" w:cs="ＭＳ ゴシック" w:hint="eastAsia"/>
          <w:sz w:val="16"/>
          <w:szCs w:val="16"/>
          <w:lang w:eastAsia="ja-JP"/>
        </w:rPr>
        <w:t>。</w:t>
      </w:r>
    </w:p>
    <w:p w14:paraId="7E82048F" w14:textId="4AA28AFB" w:rsidR="00456BE0" w:rsidRPr="00F62844" w:rsidRDefault="00456BE0">
      <w:pPr>
        <w:pStyle w:val="a5"/>
        <w:numPr>
          <w:ilvl w:val="0"/>
          <w:numId w:val="80"/>
        </w:numPr>
        <w:spacing w:before="61" w:line="345" w:lineRule="auto"/>
        <w:rPr>
          <w:rFonts w:ascii="ＭＳ ゴシック" w:eastAsia="ＭＳ ゴシック" w:hAnsi="ＭＳ ゴシック"/>
          <w:sz w:val="16"/>
          <w:szCs w:val="16"/>
          <w:lang w:eastAsia="ja-JP"/>
        </w:rPr>
      </w:pPr>
      <w:r w:rsidRPr="00F62844">
        <w:rPr>
          <w:rFonts w:ascii="ＭＳ ゴシック" w:eastAsia="ＭＳ ゴシック" w:hAnsi="ＭＳ ゴシック" w:cs="ＭＳ ゴシック" w:hint="eastAsia"/>
          <w:sz w:val="16"/>
          <w:szCs w:val="16"/>
          <w:lang w:eastAsia="ja-JP"/>
        </w:rPr>
        <w:t>ステップは、</w:t>
      </w:r>
      <w:r w:rsidRPr="00F62844">
        <w:rPr>
          <w:rFonts w:ascii="ＭＳ ゴシック" w:eastAsia="ＭＳ ゴシック" w:hAnsi="ＭＳ ゴシック"/>
          <w:sz w:val="16"/>
          <w:szCs w:val="16"/>
          <w:lang w:eastAsia="ja-JP"/>
        </w:rPr>
        <w:t xml:space="preserve">ISO 14044:2006 </w:t>
      </w:r>
      <w:r w:rsidRPr="00F62844">
        <w:rPr>
          <w:rFonts w:ascii="ＭＳ ゴシック" w:eastAsia="ＭＳ ゴシック" w:hAnsi="ＭＳ ゴシック" w:cs="ＭＳ ゴシック" w:hint="eastAsia"/>
          <w:sz w:val="16"/>
          <w:szCs w:val="16"/>
          <w:lang w:eastAsia="ja-JP"/>
        </w:rPr>
        <w:t>の</w:t>
      </w:r>
      <w:r w:rsidRPr="00F62844">
        <w:rPr>
          <w:rFonts w:ascii="ＭＳ ゴシック" w:eastAsia="ＭＳ ゴシック" w:hAnsi="ＭＳ ゴシック"/>
          <w:sz w:val="16"/>
          <w:szCs w:val="16"/>
          <w:lang w:eastAsia="ja-JP"/>
        </w:rPr>
        <w:t xml:space="preserve"> 4.3.4.2 </w:t>
      </w:r>
      <w:r w:rsidRPr="00F62844">
        <w:rPr>
          <w:rFonts w:ascii="ＭＳ ゴシック" w:eastAsia="ＭＳ ゴシック" w:hAnsi="ＭＳ ゴシック" w:cs="ＭＳ ゴシック" w:hint="eastAsia"/>
          <w:sz w:val="16"/>
          <w:szCs w:val="16"/>
          <w:lang w:eastAsia="ja-JP"/>
        </w:rPr>
        <w:t>から引用し</w:t>
      </w:r>
      <w:r w:rsidR="007E180A" w:rsidRPr="00F62844">
        <w:rPr>
          <w:rFonts w:ascii="ＭＳ ゴシック" w:eastAsia="ＭＳ ゴシック" w:hAnsi="ＭＳ ゴシック" w:cs="ＭＳ ゴシック" w:hint="eastAsia"/>
          <w:sz w:val="16"/>
          <w:szCs w:val="16"/>
          <w:lang w:eastAsia="ja-JP"/>
        </w:rPr>
        <w:t>ました</w:t>
      </w:r>
      <w:r w:rsidRPr="00F62844">
        <w:rPr>
          <w:rFonts w:ascii="ＭＳ ゴシック" w:eastAsia="ＭＳ ゴシック" w:hAnsi="ＭＳ ゴシック" w:cs="ＭＳ ゴシック" w:hint="eastAsia"/>
          <w:sz w:val="16"/>
          <w:szCs w:val="16"/>
          <w:lang w:eastAsia="ja-JP"/>
        </w:rPr>
        <w:t>。</w:t>
      </w:r>
      <w:r w:rsidRPr="00F62844">
        <w:rPr>
          <w:rFonts w:ascii="ＭＳ ゴシック" w:eastAsia="ＭＳ ゴシック" w:hAnsi="ＭＳ ゴシック"/>
          <w:sz w:val="16"/>
          <w:szCs w:val="16"/>
          <w:lang w:eastAsia="ja-JP"/>
        </w:rPr>
        <w:t xml:space="preserve"> </w:t>
      </w:r>
    </w:p>
    <w:p w14:paraId="1A58ABDE" w14:textId="036FC4D7" w:rsidR="00456BE0" w:rsidRPr="00F62844" w:rsidRDefault="00456BE0">
      <w:pPr>
        <w:pStyle w:val="a5"/>
        <w:numPr>
          <w:ilvl w:val="0"/>
          <w:numId w:val="80"/>
        </w:numPr>
        <w:spacing w:before="61" w:line="345" w:lineRule="auto"/>
        <w:rPr>
          <w:rFonts w:ascii="ＭＳ ゴシック" w:eastAsia="ＭＳ ゴシック" w:hAnsi="ＭＳ ゴシック"/>
          <w:sz w:val="16"/>
          <w:szCs w:val="16"/>
          <w:lang w:eastAsia="ja-JP"/>
        </w:rPr>
      </w:pPr>
      <w:r w:rsidRPr="00F62844">
        <w:rPr>
          <w:rFonts w:ascii="ＭＳ ゴシック" w:eastAsia="ＭＳ ゴシック" w:hAnsi="ＭＳ ゴシック" w:cs="ＭＳ ゴシック" w:hint="eastAsia"/>
          <w:sz w:val="16"/>
          <w:szCs w:val="16"/>
          <w:lang w:eastAsia="ja-JP"/>
        </w:rPr>
        <w:t>真の</w:t>
      </w:r>
      <w:r w:rsidR="007E180A" w:rsidRPr="00F62844">
        <w:rPr>
          <w:rFonts w:ascii="ＭＳ ゴシック" w:eastAsia="ＭＳ ゴシック" w:hAnsi="ＭＳ ゴシック" w:cs="ＭＳ ゴシック" w:hint="eastAsia"/>
          <w:sz w:val="16"/>
          <w:szCs w:val="16"/>
          <w:lang w:eastAsia="ja-JP"/>
        </w:rPr>
        <w:t>クローズド</w:t>
      </w:r>
      <w:r w:rsidRPr="00F62844">
        <w:rPr>
          <w:rFonts w:ascii="ＭＳ ゴシック" w:eastAsia="ＭＳ ゴシック" w:hAnsi="ＭＳ ゴシック" w:cs="ＭＳ ゴシック" w:hint="eastAsia"/>
          <w:sz w:val="16"/>
          <w:szCs w:val="16"/>
          <w:lang w:eastAsia="ja-JP"/>
        </w:rPr>
        <w:t>ループリサイクルシナリオは、リサイクル材料が調査</w:t>
      </w:r>
      <w:r w:rsidRPr="00F62844">
        <w:rPr>
          <w:rFonts w:ascii="ＭＳ ゴシック" w:eastAsia="ＭＳ ゴシック" w:hAnsi="ＭＳ ゴシック"/>
          <w:sz w:val="16"/>
          <w:szCs w:val="16"/>
          <w:lang w:eastAsia="ja-JP"/>
        </w:rPr>
        <w:t xml:space="preserve"> </w:t>
      </w:r>
      <w:r w:rsidRPr="00F62844">
        <w:rPr>
          <w:rFonts w:ascii="ＭＳ ゴシック" w:eastAsia="ＭＳ ゴシック" w:hAnsi="ＭＳ ゴシック" w:cs="ＭＳ ゴシック" w:hint="eastAsia"/>
          <w:sz w:val="16"/>
          <w:szCs w:val="16"/>
          <w:lang w:eastAsia="ja-JP"/>
        </w:rPr>
        <w:t>対象製品のライフサイクルから外れることがなく、したがって割り当てが不要な場合に発生します。</w:t>
      </w:r>
      <w:r w:rsidRPr="00F62844">
        <w:rPr>
          <w:rFonts w:ascii="ＭＳ ゴシック" w:eastAsia="ＭＳ ゴシック" w:hAnsi="ＭＳ ゴシック"/>
          <w:sz w:val="16"/>
          <w:szCs w:val="16"/>
          <w:lang w:eastAsia="ja-JP"/>
        </w:rPr>
        <w:t xml:space="preserve"> </w:t>
      </w:r>
    </w:p>
    <w:p w14:paraId="1BE7F287" w14:textId="77777777" w:rsidR="00456BE0" w:rsidRPr="00F62844" w:rsidRDefault="00456BE0">
      <w:pPr>
        <w:pStyle w:val="a5"/>
        <w:numPr>
          <w:ilvl w:val="0"/>
          <w:numId w:val="80"/>
        </w:numPr>
        <w:spacing w:before="61" w:line="345" w:lineRule="auto"/>
        <w:rPr>
          <w:rFonts w:ascii="ＭＳ ゴシック" w:eastAsia="ＭＳ ゴシック" w:hAnsi="ＭＳ ゴシック"/>
          <w:sz w:val="16"/>
          <w:szCs w:val="16"/>
          <w:lang w:eastAsia="ja-JP"/>
        </w:rPr>
      </w:pPr>
      <w:r w:rsidRPr="00F62844">
        <w:rPr>
          <w:rFonts w:ascii="ＭＳ ゴシック" w:eastAsia="ＭＳ ゴシック" w:hAnsi="ＭＳ ゴシック"/>
          <w:sz w:val="16"/>
          <w:szCs w:val="16"/>
        </w:rPr>
        <w:t xml:space="preserve">John Atherton, "Declaration by Metals Industry on Recycling Principles," International Journal of Life Cycle Assessment, 12 no. 1 (2007):59-60. </w:t>
      </w:r>
    </w:p>
    <w:p w14:paraId="77D0D893" w14:textId="2E8C0EA6" w:rsidR="00456BE0" w:rsidRPr="00F62844" w:rsidRDefault="00F62844">
      <w:pPr>
        <w:pStyle w:val="a5"/>
        <w:numPr>
          <w:ilvl w:val="0"/>
          <w:numId w:val="80"/>
        </w:numPr>
        <w:spacing w:before="61" w:line="345" w:lineRule="auto"/>
        <w:rPr>
          <w:rFonts w:ascii="ＭＳ ゴシック" w:eastAsia="ＭＳ ゴシック" w:hAnsi="ＭＳ ゴシック" w:cs="ＭＳ ゴシック"/>
          <w:sz w:val="16"/>
          <w:szCs w:val="16"/>
          <w:lang w:eastAsia="ja-JP"/>
        </w:rPr>
      </w:pPr>
      <w:r w:rsidRPr="00F62844">
        <w:rPr>
          <w:rFonts w:ascii="ＭＳ ゴシック" w:eastAsia="ＭＳ ゴシック" w:hAnsi="ＭＳ ゴシック" w:cs="ＭＳ ゴシック"/>
          <w:sz w:val="16"/>
          <w:szCs w:val="16"/>
          <w:lang w:eastAsia="ja-JP"/>
        </w:rPr>
        <w:t>European Commission - Joint Research Centre - Institute for Environment and Sustainability, International Reference Life Cycle Data System (ILCD) Handbook - General guide for Life Cycle Assessment - Detailed guidance</w:t>
      </w:r>
      <w:r w:rsidR="00456BE0" w:rsidRPr="00F62844">
        <w:rPr>
          <w:rFonts w:ascii="ＭＳ ゴシック" w:eastAsia="ＭＳ ゴシック" w:hAnsi="ＭＳ ゴシック"/>
          <w:sz w:val="16"/>
          <w:szCs w:val="16"/>
          <w:lang w:eastAsia="ja-JP"/>
        </w:rPr>
        <w:t xml:space="preserve"> </w:t>
      </w:r>
    </w:p>
    <w:p w14:paraId="6294C2A2" w14:textId="035793A0" w:rsidR="0055291C" w:rsidRPr="00F62844" w:rsidRDefault="00456BE0">
      <w:pPr>
        <w:pStyle w:val="a5"/>
        <w:numPr>
          <w:ilvl w:val="0"/>
          <w:numId w:val="80"/>
        </w:numPr>
        <w:spacing w:before="61" w:line="345" w:lineRule="auto"/>
        <w:rPr>
          <w:rFonts w:ascii="ＭＳ ゴシック" w:eastAsia="ＭＳ ゴシック" w:hAnsi="ＭＳ ゴシック"/>
          <w:sz w:val="16"/>
          <w:szCs w:val="16"/>
          <w:lang w:eastAsia="ja-JP"/>
        </w:rPr>
      </w:pPr>
      <w:r w:rsidRPr="00F62844">
        <w:rPr>
          <w:rFonts w:ascii="ＭＳ ゴシック" w:eastAsia="ＭＳ ゴシック" w:hAnsi="ＭＳ ゴシック"/>
          <w:sz w:val="16"/>
          <w:szCs w:val="16"/>
          <w:lang w:eastAsia="ja-JP"/>
        </w:rPr>
        <w:t xml:space="preserve">ISO 14044:2006 </w:t>
      </w:r>
      <w:r w:rsidRPr="00F62844">
        <w:rPr>
          <w:rFonts w:ascii="ＭＳ ゴシック" w:eastAsia="ＭＳ ゴシック" w:hAnsi="ＭＳ ゴシック" w:cs="ＭＳ ゴシック" w:hint="eastAsia"/>
          <w:sz w:val="16"/>
          <w:szCs w:val="16"/>
          <w:lang w:eastAsia="ja-JP"/>
        </w:rPr>
        <w:t>は、オープンループとクローズドループリサイクル、及びオープンループとクローズドルー</w:t>
      </w:r>
      <w:r w:rsidRPr="00F62844">
        <w:rPr>
          <w:rFonts w:ascii="ＭＳ ゴシック" w:eastAsia="ＭＳ ゴシック" w:hAnsi="ＭＳ ゴシック"/>
          <w:sz w:val="16"/>
          <w:szCs w:val="16"/>
          <w:lang w:eastAsia="ja-JP"/>
        </w:rPr>
        <w:t xml:space="preserve"> </w:t>
      </w:r>
      <w:r w:rsidRPr="00F62844">
        <w:rPr>
          <w:rFonts w:ascii="ＭＳ ゴシック" w:eastAsia="ＭＳ ゴシック" w:hAnsi="ＭＳ ゴシック" w:cs="ＭＳ ゴシック" w:hint="eastAsia"/>
          <w:sz w:val="16"/>
          <w:szCs w:val="16"/>
          <w:lang w:eastAsia="ja-JP"/>
        </w:rPr>
        <w:t>プの配分手順について定義し</w:t>
      </w:r>
      <w:r w:rsidRPr="00F62844">
        <w:rPr>
          <w:rFonts w:ascii="ＭＳ ゴシック" w:eastAsia="ＭＳ ゴシック" w:hAnsi="ＭＳ ゴシック" w:cs="ＭＳ ゴシック" w:hint="eastAsia"/>
          <w:sz w:val="16"/>
          <w:szCs w:val="16"/>
          <w:lang w:eastAsia="ja-JP"/>
        </w:rPr>
        <w:t>てい</w:t>
      </w:r>
      <w:r w:rsidR="007147FB" w:rsidRPr="00F62844">
        <w:rPr>
          <w:rFonts w:ascii="ＭＳ ゴシック" w:eastAsia="ＭＳ ゴシック" w:hAnsi="ＭＳ ゴシック" w:cs="ＭＳ ゴシック" w:hint="eastAsia"/>
          <w:sz w:val="16"/>
          <w:szCs w:val="16"/>
          <w:lang w:eastAsia="ja-JP"/>
        </w:rPr>
        <w:t>ます</w:t>
      </w:r>
      <w:r w:rsidRPr="00F62844">
        <w:rPr>
          <w:rFonts w:ascii="ＭＳ ゴシック" w:eastAsia="ＭＳ ゴシック" w:hAnsi="ＭＳ ゴシック" w:cs="ＭＳ ゴシック" w:hint="eastAsia"/>
          <w:sz w:val="16"/>
          <w:szCs w:val="16"/>
          <w:lang w:eastAsia="ja-JP"/>
        </w:rPr>
        <w:t>。</w:t>
      </w:r>
      <w:r w:rsidRPr="00F62844">
        <w:rPr>
          <w:rFonts w:ascii="ＭＳ ゴシック" w:eastAsia="ＭＳ ゴシック" w:hAnsi="ＭＳ ゴシック"/>
          <w:sz w:val="16"/>
          <w:szCs w:val="16"/>
          <w:lang w:eastAsia="ja-JP"/>
        </w:rPr>
        <w:t>ISO14044</w:t>
      </w:r>
      <w:r w:rsidRPr="00F62844">
        <w:rPr>
          <w:rFonts w:ascii="ＭＳ ゴシック" w:eastAsia="ＭＳ ゴシック" w:hAnsi="ＭＳ ゴシック" w:cs="ＭＳ ゴシック" w:hint="eastAsia"/>
          <w:sz w:val="16"/>
          <w:szCs w:val="16"/>
          <w:lang w:eastAsia="ja-JP"/>
        </w:rPr>
        <w:t>では、材料の固有の特性に変化がないオープンループリサイクルの状況は、クローズドループの配分手順を用いて扱われ</w:t>
      </w:r>
      <w:r w:rsidR="007147FB" w:rsidRPr="00F62844">
        <w:rPr>
          <w:rFonts w:ascii="ＭＳ ゴシック" w:eastAsia="ＭＳ ゴシック" w:hAnsi="ＭＳ ゴシック" w:cs="ＭＳ ゴシック" w:hint="eastAsia"/>
          <w:sz w:val="16"/>
          <w:szCs w:val="16"/>
          <w:lang w:eastAsia="ja-JP"/>
        </w:rPr>
        <w:t>ます</w:t>
      </w:r>
      <w:r w:rsidRPr="00F62844">
        <w:rPr>
          <w:rFonts w:ascii="ＭＳ ゴシック" w:eastAsia="ＭＳ ゴシック" w:hAnsi="ＭＳ ゴシック" w:cs="ＭＳ ゴシック" w:hint="eastAsia"/>
          <w:sz w:val="16"/>
          <w:szCs w:val="16"/>
          <w:lang w:eastAsia="ja-JP"/>
        </w:rPr>
        <w:t>。</w:t>
      </w:r>
    </w:p>
    <w:p w14:paraId="2A1F240C" w14:textId="51C7064A" w:rsidR="007E180A" w:rsidRPr="00F62844" w:rsidRDefault="007E180A">
      <w:pPr>
        <w:pStyle w:val="a5"/>
        <w:numPr>
          <w:ilvl w:val="0"/>
          <w:numId w:val="80"/>
        </w:numPr>
        <w:spacing w:before="61" w:line="345" w:lineRule="auto"/>
        <w:ind w:rightChars="80" w:right="176"/>
        <w:rPr>
          <w:rFonts w:ascii="ＭＳ ゴシック" w:eastAsia="ＭＳ ゴシック" w:hAnsi="ＭＳ ゴシック"/>
          <w:sz w:val="16"/>
          <w:szCs w:val="16"/>
          <w:lang w:eastAsia="ja-JP"/>
        </w:rPr>
      </w:pPr>
      <w:r w:rsidRPr="00F62844">
        <w:rPr>
          <w:rFonts w:ascii="ＭＳ ゴシック" w:eastAsia="ＭＳ ゴシック" w:hAnsi="ＭＳ ゴシック" w:cs="ＭＳ ゴシック" w:hint="eastAsia"/>
          <w:sz w:val="16"/>
          <w:szCs w:val="16"/>
          <w:lang w:eastAsia="ja-JP"/>
        </w:rPr>
        <w:t>製品のライフサイクルによっては、回収が材料回収施設の一部とみなされることがあ</w:t>
      </w:r>
      <w:r w:rsidR="007147FB" w:rsidRPr="00F62844">
        <w:rPr>
          <w:rFonts w:ascii="ＭＳ ゴシック" w:eastAsia="ＭＳ ゴシック" w:hAnsi="ＭＳ ゴシック" w:cs="ＭＳ ゴシック" w:hint="eastAsia"/>
          <w:sz w:val="16"/>
          <w:szCs w:val="16"/>
          <w:lang w:eastAsia="ja-JP"/>
        </w:rPr>
        <w:t>ります</w:t>
      </w:r>
      <w:r w:rsidRPr="00F62844">
        <w:rPr>
          <w:rFonts w:ascii="ＭＳ ゴシック" w:eastAsia="ＭＳ ゴシック" w:hAnsi="ＭＳ ゴシック" w:cs="ＭＳ ゴシック" w:hint="eastAsia"/>
          <w:sz w:val="16"/>
          <w:szCs w:val="16"/>
          <w:lang w:eastAsia="ja-JP"/>
        </w:rPr>
        <w:t>。</w:t>
      </w:r>
      <w:r w:rsidRPr="00F62844">
        <w:rPr>
          <w:rFonts w:ascii="ＭＳ ゴシック" w:eastAsia="ＭＳ ゴシック" w:hAnsi="ＭＳ ゴシック"/>
          <w:sz w:val="16"/>
          <w:szCs w:val="16"/>
          <w:lang w:eastAsia="ja-JP"/>
        </w:rPr>
        <w:t xml:space="preserve"> </w:t>
      </w:r>
    </w:p>
    <w:p w14:paraId="46D1241D" w14:textId="5681CA88" w:rsidR="007E180A" w:rsidRPr="00F62844" w:rsidRDefault="007E180A">
      <w:pPr>
        <w:pStyle w:val="a5"/>
        <w:numPr>
          <w:ilvl w:val="0"/>
          <w:numId w:val="80"/>
        </w:numPr>
        <w:spacing w:before="61" w:line="345" w:lineRule="auto"/>
        <w:ind w:rightChars="80" w:right="176"/>
        <w:rPr>
          <w:rFonts w:ascii="ＭＳ ゴシック" w:eastAsia="ＭＳ ゴシック" w:hAnsi="ＭＳ ゴシック"/>
          <w:sz w:val="16"/>
          <w:szCs w:val="16"/>
          <w:lang w:eastAsia="ja-JP"/>
        </w:rPr>
      </w:pPr>
      <w:r w:rsidRPr="00F62844">
        <w:rPr>
          <w:rFonts w:ascii="ＭＳ ゴシック" w:eastAsia="ＭＳ ゴシック" w:hAnsi="ＭＳ ゴシック" w:cs="ＭＳ ゴシック" w:hint="eastAsia"/>
          <w:sz w:val="16"/>
          <w:szCs w:val="16"/>
          <w:lang w:eastAsia="ja-JP"/>
        </w:rPr>
        <w:t>製品系から外れないリサイクル材料（例：生産の管理から外れないスクラップな</w:t>
      </w:r>
      <w:r w:rsidR="007147FB" w:rsidRPr="00F62844">
        <w:rPr>
          <w:rFonts w:ascii="ＭＳ ゴシック" w:eastAsia="ＭＳ ゴシック" w:hAnsi="ＭＳ ゴシック" w:cs="ＭＳ ゴシック" w:hint="eastAsia"/>
          <w:sz w:val="16"/>
          <w:szCs w:val="16"/>
          <w:lang w:eastAsia="ja-JP"/>
        </w:rPr>
        <w:t>ど）</w:t>
      </w:r>
      <w:r w:rsidRPr="00F62844">
        <w:rPr>
          <w:rFonts w:ascii="ＭＳ ゴシック" w:eastAsia="ＭＳ ゴシック" w:hAnsi="ＭＳ ゴシック" w:cs="ＭＳ ゴシック" w:hint="eastAsia"/>
          <w:sz w:val="16"/>
          <w:szCs w:val="16"/>
          <w:lang w:eastAsia="ja-JP"/>
        </w:rPr>
        <w:t>は、クローズドループの一例です。例えば、タイヤがアス</w:t>
      </w:r>
      <w:r w:rsidRPr="00F62844">
        <w:rPr>
          <w:rFonts w:ascii="ＭＳ ゴシック" w:eastAsia="ＭＳ ゴシック" w:hAnsi="ＭＳ ゴシック"/>
          <w:sz w:val="16"/>
          <w:szCs w:val="16"/>
          <w:lang w:eastAsia="ja-JP"/>
        </w:rPr>
        <w:t xml:space="preserve"> </w:t>
      </w:r>
      <w:r w:rsidRPr="00F62844">
        <w:rPr>
          <w:rFonts w:ascii="ＭＳ ゴシック" w:eastAsia="ＭＳ ゴシック" w:hAnsi="ＭＳ ゴシック" w:cs="ＭＳ ゴシック" w:hint="eastAsia"/>
          <w:sz w:val="16"/>
          <w:szCs w:val="16"/>
          <w:lang w:eastAsia="ja-JP"/>
        </w:rPr>
        <w:t>ファルトにリサイクルされるように、使用後に別の製品に使用される材料は、オープンループの例です。</w:t>
      </w:r>
      <w:r w:rsidRPr="00F62844">
        <w:rPr>
          <w:rFonts w:ascii="ＭＳ ゴシック" w:eastAsia="ＭＳ ゴシック" w:hAnsi="ＭＳ ゴシック"/>
          <w:sz w:val="16"/>
          <w:szCs w:val="16"/>
          <w:lang w:eastAsia="ja-JP"/>
        </w:rPr>
        <w:t xml:space="preserve"> </w:t>
      </w:r>
    </w:p>
    <w:p w14:paraId="2DC077C3" w14:textId="6858B532" w:rsidR="007E180A" w:rsidRPr="00F62844" w:rsidRDefault="007E180A">
      <w:pPr>
        <w:pStyle w:val="a5"/>
        <w:numPr>
          <w:ilvl w:val="0"/>
          <w:numId w:val="80"/>
        </w:numPr>
        <w:spacing w:before="61" w:line="345" w:lineRule="auto"/>
        <w:ind w:rightChars="80" w:right="176"/>
        <w:rPr>
          <w:rFonts w:ascii="ＭＳ ゴシック" w:eastAsia="ＭＳ ゴシック" w:hAnsi="ＭＳ ゴシック"/>
          <w:sz w:val="16"/>
          <w:szCs w:val="16"/>
          <w:lang w:eastAsia="ja-JP"/>
        </w:rPr>
      </w:pPr>
      <w:r w:rsidRPr="00F62844">
        <w:rPr>
          <w:rFonts w:ascii="ＭＳ ゴシック" w:eastAsia="ＭＳ ゴシック" w:hAnsi="ＭＳ ゴシック" w:cs="ＭＳ ゴシック" w:hint="eastAsia"/>
          <w:sz w:val="16"/>
          <w:szCs w:val="16"/>
          <w:lang w:eastAsia="ja-JP"/>
        </w:rPr>
        <w:t>回収工程は、帰属する使用済み製品工程として記載されてい</w:t>
      </w:r>
      <w:r w:rsidR="007147FB" w:rsidRPr="00F62844">
        <w:rPr>
          <w:rFonts w:ascii="ＭＳ ゴシック" w:eastAsia="ＭＳ ゴシック" w:hAnsi="ＭＳ ゴシック" w:cs="ＭＳ ゴシック" w:hint="eastAsia"/>
          <w:sz w:val="16"/>
          <w:szCs w:val="16"/>
          <w:lang w:eastAsia="ja-JP"/>
        </w:rPr>
        <w:t>ます</w:t>
      </w:r>
      <w:r w:rsidRPr="00F62844">
        <w:rPr>
          <w:rFonts w:ascii="ＭＳ ゴシック" w:eastAsia="ＭＳ ゴシック" w:hAnsi="ＭＳ ゴシック" w:cs="ＭＳ ゴシック" w:hint="eastAsia"/>
          <w:sz w:val="16"/>
          <w:szCs w:val="16"/>
          <w:lang w:eastAsia="ja-JP"/>
        </w:rPr>
        <w:t>が、この工程の位置は、上記および</w:t>
      </w:r>
      <w:r w:rsidRPr="00F62844">
        <w:rPr>
          <w:rFonts w:ascii="ＭＳ ゴシック" w:eastAsia="ＭＳ ゴシック" w:hAnsi="ＭＳ ゴシック"/>
          <w:sz w:val="16"/>
          <w:szCs w:val="16"/>
          <w:lang w:eastAsia="ja-JP"/>
        </w:rPr>
        <w:t>7</w:t>
      </w:r>
      <w:r w:rsidRPr="00F62844">
        <w:rPr>
          <w:rFonts w:ascii="ＭＳ ゴシック" w:eastAsia="ＭＳ ゴシック" w:hAnsi="ＭＳ ゴシック" w:cs="ＭＳ ゴシック" w:hint="eastAsia"/>
          <w:sz w:val="16"/>
          <w:szCs w:val="16"/>
          <w:lang w:eastAsia="ja-JP"/>
        </w:rPr>
        <w:t>章で述べたように、再生材の回収方法によって決ま</w:t>
      </w:r>
      <w:r w:rsidR="007147FB" w:rsidRPr="00F62844">
        <w:rPr>
          <w:rFonts w:ascii="ＭＳ ゴシック" w:eastAsia="ＭＳ ゴシック" w:hAnsi="ＭＳ ゴシック" w:cs="ＭＳ ゴシック" w:hint="eastAsia"/>
          <w:sz w:val="16"/>
          <w:szCs w:val="16"/>
          <w:lang w:eastAsia="ja-JP"/>
        </w:rPr>
        <w:t>ります</w:t>
      </w:r>
      <w:r w:rsidRPr="00F62844">
        <w:rPr>
          <w:rFonts w:ascii="ＭＳ ゴシック" w:eastAsia="ＭＳ ゴシック" w:hAnsi="ＭＳ ゴシック" w:cs="ＭＳ ゴシック" w:hint="eastAsia"/>
          <w:sz w:val="16"/>
          <w:szCs w:val="16"/>
          <w:lang w:eastAsia="ja-JP"/>
        </w:rPr>
        <w:t>。</w:t>
      </w:r>
      <w:r w:rsidRPr="00F62844">
        <w:rPr>
          <w:rFonts w:ascii="ＭＳ ゴシック" w:eastAsia="ＭＳ ゴシック" w:hAnsi="ＭＳ ゴシック"/>
          <w:sz w:val="16"/>
          <w:szCs w:val="16"/>
          <w:lang w:eastAsia="ja-JP"/>
        </w:rPr>
        <w:t xml:space="preserve"> </w:t>
      </w:r>
    </w:p>
    <w:p w14:paraId="0FD9892D" w14:textId="5E10BAEC" w:rsidR="00F62844" w:rsidRDefault="007E180A">
      <w:pPr>
        <w:pStyle w:val="a5"/>
        <w:numPr>
          <w:ilvl w:val="0"/>
          <w:numId w:val="80"/>
        </w:numPr>
        <w:spacing w:before="61" w:line="345" w:lineRule="auto"/>
        <w:ind w:rightChars="80" w:right="176"/>
        <w:rPr>
          <w:rFonts w:ascii="ＭＳ ゴシック" w:eastAsia="ＭＳ ゴシック" w:hAnsi="ＭＳ ゴシック"/>
          <w:sz w:val="16"/>
          <w:szCs w:val="16"/>
          <w:lang w:eastAsia="ja-JP"/>
        </w:rPr>
      </w:pPr>
      <w:r w:rsidRPr="00F62844">
        <w:rPr>
          <w:rFonts w:ascii="ＭＳ ゴシック" w:eastAsia="ＭＳ ゴシック" w:hAnsi="ＭＳ ゴシック" w:cs="ＭＳ ゴシック" w:hint="eastAsia"/>
          <w:sz w:val="16"/>
          <w:szCs w:val="16"/>
          <w:lang w:eastAsia="ja-JP"/>
        </w:rPr>
        <w:t>国際作業部会</w:t>
      </w:r>
      <w:r w:rsidR="007147FB" w:rsidRPr="00F62844">
        <w:rPr>
          <w:rFonts w:ascii="ＭＳ ゴシック" w:eastAsia="ＭＳ ゴシック" w:hAnsi="ＭＳ ゴシック" w:cs="ＭＳ ゴシック" w:hint="eastAsia"/>
          <w:sz w:val="16"/>
          <w:szCs w:val="16"/>
          <w:lang w:eastAsia="ja-JP"/>
        </w:rPr>
        <w:t>,</w:t>
      </w:r>
      <w:r w:rsidRPr="00F62844">
        <w:rPr>
          <w:rFonts w:ascii="ＭＳ ゴシック" w:eastAsia="ＭＳ ゴシック" w:hAnsi="ＭＳ ゴシック" w:cs="ＭＳ ゴシック" w:hint="eastAsia"/>
          <w:sz w:val="16"/>
          <w:szCs w:val="16"/>
          <w:lang w:eastAsia="ja-JP"/>
        </w:rPr>
        <w:t>ライフサイクルインベントリ分析</w:t>
      </w:r>
      <w:r w:rsidRPr="00F62844">
        <w:rPr>
          <w:rFonts w:ascii="ＭＳ ゴシック" w:eastAsia="ＭＳ ゴシック" w:hAnsi="ＭＳ ゴシック"/>
          <w:sz w:val="16"/>
          <w:szCs w:val="16"/>
        </w:rPr>
        <w:t xml:space="preserve">: Enhanced Methods and Applications for the Products of the Forest Industry.(Washington DC: American Forest and Paper Association,1996). </w:t>
      </w:r>
    </w:p>
    <w:p w14:paraId="42DFE97E" w14:textId="230D66FC" w:rsidR="00F62844" w:rsidRPr="00F62844" w:rsidRDefault="00F62844">
      <w:pPr>
        <w:pStyle w:val="a5"/>
        <w:numPr>
          <w:ilvl w:val="0"/>
          <w:numId w:val="80"/>
        </w:numPr>
        <w:spacing w:before="61" w:line="345" w:lineRule="auto"/>
        <w:ind w:rightChars="80" w:right="176"/>
        <w:rPr>
          <w:rFonts w:ascii="ＭＳ ゴシック" w:eastAsia="ＭＳ ゴシック" w:hAnsi="ＭＳ ゴシック"/>
          <w:sz w:val="16"/>
          <w:szCs w:val="16"/>
          <w:lang w:eastAsia="ja-JP"/>
        </w:rPr>
      </w:pPr>
      <w:r w:rsidRPr="00F62844">
        <w:rPr>
          <w:rFonts w:ascii="ＭＳ ゴシック" w:eastAsia="ＭＳ ゴシック" w:hAnsi="ＭＳ ゴシック"/>
          <w:sz w:val="16"/>
          <w:szCs w:val="16"/>
        </w:rPr>
        <w:t>International Organization for Standardization, ISO 14049:2000, Environmental management — Life cycle assessment — Examples of application of ISO 14041 to goal and scope definition and inventory analysis. Geneva.</w:t>
      </w:r>
    </w:p>
    <w:p w14:paraId="7FFBAA6C" w14:textId="16A73596" w:rsidR="00F62844" w:rsidRPr="00F62844" w:rsidRDefault="00F62844" w:rsidP="00F62844">
      <w:pPr>
        <w:spacing w:before="61" w:line="345" w:lineRule="auto"/>
        <w:ind w:rightChars="80" w:right="176"/>
        <w:rPr>
          <w:rFonts w:ascii="ＭＳ ゴシック" w:eastAsia="ＭＳ ゴシック" w:hAnsi="ＭＳ ゴシック"/>
          <w:sz w:val="16"/>
          <w:szCs w:val="16"/>
          <w:lang w:eastAsia="ja-JP"/>
        </w:rPr>
        <w:sectPr w:rsidR="00F62844" w:rsidRPr="00F62844">
          <w:type w:val="continuous"/>
          <w:pgSz w:w="12240" w:h="15840"/>
          <w:pgMar w:top="740" w:right="0" w:bottom="280" w:left="0" w:header="0" w:footer="859" w:gutter="0"/>
          <w:cols w:num="2" w:space="720" w:equalWidth="0">
            <w:col w:w="5926" w:space="40"/>
            <w:col w:w="6274"/>
          </w:cols>
        </w:sectPr>
      </w:pPr>
      <w:r w:rsidRPr="00F62844">
        <w:rPr>
          <w:sz w:val="16"/>
          <w:szCs w:val="16"/>
        </w:rPr>
        <w:t>.</w:t>
      </w:r>
    </w:p>
    <w:p w14:paraId="74C5EED0" w14:textId="08628C95" w:rsidR="0055291C" w:rsidRDefault="00000000">
      <w:pPr>
        <w:pStyle w:val="1"/>
        <w:numPr>
          <w:ilvl w:val="1"/>
          <w:numId w:val="40"/>
        </w:numPr>
        <w:tabs>
          <w:tab w:val="left" w:pos="2415"/>
          <w:tab w:val="left" w:pos="2416"/>
        </w:tabs>
        <w:spacing w:before="78"/>
      </w:pPr>
      <w:r>
        <w:lastRenderedPageBreak/>
        <w:pict w14:anchorId="7C9F5F59">
          <v:group id="docshapegroup1236" o:spid="_x0000_s2594" style="position:absolute;left:0;text-align:left;margin-left:0;margin-top:0;width:612pt;height:11in;z-index:-251560448;mso-position-horizontal-relative:page;mso-position-vertical-relative:page" coordsize="12240,15840">
            <v:shape id="docshape1237" o:spid="_x0000_s2597" type="#_x0000_t75" style="position:absolute;left:26;width:12214;height:15840">
              <v:imagedata r:id="rId250" o:title=""/>
            </v:shape>
            <v:rect id="docshape1238" o:spid="_x0000_s2596" style="position:absolute;width:12240;height:2015" fillcolor="#f3f4f4" stroked="f">
              <v:fill opacity="45875f"/>
            </v:rect>
            <v:shape id="docshape1239" o:spid="_x0000_s2595" style="position:absolute;width:2133;height:2015" coordsize="2133,2015" path="m2132,l,,,2014r1892,l2031,2011r71,-27l2129,1913r3,-139l2132,xe" fillcolor="#00aca1" stroked="f">
              <v:path arrowok="t"/>
            </v:shape>
            <w10:wrap anchorx="page" anchory="page"/>
          </v:group>
        </w:pict>
      </w:r>
      <w:r w:rsidR="00C258B5">
        <w:rPr>
          <w:rFonts w:ascii="ＭＳ 明朝" w:eastAsia="ＭＳ 明朝" w:hAnsi="ＭＳ 明朝" w:cs="ＭＳ 明朝" w:hint="eastAsia"/>
          <w:color w:val="545456"/>
          <w:w w:val="95"/>
          <w:lang w:eastAsia="ja-JP"/>
        </w:rPr>
        <w:t>不確実性の評価</w:t>
      </w:r>
    </w:p>
    <w:p w14:paraId="68678BE2" w14:textId="77777777" w:rsidR="0055291C" w:rsidRDefault="0055291C">
      <w:pPr>
        <w:sectPr w:rsidR="0055291C">
          <w:headerReference w:type="even" r:id="rId251"/>
          <w:footerReference w:type="even" r:id="rId252"/>
          <w:pgSz w:w="12240" w:h="15840"/>
          <w:pgMar w:top="940" w:right="0" w:bottom="280" w:left="0" w:header="0" w:footer="0" w:gutter="0"/>
          <w:cols w:space="720"/>
        </w:sectPr>
      </w:pPr>
    </w:p>
    <w:p w14:paraId="676E53B6" w14:textId="77777777" w:rsidR="0055291C" w:rsidRDefault="0055291C">
      <w:pPr>
        <w:pStyle w:val="a3"/>
        <w:rPr>
          <w:rFonts w:ascii="Arial"/>
          <w:b/>
          <w:i/>
          <w:sz w:val="20"/>
        </w:rPr>
      </w:pPr>
    </w:p>
    <w:p w14:paraId="0E8E5B91" w14:textId="77777777" w:rsidR="0055291C" w:rsidRDefault="0055291C">
      <w:pPr>
        <w:pStyle w:val="a3"/>
        <w:rPr>
          <w:rFonts w:ascii="Arial"/>
          <w:b/>
          <w:i/>
          <w:sz w:val="20"/>
        </w:rPr>
      </w:pPr>
    </w:p>
    <w:p w14:paraId="065B731D" w14:textId="77777777" w:rsidR="0055291C" w:rsidRDefault="0055291C">
      <w:pPr>
        <w:pStyle w:val="a3"/>
        <w:rPr>
          <w:rFonts w:ascii="Arial"/>
          <w:b/>
          <w:i/>
          <w:sz w:val="20"/>
        </w:rPr>
      </w:pPr>
    </w:p>
    <w:p w14:paraId="7D5BE42B" w14:textId="77777777" w:rsidR="0055291C" w:rsidRDefault="0055291C">
      <w:pPr>
        <w:pStyle w:val="a3"/>
        <w:rPr>
          <w:rFonts w:ascii="Arial"/>
          <w:b/>
          <w:i/>
          <w:sz w:val="20"/>
        </w:rPr>
      </w:pPr>
    </w:p>
    <w:p w14:paraId="494D2E25" w14:textId="77777777" w:rsidR="0055291C" w:rsidRDefault="0055291C">
      <w:pPr>
        <w:pStyle w:val="a3"/>
        <w:rPr>
          <w:rFonts w:ascii="Arial"/>
          <w:b/>
          <w:i/>
          <w:sz w:val="20"/>
        </w:rPr>
      </w:pPr>
    </w:p>
    <w:p w14:paraId="30F02A44" w14:textId="77777777" w:rsidR="0055291C" w:rsidRDefault="0055291C">
      <w:pPr>
        <w:pStyle w:val="a3"/>
        <w:rPr>
          <w:rFonts w:ascii="Arial"/>
          <w:b/>
          <w:i/>
          <w:sz w:val="20"/>
        </w:rPr>
      </w:pPr>
    </w:p>
    <w:p w14:paraId="089250F7" w14:textId="77777777" w:rsidR="0055291C" w:rsidRDefault="0055291C">
      <w:pPr>
        <w:pStyle w:val="a3"/>
        <w:rPr>
          <w:rFonts w:ascii="Arial"/>
          <w:b/>
          <w:i/>
          <w:sz w:val="20"/>
        </w:rPr>
      </w:pPr>
    </w:p>
    <w:p w14:paraId="7038DA89" w14:textId="77777777" w:rsidR="0055291C" w:rsidRDefault="0055291C">
      <w:pPr>
        <w:pStyle w:val="a3"/>
        <w:rPr>
          <w:rFonts w:ascii="Arial"/>
          <w:b/>
          <w:i/>
          <w:sz w:val="20"/>
        </w:rPr>
      </w:pPr>
    </w:p>
    <w:p w14:paraId="5024AC8F" w14:textId="77777777" w:rsidR="0055291C" w:rsidRDefault="0055291C">
      <w:pPr>
        <w:pStyle w:val="a3"/>
        <w:rPr>
          <w:rFonts w:ascii="Arial"/>
          <w:b/>
          <w:i/>
          <w:sz w:val="20"/>
        </w:rPr>
      </w:pPr>
    </w:p>
    <w:p w14:paraId="29FCCE48" w14:textId="77777777" w:rsidR="0055291C" w:rsidRDefault="0055291C">
      <w:pPr>
        <w:pStyle w:val="a3"/>
        <w:rPr>
          <w:rFonts w:ascii="Arial"/>
          <w:b/>
          <w:i/>
          <w:sz w:val="20"/>
        </w:rPr>
      </w:pPr>
    </w:p>
    <w:p w14:paraId="62825BF2" w14:textId="77777777" w:rsidR="0055291C" w:rsidRDefault="0055291C">
      <w:pPr>
        <w:pStyle w:val="a3"/>
        <w:rPr>
          <w:rFonts w:ascii="Arial"/>
          <w:b/>
          <w:i/>
          <w:sz w:val="20"/>
        </w:rPr>
      </w:pPr>
    </w:p>
    <w:p w14:paraId="3E0E512B" w14:textId="77777777" w:rsidR="0055291C" w:rsidRDefault="0055291C">
      <w:pPr>
        <w:pStyle w:val="a3"/>
        <w:rPr>
          <w:rFonts w:ascii="Arial"/>
          <w:b/>
          <w:i/>
          <w:sz w:val="20"/>
        </w:rPr>
      </w:pPr>
    </w:p>
    <w:p w14:paraId="464CBAEF" w14:textId="77777777" w:rsidR="0055291C" w:rsidRDefault="0055291C">
      <w:pPr>
        <w:pStyle w:val="a3"/>
        <w:rPr>
          <w:rFonts w:ascii="Arial"/>
          <w:b/>
          <w:i/>
          <w:sz w:val="20"/>
        </w:rPr>
      </w:pPr>
    </w:p>
    <w:p w14:paraId="08AC3446" w14:textId="77777777" w:rsidR="0055291C" w:rsidRDefault="0055291C">
      <w:pPr>
        <w:pStyle w:val="a3"/>
        <w:rPr>
          <w:rFonts w:ascii="Arial"/>
          <w:b/>
          <w:i/>
          <w:sz w:val="20"/>
        </w:rPr>
      </w:pPr>
    </w:p>
    <w:p w14:paraId="515E25EA" w14:textId="77777777" w:rsidR="0055291C" w:rsidRDefault="0055291C">
      <w:pPr>
        <w:pStyle w:val="a3"/>
        <w:rPr>
          <w:rFonts w:ascii="Arial"/>
          <w:b/>
          <w:i/>
          <w:sz w:val="20"/>
        </w:rPr>
      </w:pPr>
    </w:p>
    <w:p w14:paraId="23E15C99" w14:textId="77777777" w:rsidR="0055291C" w:rsidRDefault="0055291C">
      <w:pPr>
        <w:pStyle w:val="a3"/>
        <w:rPr>
          <w:rFonts w:ascii="Arial"/>
          <w:b/>
          <w:i/>
          <w:sz w:val="20"/>
        </w:rPr>
      </w:pPr>
    </w:p>
    <w:p w14:paraId="17AA2437" w14:textId="77777777" w:rsidR="0055291C" w:rsidRDefault="0055291C">
      <w:pPr>
        <w:pStyle w:val="a3"/>
        <w:rPr>
          <w:rFonts w:ascii="Arial"/>
          <w:b/>
          <w:i/>
          <w:sz w:val="20"/>
        </w:rPr>
      </w:pPr>
    </w:p>
    <w:p w14:paraId="753C0228" w14:textId="77777777" w:rsidR="0055291C" w:rsidRDefault="0055291C">
      <w:pPr>
        <w:pStyle w:val="a3"/>
        <w:rPr>
          <w:rFonts w:ascii="Arial"/>
          <w:b/>
          <w:i/>
          <w:sz w:val="20"/>
        </w:rPr>
      </w:pPr>
    </w:p>
    <w:p w14:paraId="1A2BB0DE" w14:textId="77777777" w:rsidR="0055291C" w:rsidRDefault="0055291C">
      <w:pPr>
        <w:pStyle w:val="a3"/>
        <w:rPr>
          <w:rFonts w:ascii="Arial"/>
          <w:b/>
          <w:i/>
          <w:sz w:val="20"/>
        </w:rPr>
      </w:pPr>
    </w:p>
    <w:p w14:paraId="192D03B3" w14:textId="77777777" w:rsidR="0055291C" w:rsidRDefault="0055291C">
      <w:pPr>
        <w:pStyle w:val="a3"/>
        <w:rPr>
          <w:rFonts w:ascii="Arial"/>
          <w:b/>
          <w:i/>
          <w:sz w:val="20"/>
        </w:rPr>
      </w:pPr>
    </w:p>
    <w:p w14:paraId="6EF3B5B4" w14:textId="77777777" w:rsidR="0055291C" w:rsidRDefault="0055291C">
      <w:pPr>
        <w:pStyle w:val="a3"/>
        <w:rPr>
          <w:rFonts w:ascii="Arial"/>
          <w:b/>
          <w:i/>
          <w:sz w:val="20"/>
        </w:rPr>
      </w:pPr>
    </w:p>
    <w:p w14:paraId="168EA5C4" w14:textId="77777777" w:rsidR="0055291C" w:rsidRDefault="0055291C">
      <w:pPr>
        <w:pStyle w:val="a3"/>
        <w:rPr>
          <w:rFonts w:ascii="Arial"/>
          <w:b/>
          <w:i/>
          <w:sz w:val="20"/>
        </w:rPr>
      </w:pPr>
    </w:p>
    <w:p w14:paraId="797A0EEA" w14:textId="77777777" w:rsidR="0055291C" w:rsidRDefault="0055291C">
      <w:pPr>
        <w:pStyle w:val="a3"/>
        <w:rPr>
          <w:rFonts w:ascii="Arial"/>
          <w:b/>
          <w:i/>
          <w:sz w:val="20"/>
        </w:rPr>
      </w:pPr>
    </w:p>
    <w:p w14:paraId="5A9B287C" w14:textId="38FB3446" w:rsidR="0055291C" w:rsidRDefault="00000000">
      <w:pPr>
        <w:pStyle w:val="a5"/>
        <w:numPr>
          <w:ilvl w:val="2"/>
          <w:numId w:val="40"/>
        </w:numPr>
        <w:tabs>
          <w:tab w:val="left" w:pos="1854"/>
        </w:tabs>
        <w:spacing w:before="99"/>
        <w:ind w:hanging="721"/>
        <w:jc w:val="both"/>
        <w:rPr>
          <w:rFonts w:ascii="Arial"/>
          <w:b/>
          <w:i/>
          <w:sz w:val="24"/>
        </w:rPr>
      </w:pPr>
      <w:r>
        <w:pict w14:anchorId="0919E6BA">
          <v:group id="docshapegroup1242" o:spid="_x0000_s2590" style="position:absolute;left:0;text-align:left;margin-left:253.7pt;margin-top:-264.75pt;width:358.55pt;height:382.95pt;z-index:-251559424;mso-position-horizontal-relative:page" coordorigin="5074,-5295" coordsize="7171,7659">
            <v:shape id="docshape1243" o:spid="_x0000_s2593" style="position:absolute;left:11614;top:-5290;width:626;height:5717" coordorigin="11615,-5290" coordsize="626,5717" path="m12240,-5290r-625,l11615,200r3,131l11643,398r67,25l11842,426r398,l12240,-5290xe" fillcolor="#00aca1" stroked="f">
              <v:path arrowok="t"/>
            </v:shape>
            <v:shape id="docshape1244" o:spid="_x0000_s2592" style="position:absolute;left:5079;top:-5290;width:7161;height:7649" coordorigin="5079,-5290" coordsize="7161,7649" o:spt="100" adj="0,,0" path="m6524,-5290r-36,32l6436,-5208r-51,49l5945,-4653r-301,460l5472,-3859r-55,128l8039,-3935r1645,189l10536,-3435r244,164l10738,-3335r-44,-64l10650,-3463r-46,-64l10558,-3590r-48,-64l10462,-3717r-50,-62l10362,-3841r-52,-62l10258,-3965r-52,-61l10152,-4087r-54,-60l10044,-4207r-55,-59l9933,-4325r-56,-58l9821,-4441r-56,-57l9708,-4555r-57,-56l9595,-4666r-57,-55l8910,-5283r-9,-7m8810,-5290r1022,862l10860,-3146r380,816l11295,-2044r16,-75l11327,-2194r14,-76l11354,-2347r13,-78l11378,-2503r11,-78l11398,-2660r9,-79l11415,-2819r8,-80l11429,-2979r6,-80l11440,-3140r4,-80l11448,-3300r3,-81l11453,-3461r1,-80l11456,-3621r,-79l11456,-3779r-1,-79l11454,-3937r-42,-835l11360,-5290t-49,l11452,-3524r-191,1625l10946,-1057r-166,241l10845,-858r65,-43l10975,-945r64,-45l11103,-1036r64,-47l11231,-1131r63,-49l11358,-1230r62,-50l11483,-1332r62,-52l11606,-1437r61,-53l11728,-1544r60,-54l11847,-1653r59,-55l11965,-1763r58,-56l12080,-1875r56,-56l12192,-1987r48,-49m12240,-2089r-289,334l10653,-739r-826,375l9538,-309r75,16l9690,-278r77,14l9845,-251r78,12l10002,-227r80,10l10162,-207r80,9l10323,-190r81,7l10485,-177r81,6l10647,-166r81,4l10810,-158r81,3l10972,-153r81,1l11134,-150r81,l11295,-150r80,-1l11454,-152r786,-38m11244,2025r81,-34l11405,1955r78,-36l11560,1881r75,-39l11708,1803r73,-41l11851,1721r70,-43l11988,1635r67,-44l12120,1546r63,-45l12240,1458t,-1707l11038,-155,9392,-344,8540,-655,8296,-819r42,65l8382,-690r44,63l8472,-563r46,64l8566,-436r49,63l8664,-311r51,62l8766,-187r52,62l8871,-64r53,61l8978,57r55,60l9088,176r55,59l9199,294r56,57l9312,409r56,56l9425,521r57,55l9539,631r627,562l10712,1634r386,288l11244,2025t-3411,-2l7915,2056r81,31l8078,2115r81,27l8239,2168r80,23l8399,2213r80,20l8558,2251r79,17l8715,2283r78,14l8870,2309r76,11l9022,2329r76,8l9173,2344r74,5l9321,2353r72,3l9466,2358r71,1l10211,2308r541,-115l11113,2077r131,-52l9243,338,8215,-945r-380,-815l7781,-2046r-17,75l7749,-1896r-14,77l7721,-1742r-12,77l7697,-1587r-10,78l7677,-1430r-9,80l7660,-1271r-7,80l7646,-1111r-5,80l7636,-950r-5,80l7628,-790r-3,81l7622,-629r-1,80l7620,-469r-1,79l7619,-310r1,79l7621,-153r42,836l7735,1376r68,472l7833,2023m5418,-360r34,81l5488,-201r37,77l5563,-48r39,74l5642,99r42,71l5726,239r43,69l5813,374r44,66l5903,504r46,62l5996,627r47,60l6091,746r48,57l6188,858r49,55l6286,966r50,52l6386,1068r513,434l7364,1799r338,170l7833,2023,7626,-566r190,-1625l8132,-3034r165,-240l8232,-3232r-65,42l8103,-3146r-65,46l7974,-3054r-64,47l7846,-2959r-63,49l7720,-2860r-63,50l7595,-2758r-62,52l7472,-2653r-61,53l7350,-2546r-60,54l7230,-2437r-59,55l7113,-2327r-58,56l6998,-2215r-57,56l6885,-2103r-55,56l6261,-1426r-447,540l5522,-504r-104,144m5417,-3731r-33,81l5353,-3569r-29,80l5297,-3409r-25,80l5248,-3250r-22,79l5206,-3092r-18,78l5171,-2936r-16,77l5142,-2782r-13,77l5119,-2630r-10,76l5101,-2480r-7,74l5089,-2332r-4,72l5082,-2188r-2,72l5079,-2046r52,666l5247,-845r117,356l5418,-360,7125,-2335,8424,-3351r826,-376l9539,-3781r-76,-16l9387,-3812r-78,-14l9232,-3839r-79,-12l9074,-3863r-79,-10l8915,-3883r-81,-9l8754,-3899r-81,-8l8592,-3913r-81,-6l8429,-3924r-81,-4l8267,-3931r-82,-3l8104,-3937r-81,-1l7942,-3939r-80,-1l7781,-3940r-79,1l7622,-3938r-846,41l6074,-3826r-479,66l5417,-3731e" filled="f" strokecolor="#d9dadc" strokeweight=".5pt">
              <v:stroke joinstyle="round"/>
              <v:formulas/>
              <v:path arrowok="t" o:connecttype="segments"/>
            </v:shape>
            <v:shape id="docshape1245" o:spid="_x0000_s2591" style="position:absolute;left:11614;top:-5290;width:626;height:5717" coordorigin="11615,-5290" coordsize="626,5717" path="m12240,-5290r-625,l11615,200r3,131l11643,398r67,25l11842,426r398,l12240,-5290xe" fillcolor="#7f3f98" stroked="f">
              <v:path arrowok="t"/>
            </v:shape>
            <w10:wrap anchorx="page"/>
          </v:group>
        </w:pict>
      </w:r>
      <w:r>
        <w:pict w14:anchorId="41B517C1">
          <v:shape id="docshape1246" o:spid="_x0000_s2589" type="#_x0000_t202" style="position:absolute;left:0;text-align:left;margin-left:585.65pt;margin-top:-190.85pt;width:17.7pt;height:180.55pt;z-index:251627008;mso-position-horizontal-relative:page" filled="f" stroked="f">
            <v:textbox style="layout-flow:vertical;mso-layout-flow-alt:bottom-to-top;mso-next-textbox:#docshape1246" inset="0,0,0,0">
              <w:txbxContent>
                <w:p w14:paraId="6585CA05" w14:textId="77777777" w:rsidR="0055291C" w:rsidRDefault="00F23C61">
                  <w:pPr>
                    <w:spacing w:before="18"/>
                    <w:ind w:left="20"/>
                    <w:rPr>
                      <w:rFonts w:ascii="Arial"/>
                      <w:b/>
                      <w:i/>
                      <w:sz w:val="28"/>
                    </w:rPr>
                  </w:pPr>
                  <w:r>
                    <w:rPr>
                      <w:rFonts w:ascii="Arial"/>
                      <w:b/>
                      <w:i/>
                      <w:color w:val="F3F4F4"/>
                      <w:spacing w:val="-159"/>
                      <w:w w:val="92"/>
                      <w:sz w:val="28"/>
                    </w:rPr>
                    <w:t>g</w:t>
                  </w:r>
                  <w:r>
                    <w:rPr>
                      <w:rFonts w:ascii="Arial"/>
                      <w:b/>
                      <w:i/>
                      <w:color w:val="F3F4F4"/>
                      <w:w w:val="109"/>
                      <w:sz w:val="28"/>
                    </w:rPr>
                    <w:t>r</w:t>
                  </w:r>
                  <w:r>
                    <w:rPr>
                      <w:rFonts w:ascii="Arial"/>
                      <w:b/>
                      <w:i/>
                      <w:color w:val="F3F4F4"/>
                      <w:sz w:val="28"/>
                    </w:rPr>
                    <w:t xml:space="preserve"> </w:t>
                  </w:r>
                  <w:r>
                    <w:rPr>
                      <w:rFonts w:ascii="Arial"/>
                      <w:b/>
                      <w:i/>
                      <w:color w:val="F3F4F4"/>
                      <w:spacing w:val="6"/>
                      <w:sz w:val="28"/>
                    </w:rPr>
                    <w:t xml:space="preserve"> </w:t>
                  </w:r>
                  <w:proofErr w:type="spellStart"/>
                  <w:r>
                    <w:rPr>
                      <w:rFonts w:ascii="Arial"/>
                      <w:b/>
                      <w:i/>
                      <w:color w:val="F3F4F4"/>
                      <w:spacing w:val="-104"/>
                      <w:w w:val="95"/>
                      <w:sz w:val="28"/>
                    </w:rPr>
                    <w:t>e</w:t>
                  </w:r>
                  <w:r>
                    <w:rPr>
                      <w:rFonts w:ascii="Arial"/>
                      <w:b/>
                      <w:i/>
                      <w:color w:val="F3F4F4"/>
                      <w:w w:val="95"/>
                      <w:sz w:val="28"/>
                    </w:rPr>
                    <w:t>u</w:t>
                  </w:r>
                  <w:proofErr w:type="spellEnd"/>
                  <w:r>
                    <w:rPr>
                      <w:rFonts w:ascii="Arial"/>
                      <w:b/>
                      <w:i/>
                      <w:color w:val="F3F4F4"/>
                      <w:spacing w:val="30"/>
                      <w:sz w:val="28"/>
                    </w:rPr>
                    <w:t xml:space="preserve"> </w:t>
                  </w:r>
                  <w:r>
                    <w:rPr>
                      <w:rFonts w:ascii="Arial"/>
                      <w:b/>
                      <w:i/>
                      <w:color w:val="F3F4F4"/>
                      <w:spacing w:val="-102"/>
                      <w:w w:val="93"/>
                      <w:sz w:val="28"/>
                    </w:rPr>
                    <w:t>q</w:t>
                  </w:r>
                  <w:r>
                    <w:rPr>
                      <w:rFonts w:ascii="Arial"/>
                      <w:b/>
                      <w:i/>
                      <w:color w:val="F3F4F4"/>
                      <w:w w:val="101"/>
                      <w:sz w:val="28"/>
                    </w:rPr>
                    <w:t>i</w:t>
                  </w:r>
                  <w:r>
                    <w:rPr>
                      <w:rFonts w:ascii="Arial"/>
                      <w:b/>
                      <w:i/>
                      <w:color w:val="F3F4F4"/>
                      <w:sz w:val="28"/>
                    </w:rPr>
                    <w:t xml:space="preserve"> </w:t>
                  </w:r>
                  <w:r>
                    <w:rPr>
                      <w:rFonts w:ascii="Arial"/>
                      <w:b/>
                      <w:i/>
                      <w:color w:val="F3F4F4"/>
                      <w:spacing w:val="12"/>
                      <w:sz w:val="28"/>
                    </w:rPr>
                    <w:t xml:space="preserve"> </w:t>
                  </w:r>
                  <w:r>
                    <w:rPr>
                      <w:rFonts w:ascii="Arial"/>
                      <w:b/>
                      <w:i/>
                      <w:color w:val="F3F4F4"/>
                      <w:spacing w:val="-144"/>
                      <w:w w:val="96"/>
                      <w:sz w:val="28"/>
                    </w:rPr>
                    <w:t>d</w:t>
                  </w:r>
                  <w:r>
                    <w:rPr>
                      <w:rFonts w:ascii="Arial"/>
                      <w:b/>
                      <w:i/>
                      <w:color w:val="F3F4F4"/>
                      <w:w w:val="95"/>
                      <w:sz w:val="28"/>
                    </w:rPr>
                    <w:t>u</w:t>
                  </w:r>
                  <w:r>
                    <w:rPr>
                      <w:rFonts w:ascii="Arial"/>
                      <w:b/>
                      <w:i/>
                      <w:color w:val="F3F4F4"/>
                      <w:sz w:val="28"/>
                    </w:rPr>
                    <w:t xml:space="preserve"> </w:t>
                  </w:r>
                  <w:r>
                    <w:rPr>
                      <w:rFonts w:ascii="Arial"/>
                      <w:b/>
                      <w:i/>
                      <w:color w:val="F3F4F4"/>
                      <w:spacing w:val="-7"/>
                      <w:sz w:val="28"/>
                    </w:rPr>
                    <w:t xml:space="preserve"> </w:t>
                  </w:r>
                  <w:r>
                    <w:rPr>
                      <w:rFonts w:ascii="Arial"/>
                      <w:b/>
                      <w:i/>
                      <w:color w:val="F3F4F4"/>
                      <w:spacing w:val="-146"/>
                      <w:w w:val="105"/>
                      <w:sz w:val="28"/>
                    </w:rPr>
                    <w:t>a</w:t>
                  </w:r>
                  <w:r>
                    <w:rPr>
                      <w:rFonts w:ascii="Arial"/>
                      <w:b/>
                      <w:i/>
                      <w:color w:val="F3F4F4"/>
                      <w:w w:val="101"/>
                      <w:sz w:val="28"/>
                    </w:rPr>
                    <w:t>i</w:t>
                  </w:r>
                  <w:r>
                    <w:rPr>
                      <w:rFonts w:ascii="Arial"/>
                      <w:b/>
                      <w:i/>
                      <w:color w:val="F3F4F4"/>
                      <w:sz w:val="28"/>
                    </w:rPr>
                    <w:t xml:space="preserve"> </w:t>
                  </w:r>
                  <w:r>
                    <w:rPr>
                      <w:rFonts w:ascii="Arial"/>
                      <w:b/>
                      <w:i/>
                      <w:color w:val="F3F4F4"/>
                      <w:spacing w:val="12"/>
                      <w:sz w:val="28"/>
                    </w:rPr>
                    <w:t xml:space="preserve"> </w:t>
                  </w:r>
                  <w:proofErr w:type="spellStart"/>
                  <w:r>
                    <w:rPr>
                      <w:rFonts w:ascii="Arial"/>
                      <w:b/>
                      <w:i/>
                      <w:color w:val="F3F4F4"/>
                      <w:spacing w:val="-54"/>
                      <w:w w:val="109"/>
                      <w:sz w:val="28"/>
                    </w:rPr>
                    <w:t>r</w:t>
                  </w:r>
                  <w:r>
                    <w:rPr>
                      <w:rFonts w:ascii="Arial"/>
                      <w:b/>
                      <w:i/>
                      <w:color w:val="F3F4F4"/>
                      <w:w w:val="92"/>
                      <w:sz w:val="28"/>
                    </w:rPr>
                    <w:t>n</w:t>
                  </w:r>
                  <w:proofErr w:type="spellEnd"/>
                  <w:r>
                    <w:rPr>
                      <w:rFonts w:ascii="Arial"/>
                      <w:b/>
                      <w:i/>
                      <w:color w:val="F3F4F4"/>
                      <w:spacing w:val="-21"/>
                      <w:sz w:val="28"/>
                    </w:rPr>
                    <w:t xml:space="preserve"> </w:t>
                  </w:r>
                  <w:proofErr w:type="spellStart"/>
                  <w:r>
                    <w:rPr>
                      <w:rFonts w:ascii="Arial"/>
                      <w:b/>
                      <w:i/>
                      <w:color w:val="F3F4F4"/>
                      <w:spacing w:val="-38"/>
                      <w:w w:val="95"/>
                      <w:sz w:val="28"/>
                    </w:rPr>
                    <w:t>e</w:t>
                  </w:r>
                  <w:r>
                    <w:rPr>
                      <w:rFonts w:ascii="Arial"/>
                      <w:b/>
                      <w:i/>
                      <w:color w:val="F3F4F4"/>
                      <w:w w:val="86"/>
                      <w:sz w:val="28"/>
                    </w:rPr>
                    <w:t>c</w:t>
                  </w:r>
                  <w:proofErr w:type="spellEnd"/>
                  <w:r>
                    <w:rPr>
                      <w:rFonts w:ascii="Arial"/>
                      <w:b/>
                      <w:i/>
                      <w:color w:val="F3F4F4"/>
                      <w:spacing w:val="-7"/>
                      <w:sz w:val="28"/>
                    </w:rPr>
                    <w:t xml:space="preserve"> </w:t>
                  </w:r>
                  <w:r>
                    <w:rPr>
                      <w:rFonts w:ascii="Arial"/>
                      <w:b/>
                      <w:i/>
                      <w:color w:val="F3F4F4"/>
                      <w:spacing w:val="-147"/>
                      <w:w w:val="95"/>
                      <w:sz w:val="28"/>
                    </w:rPr>
                    <w:t>m</w:t>
                  </w:r>
                  <w:r>
                    <w:rPr>
                      <w:rFonts w:ascii="Arial"/>
                      <w:b/>
                      <w:i/>
                      <w:color w:val="F3F4F4"/>
                      <w:w w:val="95"/>
                      <w:sz w:val="28"/>
                    </w:rPr>
                    <w:t>e</w:t>
                  </w:r>
                  <w:r>
                    <w:rPr>
                      <w:rFonts w:ascii="Arial"/>
                      <w:b/>
                      <w:i/>
                      <w:color w:val="F3F4F4"/>
                      <w:sz w:val="28"/>
                    </w:rPr>
                    <w:t xml:space="preserve"> </w:t>
                  </w:r>
                  <w:r>
                    <w:rPr>
                      <w:rFonts w:ascii="Arial"/>
                      <w:b/>
                      <w:i/>
                      <w:color w:val="F3F4F4"/>
                      <w:spacing w:val="10"/>
                      <w:sz w:val="28"/>
                    </w:rPr>
                    <w:t xml:space="preserve"> </w:t>
                  </w:r>
                  <w:r>
                    <w:rPr>
                      <w:rFonts w:ascii="Arial"/>
                      <w:b/>
                      <w:i/>
                      <w:color w:val="F3F4F4"/>
                      <w:w w:val="95"/>
                      <w:sz w:val="28"/>
                    </w:rPr>
                    <w:t>e</w:t>
                  </w:r>
                  <w:r>
                    <w:rPr>
                      <w:rFonts w:ascii="Arial"/>
                      <w:b/>
                      <w:i/>
                      <w:color w:val="F3F4F4"/>
                      <w:sz w:val="28"/>
                    </w:rPr>
                    <w:t xml:space="preserve"> </w:t>
                  </w:r>
                  <w:r>
                    <w:rPr>
                      <w:rFonts w:ascii="Arial"/>
                      <w:b/>
                      <w:i/>
                      <w:color w:val="F3F4F4"/>
                      <w:spacing w:val="12"/>
                      <w:sz w:val="28"/>
                    </w:rPr>
                    <w:t xml:space="preserve"> </w:t>
                  </w:r>
                  <w:r>
                    <w:rPr>
                      <w:rFonts w:ascii="Arial"/>
                      <w:b/>
                      <w:i/>
                      <w:color w:val="F3F4F4"/>
                      <w:w w:val="92"/>
                      <w:sz w:val="28"/>
                    </w:rPr>
                    <w:t>n</w:t>
                  </w:r>
                  <w:r>
                    <w:rPr>
                      <w:rFonts w:ascii="Arial"/>
                      <w:b/>
                      <w:i/>
                      <w:color w:val="F3F4F4"/>
                      <w:sz w:val="28"/>
                    </w:rPr>
                    <w:t xml:space="preserve"> </w:t>
                  </w:r>
                  <w:r>
                    <w:rPr>
                      <w:rFonts w:ascii="Arial"/>
                      <w:b/>
                      <w:i/>
                      <w:color w:val="F3F4F4"/>
                      <w:spacing w:val="12"/>
                      <w:sz w:val="28"/>
                    </w:rPr>
                    <w:t xml:space="preserve"> </w:t>
                  </w:r>
                  <w:r>
                    <w:rPr>
                      <w:rFonts w:ascii="Arial"/>
                      <w:b/>
                      <w:i/>
                      <w:color w:val="F3F4F4"/>
                      <w:w w:val="124"/>
                      <w:sz w:val="28"/>
                    </w:rPr>
                    <w:t>t</w:t>
                  </w:r>
                  <w:r>
                    <w:rPr>
                      <w:rFonts w:ascii="Arial"/>
                      <w:b/>
                      <w:i/>
                      <w:color w:val="F3F4F4"/>
                      <w:sz w:val="28"/>
                    </w:rPr>
                    <w:t xml:space="preserve"> </w:t>
                  </w:r>
                  <w:r>
                    <w:rPr>
                      <w:rFonts w:ascii="Arial"/>
                      <w:b/>
                      <w:i/>
                      <w:color w:val="F3F4F4"/>
                      <w:spacing w:val="12"/>
                      <w:sz w:val="28"/>
                    </w:rPr>
                    <w:t xml:space="preserve"> </w:t>
                  </w:r>
                  <w:r>
                    <w:rPr>
                      <w:rFonts w:ascii="Arial"/>
                      <w:b/>
                      <w:i/>
                      <w:color w:val="F3F4F4"/>
                      <w:w w:val="86"/>
                      <w:sz w:val="28"/>
                    </w:rPr>
                    <w:t>s</w:t>
                  </w:r>
                </w:p>
              </w:txbxContent>
            </v:textbox>
            <w10:wrap anchorx="page"/>
          </v:shape>
        </w:pict>
      </w:r>
      <w:r>
        <w:pict w14:anchorId="5B5D2B11">
          <v:shape id="docshape1247" o:spid="_x0000_s2588" type="#_x0000_t202" style="position:absolute;left:0;text-align:left;margin-left:44.7pt;margin-top:11.55pt;width:42.3pt;height:81.4pt;z-index:-251558400;mso-position-horizontal-relative:page" filled="f" stroked="f">
            <v:textbox style="mso-next-textbox:#docshape1247" inset="0,0,0,0">
              <w:txbxContent>
                <w:p w14:paraId="280B15E9" w14:textId="77777777" w:rsidR="0055291C" w:rsidRDefault="00F23C61">
                  <w:pPr>
                    <w:spacing w:line="1628" w:lineRule="exact"/>
                    <w:rPr>
                      <w:rFonts w:ascii="Arial"/>
                      <w:b/>
                      <w:i/>
                      <w:sz w:val="145"/>
                    </w:rPr>
                  </w:pPr>
                  <w:r>
                    <w:rPr>
                      <w:rFonts w:ascii="Arial"/>
                      <w:b/>
                      <w:i/>
                      <w:color w:val="00ACA1"/>
                      <w:w w:val="95"/>
                      <w:sz w:val="145"/>
                    </w:rPr>
                    <w:t>T</w:t>
                  </w:r>
                </w:p>
              </w:txbxContent>
            </v:textbox>
            <w10:wrap anchorx="page"/>
          </v:shape>
        </w:pict>
      </w:r>
      <w:r w:rsidR="00A01982">
        <w:rPr>
          <w:rFonts w:ascii="ＭＳ ゴシック" w:eastAsia="ＭＳ ゴシック" w:hAnsi="ＭＳ ゴシック" w:cs="ＭＳ ゴシック" w:hint="eastAsia"/>
          <w:b/>
          <w:i/>
          <w:color w:val="00ACA1"/>
          <w:sz w:val="24"/>
          <w:lang w:eastAsia="ja-JP"/>
        </w:rPr>
        <w:t>はじめに</w:t>
      </w:r>
    </w:p>
    <w:p w14:paraId="27903C6A" w14:textId="67777030" w:rsidR="0055291C" w:rsidRDefault="00A01982" w:rsidP="00A01982">
      <w:pPr>
        <w:spacing w:before="1" w:line="364" w:lineRule="auto"/>
        <w:ind w:left="1133" w:right="1132" w:firstLineChars="100" w:firstLine="220"/>
        <w:jc w:val="both"/>
        <w:rPr>
          <w:rFonts w:ascii="Arial"/>
          <w:b/>
          <w:i/>
          <w:sz w:val="24"/>
          <w:lang w:eastAsia="ja-JP"/>
        </w:rPr>
      </w:pPr>
      <w:r>
        <w:rPr>
          <w:rFonts w:ascii="ＭＳ ゴシック" w:eastAsia="ＭＳ ゴシック" w:hAnsi="ＭＳ ゴシック" w:cs="ＭＳ ゴシック" w:hint="eastAsia"/>
          <w:lang w:eastAsia="ja-JP"/>
        </w:rPr>
        <w:t>不確実性評価という用語は、製品GHG排出量の不確実性を定量化または定性化する体系的な手順を指します。不確実性を理解することは、算出の結果を適切に解釈し、発生源を特定し文書化するために極めて重要です。不確実性は、企業が報告書の品質を改善し、算出結果に対するユーザーの信頼度を高めるために必要なステップを理解するのに役立ちます。GHG排出量報告書の利用者は多様であるため、企業は算出結果の信頼性のレベルと不確実性の主要因を伝えるために、徹底的かつ実際的な努力を行うべきです。</w:t>
      </w:r>
    </w:p>
    <w:p w14:paraId="636A831A" w14:textId="77777777" w:rsidR="0055291C" w:rsidRDefault="0055291C">
      <w:pPr>
        <w:pStyle w:val="a3"/>
        <w:rPr>
          <w:rFonts w:ascii="Arial"/>
          <w:b/>
          <w:i/>
          <w:sz w:val="20"/>
          <w:lang w:eastAsia="ja-JP"/>
        </w:rPr>
      </w:pPr>
    </w:p>
    <w:p w14:paraId="0834590F" w14:textId="77777777" w:rsidR="0055291C" w:rsidRDefault="0055291C">
      <w:pPr>
        <w:pStyle w:val="a3"/>
        <w:spacing w:before="4"/>
        <w:rPr>
          <w:rFonts w:ascii="Arial"/>
          <w:b/>
          <w:i/>
          <w:sz w:val="20"/>
          <w:lang w:eastAsia="ja-JP"/>
        </w:rPr>
      </w:pPr>
    </w:p>
    <w:p w14:paraId="5B495B68" w14:textId="77777777" w:rsidR="0055291C" w:rsidRDefault="0055291C">
      <w:pPr>
        <w:rPr>
          <w:rFonts w:ascii="Arial"/>
          <w:sz w:val="20"/>
          <w:lang w:eastAsia="ja-JP"/>
        </w:rPr>
        <w:sectPr w:rsidR="0055291C">
          <w:headerReference w:type="default" r:id="rId253"/>
          <w:footerReference w:type="even" r:id="rId254"/>
          <w:footerReference w:type="default" r:id="rId255"/>
          <w:pgSz w:w="12240" w:h="15840"/>
          <w:pgMar w:top="0" w:right="0" w:bottom="1040" w:left="0" w:header="0" w:footer="859" w:gutter="0"/>
          <w:pgNumType w:start="79"/>
          <w:cols w:space="720"/>
        </w:sectPr>
      </w:pPr>
    </w:p>
    <w:p w14:paraId="28447F26" w14:textId="3E53C19F" w:rsidR="0055291C" w:rsidRDefault="003A35CA" w:rsidP="00A01982">
      <w:pPr>
        <w:pStyle w:val="a3"/>
        <w:spacing w:before="149" w:line="312" w:lineRule="auto"/>
        <w:ind w:left="1133" w:firstLineChars="100" w:firstLine="190"/>
        <w:rPr>
          <w:lang w:eastAsia="ja-JP"/>
        </w:rPr>
      </w:pPr>
      <w:r>
        <w:rPr>
          <w:noProof/>
          <w:color w:val="00ACA1"/>
          <w:spacing w:val="-10"/>
        </w:rPr>
        <mc:AlternateContent>
          <mc:Choice Requires="wps">
            <w:drawing>
              <wp:anchor distT="0" distB="0" distL="114300" distR="114300" simplePos="0" relativeHeight="251495936" behindDoc="0" locked="0" layoutInCell="1" allowOverlap="1" wp14:anchorId="53CFBE87" wp14:editId="353E116C">
                <wp:simplePos x="0" y="0"/>
                <wp:positionH relativeFrom="column">
                  <wp:posOffset>3987800</wp:posOffset>
                </wp:positionH>
                <wp:positionV relativeFrom="paragraph">
                  <wp:posOffset>481330</wp:posOffset>
                </wp:positionV>
                <wp:extent cx="2590800" cy="1530350"/>
                <wp:effectExtent l="0" t="0" r="0" b="0"/>
                <wp:wrapNone/>
                <wp:docPr id="104" name="四角形: 角を丸くする 104"/>
                <wp:cNvGraphicFramePr/>
                <a:graphic xmlns:a="http://schemas.openxmlformats.org/drawingml/2006/main">
                  <a:graphicData uri="http://schemas.microsoft.com/office/word/2010/wordprocessingShape">
                    <wps:wsp>
                      <wps:cNvSpPr/>
                      <wps:spPr>
                        <a:xfrm>
                          <a:off x="0" y="0"/>
                          <a:ext cx="2590800" cy="1530350"/>
                        </a:xfrm>
                        <a:prstGeom prst="roundRect">
                          <a:avLst>
                            <a:gd name="adj" fmla="val 5033"/>
                          </a:avLst>
                        </a:prstGeom>
                        <a:solidFill>
                          <a:srgbClr val="70029C">
                            <a:alpha val="24706"/>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B8D666" w14:textId="7686B8A0" w:rsidR="00C15F40" w:rsidRPr="003A35CA" w:rsidRDefault="00C15F40" w:rsidP="003A35CA">
                            <w:pPr>
                              <w:rPr>
                                <w:rFonts w:ascii="ＭＳ ゴシック" w:eastAsia="ＭＳ ゴシック" w:hAnsi="ＭＳ ゴシック"/>
                                <w:b/>
                                <w:bCs/>
                                <w:i/>
                                <w:iCs/>
                                <w:color w:val="000000" w:themeColor="text1"/>
                                <w:sz w:val="19"/>
                                <w:szCs w:val="19"/>
                                <w:lang w:eastAsia="ja-JP"/>
                              </w:rPr>
                            </w:pPr>
                            <w:r w:rsidRPr="003A35CA">
                              <w:rPr>
                                <w:rFonts w:ascii="ＭＳ ゴシック" w:eastAsia="ＭＳ ゴシック" w:hAnsi="ＭＳ ゴシック" w:cs="ＭＳ ゴシック" w:hint="eastAsia"/>
                                <w:b/>
                                <w:bCs/>
                                <w:i/>
                                <w:iCs/>
                                <w:color w:val="000000" w:themeColor="text1"/>
                                <w:sz w:val="19"/>
                                <w:szCs w:val="19"/>
                                <w:lang w:eastAsia="ja-JP"/>
                              </w:rPr>
                              <w:t>会社は、排出量の不確実性と方法の選択に関して定性的な情報を記述しなければならない。方法の選択には以下のものがある。</w:t>
                            </w:r>
                          </w:p>
                          <w:p w14:paraId="2965D3C1" w14:textId="4CD1361E" w:rsidR="003A35CA" w:rsidRPr="003A35CA" w:rsidRDefault="003A35CA">
                            <w:pPr>
                              <w:pStyle w:val="a5"/>
                              <w:numPr>
                                <w:ilvl w:val="0"/>
                                <w:numId w:val="83"/>
                              </w:numPr>
                              <w:rPr>
                                <w:rFonts w:ascii="ＭＳ ゴシック" w:eastAsia="ＭＳ ゴシック" w:hAnsi="ＭＳ ゴシック"/>
                                <w:b/>
                                <w:bCs/>
                                <w:i/>
                                <w:iCs/>
                                <w:color w:val="000000" w:themeColor="text1"/>
                                <w:sz w:val="19"/>
                                <w:szCs w:val="19"/>
                                <w:lang w:eastAsia="ja-JP"/>
                              </w:rPr>
                            </w:pPr>
                            <w:r w:rsidRPr="003A35CA">
                              <w:rPr>
                                <w:rFonts w:ascii="ＭＳ ゴシック" w:eastAsia="ＭＳ ゴシック" w:hAnsi="ＭＳ ゴシック" w:hint="eastAsia"/>
                                <w:b/>
                                <w:bCs/>
                                <w:i/>
                                <w:iCs/>
                                <w:color w:val="000000" w:themeColor="text1"/>
                                <w:sz w:val="19"/>
                                <w:szCs w:val="19"/>
                                <w:lang w:eastAsia="ja-JP"/>
                              </w:rPr>
                              <w:t>使用及び使用済み製品のプロファイル</w:t>
                            </w:r>
                          </w:p>
                          <w:p w14:paraId="11160BF2" w14:textId="323FD285" w:rsidR="003A35CA" w:rsidRPr="003A35CA" w:rsidRDefault="003A35CA">
                            <w:pPr>
                              <w:pStyle w:val="a5"/>
                              <w:numPr>
                                <w:ilvl w:val="0"/>
                                <w:numId w:val="83"/>
                              </w:numPr>
                              <w:rPr>
                                <w:rFonts w:ascii="ＭＳ ゴシック" w:eastAsia="ＭＳ ゴシック" w:hAnsi="ＭＳ ゴシック"/>
                                <w:b/>
                                <w:bCs/>
                                <w:i/>
                                <w:iCs/>
                                <w:color w:val="000000" w:themeColor="text1"/>
                                <w:sz w:val="19"/>
                                <w:szCs w:val="19"/>
                                <w:lang w:eastAsia="ja-JP"/>
                              </w:rPr>
                            </w:pPr>
                            <w:r w:rsidRPr="003A35CA">
                              <w:rPr>
                                <w:rFonts w:ascii="ＭＳ ゴシック" w:eastAsia="ＭＳ ゴシック" w:hAnsi="ＭＳ ゴシック" w:hint="eastAsia"/>
                                <w:b/>
                                <w:bCs/>
                                <w:i/>
                                <w:iCs/>
                                <w:color w:val="000000" w:themeColor="text1"/>
                                <w:sz w:val="19"/>
                                <w:szCs w:val="19"/>
                                <w:lang w:eastAsia="ja-JP"/>
                              </w:rPr>
                              <w:t>リサイクルによる配分を含む配分方法</w:t>
                            </w:r>
                          </w:p>
                          <w:p w14:paraId="557C0ABD" w14:textId="696464AC" w:rsidR="003A35CA" w:rsidRPr="003A35CA" w:rsidRDefault="003A35CA">
                            <w:pPr>
                              <w:pStyle w:val="a5"/>
                              <w:numPr>
                                <w:ilvl w:val="0"/>
                                <w:numId w:val="83"/>
                              </w:numPr>
                              <w:rPr>
                                <w:rFonts w:ascii="ＭＳ ゴシック" w:eastAsia="ＭＳ ゴシック" w:hAnsi="ＭＳ ゴシック"/>
                                <w:b/>
                                <w:bCs/>
                                <w:i/>
                                <w:iCs/>
                                <w:color w:val="000000" w:themeColor="text1"/>
                                <w:sz w:val="19"/>
                                <w:szCs w:val="19"/>
                                <w:lang w:eastAsia="ja-JP"/>
                              </w:rPr>
                            </w:pPr>
                            <w:r w:rsidRPr="003A35CA">
                              <w:rPr>
                                <w:rFonts w:ascii="ＭＳ ゴシック" w:eastAsia="ＭＳ ゴシック" w:hAnsi="ＭＳ ゴシック" w:hint="eastAsia"/>
                                <w:b/>
                                <w:bCs/>
                                <w:i/>
                                <w:iCs/>
                                <w:color w:val="000000" w:themeColor="text1"/>
                                <w:sz w:val="19"/>
                                <w:szCs w:val="19"/>
                                <w:lang w:eastAsia="ja-JP"/>
                              </w:rPr>
                              <w:t>使用した地球温暖化係数（GAP）値の出所</w:t>
                            </w:r>
                          </w:p>
                          <w:p w14:paraId="4B771AE0" w14:textId="1BA07C43" w:rsidR="003A35CA" w:rsidRPr="003A35CA" w:rsidRDefault="003A35CA">
                            <w:pPr>
                              <w:pStyle w:val="a5"/>
                              <w:numPr>
                                <w:ilvl w:val="0"/>
                                <w:numId w:val="83"/>
                              </w:numPr>
                              <w:rPr>
                                <w:rFonts w:ascii="ＭＳ ゴシック" w:eastAsia="ＭＳ ゴシック" w:hAnsi="ＭＳ ゴシック"/>
                                <w:b/>
                                <w:bCs/>
                                <w:i/>
                                <w:iCs/>
                                <w:color w:val="000000" w:themeColor="text1"/>
                                <w:sz w:val="19"/>
                                <w:szCs w:val="19"/>
                                <w:lang w:eastAsia="ja-JP"/>
                              </w:rPr>
                            </w:pPr>
                            <w:r w:rsidRPr="003A35CA">
                              <w:rPr>
                                <w:rFonts w:ascii="ＭＳ ゴシック" w:eastAsia="ＭＳ ゴシック" w:hAnsi="ＭＳ ゴシック" w:hint="eastAsia"/>
                                <w:b/>
                                <w:bCs/>
                                <w:i/>
                                <w:iCs/>
                                <w:color w:val="000000" w:themeColor="text1"/>
                                <w:sz w:val="19"/>
                                <w:szCs w:val="19"/>
                                <w:lang w:eastAsia="ja-JP"/>
                              </w:rPr>
                              <w:t>計算モデル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CFBE87" id="四角形: 角を丸くする 104" o:spid="_x0000_s1128" style="position:absolute;left:0;text-align:left;margin-left:314pt;margin-top:37.9pt;width:204pt;height:120.5pt;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" fillcolor="#70029c" stroked="f" strokeweight="2pt">
                <v:fill opacity="16191f"/>
                <v:textbox>
                  <w:txbxContent>
                    <w:p w14:paraId="36B8D666" w14:textId="7686B8A0" w:rsidR="00C15F40" w:rsidRPr="003A35CA" w:rsidRDefault="00C15F40" w:rsidP="003A35CA">
                      <w:pPr>
                        <w:rPr>
                          <w:rFonts w:ascii="ＭＳ ゴシック" w:eastAsia="ＭＳ ゴシック" w:hAnsi="ＭＳ ゴシック"/>
                          <w:b/>
                          <w:bCs/>
                          <w:i/>
                          <w:iCs/>
                          <w:color w:val="000000" w:themeColor="text1"/>
                          <w:sz w:val="19"/>
                          <w:szCs w:val="19"/>
                          <w:lang w:eastAsia="ja-JP"/>
                        </w:rPr>
                      </w:pPr>
                      <w:r w:rsidRPr="003A35CA">
                        <w:rPr>
                          <w:rFonts w:ascii="ＭＳ ゴシック" w:eastAsia="ＭＳ ゴシック" w:hAnsi="ＭＳ ゴシック" w:cs="ＭＳ ゴシック" w:hint="eastAsia"/>
                          <w:b/>
                          <w:bCs/>
                          <w:i/>
                          <w:iCs/>
                          <w:color w:val="000000" w:themeColor="text1"/>
                          <w:sz w:val="19"/>
                          <w:szCs w:val="19"/>
                          <w:lang w:eastAsia="ja-JP"/>
                        </w:rPr>
                        <w:t>会社は、排出量の不確実性と方法の選択に関して定性的な情報を記述しなければならない。方法の選択には以下のものがある。</w:t>
                      </w:r>
                    </w:p>
                    <w:p w14:paraId="2965D3C1" w14:textId="4CD1361E" w:rsidR="003A35CA" w:rsidRPr="003A35CA" w:rsidRDefault="003A35CA">
                      <w:pPr>
                        <w:pStyle w:val="a5"/>
                        <w:numPr>
                          <w:ilvl w:val="0"/>
                          <w:numId w:val="83"/>
                        </w:numPr>
                        <w:rPr>
                          <w:rFonts w:ascii="ＭＳ ゴシック" w:eastAsia="ＭＳ ゴシック" w:hAnsi="ＭＳ ゴシック"/>
                          <w:b/>
                          <w:bCs/>
                          <w:i/>
                          <w:iCs/>
                          <w:color w:val="000000" w:themeColor="text1"/>
                          <w:sz w:val="19"/>
                          <w:szCs w:val="19"/>
                          <w:lang w:eastAsia="ja-JP"/>
                        </w:rPr>
                      </w:pPr>
                      <w:r w:rsidRPr="003A35CA">
                        <w:rPr>
                          <w:rFonts w:ascii="ＭＳ ゴシック" w:eastAsia="ＭＳ ゴシック" w:hAnsi="ＭＳ ゴシック" w:hint="eastAsia"/>
                          <w:b/>
                          <w:bCs/>
                          <w:i/>
                          <w:iCs/>
                          <w:color w:val="000000" w:themeColor="text1"/>
                          <w:sz w:val="19"/>
                          <w:szCs w:val="19"/>
                          <w:lang w:eastAsia="ja-JP"/>
                        </w:rPr>
                        <w:t>使用及び使用済み製品のプロファイル</w:t>
                      </w:r>
                    </w:p>
                    <w:p w14:paraId="11160BF2" w14:textId="323FD285" w:rsidR="003A35CA" w:rsidRPr="003A35CA" w:rsidRDefault="003A35CA">
                      <w:pPr>
                        <w:pStyle w:val="a5"/>
                        <w:numPr>
                          <w:ilvl w:val="0"/>
                          <w:numId w:val="83"/>
                        </w:numPr>
                        <w:rPr>
                          <w:rFonts w:ascii="ＭＳ ゴシック" w:eastAsia="ＭＳ ゴシック" w:hAnsi="ＭＳ ゴシック"/>
                          <w:b/>
                          <w:bCs/>
                          <w:i/>
                          <w:iCs/>
                          <w:color w:val="000000" w:themeColor="text1"/>
                          <w:sz w:val="19"/>
                          <w:szCs w:val="19"/>
                          <w:lang w:eastAsia="ja-JP"/>
                        </w:rPr>
                      </w:pPr>
                      <w:r w:rsidRPr="003A35CA">
                        <w:rPr>
                          <w:rFonts w:ascii="ＭＳ ゴシック" w:eastAsia="ＭＳ ゴシック" w:hAnsi="ＭＳ ゴシック" w:hint="eastAsia"/>
                          <w:b/>
                          <w:bCs/>
                          <w:i/>
                          <w:iCs/>
                          <w:color w:val="000000" w:themeColor="text1"/>
                          <w:sz w:val="19"/>
                          <w:szCs w:val="19"/>
                          <w:lang w:eastAsia="ja-JP"/>
                        </w:rPr>
                        <w:t>リサイクルによる配分を含む配分方法</w:t>
                      </w:r>
                    </w:p>
                    <w:p w14:paraId="557C0ABD" w14:textId="696464AC" w:rsidR="003A35CA" w:rsidRPr="003A35CA" w:rsidRDefault="003A35CA">
                      <w:pPr>
                        <w:pStyle w:val="a5"/>
                        <w:numPr>
                          <w:ilvl w:val="0"/>
                          <w:numId w:val="83"/>
                        </w:numPr>
                        <w:rPr>
                          <w:rFonts w:ascii="ＭＳ ゴシック" w:eastAsia="ＭＳ ゴシック" w:hAnsi="ＭＳ ゴシック"/>
                          <w:b/>
                          <w:bCs/>
                          <w:i/>
                          <w:iCs/>
                          <w:color w:val="000000" w:themeColor="text1"/>
                          <w:sz w:val="19"/>
                          <w:szCs w:val="19"/>
                          <w:lang w:eastAsia="ja-JP"/>
                        </w:rPr>
                      </w:pPr>
                      <w:r w:rsidRPr="003A35CA">
                        <w:rPr>
                          <w:rFonts w:ascii="ＭＳ ゴシック" w:eastAsia="ＭＳ ゴシック" w:hAnsi="ＭＳ ゴシック" w:hint="eastAsia"/>
                          <w:b/>
                          <w:bCs/>
                          <w:i/>
                          <w:iCs/>
                          <w:color w:val="000000" w:themeColor="text1"/>
                          <w:sz w:val="19"/>
                          <w:szCs w:val="19"/>
                          <w:lang w:eastAsia="ja-JP"/>
                        </w:rPr>
                        <w:t>使用した地球温暖化係数（GAP）値の出所</w:t>
                      </w:r>
                    </w:p>
                    <w:p w14:paraId="4B771AE0" w14:textId="1BA07C43" w:rsidR="003A35CA" w:rsidRPr="003A35CA" w:rsidRDefault="003A35CA">
                      <w:pPr>
                        <w:pStyle w:val="a5"/>
                        <w:numPr>
                          <w:ilvl w:val="0"/>
                          <w:numId w:val="83"/>
                        </w:numPr>
                        <w:rPr>
                          <w:rFonts w:ascii="ＭＳ ゴシック" w:eastAsia="ＭＳ ゴシック" w:hAnsi="ＭＳ ゴシック"/>
                          <w:b/>
                          <w:bCs/>
                          <w:i/>
                          <w:iCs/>
                          <w:color w:val="000000" w:themeColor="text1"/>
                          <w:sz w:val="19"/>
                          <w:szCs w:val="19"/>
                          <w:lang w:eastAsia="ja-JP"/>
                        </w:rPr>
                      </w:pPr>
                      <w:r w:rsidRPr="003A35CA">
                        <w:rPr>
                          <w:rFonts w:ascii="ＭＳ ゴシック" w:eastAsia="ＭＳ ゴシック" w:hAnsi="ＭＳ ゴシック" w:hint="eastAsia"/>
                          <w:b/>
                          <w:bCs/>
                          <w:i/>
                          <w:iCs/>
                          <w:color w:val="000000" w:themeColor="text1"/>
                          <w:sz w:val="19"/>
                          <w:szCs w:val="19"/>
                          <w:lang w:eastAsia="ja-JP"/>
                        </w:rPr>
                        <w:t>計算モデル</w:t>
                      </w:r>
                    </w:p>
                  </w:txbxContent>
                </v:textbox>
              </v:roundrect>
            </w:pict>
          </mc:Fallback>
        </mc:AlternateContent>
      </w:r>
      <w:r w:rsidR="00A01982">
        <w:rPr>
          <w:rFonts w:ascii="ＭＳ ゴシック" w:eastAsia="ＭＳ ゴシック" w:hAnsi="ＭＳ ゴシック" w:cs="ＭＳ ゴシック" w:hint="eastAsia"/>
          <w:lang w:eastAsia="ja-JP"/>
        </w:rPr>
        <w:t>本章では、企業が報告書の不確実性に関する定性的情報を特定、評価、報告するのに役立つ要件とガイダンスを提供します。不確実性を評価する定量的アプローチと不確実性計算ツールの詳細については、</w:t>
      </w:r>
      <w:r w:rsidR="00A01982">
        <w:rPr>
          <w:lang w:eastAsia="ja-JP"/>
        </w:rPr>
        <w:t xml:space="preserve">(www.ghgprotocol.org) </w:t>
      </w:r>
      <w:r w:rsidR="00A01982">
        <w:rPr>
          <w:rFonts w:ascii="ＭＳ ゴシック" w:eastAsia="ＭＳ ゴシック" w:hAnsi="ＭＳ ゴシック" w:cs="ＭＳ ゴシック" w:hint="eastAsia"/>
          <w:lang w:eastAsia="ja-JP"/>
        </w:rPr>
        <w:t>で入手可能で</w:t>
      </w:r>
      <w:r w:rsidR="00C15F40">
        <w:rPr>
          <w:rFonts w:ascii="ＭＳ ゴシック" w:eastAsia="ＭＳ ゴシック" w:hAnsi="ＭＳ ゴシック" w:cs="ＭＳ ゴシック" w:hint="eastAsia"/>
          <w:lang w:eastAsia="ja-JP"/>
        </w:rPr>
        <w:t>す</w:t>
      </w:r>
      <w:r w:rsidR="00A01982">
        <w:rPr>
          <w:rFonts w:ascii="ＭＳ ゴシック" w:eastAsia="ＭＳ ゴシック" w:hAnsi="ＭＳ ゴシック" w:cs="ＭＳ ゴシック" w:hint="eastAsia"/>
          <w:lang w:eastAsia="ja-JP"/>
        </w:rPr>
        <w:t>。本章は、最先端の科学と実践を維持しながら、</w:t>
      </w:r>
      <w:r w:rsidR="00A01982">
        <w:rPr>
          <w:lang w:eastAsia="ja-JP"/>
        </w:rPr>
        <w:t xml:space="preserve"> </w:t>
      </w:r>
      <w:r w:rsidR="00A01982">
        <w:rPr>
          <w:rFonts w:ascii="ＭＳ ゴシック" w:eastAsia="ＭＳ ゴシック" w:hAnsi="ＭＳ ゴシック" w:cs="ＭＳ ゴシック" w:hint="eastAsia"/>
          <w:lang w:eastAsia="ja-JP"/>
        </w:rPr>
        <w:t>不確実性に関する様々な専門知識を持つ企業にとって、実用性と実現可能性を優先させることを意図してい</w:t>
      </w:r>
      <w:r w:rsidR="00C15F40">
        <w:rPr>
          <w:rFonts w:ascii="ＭＳ ゴシック" w:eastAsia="ＭＳ ゴシック" w:hAnsi="ＭＳ ゴシック" w:cs="ＭＳ ゴシック" w:hint="eastAsia"/>
          <w:lang w:eastAsia="ja-JP"/>
        </w:rPr>
        <w:t>ます</w:t>
      </w:r>
      <w:r w:rsidR="00A01982">
        <w:rPr>
          <w:rFonts w:ascii="ＭＳ ゴシック" w:eastAsia="ＭＳ ゴシック" w:hAnsi="ＭＳ ゴシック" w:cs="ＭＳ ゴシック" w:hint="eastAsia"/>
          <w:lang w:eastAsia="ja-JP"/>
        </w:rPr>
        <w:t>。</w:t>
      </w:r>
    </w:p>
    <w:p w14:paraId="66CE8A87" w14:textId="0631C4B3" w:rsidR="0055291C" w:rsidRDefault="00F23C61">
      <w:pPr>
        <w:pStyle w:val="3"/>
        <w:numPr>
          <w:ilvl w:val="2"/>
          <w:numId w:val="40"/>
        </w:numPr>
        <w:tabs>
          <w:tab w:val="left" w:pos="1144"/>
          <w:tab w:val="left" w:pos="1145"/>
        </w:tabs>
        <w:ind w:left="1144" w:hanging="721"/>
        <w:jc w:val="left"/>
      </w:pPr>
      <w:r>
        <w:rPr>
          <w:color w:val="00ACA1"/>
          <w:spacing w:val="-10"/>
          <w:w w:val="90"/>
          <w:lang w:eastAsia="ja-JP"/>
        </w:rPr>
        <w:br w:type="column"/>
      </w:r>
      <w:r w:rsidR="00C15F40">
        <w:rPr>
          <w:rFonts w:ascii="ＭＳ 明朝" w:eastAsia="ＭＳ 明朝" w:hAnsi="ＭＳ 明朝" w:cs="ＭＳ 明朝" w:hint="eastAsia"/>
          <w:color w:val="00ACA1"/>
          <w:lang w:eastAsia="ja-JP"/>
        </w:rPr>
        <w:t>要求事項</w:t>
      </w:r>
    </w:p>
    <w:p w14:paraId="1CA53FF3" w14:textId="77777777" w:rsidR="0055291C" w:rsidRDefault="0055291C">
      <w:pPr>
        <w:sectPr w:rsidR="0055291C">
          <w:type w:val="continuous"/>
          <w:pgSz w:w="12240" w:h="15840"/>
          <w:pgMar w:top="740" w:right="0" w:bottom="280" w:left="0" w:header="0" w:footer="859" w:gutter="0"/>
          <w:cols w:num="2" w:space="720" w:equalWidth="0">
            <w:col w:w="5797" w:space="40"/>
            <w:col w:w="6403"/>
          </w:cols>
        </w:sectPr>
      </w:pPr>
    </w:p>
    <w:p w14:paraId="7CC5D700" w14:textId="77777777" w:rsidR="0055291C" w:rsidRDefault="0055291C">
      <w:pPr>
        <w:pStyle w:val="a3"/>
        <w:rPr>
          <w:rFonts w:ascii="Arial"/>
          <w:b/>
          <w:i/>
          <w:sz w:val="20"/>
        </w:rPr>
      </w:pPr>
    </w:p>
    <w:p w14:paraId="4CD627A4" w14:textId="77777777" w:rsidR="0055291C" w:rsidRDefault="0055291C">
      <w:pPr>
        <w:pStyle w:val="a3"/>
        <w:spacing w:before="8"/>
        <w:rPr>
          <w:rFonts w:ascii="Arial"/>
          <w:b/>
          <w:i/>
          <w:sz w:val="29"/>
        </w:rPr>
      </w:pPr>
    </w:p>
    <w:p w14:paraId="4EBB962B" w14:textId="411A2AB8" w:rsidR="0055291C" w:rsidRDefault="002E296D" w:rsidP="002E296D">
      <w:pPr>
        <w:pStyle w:val="a3"/>
        <w:spacing w:before="103"/>
        <w:ind w:left="6261" w:rightChars="860" w:right="1892"/>
        <w:rPr>
          <w:lang w:eastAsia="ja-JP"/>
        </w:rPr>
      </w:pPr>
      <w:r>
        <w:rPr>
          <w:rFonts w:ascii="ＭＳ ゴシック" w:eastAsia="ＭＳ ゴシック" w:hAnsi="ＭＳ ゴシック" w:cs="ＭＳ ゴシック" w:hint="eastAsia"/>
          <w:lang w:eastAsia="ja-JP"/>
        </w:rPr>
        <w:t>これらの選択に関する報告のガイダンスについては、表</w:t>
      </w:r>
      <w:r>
        <w:rPr>
          <w:lang w:eastAsia="ja-JP"/>
        </w:rPr>
        <w:t>10.2</w:t>
      </w:r>
      <w:r>
        <w:rPr>
          <w:rFonts w:ascii="ＭＳ ゴシック" w:eastAsia="ＭＳ ゴシック" w:hAnsi="ＭＳ ゴシック" w:cs="ＭＳ ゴシック" w:hint="eastAsia"/>
          <w:lang w:eastAsia="ja-JP"/>
        </w:rPr>
        <w:t>を参照してください</w:t>
      </w:r>
      <w:r w:rsidR="00CF34C2">
        <w:rPr>
          <w:rFonts w:ascii="ＭＳ ゴシック" w:eastAsia="ＭＳ ゴシック" w:hAnsi="ＭＳ ゴシック" w:cs="ＭＳ ゴシック" w:hint="eastAsia"/>
          <w:lang w:eastAsia="ja-JP"/>
        </w:rPr>
        <w:t>。</w:t>
      </w:r>
    </w:p>
    <w:p w14:paraId="0D7CD66D" w14:textId="77777777" w:rsidR="0055291C" w:rsidRDefault="0055291C">
      <w:pPr>
        <w:rPr>
          <w:lang w:eastAsia="ja-JP"/>
        </w:rPr>
        <w:sectPr w:rsidR="0055291C">
          <w:type w:val="continuous"/>
          <w:pgSz w:w="12240" w:h="15840"/>
          <w:pgMar w:top="740" w:right="0" w:bottom="280" w:left="0" w:header="0" w:footer="859" w:gutter="0"/>
          <w:cols w:space="720"/>
        </w:sectPr>
      </w:pPr>
    </w:p>
    <w:p w14:paraId="65D58DFB" w14:textId="77777777" w:rsidR="0055291C" w:rsidRPr="002E296D" w:rsidRDefault="0055291C">
      <w:pPr>
        <w:pStyle w:val="a3"/>
        <w:rPr>
          <w:rFonts w:eastAsiaTheme="minorEastAsia"/>
          <w:sz w:val="20"/>
          <w:lang w:eastAsia="ja-JP"/>
        </w:rPr>
      </w:pPr>
    </w:p>
    <w:p w14:paraId="4CB4CCDF" w14:textId="77777777" w:rsidR="0055291C" w:rsidRDefault="0055291C">
      <w:pPr>
        <w:pStyle w:val="a3"/>
        <w:rPr>
          <w:sz w:val="20"/>
          <w:lang w:eastAsia="ja-JP"/>
        </w:rPr>
      </w:pPr>
    </w:p>
    <w:p w14:paraId="4F24560F" w14:textId="77777777" w:rsidR="0055291C" w:rsidRDefault="0055291C">
      <w:pPr>
        <w:pStyle w:val="a3"/>
        <w:spacing w:before="7"/>
        <w:rPr>
          <w:sz w:val="21"/>
          <w:lang w:eastAsia="ja-JP"/>
        </w:rPr>
      </w:pPr>
    </w:p>
    <w:p w14:paraId="40066F7E" w14:textId="0C75CEEE" w:rsidR="0055291C" w:rsidRDefault="00000000">
      <w:pPr>
        <w:spacing w:before="1"/>
        <w:ind w:left="1122"/>
        <w:rPr>
          <w:rFonts w:ascii="Arial"/>
          <w:b/>
          <w:sz w:val="20"/>
          <w:lang w:eastAsia="ja-JP"/>
        </w:rPr>
      </w:pPr>
      <w:r>
        <w:pict w14:anchorId="547567B1">
          <v:group id="docshapegroup1253" o:spid="_x0000_s2566" style="position:absolute;left:0;text-align:left;margin-left:56.7pt;margin-top:29.2pt;width:498.6pt;height:162.15pt;z-index:-251557376;mso-position-horizontal-relative:page" coordorigin="1134,584" coordsize="9972,3243">
            <v:shape id="docshape1254" o:spid="_x0000_s2584" style="position:absolute;left:7489;top:583;width:3616;height:2840" coordorigin="7489,584" coordsize="3616,2840" path="m9399,584r-100,22l9226,685r-25,61l9186,819r-5,85l9182,1331r-1483,4l7632,1348r-57,34l7529,1434r-29,65l7489,1574r3,859l7502,2507r30,64l7577,2622r56,35l7699,2670r697,-1l9186,2667r2,429l9193,3182r16,73l9235,3316r75,82l9412,3423r59,-10l9535,3387r66,-42l10934,2355r56,-49l11036,2253r34,-56l11093,2137r11,-61l11105,2015r-10,-62l11073,1893r-33,-57l10996,1781r-55,-50l9585,667r-66,-44l9457,595r-58,-11xe" fillcolor="#c7c9cb" stroked="f">
              <v:path arrowok="t"/>
            </v:shape>
            <v:shape id="docshape1255" o:spid="_x0000_s2583" style="position:absolute;left:5952;top:2951;width:5143;height:875" coordorigin="5952,2951" coordsize="5143,875" o:spt="100" adj="0,,0" path="m8213,3178r-4,-131l8185,2980r-68,-25l7986,2951r-1807,l6048,2955r-67,25l5956,3047r-4,131l5952,3599r4,131l5981,3797r67,25l6179,3826r1807,l8117,3822r68,-25l8209,3730r4,-131l8213,3178xm11095,3178r-4,-131l11066,2980r-67,-25l10868,2951r-1807,l8930,2955r-67,25l8838,3047r-4,131l8834,3599r4,131l8863,3797r67,25l9061,3826r1807,l10999,3822r67,-25l11091,3730r4,-131l11095,3178xe" fillcolor="#7f3f98" stroked="f">
              <v:stroke joinstyle="round"/>
              <v:formulas/>
              <v:path arrowok="t" o:connecttype="segments"/>
            </v:shape>
            <v:shape id="docshape1256" o:spid="_x0000_s2582" style="position:absolute;left:8307;top:3238;width:432;height:301" coordorigin="8308,3238" coordsize="432,301" path="m8539,3238r-15,2l8513,3252r-3,20l8510,3317r-191,1l8308,3329r,119l8319,3459r14,l8510,3459r1,46l8514,3525r11,12l8541,3539r19,-8l8719,3426r15,-15l8739,3393r-4,-18l8720,3360,8558,3247r-19,-9xe" fillcolor="#85878a" stroked="f">
              <v:path arrowok="t"/>
            </v:shape>
            <v:shape id="docshape1257" o:spid="_x0000_s2581" style="position:absolute;left:1133;top:1327;width:8241;height:1341" coordorigin="1134,1327" coordsize="8241,1341" path="m9147,1327r-7786,l1230,1331r-68,25l1137,1423r-3,131l1134,2441r3,131l1162,2640r68,24l1361,2668r7786,l9279,2664r67,-24l9371,2572r3,-131l9374,1554r-3,-131l9346,1356r-67,-25l9147,1327xe" fillcolor="#c7c9cb" stroked="f">
              <v:path arrowok="t"/>
            </v:shape>
            <v:shape id="docshape1258" o:spid="_x0000_s2580" style="position:absolute;left:2678;top:980;width:5217;height:571" coordorigin="2678,980" coordsize="5217,571" o:spt="100" adj="0,,0" path="m6660,1328r-9,-18l6542,1153r-15,-14l6510,1134r-17,5l6478,1154r-101,154l6369,1326r2,15l6382,1352r20,4l6446,1356r,171l6446,1540r11,11l6572,1551r11,-11l6583,1356r44,l6647,1353r11,-10l6660,1328xm7895,1204r-2,-15l7882,1179r-20,-4l7818,1176r,-185l7807,980r-39,1l7766,980r-2343,l5423,980r-24,l4163,980r,l4139,980r-1258,l2881,980r-24,l2803,980r-8,1l2766,981r-10,10l2755,1005r1,171l2712,1176r-20,4l2681,1190r-3,15l2686,1224r102,153l2802,1392r17,5l2836,1393r16,-15l2961,1222r8,-18l2967,1189r-11,-10l2936,1175r-43,1l2892,1118r1146,l4038,1176r-44,l3974,1180r-11,10l3960,1205r8,19l4070,1377r14,15l4101,1397r18,-4l4134,1378r109,-156l4251,1204r-2,-15l4238,1179r-19,-4l4175,1176r,-58l5298,1118r,58l5254,1176r-20,4l5223,1190r-3,15l5228,1224r102,153l5344,1392r17,5l5379,1393r15,-15l5503,1222r8,-18l5509,1189r-11,-10l5479,1175r-44,1l5435,1118r2246,l7681,1176r-44,l7618,1180r-12,10l7604,1205r8,19l7713,1377r15,15l7745,1397r17,-4l7777,1378r110,-156l7895,1204xe" fillcolor="#85878a" stroked="f">
              <v:stroke joinstyle="round"/>
              <v:formulas/>
              <v:path arrowok="t" o:connecttype="segments"/>
            </v:shape>
            <v:shape id="docshape1259" o:spid="_x0000_s2579" type="#_x0000_t75" style="position:absolute;left:6411;top:1675;width:138;height:365">
              <v:imagedata r:id="rId256" o:title=""/>
            </v:shape>
            <v:shape id="docshape1260" o:spid="_x0000_s2578" style="position:absolute;left:1133;top:1529;width:9542;height:956" coordorigin="1134,1529" coordsize="9542,956" o:spt="100" adj="0,,0" path="m2089,1603r-6,-29l2068,1551r-24,-16l2016,1529r-809,l1179,1535r-24,16l1140,1574r-6,29l1134,2412r6,28l1155,2463r24,16l1207,2485r809,l2044,2479r24,-16l2083,2440r6,-28l2089,1603xm3316,1603r-6,-29l3294,1551r-23,-16l3243,1529r-809,l2405,1535r-23,16l2366,1574r-6,29l2360,2412r6,28l2382,2463r23,16l2434,2485r809,l3271,2479r23,-16l3310,2440r6,-28l3316,1603xm4542,1603r-5,-29l4521,1551r-23,-16l4469,1529r-809,l3632,1535r-23,16l3593,1574r-6,29l3587,2412r6,28l3609,2463r23,16l3660,2485r809,l4498,2479r23,-16l4537,2440r5,-28l4542,1603xm5769,1603r-6,-29l5747,1551r-23,-16l5696,1529r-809,l4858,1535r-23,16l4819,1574r-5,29l4814,2412r5,28l4835,2463r23,16l4887,2485r809,l5724,2479r23,-16l5763,2440r6,-28l5769,1603xm6996,1603r-6,-29l6974,1551r-23,-16l6922,1529r-809,l6085,1535r-23,16l6046,1574r-6,29l6040,2412r6,28l6062,2463r23,16l6113,2485r809,l6951,2479r23,-16l6990,2440r6,-28l6996,1603xm8222,1603r-6,-29l8201,1551r-24,-16l8149,1529r-809,l7312,1535r-24,16l7273,1574r-6,29l7267,2412r6,28l7288,2463r24,16l7340,2485r809,l8177,2479r24,-16l8216,2440r6,-28l8222,1603xm9449,1603r-6,-29l9427,1551r-23,-16l9375,1529r-808,l8538,1535r-23,16l8499,1574r-6,29l8493,2412r6,28l8515,2463r23,16l8567,2485r808,l9404,2479r23,-16l9443,2440r6,-28l9449,1603xm10675,1603r-5,-29l10654,1551r-24,-16l10602,1529r-809,l9765,1535r-24,16l9726,1574r-6,29l9720,2412r6,28l9741,2463r24,16l9793,2485r809,l10630,2479r24,-16l10670,2440r5,-28l10675,1603xe" fillcolor="#00aca1" stroked="f">
              <v:stroke joinstyle="round"/>
              <v:formulas/>
              <v:path arrowok="t" o:connecttype="segments"/>
            </v:shape>
            <v:shape id="docshape1261" o:spid="_x0000_s2577" type="#_x0000_t202" style="position:absolute;left:3493;top:648;width:3852;height:215" filled="f" stroked="f">
              <v:textbox style="mso-next-textbox:#docshape1261" inset="0,0,0,0">
                <w:txbxContent>
                  <w:p w14:paraId="0FCEED30" w14:textId="06EEC65A" w:rsidR="0055291C" w:rsidRDefault="003A35CA">
                    <w:pPr>
                      <w:spacing w:line="214" w:lineRule="exact"/>
                      <w:rPr>
                        <w:rFonts w:ascii="Arial"/>
                        <w:b/>
                        <w:i/>
                        <w:sz w:val="19"/>
                        <w:lang w:eastAsia="ja-JP"/>
                      </w:rPr>
                    </w:pPr>
                    <w:r>
                      <w:rPr>
                        <w:rFonts w:ascii="ＭＳ ゴシック" w:eastAsia="ＭＳ ゴシック" w:hAnsi="ＭＳ ゴシック" w:cs="ＭＳ ゴシック" w:hint="eastAsia"/>
                        <w:b/>
                        <w:i/>
                        <w:color w:val="545456"/>
                        <w:spacing w:val="-1"/>
                        <w:sz w:val="19"/>
                        <w:lang w:eastAsia="ja-JP"/>
                      </w:rPr>
                      <w:t>不確実性が高い分野での品質向上</w:t>
                    </w:r>
                  </w:p>
                </w:txbxContent>
              </v:textbox>
            </v:shape>
            <v:shape id="docshape1262" o:spid="_x0000_s2576" type="#_x0000_t202" style="position:absolute;left:1215;top:1606;width:683;height:383" filled="f" stroked="f">
              <v:textbox style="mso-next-textbox:#docshape1262" inset="0,0,0,0">
                <w:txbxContent>
                  <w:p w14:paraId="65319D02" w14:textId="143076E9" w:rsidR="00BB3491" w:rsidRDefault="00BB3491" w:rsidP="00BB3491">
                    <w:pPr>
                      <w:spacing w:before="2"/>
                      <w:rPr>
                        <w:rFonts w:ascii="Arial"/>
                        <w:b/>
                        <w:i/>
                        <w:sz w:val="15"/>
                      </w:rPr>
                    </w:pPr>
                    <w:r>
                      <w:rPr>
                        <w:rFonts w:ascii="ＭＳ ゴシック" w:eastAsia="ＭＳ ゴシック" w:hAnsi="ＭＳ ゴシック" w:cs="ＭＳ ゴシック" w:hint="eastAsia"/>
                        <w:b/>
                        <w:i/>
                        <w:color w:val="FFFFFF"/>
                        <w:sz w:val="15"/>
                        <w:lang w:eastAsia="ja-JP"/>
                      </w:rPr>
                      <w:t>範囲の確立</w:t>
                    </w:r>
                  </w:p>
                  <w:p w14:paraId="3B613E41" w14:textId="1E903D28" w:rsidR="0055291C" w:rsidRDefault="0055291C">
                    <w:pPr>
                      <w:spacing w:before="38" w:line="170" w:lineRule="exact"/>
                      <w:rPr>
                        <w:rFonts w:ascii="Arial"/>
                        <w:b/>
                        <w:i/>
                        <w:sz w:val="15"/>
                      </w:rPr>
                    </w:pPr>
                  </w:p>
                </w:txbxContent>
              </v:textbox>
            </v:shape>
            <v:shape id="docshape1263" o:spid="_x0000_s2575" type="#_x0000_t202" style="position:absolute;left:2441;top:1606;width:693;height:383" filled="f" stroked="f">
              <v:textbox style="mso-next-textbox:#docshape1263" inset="0,0,0,0">
                <w:txbxContent>
                  <w:p w14:paraId="732CD92C" w14:textId="75E3D104" w:rsidR="0055291C" w:rsidRDefault="0099356E">
                    <w:pPr>
                      <w:spacing w:before="38" w:line="170" w:lineRule="exact"/>
                      <w:rPr>
                        <w:rFonts w:ascii="Arial"/>
                        <w:b/>
                        <w:i/>
                        <w:sz w:val="15"/>
                      </w:rPr>
                    </w:pPr>
                    <w:r>
                      <w:rPr>
                        <w:rFonts w:ascii="ＭＳ ゴシック" w:eastAsia="ＭＳ ゴシック" w:hAnsi="ＭＳ ゴシック" w:cs="ＭＳ ゴシック" w:hint="eastAsia"/>
                        <w:b/>
                        <w:i/>
                        <w:color w:val="FFFFFF"/>
                        <w:sz w:val="15"/>
                        <w:lang w:eastAsia="ja-JP"/>
                      </w:rPr>
                      <w:t>境界の設定</w:t>
                    </w:r>
                  </w:p>
                </w:txbxContent>
              </v:textbox>
            </v:shape>
            <v:shape id="docshape1264" o:spid="_x0000_s2574" type="#_x0000_t202" style="position:absolute;left:3668;top:1606;width:809;height:593" filled="f" stroked="f">
              <v:textbox style="mso-next-textbox:#docshape1264" inset="0,0,0,0">
                <w:txbxContent>
                  <w:p w14:paraId="491CB3FB" w14:textId="4DE22EBF" w:rsidR="0099356E" w:rsidRDefault="0099356E" w:rsidP="0099356E">
                    <w:pPr>
                      <w:spacing w:before="2"/>
                      <w:rPr>
                        <w:rFonts w:ascii="Arial"/>
                        <w:b/>
                        <w:i/>
                        <w:sz w:val="15"/>
                        <w:lang w:eastAsia="ja-JP"/>
                      </w:rPr>
                    </w:pPr>
                    <w:r>
                      <w:rPr>
                        <w:rFonts w:ascii="ＭＳ ゴシック" w:eastAsia="ＭＳ ゴシック" w:hAnsi="ＭＳ ゴシック" w:cs="ＭＳ ゴシック" w:hint="eastAsia"/>
                        <w:b/>
                        <w:i/>
                        <w:color w:val="FFFFFF"/>
                        <w:spacing w:val="-3"/>
                        <w:sz w:val="15"/>
                        <w:lang w:eastAsia="ja-JP"/>
                      </w:rPr>
                      <w:t>データ収集・品質評価</w:t>
                    </w:r>
                  </w:p>
                  <w:p w14:paraId="6D317B8C" w14:textId="3FD67B7E" w:rsidR="0055291C" w:rsidRDefault="0055291C">
                    <w:pPr>
                      <w:spacing w:line="210" w:lineRule="atLeast"/>
                      <w:ind w:right="9"/>
                      <w:rPr>
                        <w:rFonts w:ascii="Arial"/>
                        <w:b/>
                        <w:i/>
                        <w:sz w:val="15"/>
                        <w:lang w:eastAsia="ja-JP"/>
                      </w:rPr>
                    </w:pPr>
                  </w:p>
                </w:txbxContent>
              </v:textbox>
            </v:shape>
            <v:shape id="docshape1265" o:spid="_x0000_s2573" type="#_x0000_t202" style="position:absolute;left:4894;top:1606;width:779;height:593" filled="f" stroked="f">
              <v:textbox style="mso-next-textbox:#docshape1265" inset="0,0,0,0">
                <w:txbxContent>
                  <w:p w14:paraId="5CB7EAE5" w14:textId="27EDF37C" w:rsidR="0055291C" w:rsidRDefault="0099356E">
                    <w:pPr>
                      <w:spacing w:line="170" w:lineRule="exact"/>
                      <w:rPr>
                        <w:rFonts w:ascii="ＭＳ ゴシック" w:eastAsia="ＭＳ ゴシック" w:hAnsi="ＭＳ ゴシック" w:cs="ＭＳ ゴシック"/>
                        <w:b/>
                        <w:i/>
                        <w:color w:val="FFFFFF"/>
                        <w:spacing w:val="-2"/>
                        <w:w w:val="105"/>
                        <w:sz w:val="15"/>
                        <w:lang w:eastAsia="ja-JP"/>
                      </w:rPr>
                    </w:pPr>
                    <w:r>
                      <w:rPr>
                        <w:rFonts w:ascii="ＭＳ ゴシック" w:eastAsia="ＭＳ ゴシック" w:hAnsi="ＭＳ ゴシック" w:cs="ＭＳ ゴシック" w:hint="eastAsia"/>
                        <w:b/>
                        <w:i/>
                        <w:color w:val="FFFFFF"/>
                        <w:spacing w:val="-2"/>
                        <w:w w:val="105"/>
                        <w:sz w:val="15"/>
                        <w:lang w:eastAsia="ja-JP"/>
                      </w:rPr>
                      <w:t>割り当て</w:t>
                    </w:r>
                  </w:p>
                  <w:p w14:paraId="6EA2B403" w14:textId="2774E3A3" w:rsidR="0099356E" w:rsidRDefault="0099356E">
                    <w:pPr>
                      <w:spacing w:line="170" w:lineRule="exact"/>
                      <w:rPr>
                        <w:rFonts w:ascii="Arial"/>
                        <w:b/>
                        <w:i/>
                        <w:sz w:val="15"/>
                        <w:lang w:eastAsia="ja-JP"/>
                      </w:rPr>
                    </w:pPr>
                    <w:r>
                      <w:rPr>
                        <w:rFonts w:ascii="ＭＳ ゴシック" w:eastAsia="ＭＳ ゴシック" w:hAnsi="ＭＳ ゴシック" w:cs="ＭＳ ゴシック" w:hint="eastAsia"/>
                        <w:b/>
                        <w:i/>
                        <w:color w:val="FFFFFF"/>
                        <w:spacing w:val="-2"/>
                        <w:w w:val="105"/>
                        <w:sz w:val="15"/>
                        <w:lang w:eastAsia="ja-JP"/>
                      </w:rPr>
                      <w:t>（必要な場合）</w:t>
                    </w:r>
                  </w:p>
                </w:txbxContent>
              </v:textbox>
            </v:shape>
            <v:shape id="docshape1266" o:spid="_x0000_s2572" type="#_x0000_t202" style="position:absolute;left:6121;top:1606;width:803;height:383" filled="f" stroked="f">
              <v:textbox style="mso-next-textbox:#docshape1266" inset="0,0,0,0">
                <w:txbxContent>
                  <w:p w14:paraId="761F491A" w14:textId="440E5B23" w:rsidR="0055291C" w:rsidRDefault="0099356E">
                    <w:pPr>
                      <w:spacing w:before="38" w:line="170" w:lineRule="exact"/>
                      <w:rPr>
                        <w:rFonts w:ascii="Arial"/>
                        <w:b/>
                        <w:i/>
                        <w:sz w:val="15"/>
                      </w:rPr>
                    </w:pPr>
                    <w:r>
                      <w:rPr>
                        <w:rFonts w:ascii="ＭＳ ゴシック" w:eastAsia="ＭＳ ゴシック" w:hAnsi="ＭＳ ゴシック" w:cs="ＭＳ ゴシック" w:hint="eastAsia"/>
                        <w:b/>
                        <w:i/>
                        <w:color w:val="FFFFFF"/>
                        <w:sz w:val="15"/>
                        <w:lang w:eastAsia="ja-JP"/>
                      </w:rPr>
                      <w:t>不確実性評価</w:t>
                    </w:r>
                  </w:p>
                </w:txbxContent>
              </v:textbox>
            </v:shape>
            <v:shape id="docshape1267" o:spid="_x0000_s2571" type="#_x0000_t202" style="position:absolute;left:7348;top:1606;width:691;height:593" filled="f" stroked="f">
              <v:textbox style="mso-next-textbox:#docshape1267" inset="0,0,0,0">
                <w:txbxContent>
                  <w:p w14:paraId="5298BED7" w14:textId="2583842A" w:rsidR="0055291C" w:rsidRDefault="0099356E">
                    <w:pPr>
                      <w:spacing w:line="210" w:lineRule="atLeast"/>
                      <w:ind w:right="4"/>
                      <w:rPr>
                        <w:rFonts w:ascii="Arial"/>
                        <w:b/>
                        <w:i/>
                        <w:sz w:val="15"/>
                      </w:rPr>
                    </w:pPr>
                    <w:r>
                      <w:rPr>
                        <w:rFonts w:ascii="ＭＳ ゴシック" w:eastAsia="ＭＳ ゴシック" w:hAnsi="ＭＳ ゴシック" w:cs="ＭＳ ゴシック" w:hint="eastAsia"/>
                        <w:b/>
                        <w:i/>
                        <w:color w:val="FFFFFF"/>
                        <w:w w:val="105"/>
                        <w:sz w:val="15"/>
                        <w:lang w:eastAsia="ja-JP"/>
                      </w:rPr>
                      <w:t>結果の算出</w:t>
                    </w:r>
                  </w:p>
                </w:txbxContent>
              </v:textbox>
            </v:shape>
            <v:shape id="docshape1268" o:spid="_x0000_s2570" type="#_x0000_t202" style="position:absolute;left:8574;top:1606;width:732;height:383" filled="f" stroked="f">
              <v:textbox style="mso-next-textbox:#docshape1268" inset="0,0,0,0">
                <w:txbxContent>
                  <w:p w14:paraId="4E97C50A" w14:textId="5D7643ED" w:rsidR="0055291C" w:rsidRDefault="0099356E">
                    <w:pPr>
                      <w:spacing w:before="38" w:line="170" w:lineRule="exact"/>
                      <w:rPr>
                        <w:rFonts w:ascii="Arial"/>
                        <w:b/>
                        <w:i/>
                        <w:sz w:val="15"/>
                      </w:rPr>
                    </w:pPr>
                    <w:r>
                      <w:rPr>
                        <w:rFonts w:ascii="ＭＳ ゴシック" w:eastAsia="ＭＳ ゴシック" w:hAnsi="ＭＳ ゴシック" w:cs="ＭＳ ゴシック" w:hint="eastAsia"/>
                        <w:b/>
                        <w:i/>
                        <w:color w:val="FFFFFF"/>
                        <w:w w:val="105"/>
                        <w:sz w:val="15"/>
                        <w:lang w:eastAsia="ja-JP"/>
                      </w:rPr>
                      <w:t>保証の実行</w:t>
                    </w:r>
                  </w:p>
                </w:txbxContent>
              </v:textbox>
            </v:shape>
            <v:shape id="docshape1269" o:spid="_x0000_s2569" type="#_x0000_t202" style="position:absolute;left:9801;top:1606;width:691;height:593" filled="f" stroked="f">
              <v:textbox style="mso-next-textbox:#docshape1269" inset="0,0,0,0">
                <w:txbxContent>
                  <w:p w14:paraId="7F6CA39C" w14:textId="3B0DBF99" w:rsidR="0055291C" w:rsidRDefault="0099356E" w:rsidP="0099356E">
                    <w:pPr>
                      <w:spacing w:before="2"/>
                      <w:rPr>
                        <w:rFonts w:ascii="Arial"/>
                        <w:b/>
                        <w:i/>
                        <w:sz w:val="15"/>
                      </w:rPr>
                    </w:pPr>
                    <w:r>
                      <w:rPr>
                        <w:rFonts w:ascii="ＭＳ ゴシック" w:eastAsia="ＭＳ ゴシック" w:hAnsi="ＭＳ ゴシック" w:cs="ＭＳ ゴシック" w:hint="eastAsia"/>
                        <w:b/>
                        <w:i/>
                        <w:color w:val="FFFFFF"/>
                        <w:w w:val="105"/>
                        <w:sz w:val="15"/>
                        <w:lang w:eastAsia="ja-JP"/>
                      </w:rPr>
                      <w:t>算出結果の報告</w:t>
                    </w:r>
                  </w:p>
                </w:txbxContent>
              </v:textbox>
            </v:shape>
            <v:shape id="docshape1270" o:spid="_x0000_s2568" type="#_x0000_t202" style="position:absolute;left:6097;top:3031;width:1405;height:400" filled="f" stroked="f">
              <v:textbox style="mso-next-textbox:#docshape1270" inset="0,0,0,0">
                <w:txbxContent>
                  <w:p w14:paraId="40803A3C" w14:textId="3D31C131" w:rsidR="0055291C" w:rsidRDefault="009870FD">
                    <w:pPr>
                      <w:spacing w:before="36" w:line="180" w:lineRule="exact"/>
                      <w:ind w:left="15"/>
                      <w:rPr>
                        <w:rFonts w:ascii="ＭＳ ゴシック" w:eastAsia="ＭＳ ゴシック" w:hAnsi="ＭＳ ゴシック" w:cs="ＭＳ ゴシック"/>
                        <w:b/>
                        <w:i/>
                        <w:color w:val="FFFFFF"/>
                        <w:sz w:val="16"/>
                        <w:lang w:eastAsia="ja-JP"/>
                      </w:rPr>
                    </w:pPr>
                    <w:r>
                      <w:rPr>
                        <w:rFonts w:ascii="ＭＳ ゴシック" w:eastAsia="ＭＳ ゴシック" w:hAnsi="ＭＳ ゴシック" w:cs="ＭＳ ゴシック" w:hint="eastAsia"/>
                        <w:b/>
                        <w:i/>
                        <w:color w:val="FFFFFF"/>
                        <w:sz w:val="16"/>
                        <w:lang w:eastAsia="ja-JP"/>
                      </w:rPr>
                      <w:t>優先順位付け、定量化、評価</w:t>
                    </w:r>
                  </w:p>
                  <w:p w14:paraId="203FEF1C" w14:textId="77777777" w:rsidR="009870FD" w:rsidRDefault="009870FD">
                    <w:pPr>
                      <w:spacing w:before="36" w:line="180" w:lineRule="exact"/>
                      <w:ind w:left="15"/>
                      <w:rPr>
                        <w:rFonts w:ascii="Arial"/>
                        <w:b/>
                        <w:i/>
                        <w:sz w:val="16"/>
                        <w:lang w:eastAsia="ja-JP"/>
                      </w:rPr>
                    </w:pPr>
                  </w:p>
                </w:txbxContent>
              </v:textbox>
            </v:shape>
            <v:shape id="docshape1271" o:spid="_x0000_s2567" type="#_x0000_t202" style="position:absolute;left:8979;top:3031;width:1563;height:400" filled="f" stroked="f">
              <v:textbox style="mso-next-textbox:#docshape1271" inset="0,0,0,0">
                <w:txbxContent>
                  <w:p w14:paraId="42AD488E" w14:textId="77777777" w:rsidR="009870FD" w:rsidRDefault="009870FD" w:rsidP="009870FD">
                    <w:pPr>
                      <w:spacing w:line="183" w:lineRule="exact"/>
                      <w:rPr>
                        <w:rFonts w:ascii="ＭＳ ゴシック" w:eastAsia="ＭＳ ゴシック" w:hAnsi="ＭＳ ゴシック" w:cs="ＭＳ ゴシック"/>
                        <w:b/>
                        <w:i/>
                        <w:color w:val="FFFFFF"/>
                        <w:w w:val="95"/>
                        <w:sz w:val="16"/>
                        <w:lang w:eastAsia="ja-JP"/>
                      </w:rPr>
                    </w:pPr>
                    <w:r>
                      <w:rPr>
                        <w:rFonts w:ascii="ＭＳ ゴシック" w:eastAsia="ＭＳ ゴシック" w:hAnsi="ＭＳ ゴシック" w:cs="ＭＳ ゴシック" w:hint="eastAsia"/>
                        <w:b/>
                        <w:i/>
                        <w:color w:val="FFFFFF"/>
                        <w:w w:val="95"/>
                        <w:sz w:val="16"/>
                        <w:lang w:eastAsia="ja-JP"/>
                      </w:rPr>
                      <w:t>不確実性の文書化・</w:t>
                    </w:r>
                  </w:p>
                  <w:p w14:paraId="44A92D75" w14:textId="31667543" w:rsidR="009870FD" w:rsidRDefault="009870FD" w:rsidP="009870FD">
                    <w:pPr>
                      <w:spacing w:line="183" w:lineRule="exact"/>
                      <w:rPr>
                        <w:rFonts w:ascii="Arial"/>
                        <w:b/>
                        <w:i/>
                        <w:color w:val="FFFFFF"/>
                        <w:sz w:val="16"/>
                        <w:lang w:eastAsia="ja-JP"/>
                      </w:rPr>
                    </w:pPr>
                    <w:r>
                      <w:rPr>
                        <w:rFonts w:ascii="ＭＳ ゴシック" w:eastAsia="ＭＳ ゴシック" w:hAnsi="ＭＳ ゴシック" w:cs="ＭＳ ゴシック" w:hint="eastAsia"/>
                        <w:b/>
                        <w:i/>
                        <w:color w:val="FFFFFF"/>
                        <w:w w:val="95"/>
                        <w:sz w:val="16"/>
                        <w:lang w:eastAsia="ja-JP"/>
                      </w:rPr>
                      <w:t>公表</w:t>
                    </w:r>
                  </w:p>
                  <w:p w14:paraId="2941B8F2" w14:textId="38CD5443" w:rsidR="0055291C" w:rsidRDefault="00F23C61">
                    <w:pPr>
                      <w:spacing w:before="36" w:line="180" w:lineRule="exact"/>
                      <w:ind w:left="15"/>
                      <w:rPr>
                        <w:rFonts w:ascii="Arial"/>
                        <w:b/>
                        <w:i/>
                        <w:sz w:val="16"/>
                      </w:rPr>
                    </w:pPr>
                    <w:r>
                      <w:rPr>
                        <w:rFonts w:ascii="Arial"/>
                        <w:b/>
                        <w:i/>
                        <w:color w:val="FFFFFF"/>
                        <w:sz w:val="16"/>
                      </w:rPr>
                      <w:t>y</w:t>
                    </w:r>
                  </w:p>
                </w:txbxContent>
              </v:textbox>
            </v:shape>
            <w10:wrap anchorx="page"/>
          </v:group>
        </w:pict>
      </w:r>
      <w:r w:rsidR="00BB3491">
        <w:rPr>
          <w:rFonts w:ascii="ＭＳ ゴシック" w:eastAsia="ＭＳ ゴシック" w:hAnsi="ＭＳ ゴシック" w:cs="ＭＳ ゴシック" w:hint="eastAsia"/>
          <w:b/>
          <w:color w:val="00ACA1"/>
          <w:w w:val="95"/>
          <w:sz w:val="20"/>
          <w:lang w:eastAsia="ja-JP"/>
        </w:rPr>
        <w:t>図</w:t>
      </w:r>
      <w:r w:rsidR="00F23C61">
        <w:rPr>
          <w:rFonts w:ascii="Arial"/>
          <w:b/>
          <w:color w:val="00ACA1"/>
          <w:spacing w:val="19"/>
          <w:w w:val="95"/>
          <w:sz w:val="20"/>
          <w:lang w:eastAsia="ja-JP"/>
        </w:rPr>
        <w:t xml:space="preserve"> </w:t>
      </w:r>
      <w:r w:rsidR="00F23C61">
        <w:rPr>
          <w:rFonts w:ascii="Arial"/>
          <w:b/>
          <w:color w:val="00ACA1"/>
          <w:w w:val="95"/>
          <w:sz w:val="20"/>
          <w:lang w:eastAsia="ja-JP"/>
        </w:rPr>
        <w:t>[10.1]</w:t>
      </w:r>
      <w:r w:rsidR="00F23C61">
        <w:rPr>
          <w:rFonts w:ascii="Arial"/>
          <w:b/>
          <w:color w:val="00ACA1"/>
          <w:spacing w:val="19"/>
          <w:w w:val="95"/>
          <w:sz w:val="20"/>
          <w:lang w:eastAsia="ja-JP"/>
        </w:rPr>
        <w:t xml:space="preserve"> </w:t>
      </w:r>
      <w:r w:rsidR="003A35CA">
        <w:rPr>
          <w:rFonts w:ascii="ＭＳ ゴシック" w:eastAsia="ＭＳ ゴシック" w:hAnsi="ＭＳ ゴシック" w:cs="ＭＳ ゴシック" w:hint="eastAsia"/>
          <w:lang w:eastAsia="ja-JP"/>
        </w:rPr>
        <w:t>不確実性の追跡と評価の反復プロセス</w:t>
      </w:r>
    </w:p>
    <w:p w14:paraId="51EFF9C8" w14:textId="77777777" w:rsidR="0055291C" w:rsidRDefault="0055291C">
      <w:pPr>
        <w:pStyle w:val="a3"/>
        <w:rPr>
          <w:rFonts w:ascii="Arial"/>
          <w:b/>
          <w:sz w:val="20"/>
          <w:lang w:eastAsia="ja-JP"/>
        </w:rPr>
      </w:pPr>
    </w:p>
    <w:p w14:paraId="7E4E52A8" w14:textId="77777777" w:rsidR="0055291C" w:rsidRDefault="0055291C">
      <w:pPr>
        <w:pStyle w:val="a3"/>
        <w:rPr>
          <w:rFonts w:ascii="Arial"/>
          <w:b/>
          <w:sz w:val="20"/>
          <w:lang w:eastAsia="ja-JP"/>
        </w:rPr>
      </w:pPr>
    </w:p>
    <w:p w14:paraId="1DC5F18B" w14:textId="77777777" w:rsidR="0055291C" w:rsidRDefault="0055291C">
      <w:pPr>
        <w:pStyle w:val="a3"/>
        <w:rPr>
          <w:rFonts w:ascii="Arial"/>
          <w:b/>
          <w:sz w:val="20"/>
          <w:lang w:eastAsia="ja-JP"/>
        </w:rPr>
      </w:pPr>
    </w:p>
    <w:p w14:paraId="4DD0145F" w14:textId="77777777" w:rsidR="0055291C" w:rsidRDefault="0055291C">
      <w:pPr>
        <w:pStyle w:val="a3"/>
        <w:rPr>
          <w:rFonts w:ascii="Arial"/>
          <w:b/>
          <w:sz w:val="20"/>
          <w:lang w:eastAsia="ja-JP"/>
        </w:rPr>
      </w:pPr>
    </w:p>
    <w:p w14:paraId="42AA672A" w14:textId="77777777" w:rsidR="0055291C" w:rsidRDefault="0055291C">
      <w:pPr>
        <w:pStyle w:val="a3"/>
        <w:rPr>
          <w:rFonts w:ascii="Arial"/>
          <w:b/>
          <w:sz w:val="20"/>
          <w:lang w:eastAsia="ja-JP"/>
        </w:rPr>
      </w:pPr>
    </w:p>
    <w:p w14:paraId="1E448A41" w14:textId="77777777" w:rsidR="0055291C" w:rsidRDefault="0055291C">
      <w:pPr>
        <w:pStyle w:val="a3"/>
        <w:rPr>
          <w:rFonts w:ascii="Arial"/>
          <w:b/>
          <w:sz w:val="20"/>
          <w:lang w:eastAsia="ja-JP"/>
        </w:rPr>
      </w:pPr>
    </w:p>
    <w:p w14:paraId="4678AAD7" w14:textId="77777777" w:rsidR="0055291C" w:rsidRDefault="0055291C">
      <w:pPr>
        <w:pStyle w:val="a3"/>
        <w:rPr>
          <w:rFonts w:ascii="Arial"/>
          <w:b/>
          <w:sz w:val="20"/>
          <w:lang w:eastAsia="ja-JP"/>
        </w:rPr>
      </w:pPr>
    </w:p>
    <w:p w14:paraId="1E3EE209" w14:textId="77777777" w:rsidR="0055291C" w:rsidRDefault="0055291C">
      <w:pPr>
        <w:pStyle w:val="a3"/>
        <w:rPr>
          <w:rFonts w:ascii="Arial"/>
          <w:b/>
          <w:sz w:val="20"/>
          <w:lang w:eastAsia="ja-JP"/>
        </w:rPr>
      </w:pPr>
    </w:p>
    <w:p w14:paraId="6D722445" w14:textId="77777777" w:rsidR="0055291C" w:rsidRDefault="0055291C">
      <w:pPr>
        <w:pStyle w:val="a3"/>
        <w:rPr>
          <w:rFonts w:ascii="Arial"/>
          <w:b/>
          <w:sz w:val="20"/>
          <w:lang w:eastAsia="ja-JP"/>
        </w:rPr>
      </w:pPr>
    </w:p>
    <w:p w14:paraId="4EE66353" w14:textId="77777777" w:rsidR="0055291C" w:rsidRDefault="0055291C">
      <w:pPr>
        <w:pStyle w:val="a3"/>
        <w:rPr>
          <w:rFonts w:ascii="Arial"/>
          <w:b/>
          <w:sz w:val="20"/>
          <w:lang w:eastAsia="ja-JP"/>
        </w:rPr>
      </w:pPr>
    </w:p>
    <w:p w14:paraId="777D5585" w14:textId="77777777" w:rsidR="0055291C" w:rsidRDefault="0055291C">
      <w:pPr>
        <w:pStyle w:val="a3"/>
        <w:rPr>
          <w:rFonts w:ascii="Arial"/>
          <w:b/>
          <w:sz w:val="20"/>
          <w:lang w:eastAsia="ja-JP"/>
        </w:rPr>
      </w:pPr>
    </w:p>
    <w:p w14:paraId="1E46BE83" w14:textId="77777777" w:rsidR="0055291C" w:rsidRDefault="00000000">
      <w:pPr>
        <w:pStyle w:val="a3"/>
        <w:spacing w:before="5"/>
        <w:rPr>
          <w:rFonts w:ascii="Arial"/>
          <w:b/>
          <w:sz w:val="14"/>
          <w:lang w:eastAsia="ja-JP"/>
        </w:rPr>
      </w:pPr>
      <w:r>
        <w:pict w14:anchorId="3717CBBD">
          <v:group id="docshapegroup1272" o:spid="_x0000_s2563" style="position:absolute;margin-left:89.45pt;margin-top:9.55pt;width:177.15pt;height:43.75pt;z-index:-251471360;mso-wrap-distance-left:0;mso-wrap-distance-right:0;mso-position-horizontal-relative:page" coordorigin="1789,191" coordsize="3543,875">
            <v:shape id="docshape1273" o:spid="_x0000_s2565" style="position:absolute;left:1788;top:190;width:3543;height:875" coordorigin="1789,191" coordsize="3543,875" path="m5104,191r-3089,l1884,194r-67,25l1792,286r-3,131l1789,838r3,131l1817,1036r67,25l2015,1065r3089,l5235,1061r68,-25l5328,969r3,-131l5331,417r-3,-131l5303,219r-68,-25l5104,191xe" fillcolor="#7f3f98" stroked="f">
              <v:path arrowok="t"/>
            </v:shape>
            <v:shape id="docshape1274" o:spid="_x0000_s2564" type="#_x0000_t202" style="position:absolute;left:1788;top:190;width:3543;height:875" filled="f" stroked="f">
              <v:textbox style="mso-next-textbox:#docshape1274" inset="0,0,0,0">
                <w:txbxContent>
                  <w:p w14:paraId="779B6077" w14:textId="796E93AC" w:rsidR="0055291C" w:rsidRDefault="009870FD">
                    <w:pPr>
                      <w:spacing w:before="79"/>
                      <w:ind w:left="145"/>
                      <w:rPr>
                        <w:rFonts w:ascii="Arial"/>
                        <w:b/>
                        <w:i/>
                        <w:sz w:val="16"/>
                        <w:lang w:eastAsia="ja-JP"/>
                      </w:rPr>
                    </w:pPr>
                    <w:r>
                      <w:rPr>
                        <w:rFonts w:ascii="ＭＳ ゴシック" w:eastAsia="ＭＳ ゴシック" w:hAnsi="ＭＳ ゴシック" w:cs="ＭＳ ゴシック" w:hint="eastAsia"/>
                        <w:b/>
                        <w:i/>
                        <w:color w:val="FFFFFF"/>
                        <w:spacing w:val="-1"/>
                        <w:sz w:val="16"/>
                        <w:lang w:eastAsia="ja-JP"/>
                      </w:rPr>
                      <w:t>不確実性の把握と追跡</w:t>
                    </w:r>
                  </w:p>
                  <w:p w14:paraId="1ED09DD5" w14:textId="6FD1E7B7" w:rsidR="0055291C" w:rsidRDefault="009870FD">
                    <w:pPr>
                      <w:numPr>
                        <w:ilvl w:val="0"/>
                        <w:numId w:val="39"/>
                      </w:numPr>
                      <w:tabs>
                        <w:tab w:val="left" w:pos="372"/>
                      </w:tabs>
                      <w:spacing w:before="15"/>
                      <w:rPr>
                        <w:rFonts w:ascii="Arial"/>
                        <w:b/>
                        <w:i/>
                        <w:sz w:val="14"/>
                      </w:rPr>
                    </w:pPr>
                    <w:r>
                      <w:rPr>
                        <w:rFonts w:ascii="ＭＳ ゴシック" w:eastAsia="ＭＳ ゴシック" w:hAnsi="ＭＳ ゴシック" w:cs="ＭＳ ゴシック" w:hint="eastAsia"/>
                        <w:b/>
                        <w:i/>
                        <w:color w:val="FFFFFF"/>
                        <w:spacing w:val="-1"/>
                        <w:sz w:val="14"/>
                        <w:lang w:eastAsia="ja-JP"/>
                      </w:rPr>
                      <w:t>パラメータの不確実性</w:t>
                    </w:r>
                  </w:p>
                  <w:p w14:paraId="4443BDBC" w14:textId="7AB532C9" w:rsidR="0055291C" w:rsidRDefault="009870FD">
                    <w:pPr>
                      <w:numPr>
                        <w:ilvl w:val="0"/>
                        <w:numId w:val="39"/>
                      </w:numPr>
                      <w:tabs>
                        <w:tab w:val="left" w:pos="372"/>
                      </w:tabs>
                      <w:spacing w:before="19"/>
                      <w:rPr>
                        <w:rFonts w:ascii="Arial"/>
                        <w:b/>
                        <w:i/>
                        <w:sz w:val="14"/>
                      </w:rPr>
                    </w:pPr>
                    <w:r>
                      <w:rPr>
                        <w:rFonts w:ascii="ＭＳ ゴシック" w:eastAsia="ＭＳ ゴシック" w:hAnsi="ＭＳ ゴシック" w:cs="ＭＳ ゴシック" w:hint="eastAsia"/>
                        <w:b/>
                        <w:i/>
                        <w:color w:val="FFFFFF"/>
                        <w:w w:val="95"/>
                        <w:sz w:val="14"/>
                        <w:lang w:eastAsia="ja-JP"/>
                      </w:rPr>
                      <w:t>シナリオの不確実性</w:t>
                    </w:r>
                  </w:p>
                  <w:p w14:paraId="75D2A877" w14:textId="47E06B94" w:rsidR="0055291C" w:rsidRDefault="009870FD">
                    <w:pPr>
                      <w:numPr>
                        <w:ilvl w:val="0"/>
                        <w:numId w:val="39"/>
                      </w:numPr>
                      <w:tabs>
                        <w:tab w:val="left" w:pos="372"/>
                      </w:tabs>
                      <w:spacing w:before="19"/>
                      <w:rPr>
                        <w:rFonts w:ascii="Arial"/>
                        <w:b/>
                        <w:i/>
                        <w:sz w:val="14"/>
                      </w:rPr>
                    </w:pPr>
                    <w:r>
                      <w:rPr>
                        <w:rFonts w:ascii="ＭＳ ゴシック" w:eastAsia="ＭＳ ゴシック" w:hAnsi="ＭＳ ゴシック" w:cs="ＭＳ ゴシック" w:hint="eastAsia"/>
                        <w:b/>
                        <w:i/>
                        <w:color w:val="FFFFFF"/>
                        <w:w w:val="95"/>
                        <w:sz w:val="14"/>
                        <w:lang w:eastAsia="ja-JP"/>
                      </w:rPr>
                      <w:t>モデルの不確実性</w:t>
                    </w:r>
                  </w:p>
                </w:txbxContent>
              </v:textbox>
            </v:shape>
            <w10:wrap type="topAndBottom" anchorx="page"/>
          </v:group>
        </w:pict>
      </w:r>
      <w:r>
        <w:pict w14:anchorId="26EFF4B8">
          <v:shape id="docshape1275" o:spid="_x0000_s2562" style="position:absolute;margin-left:271.3pt;margin-top:23.85pt;width:21.6pt;height:15.05pt;z-index:-251470336;mso-wrap-distance-left:0;mso-wrap-distance-right:0;mso-position-horizontal-relative:page" coordorigin="5426,477" coordsize="432,301" path="m5657,477r-15,2l5632,491r-4,20l5628,556r-191,1l5426,568r,119l5437,698r14,1l5628,698r1,46l5633,764r10,12l5659,778r19,-8l5837,665r15,-15l5857,632r-4,-17l5838,599,5676,486r-19,-9xe" fillcolor="#85878a" stroked="f">
            <v:path arrowok="t"/>
            <w10:wrap type="topAndBottom" anchorx="page"/>
          </v:shape>
        </w:pict>
      </w:r>
    </w:p>
    <w:p w14:paraId="1B077059" w14:textId="77777777" w:rsidR="0055291C" w:rsidRDefault="0055291C">
      <w:pPr>
        <w:pStyle w:val="a3"/>
        <w:rPr>
          <w:rFonts w:ascii="Arial"/>
          <w:b/>
          <w:sz w:val="20"/>
          <w:lang w:eastAsia="ja-JP"/>
        </w:rPr>
      </w:pPr>
    </w:p>
    <w:p w14:paraId="076DC81F" w14:textId="77777777" w:rsidR="0055291C" w:rsidRDefault="0055291C">
      <w:pPr>
        <w:pStyle w:val="a3"/>
        <w:rPr>
          <w:rFonts w:ascii="Arial"/>
          <w:b/>
          <w:sz w:val="20"/>
          <w:lang w:eastAsia="ja-JP"/>
        </w:rPr>
      </w:pPr>
    </w:p>
    <w:p w14:paraId="19A3132C" w14:textId="77777777" w:rsidR="0055291C" w:rsidRDefault="0055291C">
      <w:pPr>
        <w:pStyle w:val="a3"/>
        <w:spacing w:before="3"/>
        <w:rPr>
          <w:rFonts w:ascii="Arial"/>
          <w:b/>
          <w:sz w:val="17"/>
          <w:lang w:eastAsia="ja-JP"/>
        </w:rPr>
      </w:pPr>
    </w:p>
    <w:p w14:paraId="20234485" w14:textId="77777777" w:rsidR="0055291C" w:rsidRDefault="0055291C">
      <w:pPr>
        <w:rPr>
          <w:rFonts w:ascii="Arial"/>
          <w:sz w:val="17"/>
          <w:lang w:eastAsia="ja-JP"/>
        </w:rPr>
        <w:sectPr w:rsidR="0055291C">
          <w:headerReference w:type="even" r:id="rId257"/>
          <w:pgSz w:w="12240" w:h="15840"/>
          <w:pgMar w:top="620" w:right="0" w:bottom="1040" w:left="0" w:header="0" w:footer="859" w:gutter="0"/>
          <w:cols w:space="720"/>
        </w:sectPr>
      </w:pPr>
    </w:p>
    <w:p w14:paraId="04086B60" w14:textId="7D758486" w:rsidR="0055291C" w:rsidRDefault="00000000">
      <w:pPr>
        <w:pStyle w:val="3"/>
        <w:numPr>
          <w:ilvl w:val="2"/>
          <w:numId w:val="40"/>
        </w:numPr>
        <w:tabs>
          <w:tab w:val="left" w:pos="1853"/>
          <w:tab w:val="left" w:pos="1854"/>
        </w:tabs>
        <w:ind w:hanging="721"/>
        <w:jc w:val="left"/>
      </w:pPr>
      <w:r>
        <w:pict w14:anchorId="5E8BEF43">
          <v:shape id="docshape1276" o:spid="_x0000_s2561" type="#_x0000_t202" style="position:absolute;left:0;text-align:left;margin-left:51.45pt;margin-top:-80.1pt;width:26.25pt;height:55.6pt;z-index:251628032;mso-position-horizontal-relative:page" filled="f" stroked="f">
            <v:textbox style="layout-flow:vertical;mso-layout-flow-alt:bottom-to-top;mso-next-textbox:#docshape1276" inset="0,0,0,0">
              <w:txbxContent>
                <w:p w14:paraId="672F1628" w14:textId="46508D69" w:rsidR="0055291C" w:rsidRDefault="0099356E">
                  <w:pPr>
                    <w:spacing w:before="14" w:line="271" w:lineRule="auto"/>
                    <w:ind w:left="20" w:right="4"/>
                    <w:rPr>
                      <w:rFonts w:ascii="Arial"/>
                      <w:b/>
                      <w:i/>
                      <w:sz w:val="20"/>
                    </w:rPr>
                  </w:pPr>
                  <w:r>
                    <w:rPr>
                      <w:rFonts w:ascii="ＭＳ ゴシック" w:eastAsia="ＭＳ ゴシック" w:hAnsi="ＭＳ ゴシック" w:cs="ＭＳ ゴシック" w:hint="eastAsia"/>
                      <w:b/>
                      <w:i/>
                      <w:color w:val="545456"/>
                      <w:spacing w:val="-1"/>
                      <w:sz w:val="20"/>
                      <w:lang w:eastAsia="ja-JP"/>
                    </w:rPr>
                    <w:t>不確実性評価</w:t>
                  </w:r>
                </w:p>
              </w:txbxContent>
            </v:textbox>
            <w10:wrap anchorx="page"/>
          </v:shape>
        </w:pict>
      </w:r>
      <w:r w:rsidR="009870FD">
        <w:rPr>
          <w:rFonts w:ascii="ＭＳ 明朝" w:eastAsia="ＭＳ 明朝" w:hAnsi="ＭＳ 明朝" w:cs="ＭＳ 明朝" w:hint="eastAsia"/>
          <w:color w:val="00ACA1"/>
          <w:lang w:eastAsia="ja-JP"/>
        </w:rPr>
        <w:t>ガイダンス</w:t>
      </w:r>
    </w:p>
    <w:p w14:paraId="14CAB416" w14:textId="77777777" w:rsidR="009870FD" w:rsidRPr="009870FD" w:rsidRDefault="009870FD">
      <w:pPr>
        <w:pStyle w:val="a5"/>
        <w:numPr>
          <w:ilvl w:val="3"/>
          <w:numId w:val="40"/>
        </w:numPr>
        <w:tabs>
          <w:tab w:val="left" w:pos="1854"/>
        </w:tabs>
        <w:spacing w:before="42" w:line="312" w:lineRule="auto"/>
        <w:ind w:right="103" w:firstLine="0"/>
        <w:jc w:val="left"/>
        <w:rPr>
          <w:sz w:val="19"/>
          <w:lang w:eastAsia="ja-JP"/>
        </w:rPr>
      </w:pPr>
      <w:r>
        <w:rPr>
          <w:rFonts w:ascii="ＭＳ ゴシック" w:eastAsia="ＭＳ ゴシック" w:hAnsi="ＭＳ ゴシック" w:cs="ＭＳ ゴシック" w:hint="eastAsia"/>
          <w:b/>
          <w:i/>
          <w:color w:val="00B8B1"/>
          <w:w w:val="95"/>
          <w:sz w:val="20"/>
          <w:lang w:eastAsia="ja-JP"/>
        </w:rPr>
        <w:t>不確実性評価プロセスの役割</w:t>
      </w:r>
    </w:p>
    <w:p w14:paraId="4399C2B5" w14:textId="77777777" w:rsidR="009870FD" w:rsidRDefault="009870FD" w:rsidP="002E296D">
      <w:pPr>
        <w:pStyle w:val="a3"/>
        <w:spacing w:before="135" w:line="312" w:lineRule="auto"/>
        <w:ind w:left="1133" w:rightChars="5" w:right="11" w:firstLineChars="100" w:firstLine="190"/>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図</w:t>
      </w:r>
      <w:r>
        <w:rPr>
          <w:lang w:eastAsia="ja-JP"/>
        </w:rPr>
        <w:t>10.1</w:t>
      </w:r>
      <w:r>
        <w:rPr>
          <w:rFonts w:ascii="ＭＳ ゴシック" w:eastAsia="ＭＳ ゴシック" w:hAnsi="ＭＳ ゴシック" w:cs="ＭＳ ゴシック" w:hint="eastAsia"/>
          <w:lang w:eastAsia="ja-JP"/>
        </w:rPr>
        <w:t>は、</w:t>
      </w:r>
      <w:r>
        <w:rPr>
          <w:lang w:eastAsia="ja-JP"/>
        </w:rPr>
        <w:t xml:space="preserve">GHG </w:t>
      </w:r>
      <w:r>
        <w:rPr>
          <w:rFonts w:ascii="ＭＳ ゴシック" w:eastAsia="ＭＳ ゴシック" w:hAnsi="ＭＳ ゴシック" w:cs="ＭＳ ゴシック" w:hint="eastAsia"/>
          <w:lang w:eastAsia="ja-JP"/>
        </w:rPr>
        <w:t>算出プロセス内の不確実性評価の役割を示したものです。企業は、不確実性の評価、保証、および報告のプロセスを促進するために、算出のプロセス全体を通じて不確実性のリストを保管する必要があります。</w:t>
      </w:r>
    </w:p>
    <w:p w14:paraId="3062E8C6" w14:textId="3A9C774B" w:rsidR="0055291C" w:rsidRDefault="009870FD" w:rsidP="002E296D">
      <w:pPr>
        <w:pStyle w:val="a3"/>
        <w:spacing w:before="135" w:line="312" w:lineRule="auto"/>
        <w:ind w:left="1133" w:rightChars="5" w:right="11" w:firstLineChars="100" w:firstLine="190"/>
        <w:rPr>
          <w:lang w:eastAsia="ja-JP"/>
        </w:rPr>
      </w:pPr>
      <w:r>
        <w:rPr>
          <w:rFonts w:ascii="ＭＳ ゴシック" w:eastAsia="ＭＳ ゴシック" w:hAnsi="ＭＳ ゴシック" w:cs="ＭＳ ゴシック" w:hint="eastAsia"/>
          <w:lang w:eastAsia="ja-JP"/>
        </w:rPr>
        <w:t>報告の要求事項は定性的な記述に重点が置かれていますが、不確実性の定量的評価は、企業が不確実性に最も寄与する情報源に対してデータ品質改善の努力を優先させることや、方法論の選択が製品報告書全体に与える影響を理解する上で役立つことがあります。また、定量的アプローチにより、排出量報告書の読者に対して不確実性に関する報告の明確性と透明性を高めることができ</w:t>
      </w:r>
      <w:r w:rsidR="00B43A54">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w:t>
      </w:r>
      <w:r w:rsidR="00B43A54">
        <w:rPr>
          <w:rFonts w:ascii="ＭＳ ゴシック" w:eastAsia="ＭＳ ゴシック" w:hAnsi="ＭＳ ゴシック" w:cs="ＭＳ ゴシック" w:hint="eastAsia"/>
          <w:lang w:eastAsia="ja-JP"/>
        </w:rPr>
        <w:t>可能ならば</w:t>
      </w:r>
      <w:r>
        <w:rPr>
          <w:rFonts w:ascii="ＭＳ ゴシック" w:eastAsia="ＭＳ ゴシック" w:hAnsi="ＭＳ ゴシック" w:cs="ＭＳ ゴシック" w:hint="eastAsia"/>
          <w:lang w:eastAsia="ja-JP"/>
        </w:rPr>
        <w:t>、企業は</w:t>
      </w:r>
      <w:r w:rsidR="00B43A54">
        <w:rPr>
          <w:rFonts w:ascii="ＭＳ ゴシック" w:eastAsia="ＭＳ ゴシック" w:hAnsi="ＭＳ ゴシック" w:cs="ＭＳ ゴシック" w:hint="eastAsia"/>
          <w:lang w:eastAsia="ja-JP"/>
        </w:rPr>
        <w:t>報告書</w:t>
      </w:r>
      <w:r>
        <w:rPr>
          <w:rFonts w:ascii="ＭＳ ゴシック" w:eastAsia="ＭＳ ゴシック" w:hAnsi="ＭＳ ゴシック" w:cs="ＭＳ ゴシック" w:hint="eastAsia"/>
          <w:lang w:eastAsia="ja-JP"/>
        </w:rPr>
        <w:t>で定量的な不確実性の結果を報告する</w:t>
      </w:r>
      <w:r w:rsidR="00B43A54">
        <w:rPr>
          <w:rFonts w:ascii="ＭＳ ゴシック" w:eastAsia="ＭＳ ゴシック" w:hAnsi="ＭＳ ゴシック" w:cs="ＭＳ ゴシック" w:hint="eastAsia"/>
          <w:lang w:eastAsia="ja-JP"/>
        </w:rPr>
        <w:t>べきでしょう</w:t>
      </w:r>
      <w:r>
        <w:rPr>
          <w:rFonts w:ascii="ＭＳ ゴシック" w:eastAsia="ＭＳ ゴシック" w:hAnsi="ＭＳ ゴシック" w:cs="ＭＳ ゴシック" w:hint="eastAsia"/>
          <w:lang w:eastAsia="ja-JP"/>
        </w:rPr>
        <w:t>。不確実性の定量化に関するガイダンスは、</w:t>
      </w:r>
      <w:r>
        <w:rPr>
          <w:lang w:eastAsia="ja-JP"/>
        </w:rPr>
        <w:t xml:space="preserve"> (www.ghgprotocol.org) </w:t>
      </w:r>
      <w:r>
        <w:rPr>
          <w:rFonts w:ascii="ＭＳ ゴシック" w:eastAsia="ＭＳ ゴシック" w:hAnsi="ＭＳ ゴシック" w:cs="ＭＳ ゴシック" w:hint="eastAsia"/>
          <w:lang w:eastAsia="ja-JP"/>
        </w:rPr>
        <w:t>に掲載されています。</w:t>
      </w:r>
    </w:p>
    <w:p w14:paraId="5D88BAF6" w14:textId="39A56567" w:rsidR="0055291C" w:rsidRDefault="00B43A54">
      <w:pPr>
        <w:pStyle w:val="7"/>
        <w:numPr>
          <w:ilvl w:val="3"/>
          <w:numId w:val="40"/>
        </w:numPr>
        <w:tabs>
          <w:tab w:val="left" w:pos="1854"/>
        </w:tabs>
        <w:spacing w:before="133"/>
        <w:ind w:left="1853" w:hanging="721"/>
        <w:jc w:val="left"/>
      </w:pPr>
      <w:r>
        <w:rPr>
          <w:rFonts w:ascii="ＭＳ 明朝" w:eastAsia="ＭＳ 明朝" w:hAnsi="ＭＳ 明朝" w:cs="ＭＳ 明朝" w:hint="eastAsia"/>
          <w:color w:val="00B8B1"/>
          <w:spacing w:val="-2"/>
          <w:lang w:eastAsia="ja-JP"/>
        </w:rPr>
        <w:t>不確実性の種類</w:t>
      </w:r>
    </w:p>
    <w:p w14:paraId="617950B3" w14:textId="3A6B9419" w:rsidR="0055291C" w:rsidRDefault="00B43A54" w:rsidP="00B43A54">
      <w:pPr>
        <w:pStyle w:val="a3"/>
        <w:spacing w:before="63" w:line="312" w:lineRule="auto"/>
        <w:ind w:left="1133" w:right="5" w:firstLineChars="100" w:firstLine="190"/>
        <w:rPr>
          <w:lang w:eastAsia="ja-JP"/>
        </w:rPr>
      </w:pPr>
      <w:r>
        <w:rPr>
          <w:rFonts w:ascii="ＭＳ ゴシック" w:eastAsia="ＭＳ ゴシック" w:hAnsi="ＭＳ ゴシック" w:cs="ＭＳ ゴシック" w:hint="eastAsia"/>
          <w:lang w:eastAsia="ja-JP"/>
        </w:rPr>
        <w:t>GHG排出量算出の結果は、排出量算出プロセス内の様々な原因から生じる可能性のある様々な種類の不確実性に影響されることがあります。不確実性は、パラメータの不確実性、シナリオの不確実性、およびモデルの不確実性の</w:t>
      </w:r>
      <w:r>
        <w:rPr>
          <w:lang w:eastAsia="ja-JP"/>
        </w:rPr>
        <w:t>3</w:t>
      </w:r>
      <w:r>
        <w:rPr>
          <w:rFonts w:ascii="ＭＳ ゴシック" w:eastAsia="ＭＳ ゴシック" w:hAnsi="ＭＳ ゴシック" w:cs="ＭＳ ゴシック" w:hint="eastAsia"/>
          <w:lang w:eastAsia="ja-JP"/>
        </w:rPr>
        <w:t>つに分類され、</w:t>
      </w:r>
      <w:r w:rsidR="007D0A78">
        <w:rPr>
          <w:rFonts w:ascii="ＭＳ ゴシック" w:eastAsia="ＭＳ ゴシック" w:hAnsi="ＭＳ ゴシック" w:cs="ＭＳ ゴシック" w:hint="eastAsia"/>
          <w:lang w:eastAsia="ja-JP"/>
        </w:rPr>
        <w:t>次に</w:t>
      </w:r>
      <w:r>
        <w:rPr>
          <w:rFonts w:ascii="ＭＳ ゴシック" w:eastAsia="ＭＳ ゴシック" w:hAnsi="ＭＳ ゴシック" w:cs="ＭＳ ゴシック" w:hint="eastAsia"/>
          <w:lang w:eastAsia="ja-JP"/>
        </w:rPr>
        <w:t>定義</w:t>
      </w:r>
      <w:r w:rsidR="007D0A78">
        <w:rPr>
          <w:rFonts w:ascii="ＭＳ ゴシック" w:eastAsia="ＭＳ ゴシック" w:hAnsi="ＭＳ ゴシック" w:cs="ＭＳ ゴシック" w:hint="eastAsia"/>
          <w:lang w:eastAsia="ja-JP"/>
        </w:rPr>
        <w:t>し</w:t>
      </w:r>
      <w:r>
        <w:rPr>
          <w:rFonts w:ascii="ＭＳ ゴシック" w:eastAsia="ＭＳ ゴシック" w:hAnsi="ＭＳ ゴシック" w:cs="ＭＳ ゴシック" w:hint="eastAsia"/>
          <w:lang w:eastAsia="ja-JP"/>
        </w:rPr>
        <w:t>ます。</w:t>
      </w:r>
    </w:p>
    <w:p w14:paraId="2427858E" w14:textId="542D63F6" w:rsidR="0055291C" w:rsidRPr="00A373D2" w:rsidRDefault="0055291C" w:rsidP="00A373D2">
      <w:pPr>
        <w:rPr>
          <w:sz w:val="20"/>
          <w:lang w:eastAsia="ja-JP"/>
        </w:rPr>
      </w:pPr>
    </w:p>
    <w:p w14:paraId="71309016" w14:textId="77777777" w:rsidR="002E296D" w:rsidRDefault="007D0A78" w:rsidP="002E296D">
      <w:pPr>
        <w:pStyle w:val="a3"/>
        <w:spacing w:line="312" w:lineRule="auto"/>
        <w:ind w:left="1134" w:right="297"/>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これらのカテゴリーは相互に排他的ではありません</w:t>
      </w:r>
    </w:p>
    <w:p w14:paraId="1B3B65EA" w14:textId="7A4083AD" w:rsidR="0055291C" w:rsidRDefault="007D0A78">
      <w:pPr>
        <w:pStyle w:val="a3"/>
        <w:spacing w:line="312" w:lineRule="auto"/>
        <w:ind w:left="255" w:right="1216"/>
        <w:rPr>
          <w:lang w:eastAsia="ja-JP"/>
        </w:rPr>
      </w:pPr>
      <w:r>
        <w:rPr>
          <w:rFonts w:ascii="ＭＳ ゴシック" w:eastAsia="ＭＳ ゴシック" w:hAnsi="ＭＳ ゴシック" w:cs="ＭＳ ゴシック" w:hint="eastAsia"/>
          <w:lang w:eastAsia="ja-JP"/>
        </w:rPr>
        <w:t>が、異なる方法で評価され報告されます。例えば、同じ不確実性の要因が、パラメータの不確実性の構成要素とシナリオの不確実性の構成要素のどちらか一方として特徴付けられるかもしれ</w:t>
      </w:r>
      <w:r w:rsidR="00A373D2">
        <w:rPr>
          <w:rFonts w:ascii="ＭＳ ゴシック" w:eastAsia="ＭＳ ゴシック" w:hAnsi="ＭＳ ゴシック" w:cs="ＭＳ ゴシック" w:hint="eastAsia"/>
          <w:lang w:eastAsia="ja-JP"/>
        </w:rPr>
        <w:t>ません</w:t>
      </w:r>
      <w:r>
        <w:rPr>
          <w:rFonts w:ascii="ＭＳ ゴシック" w:eastAsia="ＭＳ ゴシック" w:hAnsi="ＭＳ ゴシック" w:cs="ＭＳ ゴシック" w:hint="eastAsia"/>
          <w:lang w:eastAsia="ja-JP"/>
        </w:rPr>
        <w:t>。</w:t>
      </w:r>
    </w:p>
    <w:p w14:paraId="50C186DE" w14:textId="1DF34060" w:rsidR="0055291C" w:rsidRDefault="00A373D2" w:rsidP="00A373D2">
      <w:pPr>
        <w:pStyle w:val="a3"/>
        <w:spacing w:before="142" w:line="312" w:lineRule="auto"/>
        <w:ind w:left="255" w:right="1182" w:firstLineChars="100" w:firstLine="190"/>
        <w:rPr>
          <w:lang w:eastAsia="ja-JP"/>
        </w:rPr>
      </w:pPr>
      <w:r>
        <w:rPr>
          <w:rFonts w:ascii="ＭＳ ゴシック" w:eastAsia="ＭＳ ゴシック" w:hAnsi="ＭＳ ゴシック" w:cs="ＭＳ ゴシック" w:hint="eastAsia"/>
          <w:lang w:eastAsia="ja-JP"/>
        </w:rPr>
        <w:t>図</w:t>
      </w:r>
      <w:r>
        <w:rPr>
          <w:lang w:eastAsia="ja-JP"/>
        </w:rPr>
        <w:t>10.1</w:t>
      </w:r>
      <w:r>
        <w:rPr>
          <w:rFonts w:ascii="ＭＳ ゴシック" w:eastAsia="ＭＳ ゴシック" w:hAnsi="ＭＳ ゴシック" w:cs="ＭＳ ゴシック" w:hint="eastAsia"/>
          <w:lang w:eastAsia="ja-JP"/>
        </w:rPr>
        <w:t>に示すように、これらの種類の不確実性は、</w:t>
      </w:r>
      <w:r>
        <w:rPr>
          <w:lang w:eastAsia="ja-JP"/>
        </w:rPr>
        <w:t xml:space="preserve"> GHG</w:t>
      </w:r>
      <w:r>
        <w:rPr>
          <w:rFonts w:ascii="ＭＳ ゴシック" w:eastAsia="ＭＳ ゴシック" w:hAnsi="ＭＳ ゴシック" w:cs="ＭＳ ゴシック" w:hint="eastAsia"/>
          <w:lang w:eastAsia="ja-JP"/>
        </w:rPr>
        <w:t>排出量報告書の作成プロセスの各段階を通じて生じるものです。表</w:t>
      </w:r>
      <w:r>
        <w:rPr>
          <w:lang w:eastAsia="ja-JP"/>
        </w:rPr>
        <w:t>10.1</w:t>
      </w:r>
      <w:r>
        <w:rPr>
          <w:rFonts w:ascii="ＭＳ ゴシック" w:eastAsia="ＭＳ ゴシック" w:hAnsi="ＭＳ ゴシック" w:cs="ＭＳ ゴシック" w:hint="eastAsia"/>
          <w:lang w:eastAsia="ja-JP"/>
        </w:rPr>
        <w:t>は、これらの様々な種類の不確実性と、各種類の不確実性をどのように表示するかを示しています。</w:t>
      </w:r>
    </w:p>
    <w:p w14:paraId="2B5FC9B7" w14:textId="7AE422EF" w:rsidR="0055291C" w:rsidRDefault="00A373D2">
      <w:pPr>
        <w:spacing w:before="148"/>
        <w:ind w:left="255"/>
        <w:rPr>
          <w:rFonts w:ascii="Arial"/>
          <w:b/>
          <w:i/>
          <w:sz w:val="18"/>
          <w:lang w:eastAsia="ja-JP"/>
        </w:rPr>
      </w:pPr>
      <w:r>
        <w:rPr>
          <w:rFonts w:ascii="ＭＳ ゴシック" w:eastAsia="ＭＳ ゴシック" w:hAnsi="ＭＳ ゴシック" w:cs="ＭＳ ゴシック" w:hint="eastAsia"/>
          <w:b/>
          <w:i/>
          <w:color w:val="7F3F98"/>
          <w:sz w:val="18"/>
          <w:lang w:eastAsia="ja-JP"/>
        </w:rPr>
        <w:t>パラメータの不確実性</w:t>
      </w:r>
    </w:p>
    <w:p w14:paraId="14CA4DDF" w14:textId="646EE9DB" w:rsidR="0055291C" w:rsidRDefault="00A373D2" w:rsidP="00A373D2">
      <w:pPr>
        <w:pStyle w:val="a3"/>
        <w:spacing w:before="67" w:line="312" w:lineRule="auto"/>
        <w:ind w:left="255" w:right="1170" w:firstLineChars="100" w:firstLine="190"/>
        <w:rPr>
          <w:lang w:eastAsia="ja-JP"/>
        </w:rPr>
      </w:pPr>
      <w:r>
        <w:rPr>
          <w:rFonts w:ascii="ＭＳ ゴシック" w:eastAsia="ＭＳ ゴシック" w:hAnsi="ＭＳ ゴシック" w:cs="ＭＳ ゴシック" w:hint="eastAsia"/>
          <w:lang w:eastAsia="ja-JP"/>
        </w:rPr>
        <w:t>パラメータの不確実性とは、報告書で使用される値が、製品のライフサイクルにおけるプロセスまたは活動を正確に表しているかどうかに関する不確実性のことです。パラメータの不確実性を決定できる場合、それは通常、</w:t>
      </w:r>
      <w:r>
        <w:rPr>
          <w:lang w:eastAsia="ja-JP"/>
        </w:rPr>
        <w:t xml:space="preserve"> </w:t>
      </w:r>
      <w:r>
        <w:rPr>
          <w:rFonts w:ascii="ＭＳ ゴシック" w:eastAsia="ＭＳ ゴシック" w:hAnsi="ＭＳ ゴシック" w:cs="ＭＳ ゴシック" w:hint="eastAsia"/>
          <w:lang w:eastAsia="ja-JP"/>
        </w:rPr>
        <w:t>算出結果に使用される値を含む可能性のある値の確率分布として表すことができます。結果の不確実性を評価する際に、パラメータの不確実性をモデル内で伝播させ、最終的な算出結果の不確実性の定量的尺度（確率分布としても）を提供することができます。</w:t>
      </w:r>
    </w:p>
    <w:p w14:paraId="301A1611" w14:textId="70ED0CB1" w:rsidR="0055291C" w:rsidRDefault="00B82FBF">
      <w:pPr>
        <w:spacing w:before="160"/>
        <w:ind w:left="255"/>
        <w:rPr>
          <w:rFonts w:ascii="Arial"/>
          <w:b/>
          <w:i/>
          <w:sz w:val="17"/>
          <w:lang w:eastAsia="ja-JP"/>
        </w:rPr>
      </w:pPr>
      <w:r>
        <w:rPr>
          <w:rFonts w:ascii="ＭＳ ゴシック" w:eastAsia="ＭＳ ゴシック" w:hAnsi="ＭＳ ゴシック" w:cs="ＭＳ ゴシック" w:hint="eastAsia"/>
          <w:b/>
          <w:i/>
          <w:color w:val="545456"/>
          <w:sz w:val="17"/>
          <w:lang w:eastAsia="ja-JP"/>
        </w:rPr>
        <w:t>単一パラメータの不確実性</w:t>
      </w:r>
    </w:p>
    <w:p w14:paraId="25B16B19" w14:textId="3E073F89" w:rsidR="0055291C" w:rsidRDefault="00B82FBF">
      <w:pPr>
        <w:pStyle w:val="a3"/>
        <w:spacing w:before="1" w:line="312" w:lineRule="auto"/>
        <w:ind w:left="255" w:right="1195"/>
        <w:rPr>
          <w:lang w:eastAsia="ja-JP"/>
        </w:rPr>
      </w:pPr>
      <w:r>
        <w:rPr>
          <w:rFonts w:ascii="ＭＳ ゴシック" w:eastAsia="ＭＳ ゴシック" w:hAnsi="ＭＳ ゴシック" w:cs="ＭＳ ゴシック" w:hint="eastAsia"/>
          <w:lang w:eastAsia="ja-JP"/>
        </w:rPr>
        <w:t>パラメータの不確実性は、パラメータを表すために使用されるデータが、算出のプロセスの不確実性評価にどの程度適合しているかという問題を扱いま</w:t>
      </w:r>
      <w:r>
        <w:rPr>
          <w:lang w:eastAsia="ja-JP"/>
        </w:rPr>
        <w:t xml:space="preserve"> </w:t>
      </w:r>
      <w:r>
        <w:rPr>
          <w:rFonts w:ascii="ＭＳ ゴシック" w:eastAsia="ＭＳ ゴシック" w:hAnsi="ＭＳ ゴシック" w:cs="ＭＳ ゴシック" w:hint="eastAsia"/>
          <w:lang w:eastAsia="ja-JP"/>
        </w:rPr>
        <w:t>す。単一パラメータ不確実性とは、あるパラメータの真の値に関する不完全な知識を指します</w:t>
      </w:r>
      <w:r w:rsidRPr="00B82FBF">
        <w:rPr>
          <w:vertAlign w:val="superscript"/>
          <w:lang w:eastAsia="ja-JP"/>
        </w:rPr>
        <w:t>1</w:t>
      </w:r>
      <w:r>
        <w:rPr>
          <w:rFonts w:ascii="ＭＳ ゴシック" w:eastAsia="ＭＳ ゴシック" w:hAnsi="ＭＳ ゴシック" w:cs="ＭＳ ゴシック" w:hint="eastAsia"/>
          <w:lang w:eastAsia="ja-JP"/>
        </w:rPr>
        <w:t>。これは、直接排出データ、活動データ、排出因子の</w:t>
      </w:r>
      <w:r>
        <w:rPr>
          <w:lang w:eastAsia="ja-JP"/>
        </w:rPr>
        <w:t>3</w:t>
      </w:r>
      <w:r>
        <w:rPr>
          <w:rFonts w:ascii="ＭＳ ゴシック" w:eastAsia="ＭＳ ゴシック" w:hAnsi="ＭＳ ゴシック" w:cs="ＭＳ ゴシック" w:hint="eastAsia"/>
          <w:lang w:eastAsia="ja-JP"/>
        </w:rPr>
        <w:t>つのデータとの関連で発生する可能性があります。</w:t>
      </w:r>
    </w:p>
    <w:p w14:paraId="22666557"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967" w:space="40"/>
            <w:col w:w="6233"/>
          </w:cols>
        </w:sectPr>
      </w:pPr>
    </w:p>
    <w:p w14:paraId="4D4A8A7B" w14:textId="77777777" w:rsidR="0055291C" w:rsidRDefault="0055291C">
      <w:pPr>
        <w:pStyle w:val="a3"/>
        <w:rPr>
          <w:sz w:val="20"/>
          <w:lang w:eastAsia="ja-JP"/>
        </w:rPr>
      </w:pPr>
    </w:p>
    <w:p w14:paraId="3FAF5C49" w14:textId="77777777" w:rsidR="0055291C" w:rsidRDefault="0055291C">
      <w:pPr>
        <w:pStyle w:val="a3"/>
        <w:rPr>
          <w:sz w:val="20"/>
          <w:lang w:eastAsia="ja-JP"/>
        </w:rPr>
      </w:pPr>
    </w:p>
    <w:p w14:paraId="457440EC" w14:textId="77777777" w:rsidR="0055291C" w:rsidRDefault="0055291C">
      <w:pPr>
        <w:pStyle w:val="a3"/>
        <w:rPr>
          <w:sz w:val="20"/>
          <w:lang w:eastAsia="ja-JP"/>
        </w:rPr>
      </w:pPr>
    </w:p>
    <w:p w14:paraId="17EB86DD" w14:textId="77777777" w:rsidR="0055291C" w:rsidRDefault="0055291C">
      <w:pPr>
        <w:pStyle w:val="a3"/>
        <w:spacing w:before="4"/>
        <w:rPr>
          <w:sz w:val="24"/>
          <w:lang w:eastAsia="ja-JP"/>
        </w:rPr>
      </w:pPr>
    </w:p>
    <w:p w14:paraId="41A179B1" w14:textId="77777777" w:rsidR="0055291C" w:rsidRDefault="00000000">
      <w:pPr>
        <w:spacing w:before="1"/>
        <w:ind w:left="7984"/>
        <w:rPr>
          <w:rFonts w:ascii="Arial"/>
          <w:i/>
          <w:sz w:val="19"/>
        </w:rPr>
      </w:pPr>
      <w:r>
        <w:pict w14:anchorId="3966D4ED">
          <v:shape id="docshape1277" o:spid="_x0000_s2560" style="position:absolute;left:0;text-align:left;margin-left:580.75pt;margin-top:-47.75pt;width:31.3pt;height:285.85pt;z-index:251629056;mso-position-horizontal-relative:page" coordorigin="11615,-955" coordsize="626,5717" path="m12240,-955r-625,l11615,4535r3,131l11643,4733r67,25l11842,4761r398,l12240,-955xe" fillcolor="#00aca1" stroked="f">
            <v:path arrowok="t"/>
            <w10:wrap anchorx="page"/>
          </v:shape>
        </w:pict>
      </w:r>
      <w:r w:rsidR="00F23C61">
        <w:rPr>
          <w:rFonts w:ascii="Arial"/>
          <w:b/>
          <w:i/>
          <w:color w:val="7F3F98"/>
          <w:w w:val="95"/>
          <w:sz w:val="19"/>
        </w:rPr>
        <w:t>CHAPTER</w:t>
      </w:r>
      <w:r w:rsidR="00F23C61">
        <w:rPr>
          <w:rFonts w:ascii="Arial"/>
          <w:b/>
          <w:i/>
          <w:color w:val="7F3F98"/>
          <w:spacing w:val="38"/>
          <w:w w:val="95"/>
          <w:sz w:val="19"/>
        </w:rPr>
        <w:t xml:space="preserve"> </w:t>
      </w:r>
      <w:r w:rsidR="00F23C61">
        <w:rPr>
          <w:rFonts w:ascii="Arial"/>
          <w:b/>
          <w:i/>
          <w:color w:val="7F3F98"/>
          <w:w w:val="95"/>
          <w:sz w:val="19"/>
        </w:rPr>
        <w:t>10</w:t>
      </w:r>
      <w:r w:rsidR="00F23C61">
        <w:rPr>
          <w:rFonts w:ascii="Arial"/>
          <w:b/>
          <w:i/>
          <w:color w:val="7F3F98"/>
          <w:spacing w:val="39"/>
          <w:w w:val="95"/>
          <w:sz w:val="19"/>
        </w:rPr>
        <w:t xml:space="preserve"> </w:t>
      </w:r>
      <w:r w:rsidR="00F23C61">
        <w:rPr>
          <w:rFonts w:ascii="Arial"/>
          <w:i/>
          <w:color w:val="545456"/>
          <w:w w:val="95"/>
          <w:sz w:val="19"/>
        </w:rPr>
        <w:t>Assessing</w:t>
      </w:r>
      <w:r w:rsidR="00F23C61">
        <w:rPr>
          <w:rFonts w:ascii="Arial"/>
          <w:i/>
          <w:color w:val="545456"/>
          <w:spacing w:val="35"/>
          <w:w w:val="95"/>
          <w:sz w:val="19"/>
        </w:rPr>
        <w:t xml:space="preserve"> </w:t>
      </w:r>
      <w:r w:rsidR="00F23C61">
        <w:rPr>
          <w:rFonts w:ascii="Arial"/>
          <w:i/>
          <w:color w:val="545456"/>
          <w:w w:val="95"/>
          <w:sz w:val="19"/>
        </w:rPr>
        <w:t>Uncertainty</w:t>
      </w:r>
    </w:p>
    <w:p w14:paraId="6AC657FC" w14:textId="77777777" w:rsidR="0055291C" w:rsidRDefault="0055291C">
      <w:pPr>
        <w:pStyle w:val="a3"/>
        <w:rPr>
          <w:rFonts w:ascii="Arial"/>
          <w:i/>
          <w:sz w:val="20"/>
        </w:rPr>
      </w:pPr>
    </w:p>
    <w:p w14:paraId="562A52D6" w14:textId="77777777" w:rsidR="0055291C" w:rsidRDefault="0055291C">
      <w:pPr>
        <w:rPr>
          <w:rFonts w:ascii="Arial"/>
          <w:sz w:val="20"/>
        </w:rPr>
        <w:sectPr w:rsidR="0055291C">
          <w:headerReference w:type="default" r:id="rId258"/>
          <w:pgSz w:w="12240" w:h="15840"/>
          <w:pgMar w:top="0" w:right="0" w:bottom="1040" w:left="0" w:header="0" w:footer="859" w:gutter="0"/>
          <w:cols w:space="720"/>
        </w:sectPr>
      </w:pPr>
    </w:p>
    <w:p w14:paraId="30B8B1FC" w14:textId="77777777" w:rsidR="0055291C" w:rsidRDefault="0055291C">
      <w:pPr>
        <w:pStyle w:val="a3"/>
        <w:rPr>
          <w:rFonts w:ascii="Arial"/>
          <w:i/>
          <w:sz w:val="21"/>
        </w:rPr>
      </w:pPr>
    </w:p>
    <w:p w14:paraId="6F271EA1" w14:textId="1D23031E" w:rsidR="0055291C" w:rsidRPr="002E296D" w:rsidRDefault="00F23C61" w:rsidP="002E296D">
      <w:pPr>
        <w:ind w:left="1174"/>
        <w:rPr>
          <w:rFonts w:ascii="Arial"/>
          <w:b/>
          <w:sz w:val="20"/>
        </w:rPr>
      </w:pPr>
      <w:r>
        <w:rPr>
          <w:rFonts w:ascii="Arial"/>
          <w:b/>
          <w:color w:val="00ACA1"/>
          <w:w w:val="95"/>
          <w:sz w:val="20"/>
        </w:rPr>
        <w:t>Table</w:t>
      </w:r>
      <w:r>
        <w:rPr>
          <w:rFonts w:ascii="Arial"/>
          <w:b/>
          <w:color w:val="00ACA1"/>
          <w:spacing w:val="4"/>
          <w:w w:val="95"/>
          <w:sz w:val="20"/>
        </w:rPr>
        <w:t xml:space="preserve"> </w:t>
      </w:r>
      <w:r>
        <w:rPr>
          <w:rFonts w:ascii="Arial"/>
          <w:b/>
          <w:color w:val="00ACA1"/>
          <w:w w:val="95"/>
          <w:sz w:val="20"/>
        </w:rPr>
        <w:t>[10.1]</w:t>
      </w:r>
      <w:r>
        <w:rPr>
          <w:rFonts w:ascii="Arial"/>
          <w:b/>
          <w:color w:val="00ACA1"/>
          <w:spacing w:val="5"/>
          <w:w w:val="95"/>
          <w:sz w:val="20"/>
        </w:rPr>
        <w:t xml:space="preserve"> </w:t>
      </w:r>
      <w:r w:rsidR="002E296D">
        <w:rPr>
          <w:rFonts w:ascii="ＭＳ ゴシック" w:eastAsia="ＭＳ ゴシック" w:hAnsi="ＭＳ ゴシック" w:cs="ＭＳ ゴシック" w:hint="eastAsia"/>
          <w:b/>
          <w:color w:val="545456"/>
          <w:w w:val="95"/>
          <w:sz w:val="20"/>
          <w:lang w:eastAsia="ja-JP"/>
        </w:rPr>
        <w:t>不確実性の種類と対応する</w:t>
      </w:r>
      <w:r w:rsidR="00A565FE">
        <w:rPr>
          <w:rFonts w:ascii="ＭＳ ゴシック" w:eastAsia="ＭＳ ゴシック" w:hAnsi="ＭＳ ゴシック" w:cs="ＭＳ ゴシック" w:hint="eastAsia"/>
          <w:b/>
          <w:color w:val="545456"/>
          <w:w w:val="95"/>
          <w:sz w:val="20"/>
          <w:lang w:eastAsia="ja-JP"/>
        </w:rPr>
        <w:t>データ元</w:t>
      </w:r>
      <w:r w:rsidR="00000000">
        <w:pict w14:anchorId="39035E0B">
          <v:group id="docshapegroup1278" o:spid="_x0000_s2546" style="position:absolute;left:0;text-align:left;margin-left:45.1pt;margin-top:25.75pt;width:255.45pt;height:176pt;z-index:251630080;mso-position-horizontal-relative:page;mso-position-vertical-relative:text" coordorigin="902,515" coordsize="5109,3520">
            <v:shape id="docshape1279" o:spid="_x0000_s2559" style="position:absolute;left:1133;top:515;width:2258;height:496" coordorigin="1134,515" coordsize="2258,496" path="m3223,515r-1921,l1205,518r-50,18l1136,586r-2,97l1134,1010r2258,l3392,683r-3,-97l3370,536r-50,-18l3223,515xe" fillcolor="#00aca1" stroked="f">
              <v:path arrowok="t"/>
            </v:shape>
            <v:shape id="docshape1280" o:spid="_x0000_s2558" style="position:absolute;left:1133;top:1072;width:2258;height:2962" coordorigin="1134,1073" coordsize="2258,2962" path="m3392,1073r-2258,l1134,3866r2,97l1155,4013r50,19l1302,4034r1921,l3320,4032r50,-19l3389,3963r3,-97l3392,1073xe" fillcolor="#f3f4f4" stroked="f">
              <v:path arrowok="t"/>
            </v:shape>
            <v:shape id="docshape1281" o:spid="_x0000_s2557" style="position:absolute;left:3693;top:515;width:2258;height:496" coordorigin="3694,515" coordsize="2258,496" path="m5783,515r-1921,l3765,518r-50,18l3697,586r-3,97l3694,1010r2258,l5952,683r-3,-97l5931,536r-50,-18l5783,515xe" fillcolor="#00aca1" stroked="f">
              <v:path arrowok="t"/>
            </v:shape>
            <v:shape id="docshape1282" o:spid="_x0000_s2556" style="position:absolute;left:3693;top:1072;width:2258;height:2962" coordorigin="3694,1073" coordsize="2258,2962" path="m5952,1073r-2258,l3694,3866r3,97l3715,4013r50,19l3862,4034r1921,l5881,4032r50,-19l5949,3963r3,-97l5952,1073xe" fillcolor="#f3f4f4" stroked="f">
              <v:path arrowok="t"/>
            </v:shape>
            <v:line id="_x0000_s2555" style="position:absolute" from="902,2905" to="6011,2905" strokecolor="white" strokeweight="2pt"/>
            <v:line id="_x0000_s2554" style="position:absolute" from="902,3514" to="6011,3514" strokecolor="white" strokeweight="2pt"/>
            <v:shape id="docshape1283" o:spid="_x0000_s2553" type="#_x0000_t202" style="position:absolute;left:1213;top:660;width:1911;height:247" filled="f" stroked="f">
              <v:textbox style="mso-next-textbox:#docshape1283" inset="0,0,0,0">
                <w:txbxContent>
                  <w:p w14:paraId="7407E952" w14:textId="6F4A67CE" w:rsidR="0055291C" w:rsidRDefault="002E296D">
                    <w:pPr>
                      <w:spacing w:line="247" w:lineRule="exact"/>
                      <w:rPr>
                        <w:rFonts w:ascii="Arial"/>
                        <w:b/>
                        <w:i/>
                      </w:rPr>
                    </w:pPr>
                    <w:r>
                      <w:rPr>
                        <w:rFonts w:ascii="ＭＳ ゴシック" w:eastAsia="ＭＳ ゴシック" w:hAnsi="ＭＳ ゴシック" w:cs="ＭＳ ゴシック" w:hint="eastAsia"/>
                        <w:b/>
                        <w:i/>
                        <w:color w:val="F1F1F2"/>
                        <w:spacing w:val="-7"/>
                        <w:w w:val="95"/>
                        <w:lang w:eastAsia="ja-JP"/>
                      </w:rPr>
                      <w:t>不確実性の種類</w:t>
                    </w:r>
                  </w:p>
                </w:txbxContent>
              </v:textbox>
            </v:shape>
            <v:shape id="docshape1284" o:spid="_x0000_s2552" type="#_x0000_t202" style="position:absolute;left:3751;top:660;width:802;height:247" filled="f" stroked="f">
              <v:textbox style="mso-next-textbox:#docshape1284" inset="0,0,0,0">
                <w:txbxContent>
                  <w:p w14:paraId="794B9C6F" w14:textId="21865652" w:rsidR="0055291C" w:rsidRDefault="00A565FE">
                    <w:pPr>
                      <w:spacing w:line="247" w:lineRule="exact"/>
                      <w:rPr>
                        <w:rFonts w:ascii="Arial"/>
                        <w:b/>
                        <w:i/>
                      </w:rPr>
                    </w:pPr>
                    <w:r>
                      <w:rPr>
                        <w:rFonts w:ascii="ＭＳ ゴシック" w:eastAsia="ＭＳ ゴシック" w:hAnsi="ＭＳ ゴシック" w:cs="ＭＳ ゴシック" w:hint="eastAsia"/>
                        <w:b/>
                        <w:i/>
                        <w:color w:val="F1F1F2"/>
                        <w:w w:val="90"/>
                        <w:lang w:eastAsia="ja-JP"/>
                      </w:rPr>
                      <w:t>データ元</w:t>
                    </w:r>
                  </w:p>
                </w:txbxContent>
              </v:textbox>
            </v:shape>
            <v:shape id="docshape1285" o:spid="_x0000_s2551" type="#_x0000_t202" style="position:absolute;left:1213;top:1163;width:2067;height:213" filled="f" stroked="f">
              <v:textbox style="mso-next-textbox:#docshape1285" inset="0,0,0,0">
                <w:txbxContent>
                  <w:p w14:paraId="4AD4014F" w14:textId="79668C5E" w:rsidR="0055291C" w:rsidRDefault="002E296D">
                    <w:pPr>
                      <w:spacing w:line="213" w:lineRule="exact"/>
                      <w:rPr>
                        <w:rFonts w:ascii="Arial"/>
                        <w:b/>
                        <w:sz w:val="19"/>
                        <w:lang w:eastAsia="ja-JP"/>
                      </w:rPr>
                    </w:pPr>
                    <w:r>
                      <w:rPr>
                        <w:rFonts w:ascii="ＭＳ ゴシック" w:eastAsia="ＭＳ ゴシック" w:hAnsi="ＭＳ ゴシック" w:cs="ＭＳ ゴシック" w:hint="eastAsia"/>
                        <w:b/>
                        <w:color w:val="545456"/>
                        <w:sz w:val="19"/>
                        <w:lang w:eastAsia="ja-JP"/>
                      </w:rPr>
                      <w:t>パラメータの不確実性</w:t>
                    </w:r>
                    <w:r w:rsidR="00F23C61">
                      <w:rPr>
                        <w:rFonts w:ascii="Arial"/>
                        <w:b/>
                        <w:color w:val="545456"/>
                        <w:sz w:val="19"/>
                        <w:lang w:eastAsia="ja-JP"/>
                      </w:rPr>
                      <w:t>ty</w:t>
                    </w:r>
                  </w:p>
                </w:txbxContent>
              </v:textbox>
            </v:shape>
            <v:shape id="docshape1286" o:spid="_x0000_s2550" type="#_x0000_t202" style="position:absolute;left:3751;top:1116;width:2055;height:1662" filled="f" stroked="f">
              <v:textbox style="mso-next-textbox:#docshape1286" inset="0,0,0,0">
                <w:txbxContent>
                  <w:p w14:paraId="246AB647" w14:textId="5C8F0151" w:rsidR="0055291C" w:rsidRDefault="002E296D">
                    <w:pPr>
                      <w:numPr>
                        <w:ilvl w:val="0"/>
                        <w:numId w:val="38"/>
                      </w:numPr>
                      <w:tabs>
                        <w:tab w:val="left" w:pos="253"/>
                      </w:tabs>
                      <w:spacing w:line="275" w:lineRule="exact"/>
                      <w:rPr>
                        <w:sz w:val="19"/>
                      </w:rPr>
                    </w:pPr>
                    <w:r>
                      <w:rPr>
                        <w:rFonts w:ascii="ＭＳ ゴシック" w:eastAsia="ＭＳ ゴシック" w:hAnsi="ＭＳ ゴシック" w:cs="ＭＳ ゴシック" w:hint="eastAsia"/>
                        <w:color w:val="545456"/>
                        <w:w w:val="95"/>
                        <w:sz w:val="19"/>
                        <w:lang w:eastAsia="ja-JP"/>
                      </w:rPr>
                      <w:t>直接排出データ</w:t>
                    </w:r>
                  </w:p>
                  <w:p w14:paraId="2CDF8109" w14:textId="41DCF1AB" w:rsidR="0055291C" w:rsidRDefault="002E296D">
                    <w:pPr>
                      <w:numPr>
                        <w:ilvl w:val="0"/>
                        <w:numId w:val="38"/>
                      </w:numPr>
                      <w:tabs>
                        <w:tab w:val="left" w:pos="253"/>
                      </w:tabs>
                      <w:spacing w:before="31"/>
                      <w:rPr>
                        <w:sz w:val="19"/>
                      </w:rPr>
                    </w:pPr>
                    <w:r>
                      <w:rPr>
                        <w:rFonts w:ascii="ＭＳ ゴシック" w:eastAsia="ＭＳ ゴシック" w:hAnsi="ＭＳ ゴシック" w:cs="ＭＳ ゴシック" w:hint="eastAsia"/>
                        <w:color w:val="545456"/>
                        <w:sz w:val="19"/>
                        <w:lang w:eastAsia="ja-JP"/>
                      </w:rPr>
                      <w:t>活動データ</w:t>
                    </w:r>
                  </w:p>
                  <w:p w14:paraId="1565F570" w14:textId="01538391" w:rsidR="0055291C" w:rsidRDefault="002E296D">
                    <w:pPr>
                      <w:numPr>
                        <w:ilvl w:val="0"/>
                        <w:numId w:val="38"/>
                      </w:numPr>
                      <w:tabs>
                        <w:tab w:val="left" w:pos="253"/>
                      </w:tabs>
                      <w:spacing w:before="32"/>
                      <w:rPr>
                        <w:sz w:val="19"/>
                      </w:rPr>
                    </w:pPr>
                    <w:r>
                      <w:rPr>
                        <w:rFonts w:ascii="ＭＳ ゴシック" w:eastAsia="ＭＳ ゴシック" w:hAnsi="ＭＳ ゴシック" w:cs="ＭＳ ゴシック" w:hint="eastAsia"/>
                        <w:sz w:val="19"/>
                        <w:lang w:eastAsia="ja-JP"/>
                      </w:rPr>
                      <w:t>排出係数データ</w:t>
                    </w:r>
                  </w:p>
                  <w:p w14:paraId="038581E3" w14:textId="7FEFE96F" w:rsidR="0055291C" w:rsidRDefault="002E296D">
                    <w:pPr>
                      <w:numPr>
                        <w:ilvl w:val="0"/>
                        <w:numId w:val="38"/>
                      </w:numPr>
                      <w:tabs>
                        <w:tab w:val="left" w:pos="253"/>
                      </w:tabs>
                      <w:spacing w:before="27" w:line="259" w:lineRule="auto"/>
                      <w:ind w:right="474"/>
                      <w:jc w:val="both"/>
                      <w:rPr>
                        <w:sz w:val="19"/>
                      </w:rPr>
                    </w:pPr>
                    <w:r>
                      <w:rPr>
                        <w:rFonts w:ascii="ＭＳ ゴシック" w:eastAsia="ＭＳ ゴシック" w:hAnsi="ＭＳ ゴシック" w:cs="ＭＳ ゴシック" w:hint="eastAsia"/>
                        <w:color w:val="545456"/>
                        <w:sz w:val="19"/>
                        <w:lang w:eastAsia="ja-JP"/>
                      </w:rPr>
                      <w:t>地球温暖化係数</w:t>
                    </w:r>
                    <w:r w:rsidR="00F23C61">
                      <w:rPr>
                        <w:color w:val="545456"/>
                        <w:w w:val="95"/>
                        <w:sz w:val="19"/>
                      </w:rPr>
                      <w:t>(GWP)</w:t>
                    </w:r>
                    <w:r w:rsidR="00F23C61">
                      <w:rPr>
                        <w:color w:val="545456"/>
                        <w:spacing w:val="-45"/>
                        <w:w w:val="95"/>
                        <w:sz w:val="19"/>
                      </w:rPr>
                      <w:t xml:space="preserve"> </w:t>
                    </w:r>
                  </w:p>
                </w:txbxContent>
              </v:textbox>
            </v:shape>
            <v:shape id="docshape1287" o:spid="_x0000_s2549" type="#_x0000_t202" style="position:absolute;left:1213;top:2998;width:1874;height:213" filled="f" stroked="f">
              <v:textbox style="mso-next-textbox:#docshape1287" inset="0,0,0,0">
                <w:txbxContent>
                  <w:p w14:paraId="7EB5E3F5" w14:textId="130E2F0D" w:rsidR="0055291C" w:rsidRDefault="002E296D">
                    <w:pPr>
                      <w:spacing w:line="213" w:lineRule="exact"/>
                      <w:rPr>
                        <w:rFonts w:ascii="Arial"/>
                        <w:b/>
                        <w:sz w:val="19"/>
                      </w:rPr>
                    </w:pPr>
                    <w:r>
                      <w:rPr>
                        <w:rFonts w:ascii="ＭＳ ゴシック" w:eastAsia="ＭＳ ゴシック" w:hAnsi="ＭＳ ゴシック" w:cs="ＭＳ ゴシック" w:hint="eastAsia"/>
                        <w:b/>
                        <w:color w:val="545456"/>
                        <w:spacing w:val="-1"/>
                        <w:sz w:val="19"/>
                        <w:lang w:eastAsia="ja-JP"/>
                      </w:rPr>
                      <w:t>シナリオの不確実性</w:t>
                    </w:r>
                  </w:p>
                </w:txbxContent>
              </v:textbox>
            </v:shape>
            <v:shape id="docshape1288" o:spid="_x0000_s2548" type="#_x0000_t202" style="position:absolute;left:3751;top:2951;width:1587;height:500" filled="f" stroked="f">
              <v:textbox style="mso-next-textbox:#docshape1288" inset="0,0,0,0">
                <w:txbxContent>
                  <w:p w14:paraId="01806450" w14:textId="0B6B8488" w:rsidR="0055291C" w:rsidRDefault="00A565FE">
                    <w:pPr>
                      <w:numPr>
                        <w:ilvl w:val="0"/>
                        <w:numId w:val="37"/>
                      </w:numPr>
                      <w:tabs>
                        <w:tab w:val="left" w:pos="253"/>
                      </w:tabs>
                      <w:spacing w:line="252" w:lineRule="auto"/>
                      <w:ind w:right="18"/>
                      <w:rPr>
                        <w:sz w:val="19"/>
                      </w:rPr>
                    </w:pPr>
                    <w:r>
                      <w:rPr>
                        <w:rFonts w:ascii="ＭＳ ゴシック" w:eastAsia="ＭＳ ゴシック" w:hAnsi="ＭＳ ゴシック" w:cs="ＭＳ ゴシック" w:hint="eastAsia"/>
                        <w:color w:val="545456"/>
                        <w:sz w:val="19"/>
                        <w:lang w:eastAsia="ja-JP"/>
                      </w:rPr>
                      <w:t>方法論の選択</w:t>
                    </w:r>
                  </w:p>
                </w:txbxContent>
              </v:textbox>
            </v:shape>
            <v:shape id="docshape1289" o:spid="_x0000_s2547" type="#_x0000_t202" style="position:absolute;left:1213;top:3600;width:4270;height:270" filled="f" stroked="f">
              <v:textbox style="mso-next-textbox:#docshape1289" inset="0,0,0,0">
                <w:txbxContent>
                  <w:p w14:paraId="30C214F9" w14:textId="65C39E7A" w:rsidR="0055291C" w:rsidRDefault="002E296D">
                    <w:pPr>
                      <w:tabs>
                        <w:tab w:val="left" w:pos="2538"/>
                      </w:tabs>
                      <w:spacing w:line="269" w:lineRule="exact"/>
                      <w:rPr>
                        <w:sz w:val="19"/>
                        <w:lang w:eastAsia="ja-JP"/>
                      </w:rPr>
                    </w:pPr>
                    <w:r>
                      <w:rPr>
                        <w:rFonts w:ascii="ＭＳ ゴシック" w:eastAsia="ＭＳ ゴシック" w:hAnsi="ＭＳ ゴシック" w:cs="ＭＳ ゴシック" w:hint="eastAsia"/>
                        <w:b/>
                        <w:color w:val="545456"/>
                        <w:sz w:val="19"/>
                        <w:lang w:eastAsia="ja-JP"/>
                      </w:rPr>
                      <w:t>モデルの不確実性</w:t>
                    </w:r>
                    <w:r w:rsidR="00F23C61">
                      <w:rPr>
                        <w:rFonts w:ascii="Arial" w:hAnsi="Arial"/>
                        <w:b/>
                        <w:color w:val="545456"/>
                        <w:sz w:val="19"/>
                        <w:lang w:eastAsia="ja-JP"/>
                      </w:rPr>
                      <w:tab/>
                    </w:r>
                    <w:r w:rsidR="00F23C61">
                      <w:rPr>
                        <w:rFonts w:ascii="Arial" w:hAnsi="Arial"/>
                        <w:b/>
                        <w:i/>
                        <w:color w:val="00ACA1"/>
                        <w:sz w:val="24"/>
                        <w:lang w:eastAsia="ja-JP"/>
                      </w:rPr>
                      <w:t xml:space="preserve">•  </w:t>
                    </w:r>
                    <w:r w:rsidR="00A565FE">
                      <w:rPr>
                        <w:rFonts w:ascii="ＭＳ ゴシック" w:eastAsia="ＭＳ ゴシック" w:hAnsi="ＭＳ ゴシック" w:cs="ＭＳ ゴシック" w:hint="eastAsia"/>
                        <w:color w:val="545456"/>
                        <w:sz w:val="19"/>
                        <w:lang w:eastAsia="ja-JP"/>
                      </w:rPr>
                      <w:t>モデルの制限</w:t>
                    </w:r>
                  </w:p>
                </w:txbxContent>
              </v:textbox>
            </v:shape>
            <w10:wrap anchorx="page"/>
          </v:group>
        </w:pict>
      </w:r>
    </w:p>
    <w:p w14:paraId="4ACEF070" w14:textId="77777777" w:rsidR="0055291C" w:rsidRDefault="0055291C">
      <w:pPr>
        <w:pStyle w:val="a3"/>
        <w:rPr>
          <w:rFonts w:ascii="Arial"/>
          <w:b/>
          <w:sz w:val="22"/>
        </w:rPr>
      </w:pPr>
    </w:p>
    <w:p w14:paraId="7FEACC87" w14:textId="77777777" w:rsidR="0055291C" w:rsidRDefault="0055291C">
      <w:pPr>
        <w:pStyle w:val="a3"/>
        <w:rPr>
          <w:rFonts w:ascii="Arial"/>
          <w:b/>
          <w:sz w:val="22"/>
        </w:rPr>
      </w:pPr>
    </w:p>
    <w:p w14:paraId="6DB5610F" w14:textId="77777777" w:rsidR="0055291C" w:rsidRDefault="0055291C">
      <w:pPr>
        <w:pStyle w:val="a3"/>
        <w:rPr>
          <w:rFonts w:ascii="Arial"/>
          <w:b/>
          <w:sz w:val="22"/>
        </w:rPr>
      </w:pPr>
    </w:p>
    <w:p w14:paraId="62596CC4" w14:textId="77777777" w:rsidR="0055291C" w:rsidRDefault="0055291C">
      <w:pPr>
        <w:pStyle w:val="a3"/>
        <w:rPr>
          <w:rFonts w:ascii="Arial"/>
          <w:b/>
          <w:sz w:val="22"/>
        </w:rPr>
      </w:pPr>
    </w:p>
    <w:p w14:paraId="1BAE7FD6" w14:textId="77777777" w:rsidR="0055291C" w:rsidRDefault="0055291C">
      <w:pPr>
        <w:pStyle w:val="a3"/>
        <w:rPr>
          <w:rFonts w:ascii="Arial"/>
          <w:b/>
          <w:sz w:val="22"/>
        </w:rPr>
      </w:pPr>
    </w:p>
    <w:p w14:paraId="106AE60C" w14:textId="77777777" w:rsidR="0055291C" w:rsidRDefault="0055291C">
      <w:pPr>
        <w:pStyle w:val="a3"/>
        <w:rPr>
          <w:rFonts w:ascii="Arial"/>
          <w:b/>
          <w:sz w:val="22"/>
        </w:rPr>
      </w:pPr>
    </w:p>
    <w:p w14:paraId="700821C3" w14:textId="77777777" w:rsidR="0055291C" w:rsidRDefault="0055291C">
      <w:pPr>
        <w:pStyle w:val="a3"/>
        <w:rPr>
          <w:rFonts w:ascii="Arial"/>
          <w:b/>
          <w:sz w:val="22"/>
        </w:rPr>
      </w:pPr>
    </w:p>
    <w:p w14:paraId="03043A04" w14:textId="77777777" w:rsidR="0055291C" w:rsidRDefault="0055291C">
      <w:pPr>
        <w:pStyle w:val="a3"/>
        <w:rPr>
          <w:rFonts w:ascii="Arial"/>
          <w:b/>
          <w:sz w:val="22"/>
        </w:rPr>
      </w:pPr>
    </w:p>
    <w:p w14:paraId="54326ED0" w14:textId="77777777" w:rsidR="0055291C" w:rsidRDefault="0055291C">
      <w:pPr>
        <w:pStyle w:val="a3"/>
        <w:rPr>
          <w:rFonts w:ascii="Arial"/>
          <w:b/>
          <w:sz w:val="22"/>
        </w:rPr>
      </w:pPr>
    </w:p>
    <w:p w14:paraId="2DD206B8" w14:textId="77777777" w:rsidR="0055291C" w:rsidRDefault="0055291C">
      <w:pPr>
        <w:pStyle w:val="a3"/>
        <w:rPr>
          <w:rFonts w:ascii="Arial"/>
          <w:b/>
          <w:sz w:val="22"/>
        </w:rPr>
      </w:pPr>
    </w:p>
    <w:p w14:paraId="6D589390" w14:textId="77777777" w:rsidR="0055291C" w:rsidRDefault="0055291C">
      <w:pPr>
        <w:pStyle w:val="a3"/>
        <w:rPr>
          <w:rFonts w:ascii="Arial"/>
          <w:b/>
          <w:sz w:val="22"/>
        </w:rPr>
      </w:pPr>
    </w:p>
    <w:p w14:paraId="7A21E987" w14:textId="77777777" w:rsidR="0055291C" w:rsidRDefault="0055291C">
      <w:pPr>
        <w:pStyle w:val="a3"/>
        <w:rPr>
          <w:rFonts w:ascii="Arial"/>
          <w:b/>
          <w:sz w:val="22"/>
        </w:rPr>
      </w:pPr>
    </w:p>
    <w:p w14:paraId="0208E7BE" w14:textId="77777777" w:rsidR="0055291C" w:rsidRDefault="0055291C">
      <w:pPr>
        <w:pStyle w:val="a3"/>
        <w:rPr>
          <w:rFonts w:ascii="Arial"/>
          <w:b/>
          <w:sz w:val="22"/>
        </w:rPr>
      </w:pPr>
    </w:p>
    <w:p w14:paraId="2AAF15B4" w14:textId="77777777" w:rsidR="0055291C" w:rsidRDefault="0055291C">
      <w:pPr>
        <w:pStyle w:val="a3"/>
        <w:rPr>
          <w:rFonts w:ascii="Arial"/>
          <w:b/>
          <w:sz w:val="22"/>
        </w:rPr>
      </w:pPr>
    </w:p>
    <w:p w14:paraId="19E05E48" w14:textId="77777777" w:rsidR="0055291C" w:rsidRDefault="0055291C">
      <w:pPr>
        <w:pStyle w:val="a3"/>
        <w:spacing w:before="9"/>
        <w:rPr>
          <w:rFonts w:ascii="Arial"/>
          <w:b/>
          <w:sz w:val="29"/>
        </w:rPr>
      </w:pPr>
    </w:p>
    <w:p w14:paraId="4F8DAA00" w14:textId="392F061F" w:rsidR="0055291C" w:rsidRDefault="00F23C61">
      <w:pPr>
        <w:spacing w:line="292" w:lineRule="auto"/>
        <w:ind w:left="2154" w:right="280" w:hanging="1002"/>
        <w:rPr>
          <w:rFonts w:ascii="Arial"/>
          <w:b/>
          <w:sz w:val="20"/>
        </w:rPr>
      </w:pPr>
      <w:r>
        <w:rPr>
          <w:rFonts w:ascii="Arial"/>
          <w:b/>
          <w:color w:val="00ACA1"/>
          <w:w w:val="95"/>
          <w:sz w:val="20"/>
        </w:rPr>
        <w:t>Box [10.1]</w:t>
      </w:r>
      <w:r>
        <w:rPr>
          <w:rFonts w:ascii="Arial"/>
          <w:b/>
          <w:color w:val="00ACA1"/>
          <w:spacing w:val="5"/>
          <w:w w:val="95"/>
          <w:sz w:val="20"/>
        </w:rPr>
        <w:t xml:space="preserve"> </w:t>
      </w:r>
      <w:r w:rsidR="00A565FE">
        <w:rPr>
          <w:rFonts w:ascii="ＭＳ ゴシック" w:eastAsia="ＭＳ ゴシック" w:hAnsi="ＭＳ ゴシック" w:cs="ＭＳ ゴシック" w:hint="eastAsia"/>
          <w:b/>
          <w:color w:val="545456"/>
          <w:w w:val="95"/>
          <w:sz w:val="20"/>
          <w:lang w:eastAsia="ja-JP"/>
        </w:rPr>
        <w:t>地球温暖化係数の不確実性</w:t>
      </w:r>
    </w:p>
    <w:p w14:paraId="08BFA489" w14:textId="77777777" w:rsidR="0055291C" w:rsidRDefault="0055291C">
      <w:pPr>
        <w:pStyle w:val="a3"/>
        <w:spacing w:before="6"/>
        <w:rPr>
          <w:rFonts w:ascii="Arial"/>
          <w:b/>
          <w:sz w:val="13"/>
        </w:rPr>
      </w:pPr>
    </w:p>
    <w:p w14:paraId="3B17C9C7" w14:textId="26CA28C7" w:rsidR="0055291C" w:rsidRDefault="00000000">
      <w:pPr>
        <w:pStyle w:val="a3"/>
        <w:ind w:left="1133" w:right="-87"/>
        <w:rPr>
          <w:rFonts w:ascii="Arial"/>
          <w:sz w:val="20"/>
        </w:rPr>
      </w:pPr>
      <w:r>
        <w:rPr>
          <w:rFonts w:ascii="Arial"/>
          <w:sz w:val="20"/>
        </w:rPr>
      </w:r>
      <w:r>
        <w:rPr>
          <w:rFonts w:ascii="Arial"/>
          <w:sz w:val="20"/>
        </w:rPr>
        <w:pict w14:anchorId="748D1FFE">
          <v:group id="docshapegroup1290" o:spid="_x0000_s2543" style="width:241.1pt;height:202.7pt;mso-position-horizontal-relative:char;mso-position-vertical-relative:line" coordsize="4822,4054">
            <v:shape id="docshape1291" o:spid="_x0000_s2545" style="position:absolute;width:4822;height:4054" coordsize="4822,4054" path="m4595,l227,,96,4,28,28,4,96,,227,,3827r4,131l28,4025r68,25l227,4054r4368,l4726,4050r67,-25l4818,3958r4,-131l4822,227,4818,96,4793,28,4726,4,4595,xe" fillcolor="#e4f3f1" stroked="f">
              <v:path arrowok="t"/>
            </v:shape>
            <v:shape id="docshape1292" o:spid="_x0000_s2544" type="#_x0000_t202" style="position:absolute;width:4822;height:4054" filled="f" stroked="f">
              <v:textbox style="mso-next-textbox:#docshape1292" inset="0,0,0,0">
                <w:txbxContent>
                  <w:p w14:paraId="67691CAE" w14:textId="77777777" w:rsidR="0055291C" w:rsidRDefault="0055291C">
                    <w:pPr>
                      <w:spacing w:before="8"/>
                      <w:rPr>
                        <w:rFonts w:ascii="Arial"/>
                        <w:b/>
                        <w:sz w:val="19"/>
                      </w:rPr>
                    </w:pPr>
                  </w:p>
                  <w:p w14:paraId="747615A0" w14:textId="65C4479D" w:rsidR="0055291C" w:rsidRPr="00A565FE" w:rsidRDefault="00A565FE" w:rsidP="00A565FE">
                    <w:pPr>
                      <w:spacing w:before="49" w:line="312" w:lineRule="auto"/>
                      <w:ind w:left="226" w:right="274" w:firstLineChars="100" w:firstLine="190"/>
                      <w:rPr>
                        <w:sz w:val="19"/>
                        <w:szCs w:val="19"/>
                        <w:lang w:eastAsia="ja-JP"/>
                      </w:rPr>
                    </w:pPr>
                    <w:r w:rsidRPr="00A565FE">
                      <w:rPr>
                        <w:sz w:val="19"/>
                        <w:szCs w:val="19"/>
                        <w:lang w:eastAsia="ja-JP"/>
                      </w:rPr>
                      <w:t>CO</w:t>
                    </w:r>
                    <w:r w:rsidRPr="00A565FE">
                      <w:rPr>
                        <w:sz w:val="19"/>
                        <w:szCs w:val="19"/>
                        <w:vertAlign w:val="subscript"/>
                        <w:lang w:eastAsia="ja-JP"/>
                      </w:rPr>
                      <w:t>2</w:t>
                    </w:r>
                    <w:r w:rsidRPr="00A565FE">
                      <w:rPr>
                        <w:rFonts w:ascii="ＭＳ ゴシック" w:eastAsia="ＭＳ ゴシック" w:hAnsi="ＭＳ ゴシック" w:cs="ＭＳ ゴシック" w:hint="eastAsia"/>
                        <w:sz w:val="19"/>
                        <w:szCs w:val="19"/>
                        <w:lang w:eastAsia="ja-JP"/>
                      </w:rPr>
                      <w:t>、</w:t>
                    </w:r>
                    <w:r w:rsidRPr="00A565FE">
                      <w:rPr>
                        <w:sz w:val="19"/>
                        <w:szCs w:val="19"/>
                        <w:lang w:eastAsia="ja-JP"/>
                      </w:rPr>
                      <w:t>CH</w:t>
                    </w:r>
                    <w:r w:rsidRPr="00A565FE">
                      <w:rPr>
                        <w:sz w:val="19"/>
                        <w:szCs w:val="19"/>
                        <w:vertAlign w:val="subscript"/>
                        <w:lang w:eastAsia="ja-JP"/>
                      </w:rPr>
                      <w:t>4</w:t>
                    </w:r>
                    <w:r w:rsidRPr="00A565FE">
                      <w:rPr>
                        <w:rFonts w:ascii="ＭＳ ゴシック" w:eastAsia="ＭＳ ゴシック" w:hAnsi="ＭＳ ゴシック" w:cs="ＭＳ ゴシック" w:hint="eastAsia"/>
                        <w:sz w:val="19"/>
                        <w:szCs w:val="19"/>
                        <w:lang w:eastAsia="ja-JP"/>
                      </w:rPr>
                      <w:t>、</w:t>
                    </w:r>
                    <w:r w:rsidRPr="00A565FE">
                      <w:rPr>
                        <w:sz w:val="19"/>
                        <w:szCs w:val="19"/>
                        <w:lang w:eastAsia="ja-JP"/>
                      </w:rPr>
                      <w:t>N</w:t>
                    </w:r>
                    <w:r w:rsidRPr="00A565FE">
                      <w:rPr>
                        <w:sz w:val="19"/>
                        <w:szCs w:val="19"/>
                        <w:vertAlign w:val="subscript"/>
                        <w:lang w:eastAsia="ja-JP"/>
                      </w:rPr>
                      <w:t>2</w:t>
                    </w:r>
                    <w:r w:rsidRPr="00A565FE">
                      <w:rPr>
                        <w:sz w:val="19"/>
                        <w:szCs w:val="19"/>
                        <w:lang w:eastAsia="ja-JP"/>
                      </w:rPr>
                      <w:t>O</w:t>
                    </w:r>
                    <w:r w:rsidRPr="00A565FE">
                      <w:rPr>
                        <w:rFonts w:ascii="ＭＳ ゴシック" w:eastAsia="ＭＳ ゴシック" w:hAnsi="ＭＳ ゴシック" w:cs="ＭＳ ゴシック" w:hint="eastAsia"/>
                        <w:sz w:val="19"/>
                        <w:szCs w:val="19"/>
                        <w:lang w:eastAsia="ja-JP"/>
                      </w:rPr>
                      <w:t>、</w:t>
                    </w:r>
                    <w:r w:rsidRPr="00A565FE">
                      <w:rPr>
                        <w:sz w:val="19"/>
                        <w:szCs w:val="19"/>
                        <w:lang w:eastAsia="ja-JP"/>
                      </w:rPr>
                      <w:t>HFCs</w:t>
                    </w:r>
                    <w:r w:rsidRPr="00A565FE">
                      <w:rPr>
                        <w:rFonts w:ascii="ＭＳ ゴシック" w:eastAsia="ＭＳ ゴシック" w:hAnsi="ＭＳ ゴシック" w:cs="ＭＳ ゴシック" w:hint="eastAsia"/>
                        <w:sz w:val="19"/>
                        <w:szCs w:val="19"/>
                        <w:lang w:eastAsia="ja-JP"/>
                      </w:rPr>
                      <w:t>、</w:t>
                    </w:r>
                    <w:r w:rsidRPr="00A565FE">
                      <w:rPr>
                        <w:sz w:val="19"/>
                        <w:szCs w:val="19"/>
                        <w:lang w:eastAsia="ja-JP"/>
                      </w:rPr>
                      <w:t>PFCs</w:t>
                    </w:r>
                    <w:r w:rsidRPr="00A565FE">
                      <w:rPr>
                        <w:rFonts w:ascii="ＭＳ ゴシック" w:eastAsia="ＭＳ ゴシック" w:hAnsi="ＭＳ ゴシック" w:cs="ＭＳ ゴシック" w:hint="eastAsia"/>
                        <w:sz w:val="19"/>
                        <w:szCs w:val="19"/>
                        <w:lang w:eastAsia="ja-JP"/>
                      </w:rPr>
                      <w:t>の直接的な地球温暖化係数（</w:t>
                    </w:r>
                    <w:r w:rsidRPr="00A565FE">
                      <w:rPr>
                        <w:sz w:val="19"/>
                        <w:szCs w:val="19"/>
                        <w:lang w:eastAsia="ja-JP"/>
                      </w:rPr>
                      <w:t>GWP</w:t>
                    </w:r>
                    <w:r w:rsidRPr="00A565FE">
                      <w:rPr>
                        <w:rFonts w:ascii="ＭＳ ゴシック" w:eastAsia="ＭＳ ゴシック" w:hAnsi="ＭＳ ゴシック" w:cs="ＭＳ ゴシック" w:hint="eastAsia"/>
                        <w:sz w:val="19"/>
                        <w:szCs w:val="19"/>
                        <w:lang w:eastAsia="ja-JP"/>
                      </w:rPr>
                      <w:t>）の不確実性は、</w:t>
                    </w:r>
                    <w:r w:rsidRPr="00A565FE">
                      <w:rPr>
                        <w:sz w:val="19"/>
                        <w:szCs w:val="19"/>
                        <w:lang w:eastAsia="ja-JP"/>
                      </w:rPr>
                      <w:t>90</w:t>
                    </w:r>
                    <w:r w:rsidRPr="00A565FE">
                      <w:rPr>
                        <w:rFonts w:ascii="ＭＳ ゴシック" w:eastAsia="ＭＳ ゴシック" w:hAnsi="ＭＳ ゴシック" w:cs="ＭＳ ゴシック" w:hint="eastAsia"/>
                        <w:sz w:val="19"/>
                        <w:szCs w:val="19"/>
                        <w:lang w:eastAsia="ja-JP"/>
                      </w:rPr>
                      <w:t>％の信頼区</w:t>
                    </w:r>
                    <w:r w:rsidRPr="00A565FE">
                      <w:rPr>
                        <w:sz w:val="19"/>
                        <w:szCs w:val="19"/>
                        <w:lang w:eastAsia="ja-JP"/>
                      </w:rPr>
                      <w:t xml:space="preserve"> </w:t>
                    </w:r>
                    <w:r w:rsidRPr="00A565FE">
                      <w:rPr>
                        <w:rFonts w:ascii="ＭＳ ゴシック" w:eastAsia="ＭＳ ゴシック" w:hAnsi="ＭＳ ゴシック" w:cs="ＭＳ ゴシック" w:hint="eastAsia"/>
                        <w:sz w:val="19"/>
                        <w:szCs w:val="19"/>
                        <w:lang w:eastAsia="ja-JP"/>
                      </w:rPr>
                      <w:t>間（分布の</w:t>
                    </w:r>
                    <w:r w:rsidRPr="00A565FE">
                      <w:rPr>
                        <w:sz w:val="19"/>
                        <w:szCs w:val="19"/>
                        <w:lang w:eastAsia="ja-JP"/>
                      </w:rPr>
                      <w:t>5</w:t>
                    </w:r>
                    <w:r w:rsidRPr="00A565FE">
                      <w:rPr>
                        <w:rFonts w:ascii="ＭＳ ゴシック" w:eastAsia="ＭＳ ゴシック" w:hAnsi="ＭＳ ゴシック" w:cs="ＭＳ ゴシック" w:hint="eastAsia"/>
                        <w:sz w:val="19"/>
                        <w:szCs w:val="19"/>
                        <w:lang w:eastAsia="ja-JP"/>
                      </w:rPr>
                      <w:t>％から</w:t>
                    </w:r>
                    <w:r w:rsidRPr="00A565FE">
                      <w:rPr>
                        <w:sz w:val="19"/>
                        <w:szCs w:val="19"/>
                        <w:lang w:eastAsia="ja-JP"/>
                      </w:rPr>
                      <w:t>95</w:t>
                    </w:r>
                    <w:r w:rsidRPr="00A565FE">
                      <w:rPr>
                        <w:rFonts w:ascii="ＭＳ ゴシック" w:eastAsia="ＭＳ ゴシック" w:hAnsi="ＭＳ ゴシック" w:cs="ＭＳ ゴシック" w:hint="eastAsia"/>
                        <w:sz w:val="19"/>
                        <w:szCs w:val="19"/>
                        <w:lang w:eastAsia="ja-JP"/>
                      </w:rPr>
                      <w:t>％）において</w:t>
                    </w:r>
                    <w:r w:rsidRPr="00A565FE">
                      <w:rPr>
                        <w:sz w:val="19"/>
                        <w:szCs w:val="19"/>
                        <w:lang w:eastAsia="ja-JP"/>
                      </w:rPr>
                      <w:t>±35</w:t>
                    </w:r>
                    <w:r w:rsidRPr="00A565FE">
                      <w:rPr>
                        <w:rFonts w:ascii="ＭＳ ゴシック" w:eastAsia="ＭＳ ゴシック" w:hAnsi="ＭＳ ゴシック" w:cs="ＭＳ ゴシック" w:hint="eastAsia"/>
                        <w:sz w:val="19"/>
                        <w:szCs w:val="19"/>
                        <w:lang w:eastAsia="ja-JP"/>
                      </w:rPr>
                      <w:t>％と推定され</w:t>
                    </w:r>
                    <w:r>
                      <w:rPr>
                        <w:rFonts w:ascii="ＭＳ ゴシック" w:eastAsia="ＭＳ ゴシック" w:hAnsi="ＭＳ ゴシック" w:cs="ＭＳ ゴシック" w:hint="eastAsia"/>
                        <w:sz w:val="19"/>
                        <w:szCs w:val="19"/>
                        <w:lang w:eastAsia="ja-JP"/>
                      </w:rPr>
                      <w:t>ています</w:t>
                    </w:r>
                    <w:r w:rsidRPr="00A565FE">
                      <w:rPr>
                        <w:rFonts w:ascii="ＭＳ ゴシック" w:eastAsia="ＭＳ ゴシック" w:hAnsi="ＭＳ ゴシック" w:cs="ＭＳ ゴシック" w:hint="eastAsia"/>
                        <w:sz w:val="19"/>
                        <w:szCs w:val="19"/>
                        <w:lang w:eastAsia="ja-JP"/>
                      </w:rPr>
                      <w:t>。これは、</w:t>
                    </w:r>
                    <w:r w:rsidRPr="00A565FE">
                      <w:rPr>
                        <w:sz w:val="19"/>
                        <w:szCs w:val="19"/>
                        <w:lang w:eastAsia="ja-JP"/>
                      </w:rPr>
                      <w:t>IPCC</w:t>
                    </w:r>
                    <w:r w:rsidRPr="00A565FE">
                      <w:rPr>
                        <w:rFonts w:ascii="ＭＳ ゴシック" w:eastAsia="ＭＳ ゴシック" w:hAnsi="ＭＳ ゴシック" w:cs="ＭＳ ゴシック" w:hint="eastAsia"/>
                        <w:sz w:val="19"/>
                        <w:szCs w:val="19"/>
                        <w:lang w:eastAsia="ja-JP"/>
                      </w:rPr>
                      <w:t>の第</w:t>
                    </w:r>
                    <w:r w:rsidRPr="00A565FE">
                      <w:rPr>
                        <w:sz w:val="19"/>
                        <w:szCs w:val="19"/>
                        <w:lang w:eastAsia="ja-JP"/>
                      </w:rPr>
                      <w:t>4</w:t>
                    </w:r>
                    <w:r w:rsidRPr="00A565FE">
                      <w:rPr>
                        <w:rFonts w:ascii="ＭＳ ゴシック" w:eastAsia="ＭＳ ゴシック" w:hAnsi="ＭＳ ゴシック" w:cs="ＭＳ ゴシック" w:hint="eastAsia"/>
                        <w:sz w:val="19"/>
                        <w:szCs w:val="19"/>
                        <w:lang w:eastAsia="ja-JP"/>
                      </w:rPr>
                      <w:t>次評価報告書で提供された情報に基づいており、与えられた範囲は</w:t>
                    </w:r>
                    <w:r w:rsidRPr="00A565FE">
                      <w:rPr>
                        <w:sz w:val="19"/>
                        <w:szCs w:val="19"/>
                        <w:lang w:eastAsia="ja-JP"/>
                      </w:rPr>
                      <w:t xml:space="preserve"> </w:t>
                    </w:r>
                    <w:r w:rsidRPr="00A565FE">
                      <w:rPr>
                        <w:rFonts w:ascii="ＭＳ ゴシック" w:eastAsia="ＭＳ ゴシック" w:hAnsi="ＭＳ ゴシック" w:cs="ＭＳ ゴシック" w:hint="eastAsia"/>
                        <w:sz w:val="19"/>
                        <w:szCs w:val="19"/>
                        <w:lang w:eastAsia="ja-JP"/>
                      </w:rPr>
                      <w:t>、個々の</w:t>
                    </w:r>
                    <w:r w:rsidRPr="00A565FE">
                      <w:rPr>
                        <w:sz w:val="19"/>
                        <w:szCs w:val="19"/>
                        <w:lang w:eastAsia="ja-JP"/>
                      </w:rPr>
                      <w:t>GHG</w:t>
                    </w:r>
                    <w:r w:rsidRPr="00A565FE">
                      <w:rPr>
                        <w:rFonts w:ascii="ＭＳ ゴシック" w:eastAsia="ＭＳ ゴシック" w:hAnsi="ＭＳ ゴシック" w:cs="ＭＳ ゴシック" w:hint="eastAsia"/>
                        <w:sz w:val="19"/>
                        <w:szCs w:val="19"/>
                        <w:lang w:eastAsia="ja-JP"/>
                      </w:rPr>
                      <w:t>排出量を</w:t>
                    </w:r>
                    <w:r w:rsidRPr="00A565FE">
                      <w:rPr>
                        <w:sz w:val="19"/>
                        <w:szCs w:val="19"/>
                        <w:lang w:eastAsia="ja-JP"/>
                      </w:rPr>
                      <w:t>CO2 e</w:t>
                    </w:r>
                    <w:r w:rsidRPr="00A565FE">
                      <w:rPr>
                        <w:rFonts w:ascii="ＭＳ ゴシック" w:eastAsia="ＭＳ ゴシック" w:hAnsi="ＭＳ ゴシック" w:cs="ＭＳ ゴシック" w:hint="eastAsia"/>
                        <w:sz w:val="19"/>
                        <w:szCs w:val="19"/>
                        <w:lang w:eastAsia="ja-JP"/>
                      </w:rPr>
                      <w:t>の単位に変換する</w:t>
                    </w:r>
                    <w:r w:rsidRPr="00A565FE">
                      <w:rPr>
                        <w:sz w:val="19"/>
                        <w:szCs w:val="19"/>
                        <w:lang w:eastAsia="ja-JP"/>
                      </w:rPr>
                      <w:t xml:space="preserve"> </w:t>
                    </w:r>
                    <w:r w:rsidRPr="00A565FE">
                      <w:rPr>
                        <w:rFonts w:ascii="ＭＳ ゴシック" w:eastAsia="ＭＳ ゴシック" w:hAnsi="ＭＳ ゴシック" w:cs="ＭＳ ゴシック" w:hint="eastAsia"/>
                        <w:sz w:val="19"/>
                        <w:szCs w:val="19"/>
                        <w:lang w:eastAsia="ja-JP"/>
                      </w:rPr>
                      <w:t>際の不確実性を反映するためのもので</w:t>
                    </w:r>
                    <w:r>
                      <w:rPr>
                        <w:rFonts w:ascii="ＭＳ ゴシック" w:eastAsia="ＭＳ ゴシック" w:hAnsi="ＭＳ ゴシック" w:cs="ＭＳ ゴシック" w:hint="eastAsia"/>
                        <w:sz w:val="19"/>
                        <w:szCs w:val="19"/>
                        <w:lang w:eastAsia="ja-JP"/>
                      </w:rPr>
                      <w:t>す</w:t>
                    </w:r>
                    <w:r w:rsidRPr="00A565FE">
                      <w:rPr>
                        <w:rFonts w:ascii="ＭＳ ゴシック" w:eastAsia="ＭＳ ゴシック" w:hAnsi="ＭＳ ゴシック" w:cs="ＭＳ ゴシック" w:hint="eastAsia"/>
                        <w:sz w:val="19"/>
                        <w:szCs w:val="19"/>
                        <w:lang w:eastAsia="ja-JP"/>
                      </w:rPr>
                      <w:t>。要求事項の</w:t>
                    </w:r>
                    <w:r w:rsidRPr="00A565FE">
                      <w:rPr>
                        <w:sz w:val="19"/>
                        <w:szCs w:val="19"/>
                        <w:lang w:eastAsia="ja-JP"/>
                      </w:rPr>
                      <w:t>10.2</w:t>
                    </w:r>
                    <w:r w:rsidRPr="00A565FE">
                      <w:rPr>
                        <w:rFonts w:ascii="ＭＳ ゴシック" w:eastAsia="ＭＳ ゴシック" w:hAnsi="ＭＳ ゴシック" w:cs="ＭＳ ゴシック" w:hint="eastAsia"/>
                        <w:sz w:val="19"/>
                        <w:szCs w:val="19"/>
                        <w:lang w:eastAsia="ja-JP"/>
                      </w:rPr>
                      <w:t>節にあるように、企業は、使用し</w:t>
                    </w:r>
                    <w:r w:rsidRPr="00A565FE">
                      <w:rPr>
                        <w:sz w:val="19"/>
                        <w:szCs w:val="19"/>
                        <w:lang w:eastAsia="ja-JP"/>
                      </w:rPr>
                      <w:t xml:space="preserve"> </w:t>
                    </w:r>
                    <w:r w:rsidRPr="00A565FE">
                      <w:rPr>
                        <w:rFonts w:ascii="ＭＳ ゴシック" w:eastAsia="ＭＳ ゴシック" w:hAnsi="ＭＳ ゴシック" w:cs="ＭＳ ゴシック" w:hint="eastAsia"/>
                        <w:sz w:val="19"/>
                        <w:szCs w:val="19"/>
                        <w:lang w:eastAsia="ja-JP"/>
                      </w:rPr>
                      <w:t>た</w:t>
                    </w:r>
                    <w:r w:rsidRPr="00A565FE">
                      <w:rPr>
                        <w:sz w:val="19"/>
                        <w:szCs w:val="19"/>
                        <w:lang w:eastAsia="ja-JP"/>
                      </w:rPr>
                      <w:t xml:space="preserve"> GWP</w:t>
                    </w:r>
                    <w:r w:rsidRPr="00A565FE">
                      <w:rPr>
                        <w:rFonts w:ascii="ＭＳ ゴシック" w:eastAsia="ＭＳ ゴシック" w:hAnsi="ＭＳ ゴシック" w:cs="ＭＳ ゴシック" w:hint="eastAsia"/>
                        <w:sz w:val="19"/>
                        <w:szCs w:val="19"/>
                        <w:lang w:eastAsia="ja-JP"/>
                      </w:rPr>
                      <w:t>値の出典を報告することが求められてい</w:t>
                    </w:r>
                    <w:r>
                      <w:rPr>
                        <w:rFonts w:ascii="ＭＳ ゴシック" w:eastAsia="ＭＳ ゴシック" w:hAnsi="ＭＳ ゴシック" w:cs="ＭＳ ゴシック" w:hint="eastAsia"/>
                        <w:sz w:val="19"/>
                        <w:szCs w:val="19"/>
                        <w:lang w:eastAsia="ja-JP"/>
                      </w:rPr>
                      <w:t>ます</w:t>
                    </w:r>
                    <w:r w:rsidRPr="00A565FE">
                      <w:rPr>
                        <w:rFonts w:ascii="ＭＳ ゴシック" w:eastAsia="ＭＳ ゴシック" w:hAnsi="ＭＳ ゴシック" w:cs="ＭＳ ゴシック" w:hint="eastAsia"/>
                        <w:sz w:val="19"/>
                        <w:szCs w:val="19"/>
                        <w:lang w:eastAsia="ja-JP"/>
                      </w:rPr>
                      <w:t>。もし、企業が</w:t>
                    </w:r>
                    <w:r>
                      <w:rPr>
                        <w:rFonts w:ascii="ＭＳ ゴシック" w:eastAsia="ＭＳ ゴシック" w:hAnsi="ＭＳ ゴシック" w:cs="ＭＳ ゴシック" w:hint="eastAsia"/>
                        <w:sz w:val="19"/>
                        <w:szCs w:val="19"/>
                        <w:lang w:eastAsia="ja-JP"/>
                      </w:rPr>
                      <w:t>報告書</w:t>
                    </w:r>
                    <w:r w:rsidRPr="00A565FE">
                      <w:rPr>
                        <w:rFonts w:ascii="ＭＳ ゴシック" w:eastAsia="ＭＳ ゴシック" w:hAnsi="ＭＳ ゴシック" w:cs="ＭＳ ゴシック" w:hint="eastAsia"/>
                        <w:sz w:val="19"/>
                        <w:szCs w:val="19"/>
                        <w:lang w:eastAsia="ja-JP"/>
                      </w:rPr>
                      <w:t>の不確実性を定量化する</w:t>
                    </w:r>
                    <w:r>
                      <w:rPr>
                        <w:rFonts w:ascii="ＭＳ ゴシック" w:eastAsia="ＭＳ ゴシック" w:hAnsi="ＭＳ ゴシック" w:cs="ＭＳ ゴシック" w:hint="eastAsia"/>
                        <w:sz w:val="19"/>
                        <w:szCs w:val="19"/>
                        <w:lang w:eastAsia="ja-JP"/>
                      </w:rPr>
                      <w:t>ことを選んだら</w:t>
                    </w:r>
                    <w:r w:rsidRPr="00A565FE">
                      <w:rPr>
                        <w:rFonts w:ascii="ＭＳ ゴシック" w:eastAsia="ＭＳ ゴシック" w:hAnsi="ＭＳ ゴシック" w:cs="ＭＳ ゴシック" w:hint="eastAsia"/>
                        <w:sz w:val="19"/>
                        <w:szCs w:val="19"/>
                        <w:lang w:eastAsia="ja-JP"/>
                      </w:rPr>
                      <w:t>、</w:t>
                    </w:r>
                    <w:r w:rsidRPr="00A565FE">
                      <w:rPr>
                        <w:sz w:val="19"/>
                        <w:szCs w:val="19"/>
                        <w:lang w:eastAsia="ja-JP"/>
                      </w:rPr>
                      <w:t xml:space="preserve"> GWP</w:t>
                    </w:r>
                    <w:r w:rsidRPr="00A565FE">
                      <w:rPr>
                        <w:rFonts w:ascii="ＭＳ ゴシック" w:eastAsia="ＭＳ ゴシック" w:hAnsi="ＭＳ ゴシック" w:cs="ＭＳ ゴシック" w:hint="eastAsia"/>
                        <w:sz w:val="19"/>
                        <w:szCs w:val="19"/>
                        <w:lang w:eastAsia="ja-JP"/>
                      </w:rPr>
                      <w:t>値の不確実性を計算に含めることがあります。</w:t>
                    </w:r>
                  </w:p>
                </w:txbxContent>
              </v:textbox>
            </v:shape>
            <w10:anchorlock/>
          </v:group>
        </w:pict>
      </w:r>
    </w:p>
    <w:p w14:paraId="1AA49F00" w14:textId="77777777" w:rsidR="0055291C" w:rsidRDefault="0055291C">
      <w:pPr>
        <w:pStyle w:val="a3"/>
        <w:rPr>
          <w:rFonts w:ascii="Arial"/>
          <w:b/>
          <w:sz w:val="22"/>
        </w:rPr>
      </w:pPr>
    </w:p>
    <w:p w14:paraId="38749652" w14:textId="08202637" w:rsidR="0055291C" w:rsidRDefault="00C92037">
      <w:pPr>
        <w:pStyle w:val="a3"/>
        <w:spacing w:before="132" w:line="312" w:lineRule="auto"/>
        <w:ind w:left="1133" w:right="99"/>
        <w:rPr>
          <w:lang w:eastAsia="ja-JP"/>
        </w:rPr>
      </w:pPr>
      <w:r>
        <w:rPr>
          <w:rFonts w:ascii="ＭＳ ゴシック" w:eastAsia="ＭＳ ゴシック" w:hAnsi="ＭＳ ゴシック" w:cs="ＭＳ ゴシック" w:hint="eastAsia"/>
          <w:lang w:eastAsia="ja-JP"/>
        </w:rPr>
        <w:t>測定誤差、不正確な近似、プロセスの条件に適合するようにデータをモデル化した方法などはすべて、パラメータの</w:t>
      </w:r>
      <w:r w:rsidR="0027297E">
        <w:rPr>
          <w:rFonts w:ascii="ＭＳ ゴシック" w:eastAsia="ＭＳ ゴシック" w:hAnsi="ＭＳ ゴシック" w:cs="ＭＳ ゴシック" w:hint="eastAsia"/>
          <w:lang w:eastAsia="ja-JP"/>
        </w:rPr>
        <w:t>不確実性</w:t>
      </w:r>
      <w:r>
        <w:rPr>
          <w:rFonts w:ascii="ＭＳ ゴシック" w:eastAsia="ＭＳ ゴシック" w:hAnsi="ＭＳ ゴシック" w:cs="ＭＳ ゴシック" w:hint="eastAsia"/>
          <w:lang w:eastAsia="ja-JP"/>
        </w:rPr>
        <w:t>に影響します。</w:t>
      </w:r>
    </w:p>
    <w:p w14:paraId="6BB7A107" w14:textId="0F1CFA8A" w:rsidR="0055291C" w:rsidRDefault="00C92037" w:rsidP="00C92037">
      <w:pPr>
        <w:pStyle w:val="a3"/>
        <w:spacing w:before="142" w:line="312" w:lineRule="auto"/>
        <w:ind w:left="1133" w:right="-7" w:firstLineChars="100" w:firstLine="190"/>
        <w:rPr>
          <w:lang w:eastAsia="ja-JP"/>
        </w:rPr>
      </w:pPr>
      <w:r>
        <w:rPr>
          <w:rFonts w:ascii="ＭＳ ゴシック" w:eastAsia="ＭＳ ゴシック" w:hAnsi="ＭＳ ゴシック" w:cs="ＭＳ ゴシック" w:hint="eastAsia"/>
          <w:lang w:eastAsia="ja-JP"/>
        </w:rPr>
        <w:t>例えば、同じような測定精度の</w:t>
      </w:r>
      <w:r>
        <w:rPr>
          <w:lang w:eastAsia="ja-JP"/>
        </w:rPr>
        <w:t>2</w:t>
      </w:r>
      <w:r>
        <w:rPr>
          <w:rFonts w:ascii="ＭＳ ゴシック" w:eastAsia="ＭＳ ゴシック" w:hAnsi="ＭＳ ゴシック" w:cs="ＭＳ ゴシック" w:hint="eastAsia"/>
          <w:lang w:eastAsia="ja-JP"/>
        </w:rPr>
        <w:t>つのデータポイントは、データポイントがプロセスの特定のコンテキストをどのように表すか（すなわち、時間的、技術的、地理的な代表性、および完全性の観点から）により、非常に異なるレベルの不確実性になる場合があります。</w:t>
      </w:r>
    </w:p>
    <w:p w14:paraId="7EA97031" w14:textId="77777777" w:rsidR="0055291C" w:rsidRDefault="00F23C61">
      <w:pPr>
        <w:rPr>
          <w:sz w:val="16"/>
          <w:lang w:eastAsia="ja-JP"/>
        </w:rPr>
      </w:pPr>
      <w:r>
        <w:rPr>
          <w:lang w:eastAsia="ja-JP"/>
        </w:rPr>
        <w:br w:type="column"/>
      </w:r>
    </w:p>
    <w:p w14:paraId="4542024F" w14:textId="77777777" w:rsidR="0055291C" w:rsidRDefault="00F23C61">
      <w:pPr>
        <w:spacing w:before="117"/>
        <w:ind w:left="284"/>
        <w:rPr>
          <w:rFonts w:ascii="Arial"/>
          <w:b/>
          <w:i/>
          <w:sz w:val="14"/>
          <w:lang w:eastAsia="ja-JP"/>
        </w:rPr>
      </w:pPr>
      <w:r>
        <w:rPr>
          <w:rFonts w:ascii="Arial"/>
          <w:b/>
          <w:i/>
          <w:color w:val="7F3F98"/>
          <w:w w:val="95"/>
          <w:sz w:val="14"/>
          <w:lang w:eastAsia="ja-JP"/>
        </w:rPr>
        <w:t>E</w:t>
      </w:r>
      <w:r>
        <w:rPr>
          <w:rFonts w:ascii="Arial"/>
          <w:b/>
          <w:i/>
          <w:color w:val="7F3F98"/>
          <w:spacing w:val="-6"/>
          <w:w w:val="95"/>
          <w:sz w:val="14"/>
          <w:lang w:eastAsia="ja-JP"/>
        </w:rPr>
        <w:t xml:space="preserve"> </w:t>
      </w:r>
      <w:r>
        <w:rPr>
          <w:rFonts w:ascii="Arial"/>
          <w:b/>
          <w:i/>
          <w:color w:val="7F3F98"/>
          <w:spacing w:val="22"/>
          <w:w w:val="95"/>
          <w:sz w:val="14"/>
          <w:lang w:eastAsia="ja-JP"/>
        </w:rPr>
        <w:t>XAMPL</w:t>
      </w:r>
      <w:r>
        <w:rPr>
          <w:rFonts w:ascii="Arial"/>
          <w:b/>
          <w:i/>
          <w:color w:val="7F3F98"/>
          <w:spacing w:val="-8"/>
          <w:w w:val="95"/>
          <w:sz w:val="14"/>
          <w:lang w:eastAsia="ja-JP"/>
        </w:rPr>
        <w:t xml:space="preserve"> </w:t>
      </w:r>
      <w:r>
        <w:rPr>
          <w:rFonts w:ascii="Arial"/>
          <w:b/>
          <w:i/>
          <w:color w:val="7F3F98"/>
          <w:w w:val="95"/>
          <w:sz w:val="14"/>
          <w:lang w:eastAsia="ja-JP"/>
        </w:rPr>
        <w:t>E</w:t>
      </w:r>
    </w:p>
    <w:p w14:paraId="377002D7" w14:textId="11A517CB" w:rsidR="0055291C" w:rsidRPr="00C92037" w:rsidRDefault="00C92037" w:rsidP="00C92037">
      <w:pPr>
        <w:spacing w:before="1" w:line="307" w:lineRule="auto"/>
        <w:ind w:left="284" w:right="1134" w:firstLineChars="100" w:firstLine="190"/>
        <w:rPr>
          <w:rFonts w:ascii="Arial"/>
          <w:i/>
          <w:sz w:val="19"/>
          <w:szCs w:val="19"/>
          <w:lang w:eastAsia="ja-JP"/>
        </w:rPr>
      </w:pPr>
      <w:r w:rsidRPr="00B55298">
        <w:rPr>
          <w:rFonts w:ascii="ＭＳ ゴシック" w:eastAsia="ＭＳ ゴシック" w:hAnsi="ＭＳ ゴシック" w:cs="ＭＳ ゴシック" w:hint="eastAsia"/>
          <w:i/>
          <w:iCs/>
          <w:sz w:val="19"/>
          <w:szCs w:val="19"/>
          <w:lang w:eastAsia="ja-JP"/>
        </w:rPr>
        <w:t>トナーカートリッジに使用されるプラスチック</w:t>
      </w:r>
      <w:r w:rsidR="00B55298">
        <w:rPr>
          <w:rFonts w:ascii="ＭＳ ゴシック" w:eastAsia="ＭＳ ゴシック" w:hAnsi="ＭＳ ゴシック" w:cs="ＭＳ ゴシック" w:hint="eastAsia"/>
          <w:i/>
          <w:iCs/>
          <w:sz w:val="19"/>
          <w:szCs w:val="19"/>
          <w:lang w:eastAsia="ja-JP"/>
        </w:rPr>
        <w:t>樹脂</w:t>
      </w:r>
      <w:r w:rsidRPr="00B55298">
        <w:rPr>
          <w:rFonts w:ascii="ＭＳ ゴシック" w:eastAsia="ＭＳ ゴシック" w:hAnsi="ＭＳ ゴシック" w:cs="ＭＳ ゴシック" w:hint="eastAsia"/>
          <w:i/>
          <w:iCs/>
          <w:sz w:val="19"/>
          <w:szCs w:val="19"/>
          <w:lang w:eastAsia="ja-JP"/>
        </w:rPr>
        <w:t>の生産に関する排出係数は、</w:t>
      </w:r>
      <w:r w:rsidR="00B55298">
        <w:rPr>
          <w:rFonts w:ascii="ＭＳ ゴシック" w:eastAsia="ＭＳ ゴシック" w:hAnsi="ＭＳ ゴシック" w:cs="ＭＳ ゴシック" w:hint="eastAsia"/>
          <w:i/>
          <w:iCs/>
          <w:sz w:val="19"/>
          <w:szCs w:val="19"/>
          <w:lang w:eastAsia="ja-JP"/>
        </w:rPr>
        <w:t>4.5㎏CO</w:t>
      </w:r>
      <w:r w:rsidR="00B55298" w:rsidRPr="00B55298">
        <w:rPr>
          <w:rFonts w:ascii="ＭＳ ゴシック" w:eastAsia="ＭＳ ゴシック" w:hAnsi="ＭＳ ゴシック" w:cs="ＭＳ ゴシック" w:hint="eastAsia"/>
          <w:i/>
          <w:iCs/>
          <w:sz w:val="19"/>
          <w:szCs w:val="19"/>
          <w:vertAlign w:val="subscript"/>
          <w:lang w:eastAsia="ja-JP"/>
        </w:rPr>
        <w:t>2</w:t>
      </w:r>
      <w:r w:rsidR="00B55298">
        <w:rPr>
          <w:rFonts w:ascii="ＭＳ ゴシック" w:eastAsia="ＭＳ ゴシック" w:hAnsi="ＭＳ ゴシック" w:cs="ＭＳ ゴシック" w:hint="eastAsia"/>
          <w:i/>
          <w:iCs/>
          <w:sz w:val="19"/>
          <w:szCs w:val="19"/>
          <w:lang w:eastAsia="ja-JP"/>
        </w:rPr>
        <w:t>/1㎏プラスチックとなっています</w:t>
      </w:r>
      <w:r w:rsidRPr="00B55298">
        <w:rPr>
          <w:rFonts w:ascii="ＭＳ ゴシック" w:eastAsia="ＭＳ ゴシック" w:hAnsi="ＭＳ ゴシック" w:cs="ＭＳ ゴシック" w:hint="eastAsia"/>
          <w:i/>
          <w:iCs/>
          <w:sz w:val="19"/>
          <w:szCs w:val="19"/>
          <w:lang w:eastAsia="ja-JP"/>
        </w:rPr>
        <w:t>。排出係数のデータは、</w:t>
      </w:r>
      <w:r w:rsidR="00B55298">
        <w:rPr>
          <w:rFonts w:ascii="ＭＳ ゴシック" w:eastAsia="ＭＳ ゴシック" w:hAnsi="ＭＳ ゴシック" w:cs="ＭＳ ゴシック" w:hint="eastAsia"/>
          <w:i/>
          <w:iCs/>
          <w:sz w:val="19"/>
          <w:szCs w:val="19"/>
          <w:lang w:eastAsia="ja-JP"/>
        </w:rPr>
        <w:t>限られた</w:t>
      </w:r>
      <w:r w:rsidRPr="00B55298">
        <w:rPr>
          <w:rFonts w:ascii="ＭＳ ゴシック" w:eastAsia="ＭＳ ゴシック" w:hAnsi="ＭＳ ゴシック" w:cs="ＭＳ ゴシック" w:hint="eastAsia"/>
          <w:i/>
          <w:iCs/>
          <w:sz w:val="19"/>
          <w:szCs w:val="19"/>
          <w:lang w:eastAsia="ja-JP"/>
        </w:rPr>
        <w:t>樹脂生産者のサンプリング</w:t>
      </w:r>
      <w:r w:rsidR="00E837C9">
        <w:rPr>
          <w:rFonts w:ascii="ＭＳ ゴシック" w:eastAsia="ＭＳ ゴシック" w:hAnsi="ＭＳ ゴシック" w:cs="ＭＳ ゴシック" w:hint="eastAsia"/>
          <w:i/>
          <w:iCs/>
          <w:sz w:val="19"/>
          <w:szCs w:val="19"/>
          <w:lang w:eastAsia="ja-JP"/>
        </w:rPr>
        <w:t>に基づいている可能性があり</w:t>
      </w:r>
      <w:r w:rsidRPr="00B55298">
        <w:rPr>
          <w:rFonts w:ascii="ＭＳ ゴシック" w:eastAsia="ＭＳ ゴシック" w:hAnsi="ＭＳ ゴシック" w:cs="ＭＳ ゴシック" w:hint="eastAsia"/>
          <w:i/>
          <w:iCs/>
          <w:sz w:val="19"/>
          <w:szCs w:val="19"/>
          <w:lang w:eastAsia="ja-JP"/>
        </w:rPr>
        <w:t>、</w:t>
      </w:r>
      <w:r w:rsidR="00E837C9">
        <w:rPr>
          <w:rFonts w:ascii="ＭＳ ゴシック" w:eastAsia="ＭＳ ゴシック" w:hAnsi="ＭＳ ゴシック" w:cs="ＭＳ ゴシック" w:hint="eastAsia"/>
          <w:i/>
          <w:iCs/>
          <w:sz w:val="19"/>
          <w:szCs w:val="19"/>
          <w:lang w:eastAsia="ja-JP"/>
        </w:rPr>
        <w:t>また対象</w:t>
      </w:r>
      <w:r w:rsidRPr="00B55298">
        <w:rPr>
          <w:rFonts w:ascii="ＭＳ ゴシック" w:eastAsia="ＭＳ ゴシック" w:hAnsi="ＭＳ ゴシック" w:cs="ＭＳ ゴシック" w:hint="eastAsia"/>
          <w:i/>
          <w:iCs/>
          <w:sz w:val="19"/>
          <w:szCs w:val="19"/>
          <w:lang w:eastAsia="ja-JP"/>
        </w:rPr>
        <w:t>の樹脂が生産されている地域</w:t>
      </w:r>
      <w:r w:rsidR="00E837C9">
        <w:rPr>
          <w:rFonts w:ascii="ＭＳ ゴシック" w:eastAsia="ＭＳ ゴシック" w:hAnsi="ＭＳ ゴシック" w:cs="ＭＳ ゴシック" w:hint="eastAsia"/>
          <w:i/>
          <w:iCs/>
          <w:sz w:val="19"/>
          <w:szCs w:val="19"/>
          <w:lang w:eastAsia="ja-JP"/>
        </w:rPr>
        <w:t>よりも、</w:t>
      </w:r>
      <w:r w:rsidRPr="00B55298">
        <w:rPr>
          <w:rFonts w:ascii="ＭＳ ゴシック" w:eastAsia="ＭＳ ゴシック" w:hAnsi="ＭＳ ゴシック" w:cs="ＭＳ ゴシック" w:hint="eastAsia"/>
          <w:i/>
          <w:iCs/>
          <w:sz w:val="19"/>
          <w:szCs w:val="19"/>
          <w:lang w:eastAsia="ja-JP"/>
        </w:rPr>
        <w:t>古い時間</w:t>
      </w:r>
      <w:r w:rsidR="00E837C9">
        <w:rPr>
          <w:rFonts w:ascii="ＭＳ ゴシック" w:eastAsia="ＭＳ ゴシック" w:hAnsi="ＭＳ ゴシック" w:cs="ＭＳ ゴシック" w:hint="eastAsia"/>
          <w:i/>
          <w:iCs/>
          <w:sz w:val="19"/>
          <w:szCs w:val="19"/>
          <w:lang w:eastAsia="ja-JP"/>
        </w:rPr>
        <w:t>軸</w:t>
      </w:r>
      <w:r w:rsidRPr="00B55298">
        <w:rPr>
          <w:rFonts w:ascii="ＭＳ ゴシック" w:eastAsia="ＭＳ ゴシック" w:hAnsi="ＭＳ ゴシック" w:cs="ＭＳ ゴシック" w:hint="eastAsia"/>
          <w:i/>
          <w:iCs/>
          <w:sz w:val="19"/>
          <w:szCs w:val="19"/>
          <w:lang w:eastAsia="ja-JP"/>
        </w:rPr>
        <w:t>や異なる地域から供給されている可能性があります。従って、使用される排出係数の値にはパラメータの不確実性がある</w:t>
      </w:r>
      <w:r w:rsidR="00E837C9">
        <w:rPr>
          <w:rFonts w:ascii="ＭＳ ゴシック" w:eastAsia="ＭＳ ゴシック" w:hAnsi="ＭＳ ゴシック" w:cs="ＭＳ ゴシック" w:hint="eastAsia"/>
          <w:i/>
          <w:iCs/>
          <w:sz w:val="19"/>
          <w:szCs w:val="19"/>
          <w:lang w:eastAsia="ja-JP"/>
        </w:rPr>
        <w:t>といえます</w:t>
      </w:r>
      <w:r w:rsidRPr="00B55298">
        <w:rPr>
          <w:rFonts w:ascii="ＭＳ ゴシック" w:eastAsia="ＭＳ ゴシック" w:hAnsi="ＭＳ ゴシック" w:cs="ＭＳ ゴシック" w:hint="eastAsia"/>
          <w:i/>
          <w:iCs/>
          <w:sz w:val="19"/>
          <w:szCs w:val="19"/>
          <w:lang w:eastAsia="ja-JP"/>
        </w:rPr>
        <w:t>。</w:t>
      </w:r>
    </w:p>
    <w:p w14:paraId="5F29C619" w14:textId="52E889B7" w:rsidR="0055291C" w:rsidRDefault="00E837C9">
      <w:pPr>
        <w:spacing w:before="161"/>
        <w:ind w:left="284"/>
        <w:rPr>
          <w:rFonts w:ascii="Arial"/>
          <w:b/>
          <w:i/>
          <w:sz w:val="17"/>
          <w:lang w:eastAsia="ja-JP"/>
        </w:rPr>
      </w:pPr>
      <w:r>
        <w:rPr>
          <w:rFonts w:ascii="ＭＳ ゴシック" w:eastAsia="ＭＳ ゴシック" w:hAnsi="ＭＳ ゴシック" w:cs="ＭＳ ゴシック" w:hint="eastAsia"/>
          <w:b/>
          <w:i/>
          <w:color w:val="545456"/>
          <w:sz w:val="17"/>
          <w:lang w:eastAsia="ja-JP"/>
        </w:rPr>
        <w:t>パラメータ不確実性の伝播</w:t>
      </w:r>
    </w:p>
    <w:p w14:paraId="33511469" w14:textId="2D3606BD" w:rsidR="0055291C" w:rsidRDefault="00E837C9" w:rsidP="00E837C9">
      <w:pPr>
        <w:pStyle w:val="a3"/>
        <w:spacing w:before="2" w:line="312" w:lineRule="auto"/>
        <w:ind w:left="284" w:right="1183" w:firstLineChars="100" w:firstLine="190"/>
        <w:rPr>
          <w:lang w:eastAsia="ja-JP"/>
        </w:rPr>
      </w:pPr>
      <w:r>
        <w:rPr>
          <w:rFonts w:ascii="ＭＳ ゴシック" w:eastAsia="ＭＳ ゴシック" w:hAnsi="ＭＳ ゴシック" w:cs="ＭＳ ゴシック" w:hint="eastAsia"/>
          <w:lang w:eastAsia="ja-JP"/>
        </w:rPr>
        <w:t>パラメータの</w:t>
      </w:r>
      <w:r w:rsidR="0027297E">
        <w:rPr>
          <w:rFonts w:ascii="ＭＳ ゴシック" w:eastAsia="ＭＳ ゴシック" w:hAnsi="ＭＳ ゴシック" w:cs="ＭＳ ゴシック" w:hint="eastAsia"/>
          <w:lang w:eastAsia="ja-JP"/>
        </w:rPr>
        <w:t>不確実性</w:t>
      </w:r>
      <w:r>
        <w:rPr>
          <w:rFonts w:ascii="ＭＳ ゴシック" w:eastAsia="ＭＳ ゴシック" w:hAnsi="ＭＳ ゴシック" w:cs="ＭＳ ゴシック" w:hint="eastAsia"/>
          <w:lang w:eastAsia="ja-JP"/>
        </w:rPr>
        <w:t>の伝播とは、各パラメータの</w:t>
      </w:r>
      <w:r w:rsidR="0027297E">
        <w:rPr>
          <w:rFonts w:ascii="ＭＳ ゴシック" w:eastAsia="ＭＳ ゴシック" w:hAnsi="ＭＳ ゴシック" w:cs="ＭＳ ゴシック" w:hint="eastAsia"/>
          <w:lang w:eastAsia="ja-JP"/>
        </w:rPr>
        <w:t>不確実性</w:t>
      </w:r>
      <w:r>
        <w:rPr>
          <w:rFonts w:ascii="ＭＳ ゴシック" w:eastAsia="ＭＳ ゴシック" w:hAnsi="ＭＳ ゴシック" w:cs="ＭＳ ゴシック" w:hint="eastAsia"/>
          <w:lang w:eastAsia="ja-JP"/>
        </w:rPr>
        <w:t>が計算結果全体の</w:t>
      </w:r>
      <w:r w:rsidR="00D05606">
        <w:rPr>
          <w:rFonts w:ascii="ＭＳ ゴシック" w:eastAsia="ＭＳ ゴシック" w:hAnsi="ＭＳ ゴシック" w:cs="ＭＳ ゴシック" w:hint="eastAsia"/>
          <w:lang w:eastAsia="ja-JP"/>
        </w:rPr>
        <w:t>不確実性</w:t>
      </w:r>
      <w:r>
        <w:rPr>
          <w:rFonts w:ascii="ＭＳ ゴシック" w:eastAsia="ＭＳ ゴシック" w:hAnsi="ＭＳ ゴシック" w:cs="ＭＳ ゴシック" w:hint="eastAsia"/>
          <w:lang w:eastAsia="ja-JP"/>
        </w:rPr>
        <w:t>に及ぼす複合的な影響</w:t>
      </w:r>
      <w:r>
        <w:rPr>
          <w:lang w:eastAsia="ja-JP"/>
        </w:rPr>
        <w:t xml:space="preserve"> </w:t>
      </w:r>
      <w:r>
        <w:rPr>
          <w:rFonts w:ascii="ＭＳ ゴシック" w:eastAsia="ＭＳ ゴシック" w:hAnsi="ＭＳ ゴシック" w:cs="ＭＳ ゴシック" w:hint="eastAsia"/>
          <w:lang w:eastAsia="ja-JP"/>
        </w:rPr>
        <w:t>のことです。利用可能な手法を使用して、単一のデータ点からパラメータの</w:t>
      </w:r>
      <w:r w:rsidR="00D05606">
        <w:rPr>
          <w:rFonts w:ascii="ＭＳ ゴシック" w:eastAsia="ＭＳ ゴシック" w:hAnsi="ＭＳ ゴシック" w:cs="ＭＳ ゴシック" w:hint="eastAsia"/>
          <w:lang w:eastAsia="ja-JP"/>
        </w:rPr>
        <w:t>不確実性</w:t>
      </w:r>
      <w:r>
        <w:rPr>
          <w:rFonts w:ascii="ＭＳ ゴシック" w:eastAsia="ＭＳ ゴシック" w:hAnsi="ＭＳ ゴシック" w:cs="ＭＳ ゴシック" w:hint="eastAsia"/>
          <w:lang w:eastAsia="ja-JP"/>
        </w:rPr>
        <w:t>を伝播させることができます。パラメータの</w:t>
      </w:r>
      <w:r w:rsidR="00D05606">
        <w:rPr>
          <w:rFonts w:ascii="ＭＳ ゴシック" w:eastAsia="ＭＳ ゴシック" w:hAnsi="ＭＳ ゴシック" w:cs="ＭＳ ゴシック" w:hint="eastAsia"/>
          <w:lang w:eastAsia="ja-JP"/>
        </w:rPr>
        <w:t>不確実性</w:t>
      </w:r>
      <w:r>
        <w:rPr>
          <w:rFonts w:ascii="ＭＳ ゴシック" w:eastAsia="ＭＳ ゴシック" w:hAnsi="ＭＳ ゴシック" w:cs="ＭＳ ゴシック" w:hint="eastAsia"/>
          <w:lang w:eastAsia="ja-JP"/>
        </w:rPr>
        <w:t>の伝播に適用される</w:t>
      </w:r>
      <w:r>
        <w:rPr>
          <w:lang w:eastAsia="ja-JP"/>
        </w:rPr>
        <w:t>2</w:t>
      </w:r>
      <w:r>
        <w:rPr>
          <w:rFonts w:ascii="ＭＳ ゴシック" w:eastAsia="ＭＳ ゴシック" w:hAnsi="ＭＳ ゴシック" w:cs="ＭＳ ゴシック" w:hint="eastAsia"/>
          <w:lang w:eastAsia="ja-JP"/>
        </w:rPr>
        <w:t>つのよく知られた方法には、ランダムサンプリング（モンテカルロ法など）と分析式（テイラー級数展開法など）があります。これらの方法は、</w:t>
      </w:r>
      <w:r>
        <w:rPr>
          <w:lang w:eastAsia="ja-JP"/>
        </w:rPr>
        <w:t xml:space="preserve"> (www.ghgprotocol.org)</w:t>
      </w:r>
      <w:r>
        <w:rPr>
          <w:rFonts w:ascii="ＭＳ ゴシック" w:eastAsia="ＭＳ ゴシック" w:hAnsi="ＭＳ ゴシック" w:cs="ＭＳ ゴシック" w:hint="eastAsia"/>
          <w:lang w:eastAsia="ja-JP"/>
        </w:rPr>
        <w:t>で利用可能な定量的不確実性ガイダンスで説明されています。</w:t>
      </w:r>
    </w:p>
    <w:p w14:paraId="4888D783" w14:textId="77777777" w:rsidR="0055291C" w:rsidRDefault="0055291C">
      <w:pPr>
        <w:pStyle w:val="a3"/>
        <w:spacing w:before="5"/>
        <w:rPr>
          <w:sz w:val="16"/>
          <w:lang w:eastAsia="ja-JP"/>
        </w:rPr>
      </w:pPr>
    </w:p>
    <w:p w14:paraId="44C08E7D" w14:textId="77777777" w:rsidR="0055291C" w:rsidRDefault="00F23C61">
      <w:pPr>
        <w:ind w:left="284"/>
        <w:rPr>
          <w:rFonts w:ascii="Arial"/>
          <w:b/>
          <w:i/>
          <w:sz w:val="14"/>
          <w:lang w:eastAsia="ja-JP"/>
        </w:rPr>
      </w:pPr>
      <w:r>
        <w:rPr>
          <w:rFonts w:ascii="Arial"/>
          <w:b/>
          <w:i/>
          <w:color w:val="7F3F98"/>
          <w:w w:val="95"/>
          <w:sz w:val="14"/>
          <w:lang w:eastAsia="ja-JP"/>
        </w:rPr>
        <w:t>E</w:t>
      </w:r>
      <w:r>
        <w:rPr>
          <w:rFonts w:ascii="Arial"/>
          <w:b/>
          <w:i/>
          <w:color w:val="7F3F98"/>
          <w:spacing w:val="-6"/>
          <w:w w:val="95"/>
          <w:sz w:val="14"/>
          <w:lang w:eastAsia="ja-JP"/>
        </w:rPr>
        <w:t xml:space="preserve"> </w:t>
      </w:r>
      <w:r>
        <w:rPr>
          <w:rFonts w:ascii="Arial"/>
          <w:b/>
          <w:i/>
          <w:color w:val="7F3F98"/>
          <w:spacing w:val="22"/>
          <w:w w:val="95"/>
          <w:sz w:val="14"/>
          <w:lang w:eastAsia="ja-JP"/>
        </w:rPr>
        <w:t>XAMPL</w:t>
      </w:r>
      <w:r>
        <w:rPr>
          <w:rFonts w:ascii="Arial"/>
          <w:b/>
          <w:i/>
          <w:color w:val="7F3F98"/>
          <w:spacing w:val="-8"/>
          <w:w w:val="95"/>
          <w:sz w:val="14"/>
          <w:lang w:eastAsia="ja-JP"/>
        </w:rPr>
        <w:t xml:space="preserve"> </w:t>
      </w:r>
      <w:r>
        <w:rPr>
          <w:rFonts w:ascii="Arial"/>
          <w:b/>
          <w:i/>
          <w:color w:val="7F3F98"/>
          <w:w w:val="95"/>
          <w:sz w:val="14"/>
          <w:lang w:eastAsia="ja-JP"/>
        </w:rPr>
        <w:t>E</w:t>
      </w:r>
    </w:p>
    <w:p w14:paraId="390406D5" w14:textId="2E8711C0" w:rsidR="0055291C" w:rsidRDefault="000B2DCB" w:rsidP="000B2DCB">
      <w:pPr>
        <w:spacing w:before="1" w:line="307" w:lineRule="auto"/>
        <w:ind w:left="284" w:right="1135" w:firstLineChars="100" w:firstLine="190"/>
        <w:rPr>
          <w:rFonts w:ascii="Arial"/>
          <w:i/>
          <w:sz w:val="19"/>
          <w:lang w:eastAsia="ja-JP"/>
        </w:rPr>
      </w:pPr>
      <w:r w:rsidRPr="000B2DCB">
        <w:rPr>
          <w:i/>
          <w:iCs/>
          <w:sz w:val="19"/>
          <w:szCs w:val="19"/>
          <w:lang w:eastAsia="ja-JP"/>
        </w:rPr>
        <w:t>A</w:t>
      </w:r>
      <w:r w:rsidRPr="000B2DCB">
        <w:rPr>
          <w:rFonts w:ascii="ＭＳ ゴシック" w:eastAsia="ＭＳ ゴシック" w:hAnsi="ＭＳ ゴシック" w:cs="ＭＳ ゴシック" w:hint="eastAsia"/>
          <w:i/>
          <w:iCs/>
          <w:sz w:val="19"/>
          <w:szCs w:val="19"/>
          <w:lang w:eastAsia="ja-JP"/>
        </w:rPr>
        <w:t>社は、自社のプリンタカートリッジ製品を</w:t>
      </w:r>
      <w:r>
        <w:rPr>
          <w:rFonts w:ascii="ＭＳ ゴシック" w:eastAsia="ＭＳ ゴシック" w:hAnsi="ＭＳ ゴシック" w:cs="ＭＳ ゴシック" w:hint="eastAsia"/>
          <w:i/>
          <w:iCs/>
          <w:sz w:val="19"/>
          <w:szCs w:val="19"/>
          <w:lang w:eastAsia="ja-JP"/>
        </w:rPr>
        <w:t>調査</w:t>
      </w:r>
      <w:r w:rsidRPr="000B2DCB">
        <w:rPr>
          <w:rFonts w:ascii="ＭＳ ゴシック" w:eastAsia="ＭＳ ゴシック" w:hAnsi="ＭＳ ゴシック" w:cs="ＭＳ ゴシック" w:hint="eastAsia"/>
          <w:i/>
          <w:iCs/>
          <w:sz w:val="19"/>
          <w:szCs w:val="19"/>
          <w:lang w:eastAsia="ja-JP"/>
        </w:rPr>
        <w:t>し、</w:t>
      </w:r>
      <w:r>
        <w:rPr>
          <w:rFonts w:ascii="ＭＳ ゴシック" w:eastAsia="ＭＳ ゴシック" w:hAnsi="ＭＳ ゴシック" w:cs="ＭＳ ゴシック" w:hint="eastAsia"/>
          <w:i/>
          <w:iCs/>
          <w:sz w:val="19"/>
          <w:szCs w:val="19"/>
          <w:lang w:eastAsia="ja-JP"/>
        </w:rPr>
        <w:t>排出</w:t>
      </w:r>
      <w:r w:rsidRPr="000B2DCB">
        <w:rPr>
          <w:rFonts w:ascii="ＭＳ ゴシック" w:eastAsia="ＭＳ ゴシック" w:hAnsi="ＭＳ ゴシック" w:cs="ＭＳ ゴシック" w:hint="eastAsia"/>
          <w:i/>
          <w:iCs/>
          <w:sz w:val="19"/>
          <w:szCs w:val="19"/>
          <w:lang w:eastAsia="ja-JP"/>
        </w:rPr>
        <w:t>結果の合計は、機能単位である</w:t>
      </w:r>
      <w:r w:rsidRPr="000B2DCB">
        <w:rPr>
          <w:i/>
          <w:iCs/>
          <w:sz w:val="19"/>
          <w:szCs w:val="19"/>
          <w:lang w:eastAsia="ja-JP"/>
        </w:rPr>
        <w:t>50,000</w:t>
      </w:r>
      <w:r w:rsidRPr="000B2DCB">
        <w:rPr>
          <w:rFonts w:ascii="ＭＳ ゴシック" w:eastAsia="ＭＳ ゴシック" w:hAnsi="ＭＳ ゴシック" w:cs="ＭＳ ゴシック" w:hint="eastAsia"/>
          <w:i/>
          <w:iCs/>
          <w:sz w:val="19"/>
          <w:szCs w:val="19"/>
          <w:lang w:eastAsia="ja-JP"/>
        </w:rPr>
        <w:t>ページの印刷あたり</w:t>
      </w:r>
      <w:r w:rsidRPr="000B2DCB">
        <w:rPr>
          <w:i/>
          <w:iCs/>
          <w:sz w:val="19"/>
          <w:szCs w:val="19"/>
          <w:lang w:eastAsia="ja-JP"/>
        </w:rPr>
        <w:t>155kg CO</w:t>
      </w:r>
      <w:r w:rsidRPr="000B2DCB">
        <w:rPr>
          <w:i/>
          <w:iCs/>
          <w:sz w:val="19"/>
          <w:szCs w:val="19"/>
          <w:vertAlign w:val="subscript"/>
          <w:lang w:eastAsia="ja-JP"/>
        </w:rPr>
        <w:t>2</w:t>
      </w:r>
      <w:r w:rsidRPr="000B2DCB">
        <w:rPr>
          <w:i/>
          <w:iCs/>
          <w:sz w:val="19"/>
          <w:szCs w:val="19"/>
          <w:lang w:eastAsia="ja-JP"/>
        </w:rPr>
        <w:t xml:space="preserve"> e</w:t>
      </w:r>
      <w:r w:rsidRPr="000B2DCB">
        <w:rPr>
          <w:rFonts w:ascii="ＭＳ ゴシック" w:eastAsia="ＭＳ ゴシック" w:hAnsi="ＭＳ ゴシック" w:cs="ＭＳ ゴシック" w:hint="eastAsia"/>
          <w:i/>
          <w:iCs/>
          <w:sz w:val="19"/>
          <w:szCs w:val="19"/>
          <w:lang w:eastAsia="ja-JP"/>
        </w:rPr>
        <w:t>に相当すると判断しました。この計算で適用された活動量データ、排出係数データ、</w:t>
      </w:r>
      <w:r w:rsidRPr="000B2DCB">
        <w:rPr>
          <w:i/>
          <w:iCs/>
          <w:sz w:val="19"/>
          <w:szCs w:val="19"/>
          <w:lang w:eastAsia="ja-JP"/>
        </w:rPr>
        <w:t>GWP</w:t>
      </w:r>
      <w:r w:rsidRPr="000B2DCB">
        <w:rPr>
          <w:rFonts w:ascii="ＭＳ ゴシック" w:eastAsia="ＭＳ ゴシック" w:hAnsi="ＭＳ ゴシック" w:cs="ＭＳ ゴシック" w:hint="eastAsia"/>
          <w:i/>
          <w:iCs/>
          <w:sz w:val="19"/>
          <w:szCs w:val="19"/>
          <w:lang w:eastAsia="ja-JP"/>
        </w:rPr>
        <w:t>は、それぞれ個別</w:t>
      </w:r>
      <w:r w:rsidR="005C16CA">
        <w:rPr>
          <w:rFonts w:ascii="ＭＳ ゴシック" w:eastAsia="ＭＳ ゴシック" w:hAnsi="ＭＳ ゴシック" w:cs="ＭＳ ゴシック" w:hint="eastAsia"/>
          <w:i/>
          <w:iCs/>
          <w:sz w:val="19"/>
          <w:szCs w:val="19"/>
          <w:lang w:eastAsia="ja-JP"/>
        </w:rPr>
        <w:t>の</w:t>
      </w:r>
      <w:r w:rsidRPr="000B2DCB">
        <w:rPr>
          <w:rFonts w:ascii="ＭＳ ゴシック" w:eastAsia="ＭＳ ゴシック" w:hAnsi="ＭＳ ゴシック" w:cs="ＭＳ ゴシック" w:hint="eastAsia"/>
          <w:i/>
          <w:iCs/>
          <w:sz w:val="19"/>
          <w:szCs w:val="19"/>
          <w:lang w:eastAsia="ja-JP"/>
        </w:rPr>
        <w:t>パラメータ不確実性</w:t>
      </w:r>
      <w:r w:rsidR="005C16CA">
        <w:rPr>
          <w:rFonts w:ascii="ＭＳ ゴシック" w:eastAsia="ＭＳ ゴシック" w:hAnsi="ＭＳ ゴシック" w:cs="ＭＳ ゴシック" w:hint="eastAsia"/>
          <w:i/>
          <w:iCs/>
          <w:sz w:val="19"/>
          <w:szCs w:val="19"/>
          <w:lang w:eastAsia="ja-JP"/>
        </w:rPr>
        <w:t>を持ちます。</w:t>
      </w:r>
      <w:r w:rsidRPr="000B2DCB">
        <w:rPr>
          <w:rFonts w:ascii="ＭＳ ゴシック" w:eastAsia="ＭＳ ゴシック" w:hAnsi="ＭＳ ゴシック" w:cs="ＭＳ ゴシック" w:hint="eastAsia"/>
          <w:i/>
          <w:iCs/>
          <w:sz w:val="19"/>
          <w:szCs w:val="19"/>
          <w:lang w:eastAsia="ja-JP"/>
        </w:rPr>
        <w:t>モンテカルロ法を用いて伝播したパラメータの不確実性評価では、</w:t>
      </w:r>
      <w:r w:rsidR="005C16CA">
        <w:rPr>
          <w:rFonts w:ascii="ＭＳ ゴシック" w:eastAsia="ＭＳ ゴシック" w:hAnsi="ＭＳ ゴシック" w:cs="ＭＳ ゴシック" w:hint="eastAsia"/>
          <w:i/>
          <w:iCs/>
          <w:sz w:val="19"/>
          <w:szCs w:val="19"/>
          <w:lang w:eastAsia="ja-JP"/>
        </w:rPr>
        <w:t>95％の信頼区間で</w:t>
      </w:r>
      <w:r w:rsidRPr="000B2DCB">
        <w:rPr>
          <w:rFonts w:ascii="ＭＳ ゴシック" w:eastAsia="ＭＳ ゴシック" w:hAnsi="ＭＳ ゴシック" w:cs="ＭＳ ゴシック" w:hint="eastAsia"/>
          <w:i/>
          <w:iCs/>
          <w:sz w:val="19"/>
          <w:szCs w:val="19"/>
          <w:lang w:eastAsia="ja-JP"/>
        </w:rPr>
        <w:t>製品</w:t>
      </w:r>
      <w:r w:rsidR="005C16CA">
        <w:rPr>
          <w:rFonts w:ascii="ＭＳ ゴシック" w:eastAsia="ＭＳ ゴシック" w:hAnsi="ＭＳ ゴシック" w:cs="ＭＳ ゴシック" w:hint="eastAsia"/>
          <w:i/>
          <w:iCs/>
          <w:sz w:val="19"/>
          <w:szCs w:val="19"/>
          <w:lang w:eastAsia="ja-JP"/>
        </w:rPr>
        <w:t>GHG排出量</w:t>
      </w:r>
      <w:r w:rsidRPr="000B2DCB">
        <w:rPr>
          <w:rFonts w:ascii="ＭＳ ゴシック" w:eastAsia="ＭＳ ゴシック" w:hAnsi="ＭＳ ゴシック" w:cs="ＭＳ ゴシック" w:hint="eastAsia"/>
          <w:i/>
          <w:iCs/>
          <w:sz w:val="19"/>
          <w:szCs w:val="19"/>
          <w:lang w:eastAsia="ja-JP"/>
        </w:rPr>
        <w:t>の真の値が</w:t>
      </w:r>
      <w:r w:rsidRPr="000B2DCB">
        <w:rPr>
          <w:i/>
          <w:iCs/>
          <w:sz w:val="19"/>
          <w:szCs w:val="19"/>
          <w:lang w:eastAsia="ja-JP"/>
        </w:rPr>
        <w:t>140</w:t>
      </w:r>
      <w:r w:rsidRPr="000B2DCB">
        <w:rPr>
          <w:rFonts w:ascii="ＭＳ ゴシック" w:eastAsia="ＭＳ ゴシック" w:hAnsi="ＭＳ ゴシック" w:cs="ＭＳ ゴシック" w:hint="eastAsia"/>
          <w:i/>
          <w:iCs/>
          <w:sz w:val="19"/>
          <w:szCs w:val="19"/>
          <w:lang w:eastAsia="ja-JP"/>
        </w:rPr>
        <w:t>～</w:t>
      </w:r>
      <w:r w:rsidRPr="000B2DCB">
        <w:rPr>
          <w:i/>
          <w:iCs/>
          <w:sz w:val="19"/>
          <w:szCs w:val="19"/>
          <w:lang w:eastAsia="ja-JP"/>
        </w:rPr>
        <w:t>170 kg CO</w:t>
      </w:r>
      <w:r w:rsidRPr="005C16CA">
        <w:rPr>
          <w:i/>
          <w:iCs/>
          <w:sz w:val="19"/>
          <w:szCs w:val="19"/>
          <w:vertAlign w:val="subscript"/>
          <w:lang w:eastAsia="ja-JP"/>
        </w:rPr>
        <w:t>2</w:t>
      </w:r>
      <w:r w:rsidRPr="000B2DCB">
        <w:rPr>
          <w:i/>
          <w:iCs/>
          <w:sz w:val="19"/>
          <w:szCs w:val="19"/>
          <w:lang w:eastAsia="ja-JP"/>
        </w:rPr>
        <w:t xml:space="preserve"> e</w:t>
      </w:r>
      <w:r w:rsidRPr="000B2DCB">
        <w:rPr>
          <w:rFonts w:ascii="ＭＳ ゴシック" w:eastAsia="ＭＳ ゴシック" w:hAnsi="ＭＳ ゴシック" w:cs="ＭＳ ゴシック" w:hint="eastAsia"/>
          <w:i/>
          <w:iCs/>
          <w:sz w:val="19"/>
          <w:szCs w:val="19"/>
          <w:lang w:eastAsia="ja-JP"/>
        </w:rPr>
        <w:t>であることが示され</w:t>
      </w:r>
      <w:r w:rsidR="005C16CA">
        <w:rPr>
          <w:rFonts w:ascii="ＭＳ ゴシック" w:eastAsia="ＭＳ ゴシック" w:hAnsi="ＭＳ ゴシック" w:cs="ＭＳ ゴシック" w:hint="eastAsia"/>
          <w:i/>
          <w:iCs/>
          <w:sz w:val="19"/>
          <w:szCs w:val="19"/>
          <w:lang w:eastAsia="ja-JP"/>
        </w:rPr>
        <w:t>ました</w:t>
      </w:r>
      <w:r w:rsidRPr="000B2DCB">
        <w:rPr>
          <w:rFonts w:ascii="ＭＳ ゴシック" w:eastAsia="ＭＳ ゴシック" w:hAnsi="ＭＳ ゴシック" w:cs="ＭＳ ゴシック" w:hint="eastAsia"/>
          <w:i/>
          <w:iCs/>
          <w:sz w:val="19"/>
          <w:szCs w:val="19"/>
          <w:lang w:eastAsia="ja-JP"/>
        </w:rPr>
        <w:t>。これは、</w:t>
      </w:r>
      <w:r w:rsidR="005C16CA">
        <w:rPr>
          <w:rFonts w:ascii="ＭＳ ゴシック" w:eastAsia="ＭＳ ゴシック" w:hAnsi="ＭＳ ゴシック" w:cs="ＭＳ ゴシック" w:hint="eastAsia"/>
          <w:i/>
          <w:iCs/>
          <w:sz w:val="19"/>
          <w:szCs w:val="19"/>
          <w:lang w:eastAsia="ja-JP"/>
        </w:rPr>
        <w:t>排出量</w:t>
      </w:r>
      <w:r w:rsidRPr="000B2DCB">
        <w:rPr>
          <w:rFonts w:ascii="ＭＳ ゴシック" w:eastAsia="ＭＳ ゴシック" w:hAnsi="ＭＳ ゴシック" w:cs="ＭＳ ゴシック" w:hint="eastAsia"/>
          <w:i/>
          <w:iCs/>
          <w:sz w:val="19"/>
          <w:szCs w:val="19"/>
          <w:lang w:eastAsia="ja-JP"/>
        </w:rPr>
        <w:t>合計が機能単位あたり</w:t>
      </w:r>
      <w:r w:rsidRPr="000B2DCB">
        <w:rPr>
          <w:i/>
          <w:iCs/>
          <w:sz w:val="19"/>
          <w:szCs w:val="19"/>
          <w:lang w:eastAsia="ja-JP"/>
        </w:rPr>
        <w:t>155 kg CO</w:t>
      </w:r>
      <w:r w:rsidRPr="005C16CA">
        <w:rPr>
          <w:i/>
          <w:iCs/>
          <w:sz w:val="19"/>
          <w:szCs w:val="19"/>
          <w:vertAlign w:val="subscript"/>
          <w:lang w:eastAsia="ja-JP"/>
        </w:rPr>
        <w:t>2</w:t>
      </w:r>
      <w:r w:rsidRPr="000B2DCB">
        <w:rPr>
          <w:i/>
          <w:iCs/>
          <w:sz w:val="19"/>
          <w:szCs w:val="19"/>
          <w:lang w:eastAsia="ja-JP"/>
        </w:rPr>
        <w:t xml:space="preserve"> e (+/-15 kg CO e)</w:t>
      </w:r>
      <w:r w:rsidRPr="000B2DCB">
        <w:rPr>
          <w:rFonts w:ascii="ＭＳ ゴシック" w:eastAsia="ＭＳ ゴシック" w:hAnsi="ＭＳ ゴシック" w:cs="ＭＳ ゴシック" w:hint="eastAsia"/>
          <w:i/>
          <w:iCs/>
          <w:sz w:val="19"/>
          <w:szCs w:val="19"/>
          <w:lang w:eastAsia="ja-JP"/>
        </w:rPr>
        <w:t>であると</w:t>
      </w:r>
      <w:r w:rsidR="005C16CA">
        <w:rPr>
          <w:rFonts w:ascii="ＭＳ ゴシック" w:eastAsia="ＭＳ ゴシック" w:hAnsi="ＭＳ ゴシック" w:cs="ＭＳ ゴシック" w:hint="eastAsia"/>
          <w:i/>
          <w:iCs/>
          <w:sz w:val="19"/>
          <w:szCs w:val="19"/>
          <w:lang w:eastAsia="ja-JP"/>
        </w:rPr>
        <w:t>表現</w:t>
      </w:r>
      <w:r w:rsidRPr="000B2DCB">
        <w:rPr>
          <w:rFonts w:ascii="ＭＳ ゴシック" w:eastAsia="ＭＳ ゴシック" w:hAnsi="ＭＳ ゴシック" w:cs="ＭＳ ゴシック" w:hint="eastAsia"/>
          <w:i/>
          <w:iCs/>
          <w:sz w:val="19"/>
          <w:szCs w:val="19"/>
          <w:lang w:eastAsia="ja-JP"/>
        </w:rPr>
        <w:t>することもできます。</w:t>
      </w:r>
      <w:r w:rsidRPr="000B2DCB">
        <w:rPr>
          <w:rFonts w:ascii="ＭＳ ゴシック" w:eastAsia="ＭＳ ゴシック" w:hAnsi="ＭＳ ゴシック" w:cs="ＭＳ ゴシック" w:hint="eastAsia"/>
          <w:i/>
          <w:color w:val="545456"/>
          <w:sz w:val="19"/>
          <w:vertAlign w:val="superscript"/>
          <w:lang w:eastAsia="ja-JP"/>
        </w:rPr>
        <w:t>２</w:t>
      </w:r>
    </w:p>
    <w:p w14:paraId="6A86E641" w14:textId="20B85BEE" w:rsidR="0055291C" w:rsidRDefault="005C16CA">
      <w:pPr>
        <w:spacing w:before="152"/>
        <w:ind w:left="284"/>
        <w:rPr>
          <w:rFonts w:ascii="Arial"/>
          <w:b/>
          <w:i/>
          <w:sz w:val="18"/>
          <w:lang w:eastAsia="ja-JP"/>
        </w:rPr>
      </w:pPr>
      <w:r>
        <w:rPr>
          <w:rFonts w:ascii="ＭＳ ゴシック" w:eastAsia="ＭＳ ゴシック" w:hAnsi="ＭＳ ゴシック" w:cs="ＭＳ ゴシック" w:hint="eastAsia"/>
          <w:b/>
          <w:i/>
          <w:color w:val="7F3F98"/>
          <w:w w:val="95"/>
          <w:sz w:val="18"/>
          <w:lang w:eastAsia="ja-JP"/>
        </w:rPr>
        <w:t>シナリオ不確実性</w:t>
      </w:r>
    </w:p>
    <w:p w14:paraId="248C4CC3" w14:textId="23E5B654" w:rsidR="0055291C" w:rsidRDefault="0056592D" w:rsidP="00D56D7D">
      <w:pPr>
        <w:pStyle w:val="a3"/>
        <w:spacing w:before="66" w:line="312" w:lineRule="auto"/>
        <w:ind w:left="284" w:right="1345"/>
        <w:rPr>
          <w:lang w:eastAsia="ja-JP"/>
        </w:rPr>
      </w:pPr>
      <w:r>
        <w:rPr>
          <w:rFonts w:ascii="ＭＳ ゴシック" w:eastAsia="ＭＳ ゴシック" w:hAnsi="ＭＳ ゴシック" w:cs="ＭＳ ゴシック" w:hint="eastAsia"/>
          <w:lang w:eastAsia="ja-JP"/>
        </w:rPr>
        <w:t>パラメータの不確実性が、排出量を計算するために使用されるデータが実際の（しかし未知の）データと排出量にどれだけ近いかを示す指標であるのに対し、シナリオの不確実性は、方法論の選択による結果のばらつきを指します。標準</w:t>
      </w:r>
      <w:r w:rsidR="00D56D7D">
        <w:rPr>
          <w:rFonts w:ascii="ＭＳ ゴシック" w:eastAsia="ＭＳ ゴシック" w:hAnsi="ＭＳ ゴシック" w:cs="ＭＳ ゴシック" w:hint="eastAsia"/>
          <w:lang w:eastAsia="ja-JP"/>
        </w:rPr>
        <w:t>を使用することによって、ユーザーが選びうる選択肢を制限するため、シナリオの不確実性を減らすことができます。例えば、帰属アプローチと境界設定の要求事項は</w:t>
      </w:r>
      <w:r w:rsidR="00D56D7D">
        <w:rPr>
          <w:lang w:eastAsia="ja-JP"/>
        </w:rPr>
        <w:t xml:space="preserve"> </w:t>
      </w:r>
      <w:r w:rsidR="00D56D7D">
        <w:rPr>
          <w:rFonts w:ascii="ＭＳ ゴシック" w:eastAsia="ＭＳ ゴシック" w:hAnsi="ＭＳ ゴシック" w:cs="ＭＳ ゴシック" w:hint="eastAsia"/>
          <w:lang w:eastAsia="ja-JP"/>
        </w:rPr>
        <w:t>、全ての製品について算出のためのアプローチを標準化します。</w:t>
      </w:r>
      <w:r w:rsidR="00F23C61">
        <w:rPr>
          <w:color w:val="545456"/>
          <w:lang w:eastAsia="ja-JP"/>
        </w:rPr>
        <w:t xml:space="preserve"> </w:t>
      </w:r>
      <w:r w:rsidR="00D56D7D">
        <w:rPr>
          <w:rFonts w:ascii="ＭＳ ゴシック" w:eastAsia="ＭＳ ゴシック" w:hAnsi="ＭＳ ゴシック" w:cs="ＭＳ ゴシック" w:hint="eastAsia"/>
          <w:color w:val="545456"/>
          <w:lang w:eastAsia="ja-JP"/>
        </w:rPr>
        <w:t>しかし、</w:t>
      </w:r>
      <w:r w:rsidR="00F34408">
        <w:rPr>
          <w:rFonts w:ascii="ＭＳ ゴシック" w:eastAsia="ＭＳ ゴシック" w:hAnsi="ＭＳ ゴシック" w:cs="ＭＳ ゴシック" w:hint="eastAsia"/>
          <w:color w:val="545456"/>
          <w:lang w:eastAsia="ja-JP"/>
        </w:rPr>
        <w:t>標準のシナリオで</w:t>
      </w:r>
      <w:r w:rsidR="00D56D7D">
        <w:rPr>
          <w:rFonts w:ascii="ＭＳ ゴシック" w:eastAsia="ＭＳ ゴシック" w:hAnsi="ＭＳ ゴシック" w:cs="ＭＳ ゴシック" w:hint="eastAsia"/>
          <w:color w:val="545456"/>
          <w:lang w:eastAsia="ja-JP"/>
        </w:rPr>
        <w:t>複数の選択肢がある場合、</w:t>
      </w:r>
      <w:r w:rsidR="00F34408">
        <w:rPr>
          <w:rFonts w:ascii="ＭＳ ゴシック" w:eastAsia="ＭＳ ゴシック" w:hAnsi="ＭＳ ゴシック" w:cs="ＭＳ ゴシック" w:hint="eastAsia"/>
          <w:color w:val="545456"/>
          <w:lang w:eastAsia="ja-JP"/>
        </w:rPr>
        <w:t>シナリオの不</w:t>
      </w:r>
    </w:p>
    <w:p w14:paraId="3569889E"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938" w:space="40"/>
            <w:col w:w="6262"/>
          </w:cols>
        </w:sectPr>
      </w:pPr>
    </w:p>
    <w:p w14:paraId="2CAADC95" w14:textId="77777777" w:rsidR="0055291C" w:rsidRDefault="0055291C">
      <w:pPr>
        <w:pStyle w:val="a3"/>
        <w:rPr>
          <w:sz w:val="20"/>
          <w:lang w:eastAsia="ja-JP"/>
        </w:rPr>
      </w:pPr>
    </w:p>
    <w:p w14:paraId="29D1AF9F" w14:textId="77777777" w:rsidR="0055291C" w:rsidRPr="009E773E" w:rsidRDefault="0055291C">
      <w:pPr>
        <w:rPr>
          <w:rFonts w:eastAsiaTheme="minorEastAsia"/>
          <w:sz w:val="20"/>
          <w:lang w:eastAsia="ja-JP"/>
        </w:rPr>
        <w:sectPr w:rsidR="0055291C" w:rsidRPr="009E773E">
          <w:headerReference w:type="even" r:id="rId259"/>
          <w:footerReference w:type="even" r:id="rId260"/>
          <w:footerReference w:type="default" r:id="rId261"/>
          <w:pgSz w:w="12240" w:h="15840"/>
          <w:pgMar w:top="620" w:right="0" w:bottom="1040" w:left="0" w:header="0" w:footer="859" w:gutter="0"/>
          <w:pgNumType w:start="82"/>
          <w:cols w:space="720"/>
        </w:sectPr>
      </w:pPr>
    </w:p>
    <w:p w14:paraId="6C4B28C5" w14:textId="77777777" w:rsidR="0055291C" w:rsidRDefault="0055291C">
      <w:pPr>
        <w:pStyle w:val="a3"/>
        <w:spacing w:before="9"/>
        <w:rPr>
          <w:sz w:val="22"/>
          <w:lang w:eastAsia="ja-JP"/>
        </w:rPr>
      </w:pPr>
    </w:p>
    <w:p w14:paraId="1A680EBF" w14:textId="6C4DA2D9" w:rsidR="0055291C" w:rsidRDefault="00F34408" w:rsidP="00F34408">
      <w:pPr>
        <w:pStyle w:val="a3"/>
        <w:spacing w:line="312" w:lineRule="auto"/>
        <w:ind w:left="709" w:right="586"/>
        <w:rPr>
          <w:lang w:eastAsia="ja-JP"/>
        </w:rPr>
      </w:pPr>
      <w:r>
        <w:rPr>
          <w:rFonts w:ascii="ＭＳ ゴシック" w:eastAsia="ＭＳ ゴシック" w:hAnsi="ＭＳ ゴシック" w:cs="ＭＳ ゴシック" w:hint="eastAsia"/>
          <w:color w:val="545456"/>
          <w:lang w:eastAsia="ja-JP"/>
        </w:rPr>
        <w:t>確実性が生じます。方法の選択には以下が含まれます（ただしこれらに限りません）。</w:t>
      </w:r>
    </w:p>
    <w:p w14:paraId="250A6E8F" w14:textId="3B616465" w:rsidR="0055291C" w:rsidRDefault="00F34408">
      <w:pPr>
        <w:pStyle w:val="a5"/>
        <w:numPr>
          <w:ilvl w:val="0"/>
          <w:numId w:val="36"/>
        </w:numPr>
        <w:tabs>
          <w:tab w:val="left" w:pos="1394"/>
        </w:tabs>
        <w:spacing w:before="128"/>
        <w:ind w:left="993" w:right="586" w:hanging="261"/>
        <w:rPr>
          <w:sz w:val="19"/>
        </w:rPr>
      </w:pPr>
      <w:r>
        <w:rPr>
          <w:rFonts w:ascii="ＭＳ ゴシック" w:eastAsia="ＭＳ ゴシック" w:hAnsi="ＭＳ ゴシック" w:cs="ＭＳ ゴシック" w:hint="eastAsia"/>
          <w:color w:val="545456"/>
          <w:sz w:val="19"/>
          <w:lang w:eastAsia="ja-JP"/>
        </w:rPr>
        <w:t>割り当ての方法</w:t>
      </w:r>
    </w:p>
    <w:p w14:paraId="1C402E21" w14:textId="039AE71C" w:rsidR="0055291C" w:rsidRDefault="00F34408">
      <w:pPr>
        <w:pStyle w:val="a5"/>
        <w:numPr>
          <w:ilvl w:val="0"/>
          <w:numId w:val="36"/>
        </w:numPr>
        <w:tabs>
          <w:tab w:val="left" w:pos="1394"/>
        </w:tabs>
        <w:spacing w:before="50"/>
        <w:ind w:left="993" w:right="586" w:hanging="261"/>
        <w:rPr>
          <w:sz w:val="19"/>
        </w:rPr>
      </w:pPr>
      <w:r>
        <w:rPr>
          <w:rFonts w:ascii="ＭＳ ゴシック" w:eastAsia="ＭＳ ゴシック" w:hAnsi="ＭＳ ゴシック" w:cs="ＭＳ ゴシック" w:hint="eastAsia"/>
          <w:color w:val="545456"/>
          <w:spacing w:val="-1"/>
          <w:sz w:val="19"/>
          <w:lang w:eastAsia="ja-JP"/>
        </w:rPr>
        <w:t>製品使用時の想定</w:t>
      </w:r>
    </w:p>
    <w:p w14:paraId="65367B15" w14:textId="40B49947" w:rsidR="0055291C" w:rsidRDefault="00F34408">
      <w:pPr>
        <w:pStyle w:val="a5"/>
        <w:numPr>
          <w:ilvl w:val="0"/>
          <w:numId w:val="36"/>
        </w:numPr>
        <w:tabs>
          <w:tab w:val="left" w:pos="1394"/>
        </w:tabs>
        <w:spacing w:before="50"/>
        <w:ind w:left="993" w:right="586" w:hanging="261"/>
        <w:rPr>
          <w:sz w:val="19"/>
        </w:rPr>
      </w:pPr>
      <w:r>
        <w:rPr>
          <w:rFonts w:ascii="ＭＳ ゴシック" w:eastAsia="ＭＳ ゴシック" w:hAnsi="ＭＳ ゴシック" w:cs="ＭＳ ゴシック" w:hint="eastAsia"/>
          <w:color w:val="545456"/>
          <w:spacing w:val="-1"/>
          <w:sz w:val="19"/>
          <w:lang w:eastAsia="ja-JP"/>
        </w:rPr>
        <w:t>廃棄時の想定</w:t>
      </w:r>
    </w:p>
    <w:p w14:paraId="761CBF53" w14:textId="77777777" w:rsidR="0055291C" w:rsidRDefault="0055291C" w:rsidP="00F34408">
      <w:pPr>
        <w:pStyle w:val="a3"/>
        <w:spacing w:before="10"/>
        <w:ind w:left="709" w:right="586"/>
        <w:rPr>
          <w:sz w:val="17"/>
        </w:rPr>
      </w:pPr>
    </w:p>
    <w:p w14:paraId="2E933291" w14:textId="1117E9DD" w:rsidR="0055291C" w:rsidRDefault="00F34408" w:rsidP="00F34408">
      <w:pPr>
        <w:pStyle w:val="a3"/>
        <w:spacing w:before="5"/>
        <w:ind w:leftChars="322" w:left="708" w:rightChars="201" w:right="442" w:firstLineChars="100" w:firstLine="190"/>
        <w:rPr>
          <w:sz w:val="16"/>
          <w:lang w:eastAsia="ja-JP"/>
        </w:rPr>
      </w:pPr>
      <w:r>
        <w:rPr>
          <w:rFonts w:ascii="ＭＳ ゴシック" w:eastAsia="ＭＳ ゴシック" w:hAnsi="ＭＳ ゴシック" w:cs="ＭＳ ゴシック" w:hint="eastAsia"/>
          <w:lang w:eastAsia="ja-JP"/>
        </w:rPr>
        <w:t>これらの選択が結果に与える影響を明らかにするために</w:t>
      </w:r>
      <w:r>
        <w:rPr>
          <w:lang w:eastAsia="ja-JP"/>
        </w:rPr>
        <w:t xml:space="preserve"> </w:t>
      </w:r>
      <w:r>
        <w:rPr>
          <w:rFonts w:ascii="ＭＳ ゴシック" w:eastAsia="ＭＳ ゴシック" w:hAnsi="ＭＳ ゴシック" w:cs="ＭＳ ゴシック" w:hint="eastAsia"/>
          <w:lang w:eastAsia="ja-JP"/>
        </w:rPr>
        <w:t>、パラメータ（またはパラメータの組み合わせ）を変化させることを、シナリオ</w:t>
      </w:r>
      <w:r w:rsidR="00D5032D">
        <w:rPr>
          <w:rFonts w:ascii="ＭＳ ゴシック" w:eastAsia="ＭＳ ゴシック" w:hAnsi="ＭＳ ゴシック" w:cs="ＭＳ ゴシック" w:hint="eastAsia"/>
          <w:lang w:eastAsia="ja-JP"/>
        </w:rPr>
        <w:t>分析</w:t>
      </w:r>
      <w:r>
        <w:rPr>
          <w:rFonts w:ascii="ＭＳ ゴシック" w:eastAsia="ＭＳ ゴシック" w:hAnsi="ＭＳ ゴシック" w:cs="ＭＳ ゴシック" w:hint="eastAsia"/>
          <w:lang w:eastAsia="ja-JP"/>
        </w:rPr>
        <w:t>といいます。シナリオ分析は</w:t>
      </w:r>
      <w:r>
        <w:rPr>
          <w:lang w:eastAsia="ja-JP"/>
        </w:rPr>
        <w:t xml:space="preserve"> </w:t>
      </w:r>
      <w:r>
        <w:rPr>
          <w:rFonts w:ascii="ＭＳ ゴシック" w:eastAsia="ＭＳ ゴシック" w:hAnsi="ＭＳ ゴシック" w:cs="ＭＳ ゴシック" w:hint="eastAsia"/>
          <w:lang w:eastAsia="ja-JP"/>
        </w:rPr>
        <w:t>、一般に感度分析とも呼ばれ</w:t>
      </w:r>
      <w:r w:rsidR="00D5032D">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。シナリオ分析により、方法論の選択による</w:t>
      </w:r>
      <w:r w:rsidR="00D5032D">
        <w:rPr>
          <w:rFonts w:ascii="ＭＳ ゴシック" w:eastAsia="ＭＳ ゴシック" w:hAnsi="ＭＳ ゴシック" w:cs="ＭＳ ゴシック" w:hint="eastAsia"/>
          <w:lang w:eastAsia="ja-JP"/>
        </w:rPr>
        <w:t>算出</w:t>
      </w:r>
      <w:r>
        <w:rPr>
          <w:rFonts w:ascii="ＭＳ ゴシック" w:eastAsia="ＭＳ ゴシック" w:hAnsi="ＭＳ ゴシック" w:cs="ＭＳ ゴシック" w:hint="eastAsia"/>
          <w:lang w:eastAsia="ja-JP"/>
        </w:rPr>
        <w:t>結果の差異を明らかにすることができ</w:t>
      </w:r>
      <w:r w:rsidR="00D5032D">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w:t>
      </w:r>
      <w:r w:rsidRPr="00D5032D">
        <w:rPr>
          <w:vertAlign w:val="superscript"/>
          <w:lang w:eastAsia="ja-JP"/>
        </w:rPr>
        <w:t>3</w:t>
      </w:r>
    </w:p>
    <w:p w14:paraId="34ADC556" w14:textId="77777777" w:rsidR="00D5032D" w:rsidRDefault="00D5032D" w:rsidP="00F34408">
      <w:pPr>
        <w:spacing w:before="1"/>
        <w:ind w:left="709" w:right="586"/>
        <w:rPr>
          <w:rFonts w:ascii="Arial"/>
          <w:b/>
          <w:i/>
          <w:color w:val="7F3F98"/>
          <w:w w:val="90"/>
          <w:sz w:val="14"/>
          <w:lang w:eastAsia="ja-JP"/>
        </w:rPr>
      </w:pPr>
    </w:p>
    <w:p w14:paraId="6007C16F" w14:textId="5D738B24" w:rsidR="0055291C" w:rsidRDefault="00F23C61" w:rsidP="00F34408">
      <w:pPr>
        <w:spacing w:before="1"/>
        <w:ind w:left="709" w:right="586"/>
        <w:rPr>
          <w:rFonts w:ascii="Arial"/>
          <w:b/>
          <w:i/>
          <w:sz w:val="14"/>
          <w:lang w:eastAsia="ja-JP"/>
        </w:rPr>
      </w:pPr>
      <w:r>
        <w:rPr>
          <w:rFonts w:ascii="Arial"/>
          <w:b/>
          <w:i/>
          <w:color w:val="7F3F98"/>
          <w:w w:val="90"/>
          <w:sz w:val="14"/>
          <w:lang w:eastAsia="ja-JP"/>
        </w:rPr>
        <w:t>E</w:t>
      </w:r>
      <w:r>
        <w:rPr>
          <w:rFonts w:ascii="Arial"/>
          <w:b/>
          <w:i/>
          <w:color w:val="7F3F98"/>
          <w:spacing w:val="4"/>
          <w:w w:val="90"/>
          <w:sz w:val="14"/>
          <w:lang w:eastAsia="ja-JP"/>
        </w:rPr>
        <w:t xml:space="preserve"> </w:t>
      </w:r>
      <w:r>
        <w:rPr>
          <w:rFonts w:ascii="Arial"/>
          <w:b/>
          <w:i/>
          <w:color w:val="7F3F98"/>
          <w:spacing w:val="22"/>
          <w:w w:val="90"/>
          <w:sz w:val="14"/>
          <w:lang w:eastAsia="ja-JP"/>
        </w:rPr>
        <w:t>XAMPL</w:t>
      </w:r>
      <w:r>
        <w:rPr>
          <w:rFonts w:ascii="Arial"/>
          <w:b/>
          <w:i/>
          <w:color w:val="7F3F98"/>
          <w:spacing w:val="1"/>
          <w:w w:val="90"/>
          <w:sz w:val="14"/>
          <w:lang w:eastAsia="ja-JP"/>
        </w:rPr>
        <w:t xml:space="preserve"> </w:t>
      </w:r>
      <w:r>
        <w:rPr>
          <w:rFonts w:ascii="Arial"/>
          <w:b/>
          <w:i/>
          <w:color w:val="7F3F98"/>
          <w:spacing w:val="14"/>
          <w:w w:val="90"/>
          <w:sz w:val="14"/>
          <w:lang w:eastAsia="ja-JP"/>
        </w:rPr>
        <w:t>ES</w:t>
      </w:r>
      <w:r>
        <w:rPr>
          <w:rFonts w:ascii="Arial"/>
          <w:b/>
          <w:i/>
          <w:color w:val="7F3F98"/>
          <w:spacing w:val="-11"/>
          <w:sz w:val="14"/>
          <w:lang w:eastAsia="ja-JP"/>
        </w:rPr>
        <w:t xml:space="preserve"> </w:t>
      </w:r>
    </w:p>
    <w:p w14:paraId="2494BA95" w14:textId="77777777" w:rsidR="0055291C" w:rsidRDefault="00F23C61" w:rsidP="00F34408">
      <w:pPr>
        <w:spacing w:before="119"/>
        <w:ind w:left="709" w:right="586"/>
        <w:rPr>
          <w:rFonts w:ascii="Arial"/>
          <w:b/>
          <w:i/>
          <w:sz w:val="14"/>
          <w:lang w:eastAsia="ja-JP"/>
        </w:rPr>
      </w:pPr>
      <w:r>
        <w:rPr>
          <w:rFonts w:ascii="Arial"/>
          <w:b/>
          <w:i/>
          <w:color w:val="9B71B1"/>
          <w:w w:val="90"/>
          <w:sz w:val="14"/>
          <w:lang w:eastAsia="ja-JP"/>
        </w:rPr>
        <w:t>E</w:t>
      </w:r>
      <w:r>
        <w:rPr>
          <w:rFonts w:ascii="Arial"/>
          <w:b/>
          <w:i/>
          <w:color w:val="9B71B1"/>
          <w:spacing w:val="-3"/>
          <w:w w:val="90"/>
          <w:sz w:val="14"/>
          <w:lang w:eastAsia="ja-JP"/>
        </w:rPr>
        <w:t xml:space="preserve"> </w:t>
      </w:r>
      <w:r>
        <w:rPr>
          <w:rFonts w:ascii="Arial"/>
          <w:b/>
          <w:i/>
          <w:color w:val="9B71B1"/>
          <w:w w:val="90"/>
          <w:sz w:val="14"/>
          <w:lang w:eastAsia="ja-JP"/>
        </w:rPr>
        <w:t>X</w:t>
      </w:r>
      <w:r>
        <w:rPr>
          <w:rFonts w:ascii="Arial"/>
          <w:b/>
          <w:i/>
          <w:color w:val="9B71B1"/>
          <w:spacing w:val="-1"/>
          <w:w w:val="90"/>
          <w:sz w:val="14"/>
          <w:lang w:eastAsia="ja-JP"/>
        </w:rPr>
        <w:t xml:space="preserve"> </w:t>
      </w:r>
      <w:r>
        <w:rPr>
          <w:rFonts w:ascii="Arial"/>
          <w:b/>
          <w:i/>
          <w:color w:val="9B71B1"/>
          <w:spacing w:val="22"/>
          <w:w w:val="90"/>
          <w:sz w:val="14"/>
          <w:lang w:eastAsia="ja-JP"/>
        </w:rPr>
        <w:t>AMPLE</w:t>
      </w:r>
      <w:r>
        <w:rPr>
          <w:rFonts w:ascii="Arial"/>
          <w:b/>
          <w:i/>
          <w:color w:val="9B71B1"/>
          <w:spacing w:val="64"/>
          <w:w w:val="90"/>
          <w:sz w:val="14"/>
          <w:lang w:eastAsia="ja-JP"/>
        </w:rPr>
        <w:t xml:space="preserve"> </w:t>
      </w:r>
      <w:r>
        <w:rPr>
          <w:rFonts w:ascii="Arial"/>
          <w:b/>
          <w:i/>
          <w:color w:val="9B71B1"/>
          <w:w w:val="90"/>
          <w:sz w:val="14"/>
          <w:lang w:eastAsia="ja-JP"/>
        </w:rPr>
        <w:t>1</w:t>
      </w:r>
    </w:p>
    <w:p w14:paraId="78C6B83F" w14:textId="7E1155C1" w:rsidR="0055291C" w:rsidRPr="00D5032D" w:rsidRDefault="00D5032D" w:rsidP="00D5032D">
      <w:pPr>
        <w:spacing w:before="72" w:line="307" w:lineRule="auto"/>
        <w:ind w:left="709" w:right="586" w:firstLineChars="100" w:firstLine="190"/>
        <w:rPr>
          <w:rFonts w:ascii="Arial"/>
          <w:i/>
          <w:sz w:val="19"/>
          <w:szCs w:val="19"/>
          <w:lang w:eastAsia="ja-JP"/>
        </w:rPr>
      </w:pPr>
      <w:r w:rsidRPr="00D5032D">
        <w:rPr>
          <w:rFonts w:ascii="ＭＳ ゴシック" w:eastAsia="ＭＳ ゴシック" w:hAnsi="ＭＳ ゴシック" w:cs="ＭＳ ゴシック" w:hint="eastAsia"/>
          <w:sz w:val="19"/>
          <w:szCs w:val="19"/>
          <w:lang w:eastAsia="ja-JP"/>
        </w:rPr>
        <w:t>企業は、生産台数という物理的な割</w:t>
      </w:r>
      <w:r>
        <w:rPr>
          <w:rFonts w:ascii="ＭＳ ゴシック" w:eastAsia="ＭＳ ゴシック" w:hAnsi="ＭＳ ゴシック" w:cs="ＭＳ ゴシック" w:hint="eastAsia"/>
          <w:sz w:val="19"/>
          <w:szCs w:val="19"/>
          <w:lang w:eastAsia="ja-JP"/>
        </w:rPr>
        <w:t>り</w:t>
      </w:r>
      <w:r w:rsidRPr="00D5032D">
        <w:rPr>
          <w:rFonts w:ascii="ＭＳ ゴシック" w:eastAsia="ＭＳ ゴシック" w:hAnsi="ＭＳ ゴシック" w:cs="ＭＳ ゴシック" w:hint="eastAsia"/>
          <w:sz w:val="19"/>
          <w:szCs w:val="19"/>
          <w:lang w:eastAsia="ja-JP"/>
        </w:rPr>
        <w:t>当</w:t>
      </w:r>
      <w:r>
        <w:rPr>
          <w:rFonts w:ascii="ＭＳ ゴシック" w:eastAsia="ＭＳ ゴシック" w:hAnsi="ＭＳ ゴシック" w:cs="ＭＳ ゴシック" w:hint="eastAsia"/>
          <w:sz w:val="19"/>
          <w:szCs w:val="19"/>
          <w:lang w:eastAsia="ja-JP"/>
        </w:rPr>
        <w:t>て</w:t>
      </w:r>
      <w:r w:rsidRPr="00D5032D">
        <w:rPr>
          <w:rFonts w:ascii="ＭＳ ゴシック" w:eastAsia="ＭＳ ゴシック" w:hAnsi="ＭＳ ゴシック" w:cs="ＭＳ ゴシック" w:hint="eastAsia"/>
          <w:sz w:val="19"/>
          <w:szCs w:val="19"/>
          <w:lang w:eastAsia="ja-JP"/>
        </w:rPr>
        <w:t>係数を用いて、設備の電力消費量をトナー生産ラインとその他の生産ライ</w:t>
      </w:r>
      <w:r w:rsidRPr="00D5032D">
        <w:rPr>
          <w:sz w:val="19"/>
          <w:szCs w:val="19"/>
          <w:lang w:eastAsia="ja-JP"/>
        </w:rPr>
        <w:t xml:space="preserve"> </w:t>
      </w:r>
      <w:r w:rsidRPr="00D5032D">
        <w:rPr>
          <w:rFonts w:ascii="ＭＳ ゴシック" w:eastAsia="ＭＳ ゴシック" w:hAnsi="ＭＳ ゴシック" w:cs="ＭＳ ゴシック" w:hint="eastAsia"/>
          <w:sz w:val="19"/>
          <w:szCs w:val="19"/>
          <w:lang w:eastAsia="ja-JP"/>
        </w:rPr>
        <w:t>ンに割り当てることを選択することができます。この場合、トナー生産工程には消費電力の</w:t>
      </w:r>
      <w:r w:rsidRPr="00D5032D">
        <w:rPr>
          <w:sz w:val="19"/>
          <w:szCs w:val="19"/>
          <w:lang w:eastAsia="ja-JP"/>
        </w:rPr>
        <w:t>30%</w:t>
      </w:r>
      <w:r w:rsidRPr="00D5032D">
        <w:rPr>
          <w:rFonts w:ascii="ＭＳ ゴシック" w:eastAsia="ＭＳ ゴシック" w:hAnsi="ＭＳ ゴシック" w:cs="ＭＳ ゴシック" w:hint="eastAsia"/>
          <w:sz w:val="19"/>
          <w:szCs w:val="19"/>
          <w:lang w:eastAsia="ja-JP"/>
        </w:rPr>
        <w:t>が割り当てられ</w:t>
      </w:r>
      <w:r>
        <w:rPr>
          <w:rFonts w:ascii="ＭＳ ゴシック" w:eastAsia="ＭＳ ゴシック" w:hAnsi="ＭＳ ゴシック" w:cs="ＭＳ ゴシック" w:hint="eastAsia"/>
          <w:sz w:val="19"/>
          <w:szCs w:val="19"/>
          <w:lang w:eastAsia="ja-JP"/>
        </w:rPr>
        <w:t>ます</w:t>
      </w:r>
      <w:r w:rsidRPr="00D5032D">
        <w:rPr>
          <w:rFonts w:ascii="ＭＳ ゴシック" w:eastAsia="ＭＳ ゴシック" w:hAnsi="ＭＳ ゴシック" w:cs="ＭＳ ゴシック" w:hint="eastAsia"/>
          <w:sz w:val="19"/>
          <w:szCs w:val="19"/>
          <w:lang w:eastAsia="ja-JP"/>
        </w:rPr>
        <w:t>。しかし、製品の質量で配分すると、消費電力の</w:t>
      </w:r>
      <w:r w:rsidRPr="00D5032D">
        <w:rPr>
          <w:sz w:val="19"/>
          <w:szCs w:val="19"/>
          <w:lang w:eastAsia="ja-JP"/>
        </w:rPr>
        <w:t xml:space="preserve">40% </w:t>
      </w:r>
      <w:r w:rsidRPr="00D5032D">
        <w:rPr>
          <w:rFonts w:ascii="ＭＳ ゴシック" w:eastAsia="ＭＳ ゴシック" w:hAnsi="ＭＳ ゴシック" w:cs="ＭＳ ゴシック" w:hint="eastAsia"/>
          <w:sz w:val="19"/>
          <w:szCs w:val="19"/>
          <w:lang w:eastAsia="ja-JP"/>
        </w:rPr>
        <w:t>がトナー生産工程に配分されることになります。</w:t>
      </w:r>
    </w:p>
    <w:p w14:paraId="7A974C15" w14:textId="77777777" w:rsidR="0055291C" w:rsidRDefault="0055291C" w:rsidP="00F34408">
      <w:pPr>
        <w:pStyle w:val="a3"/>
        <w:spacing w:before="5"/>
        <w:ind w:left="709" w:right="586"/>
        <w:rPr>
          <w:rFonts w:ascii="Arial"/>
          <w:i/>
          <w:sz w:val="16"/>
          <w:lang w:eastAsia="ja-JP"/>
        </w:rPr>
      </w:pPr>
    </w:p>
    <w:p w14:paraId="194EC3EF" w14:textId="77777777" w:rsidR="0055291C" w:rsidRDefault="00F23C61" w:rsidP="00F34408">
      <w:pPr>
        <w:ind w:left="709" w:right="586"/>
        <w:rPr>
          <w:rFonts w:ascii="Arial"/>
          <w:b/>
          <w:i/>
          <w:sz w:val="14"/>
          <w:lang w:eastAsia="ja-JP"/>
        </w:rPr>
      </w:pPr>
      <w:r>
        <w:rPr>
          <w:rFonts w:ascii="Arial"/>
          <w:b/>
          <w:i/>
          <w:color w:val="9B71B1"/>
          <w:w w:val="90"/>
          <w:sz w:val="14"/>
          <w:lang w:eastAsia="ja-JP"/>
        </w:rPr>
        <w:t>E</w:t>
      </w:r>
      <w:r>
        <w:rPr>
          <w:rFonts w:ascii="Arial"/>
          <w:b/>
          <w:i/>
          <w:color w:val="9B71B1"/>
          <w:spacing w:val="-3"/>
          <w:w w:val="90"/>
          <w:sz w:val="14"/>
          <w:lang w:eastAsia="ja-JP"/>
        </w:rPr>
        <w:t xml:space="preserve"> </w:t>
      </w:r>
      <w:r>
        <w:rPr>
          <w:rFonts w:ascii="Arial"/>
          <w:b/>
          <w:i/>
          <w:color w:val="9B71B1"/>
          <w:w w:val="90"/>
          <w:sz w:val="14"/>
          <w:lang w:eastAsia="ja-JP"/>
        </w:rPr>
        <w:t>X</w:t>
      </w:r>
      <w:r>
        <w:rPr>
          <w:rFonts w:ascii="Arial"/>
          <w:b/>
          <w:i/>
          <w:color w:val="9B71B1"/>
          <w:spacing w:val="-1"/>
          <w:w w:val="90"/>
          <w:sz w:val="14"/>
          <w:lang w:eastAsia="ja-JP"/>
        </w:rPr>
        <w:t xml:space="preserve"> </w:t>
      </w:r>
      <w:r>
        <w:rPr>
          <w:rFonts w:ascii="Arial"/>
          <w:b/>
          <w:i/>
          <w:color w:val="9B71B1"/>
          <w:spacing w:val="22"/>
          <w:w w:val="90"/>
          <w:sz w:val="14"/>
          <w:lang w:eastAsia="ja-JP"/>
        </w:rPr>
        <w:t>AMPLE</w:t>
      </w:r>
      <w:r>
        <w:rPr>
          <w:rFonts w:ascii="Arial"/>
          <w:b/>
          <w:i/>
          <w:color w:val="9B71B1"/>
          <w:spacing w:val="64"/>
          <w:w w:val="90"/>
          <w:sz w:val="14"/>
          <w:lang w:eastAsia="ja-JP"/>
        </w:rPr>
        <w:t xml:space="preserve"> </w:t>
      </w:r>
      <w:r>
        <w:rPr>
          <w:rFonts w:ascii="Arial"/>
          <w:b/>
          <w:i/>
          <w:color w:val="9B71B1"/>
          <w:w w:val="90"/>
          <w:sz w:val="14"/>
          <w:lang w:eastAsia="ja-JP"/>
        </w:rPr>
        <w:t>2</w:t>
      </w:r>
    </w:p>
    <w:p w14:paraId="7DBF5680" w14:textId="6A74067B" w:rsidR="0055291C" w:rsidRDefault="00D5032D" w:rsidP="00D5032D">
      <w:pPr>
        <w:spacing w:before="73" w:line="307" w:lineRule="auto"/>
        <w:ind w:left="709" w:right="586" w:firstLineChars="100" w:firstLine="190"/>
        <w:rPr>
          <w:rFonts w:ascii="Arial" w:hAnsi="Arial"/>
          <w:i/>
          <w:sz w:val="19"/>
          <w:lang w:eastAsia="ja-JP"/>
        </w:rPr>
      </w:pPr>
      <w:r w:rsidRPr="00D5032D">
        <w:rPr>
          <w:rFonts w:ascii="ＭＳ ゴシック" w:eastAsia="ＭＳ ゴシック" w:hAnsi="ＭＳ ゴシック" w:cs="ＭＳ ゴシック" w:hint="eastAsia"/>
          <w:sz w:val="19"/>
          <w:szCs w:val="19"/>
          <w:lang w:eastAsia="ja-JP"/>
        </w:rPr>
        <w:t>会社のデータでは、トナーカートリッジの</w:t>
      </w:r>
      <w:r w:rsidRPr="00D5032D">
        <w:rPr>
          <w:sz w:val="19"/>
          <w:szCs w:val="19"/>
          <w:lang w:eastAsia="ja-JP"/>
        </w:rPr>
        <w:t>40</w:t>
      </w:r>
      <w:r w:rsidRPr="00D5032D">
        <w:rPr>
          <w:rFonts w:ascii="ＭＳ ゴシック" w:eastAsia="ＭＳ ゴシック" w:hAnsi="ＭＳ ゴシック" w:cs="ＭＳ ゴシック" w:hint="eastAsia"/>
          <w:sz w:val="19"/>
          <w:szCs w:val="19"/>
          <w:lang w:eastAsia="ja-JP"/>
        </w:rPr>
        <w:t>％がリサイクルされています。したがって、カートリッジのケー</w:t>
      </w:r>
      <w:r>
        <w:rPr>
          <w:rFonts w:ascii="ＭＳ ゴシック" w:eastAsia="ＭＳ ゴシック" w:hAnsi="ＭＳ ゴシック" w:cs="ＭＳ ゴシック" w:hint="eastAsia"/>
          <w:sz w:val="19"/>
          <w:szCs w:val="19"/>
          <w:lang w:eastAsia="ja-JP"/>
        </w:rPr>
        <w:t>ス</w:t>
      </w:r>
      <w:r w:rsidRPr="00D5032D">
        <w:rPr>
          <w:rFonts w:ascii="ＭＳ ゴシック" w:eastAsia="ＭＳ ゴシック" w:hAnsi="ＭＳ ゴシック" w:cs="ＭＳ ゴシック" w:hint="eastAsia"/>
          <w:sz w:val="19"/>
          <w:szCs w:val="19"/>
          <w:lang w:eastAsia="ja-JP"/>
        </w:rPr>
        <w:t>のプラスチックの</w:t>
      </w:r>
      <w:r w:rsidRPr="00D5032D">
        <w:rPr>
          <w:sz w:val="19"/>
          <w:szCs w:val="19"/>
          <w:lang w:eastAsia="ja-JP"/>
        </w:rPr>
        <w:t>40</w:t>
      </w:r>
      <w:r w:rsidRPr="00D5032D">
        <w:rPr>
          <w:rFonts w:ascii="ＭＳ ゴシック" w:eastAsia="ＭＳ ゴシック" w:hAnsi="ＭＳ ゴシック" w:cs="ＭＳ ゴシック" w:hint="eastAsia"/>
          <w:sz w:val="19"/>
          <w:szCs w:val="19"/>
          <w:lang w:eastAsia="ja-JP"/>
        </w:rPr>
        <w:t>％がリサイクルされていると考えることができます。報告企業と利害関係者の両方にとって</w:t>
      </w:r>
      <w:r w:rsidRPr="00D5032D">
        <w:rPr>
          <w:sz w:val="19"/>
          <w:szCs w:val="19"/>
          <w:lang w:eastAsia="ja-JP"/>
        </w:rPr>
        <w:t xml:space="preserve"> </w:t>
      </w:r>
      <w:r w:rsidRPr="00D5032D">
        <w:rPr>
          <w:rFonts w:ascii="ＭＳ ゴシック" w:eastAsia="ＭＳ ゴシック" w:hAnsi="ＭＳ ゴシック" w:cs="ＭＳ ゴシック" w:hint="eastAsia"/>
          <w:sz w:val="19"/>
          <w:szCs w:val="19"/>
          <w:lang w:eastAsia="ja-JP"/>
        </w:rPr>
        <w:t>、全体のリサイクル率が変わると</w:t>
      </w:r>
      <w:r>
        <w:rPr>
          <w:rFonts w:ascii="ＭＳ ゴシック" w:eastAsia="ＭＳ ゴシック" w:hAnsi="ＭＳ ゴシック" w:cs="ＭＳ ゴシック" w:hint="eastAsia"/>
          <w:sz w:val="19"/>
          <w:szCs w:val="19"/>
          <w:lang w:eastAsia="ja-JP"/>
        </w:rPr>
        <w:t>算出</w:t>
      </w:r>
      <w:r w:rsidRPr="00D5032D">
        <w:rPr>
          <w:rFonts w:ascii="ＭＳ ゴシック" w:eastAsia="ＭＳ ゴシック" w:hAnsi="ＭＳ ゴシック" w:cs="ＭＳ ゴシック" w:hint="eastAsia"/>
          <w:sz w:val="19"/>
          <w:szCs w:val="19"/>
          <w:lang w:eastAsia="ja-JP"/>
        </w:rPr>
        <w:t>結果がどのように変わるかを検討することは興味深いことかもしれません。消費者個人の観点からは、個人がカートリッジをリサイクルする場合（</w:t>
      </w:r>
      <w:r w:rsidRPr="00D5032D">
        <w:rPr>
          <w:sz w:val="19"/>
          <w:szCs w:val="19"/>
          <w:lang w:eastAsia="ja-JP"/>
        </w:rPr>
        <w:t>40%</w:t>
      </w:r>
      <w:r w:rsidRPr="00D5032D">
        <w:rPr>
          <w:rFonts w:ascii="ＭＳ ゴシック" w:eastAsia="ＭＳ ゴシック" w:hAnsi="ＭＳ ゴシック" w:cs="ＭＳ ゴシック" w:hint="eastAsia"/>
          <w:sz w:val="19"/>
          <w:szCs w:val="19"/>
          <w:lang w:eastAsia="ja-JP"/>
        </w:rPr>
        <w:t>リサイクルではなく</w:t>
      </w:r>
      <w:r w:rsidRPr="00D5032D">
        <w:rPr>
          <w:sz w:val="19"/>
          <w:szCs w:val="19"/>
          <w:lang w:eastAsia="ja-JP"/>
        </w:rPr>
        <w:t>100%</w:t>
      </w:r>
      <w:r w:rsidRPr="00D5032D">
        <w:rPr>
          <w:rFonts w:ascii="ＭＳ ゴシック" w:eastAsia="ＭＳ ゴシック" w:hAnsi="ＭＳ ゴシック" w:cs="ＭＳ ゴシック" w:hint="eastAsia"/>
          <w:sz w:val="19"/>
          <w:szCs w:val="19"/>
          <w:lang w:eastAsia="ja-JP"/>
        </w:rPr>
        <w:t>リサイクル）、またはリサイクルしない場合（</w:t>
      </w:r>
      <w:r w:rsidRPr="00D5032D">
        <w:rPr>
          <w:sz w:val="19"/>
          <w:szCs w:val="19"/>
          <w:lang w:eastAsia="ja-JP"/>
        </w:rPr>
        <w:t>0%</w:t>
      </w:r>
      <w:r w:rsidRPr="00D5032D">
        <w:rPr>
          <w:rFonts w:ascii="ＭＳ ゴシック" w:eastAsia="ＭＳ ゴシック" w:hAnsi="ＭＳ ゴシック" w:cs="ＭＳ ゴシック" w:hint="eastAsia"/>
          <w:sz w:val="19"/>
          <w:szCs w:val="19"/>
          <w:lang w:eastAsia="ja-JP"/>
        </w:rPr>
        <w:t>リサイクル）、</w:t>
      </w:r>
      <w:r>
        <w:rPr>
          <w:rFonts w:ascii="ＭＳ ゴシック" w:eastAsia="ＭＳ ゴシック" w:hAnsi="ＭＳ ゴシック" w:cs="ＭＳ ゴシック" w:hint="eastAsia"/>
          <w:sz w:val="19"/>
          <w:szCs w:val="19"/>
          <w:lang w:eastAsia="ja-JP"/>
        </w:rPr>
        <w:t>排出</w:t>
      </w:r>
      <w:r w:rsidRPr="00D5032D">
        <w:rPr>
          <w:rFonts w:ascii="ＭＳ ゴシック" w:eastAsia="ＭＳ ゴシック" w:hAnsi="ＭＳ ゴシック" w:cs="ＭＳ ゴシック" w:hint="eastAsia"/>
          <w:sz w:val="19"/>
          <w:szCs w:val="19"/>
          <w:lang w:eastAsia="ja-JP"/>
        </w:rPr>
        <w:t>結果がどのように変化するかに興味があるのではないでしょうか。</w:t>
      </w:r>
    </w:p>
    <w:p w14:paraId="306672EC" w14:textId="48B6DB46" w:rsidR="0055291C" w:rsidRDefault="009E773E" w:rsidP="00F34408">
      <w:pPr>
        <w:spacing w:before="152"/>
        <w:ind w:left="709" w:right="586"/>
        <w:rPr>
          <w:rFonts w:ascii="Arial"/>
          <w:b/>
          <w:i/>
          <w:sz w:val="18"/>
          <w:lang w:eastAsia="ja-JP"/>
        </w:rPr>
      </w:pPr>
      <w:r>
        <w:rPr>
          <w:rFonts w:ascii="ＭＳ ゴシック" w:eastAsia="ＭＳ ゴシック" w:hAnsi="ＭＳ ゴシック" w:cs="ＭＳ ゴシック" w:hint="eastAsia"/>
          <w:b/>
          <w:i/>
          <w:color w:val="7F3F98"/>
          <w:sz w:val="18"/>
          <w:lang w:eastAsia="ja-JP"/>
        </w:rPr>
        <w:t>モデル不確実性</w:t>
      </w:r>
    </w:p>
    <w:p w14:paraId="65539C7A" w14:textId="4D2C0355" w:rsidR="0055291C" w:rsidRDefault="009E773E" w:rsidP="009E773E">
      <w:pPr>
        <w:pStyle w:val="a3"/>
        <w:spacing w:before="67" w:line="312" w:lineRule="auto"/>
        <w:ind w:left="709" w:right="586" w:firstLineChars="100" w:firstLine="190"/>
        <w:rPr>
          <w:lang w:eastAsia="ja-JP"/>
        </w:rPr>
      </w:pPr>
      <w:r>
        <w:rPr>
          <w:rFonts w:ascii="ＭＳ ゴシック" w:eastAsia="ＭＳ ゴシック" w:hAnsi="ＭＳ ゴシック" w:cs="ＭＳ ゴシック" w:hint="eastAsia"/>
          <w:lang w:eastAsia="ja-JP"/>
        </w:rPr>
        <w:t>モデルの不確実性は、現実世界を反映するために使用</w:t>
      </w:r>
      <w:r>
        <w:rPr>
          <w:lang w:eastAsia="ja-JP"/>
        </w:rPr>
        <w:t xml:space="preserve"> </w:t>
      </w:r>
      <w:r>
        <w:rPr>
          <w:rFonts w:ascii="ＭＳ ゴシック" w:eastAsia="ＭＳ ゴシック" w:hAnsi="ＭＳ ゴシック" w:cs="ＭＳ ゴシック" w:hint="eastAsia"/>
          <w:lang w:eastAsia="ja-JP"/>
        </w:rPr>
        <w:t>されるモデリング手法の能力の限界から生じます。実</w:t>
      </w:r>
      <w:r>
        <w:rPr>
          <w:lang w:eastAsia="ja-JP"/>
        </w:rPr>
        <w:t xml:space="preserve"> </w:t>
      </w:r>
      <w:r>
        <w:rPr>
          <w:rFonts w:ascii="ＭＳ ゴシック" w:eastAsia="ＭＳ ゴシック" w:hAnsi="ＭＳ ゴシック" w:cs="ＭＳ ゴシック" w:hint="eastAsia"/>
          <w:lang w:eastAsia="ja-JP"/>
        </w:rPr>
        <w:t>世界を数値モデルに単純化すると、常に何らかの不正確さが生じます。</w:t>
      </w:r>
    </w:p>
    <w:p w14:paraId="56EDEDAF" w14:textId="39BE6C09" w:rsidR="0055291C" w:rsidRDefault="009E773E" w:rsidP="009E773E">
      <w:pPr>
        <w:pStyle w:val="a3"/>
        <w:spacing w:before="142" w:line="312" w:lineRule="auto"/>
        <w:ind w:left="709" w:right="586" w:firstLineChars="100" w:firstLine="190"/>
        <w:rPr>
          <w:sz w:val="16"/>
          <w:lang w:eastAsia="ja-JP"/>
        </w:rPr>
      </w:pPr>
      <w:r>
        <w:rPr>
          <w:rFonts w:ascii="ＭＳ ゴシック" w:eastAsia="ＭＳ ゴシック" w:hAnsi="ＭＳ ゴシック" w:cs="ＭＳ ゴシック" w:hint="eastAsia"/>
          <w:lang w:eastAsia="ja-JP"/>
        </w:rPr>
        <w:t>多くの場合、モデルの不確実性は、少なくとも部分的には、上述のパラメータまたはシナリオのアプローチによって表現することができます。しかし、モデルのいくつかの側面において、不確実性は、これらの分類では捉えられない可能性があり、また定量化するこ</w:t>
      </w:r>
      <w:r>
        <w:rPr>
          <w:rFonts w:ascii="ＭＳ ゴシック" w:eastAsia="ＭＳ ゴシック" w:hAnsi="ＭＳ ゴシック" w:cs="ＭＳ ゴシック" w:hint="eastAsia"/>
          <w:lang w:eastAsia="ja-JP"/>
        </w:rPr>
        <w:t>とが非常に困難になります。</w:t>
      </w:r>
      <w:r>
        <w:rPr>
          <w:lang w:eastAsia="ja-JP"/>
        </w:rPr>
        <w:t xml:space="preserve"> </w:t>
      </w:r>
    </w:p>
    <w:p w14:paraId="00C4279F" w14:textId="77777777" w:rsidR="0055291C" w:rsidRDefault="00F23C61">
      <w:pPr>
        <w:spacing w:before="121"/>
        <w:ind w:left="249"/>
        <w:rPr>
          <w:rFonts w:ascii="Arial"/>
          <w:b/>
          <w:i/>
          <w:sz w:val="14"/>
          <w:lang w:eastAsia="ja-JP"/>
        </w:rPr>
      </w:pPr>
      <w:r>
        <w:rPr>
          <w:rFonts w:ascii="Arial"/>
          <w:b/>
          <w:i/>
          <w:color w:val="7F3F98"/>
          <w:w w:val="95"/>
          <w:sz w:val="14"/>
          <w:lang w:eastAsia="ja-JP"/>
        </w:rPr>
        <w:t>E</w:t>
      </w:r>
      <w:r>
        <w:rPr>
          <w:rFonts w:ascii="Arial"/>
          <w:b/>
          <w:i/>
          <w:color w:val="7F3F98"/>
          <w:spacing w:val="-6"/>
          <w:w w:val="95"/>
          <w:sz w:val="14"/>
          <w:lang w:eastAsia="ja-JP"/>
        </w:rPr>
        <w:t xml:space="preserve"> </w:t>
      </w:r>
      <w:r>
        <w:rPr>
          <w:rFonts w:ascii="Arial"/>
          <w:b/>
          <w:i/>
          <w:color w:val="7F3F98"/>
          <w:spacing w:val="22"/>
          <w:w w:val="95"/>
          <w:sz w:val="14"/>
          <w:lang w:eastAsia="ja-JP"/>
        </w:rPr>
        <w:t>XAMPL</w:t>
      </w:r>
      <w:r>
        <w:rPr>
          <w:rFonts w:ascii="Arial"/>
          <w:b/>
          <w:i/>
          <w:color w:val="7F3F98"/>
          <w:spacing w:val="-8"/>
          <w:w w:val="95"/>
          <w:sz w:val="14"/>
          <w:lang w:eastAsia="ja-JP"/>
        </w:rPr>
        <w:t xml:space="preserve"> </w:t>
      </w:r>
      <w:r>
        <w:rPr>
          <w:rFonts w:ascii="Arial"/>
          <w:b/>
          <w:i/>
          <w:color w:val="7F3F98"/>
          <w:w w:val="95"/>
          <w:sz w:val="14"/>
          <w:lang w:eastAsia="ja-JP"/>
        </w:rPr>
        <w:t>E</w:t>
      </w:r>
    </w:p>
    <w:p w14:paraId="0030B876" w14:textId="288E0B16" w:rsidR="0055291C" w:rsidRPr="009E773E" w:rsidRDefault="009E773E" w:rsidP="00B76028">
      <w:pPr>
        <w:spacing w:before="72" w:line="307" w:lineRule="auto"/>
        <w:ind w:left="249" w:right="1124" w:firstLineChars="100" w:firstLine="190"/>
        <w:rPr>
          <w:rFonts w:ascii="Arial" w:hAnsi="Arial"/>
          <w:i/>
          <w:iCs/>
          <w:sz w:val="19"/>
          <w:szCs w:val="19"/>
          <w:lang w:eastAsia="ja-JP"/>
        </w:rPr>
      </w:pPr>
      <w:r w:rsidRPr="009E773E">
        <w:rPr>
          <w:rFonts w:ascii="ＭＳ ゴシック" w:eastAsia="ＭＳ ゴシック" w:hAnsi="ＭＳ ゴシック" w:cs="ＭＳ ゴシック" w:hint="eastAsia"/>
          <w:i/>
          <w:iCs/>
          <w:sz w:val="19"/>
          <w:szCs w:val="19"/>
          <w:lang w:eastAsia="ja-JP"/>
        </w:rPr>
        <w:t>カートリッジの大豆ベースのインクの生産に伴う排出量の予測には、大豆生産のモデルが関わっています。窒</w:t>
      </w:r>
      <w:r w:rsidRPr="009E773E">
        <w:rPr>
          <w:i/>
          <w:iCs/>
          <w:sz w:val="19"/>
          <w:szCs w:val="19"/>
          <w:lang w:eastAsia="ja-JP"/>
        </w:rPr>
        <w:t xml:space="preserve"> </w:t>
      </w:r>
      <w:r w:rsidRPr="009E773E">
        <w:rPr>
          <w:rFonts w:ascii="ＭＳ ゴシック" w:eastAsia="ＭＳ ゴシック" w:hAnsi="ＭＳ ゴシック" w:cs="ＭＳ ゴシック" w:hint="eastAsia"/>
          <w:i/>
          <w:iCs/>
          <w:sz w:val="19"/>
          <w:szCs w:val="19"/>
          <w:lang w:eastAsia="ja-JP"/>
        </w:rPr>
        <w:t>素肥料の散布による</w:t>
      </w:r>
      <w:r w:rsidRPr="009E773E">
        <w:rPr>
          <w:i/>
          <w:iCs/>
          <w:sz w:val="19"/>
          <w:szCs w:val="19"/>
          <w:lang w:eastAsia="ja-JP"/>
        </w:rPr>
        <w:t>N</w:t>
      </w:r>
      <w:r w:rsidRPr="00944004">
        <w:rPr>
          <w:i/>
          <w:iCs/>
          <w:sz w:val="19"/>
          <w:szCs w:val="19"/>
          <w:vertAlign w:val="subscript"/>
          <w:lang w:eastAsia="ja-JP"/>
        </w:rPr>
        <w:t>2</w:t>
      </w:r>
      <w:r w:rsidRPr="009E773E">
        <w:rPr>
          <w:i/>
          <w:iCs/>
          <w:sz w:val="19"/>
          <w:szCs w:val="19"/>
          <w:lang w:eastAsia="ja-JP"/>
        </w:rPr>
        <w:t>O</w:t>
      </w:r>
      <w:r w:rsidRPr="009E773E">
        <w:rPr>
          <w:rFonts w:ascii="ＭＳ ゴシック" w:eastAsia="ＭＳ ゴシック" w:hAnsi="ＭＳ ゴシック" w:cs="ＭＳ ゴシック" w:hint="eastAsia"/>
          <w:i/>
          <w:iCs/>
          <w:sz w:val="19"/>
          <w:szCs w:val="19"/>
          <w:lang w:eastAsia="ja-JP"/>
        </w:rPr>
        <w:t>の排出は、肥料と土壌および植物システムとの相互作用の線形モデリングに基づいてい</w:t>
      </w:r>
      <w:r w:rsidR="00944004">
        <w:rPr>
          <w:rFonts w:ascii="ＭＳ ゴシック" w:eastAsia="ＭＳ ゴシック" w:hAnsi="ＭＳ ゴシック" w:cs="ＭＳ ゴシック" w:hint="eastAsia"/>
          <w:i/>
          <w:iCs/>
          <w:sz w:val="19"/>
          <w:szCs w:val="19"/>
          <w:lang w:eastAsia="ja-JP"/>
        </w:rPr>
        <w:t>ます</w:t>
      </w:r>
      <w:r w:rsidRPr="009E773E">
        <w:rPr>
          <w:rFonts w:ascii="ＭＳ ゴシック" w:eastAsia="ＭＳ ゴシック" w:hAnsi="ＭＳ ゴシック" w:cs="ＭＳ ゴシック" w:hint="eastAsia"/>
          <w:i/>
          <w:iCs/>
          <w:sz w:val="19"/>
          <w:szCs w:val="19"/>
          <w:lang w:eastAsia="ja-JP"/>
        </w:rPr>
        <w:t>。これらの相互作用はモデルが想定しているより</w:t>
      </w:r>
      <w:r w:rsidRPr="009E773E">
        <w:rPr>
          <w:i/>
          <w:iCs/>
          <w:sz w:val="19"/>
          <w:szCs w:val="19"/>
          <w:lang w:eastAsia="ja-JP"/>
        </w:rPr>
        <w:t xml:space="preserve"> </w:t>
      </w:r>
      <w:r w:rsidRPr="009E773E">
        <w:rPr>
          <w:rFonts w:ascii="ＭＳ ゴシック" w:eastAsia="ＭＳ ゴシック" w:hAnsi="ＭＳ ゴシック" w:cs="ＭＳ ゴシック" w:hint="eastAsia"/>
          <w:i/>
          <w:iCs/>
          <w:sz w:val="19"/>
          <w:szCs w:val="19"/>
          <w:lang w:eastAsia="ja-JP"/>
        </w:rPr>
        <w:t>も複雑であるため、このモデルから得られる排出量に</w:t>
      </w:r>
      <w:r w:rsidRPr="009E773E">
        <w:rPr>
          <w:i/>
          <w:iCs/>
          <w:sz w:val="19"/>
          <w:szCs w:val="19"/>
          <w:lang w:eastAsia="ja-JP"/>
        </w:rPr>
        <w:t xml:space="preserve"> </w:t>
      </w:r>
      <w:r w:rsidRPr="009E773E">
        <w:rPr>
          <w:rFonts w:ascii="ＭＳ ゴシック" w:eastAsia="ＭＳ ゴシック" w:hAnsi="ＭＳ ゴシック" w:cs="ＭＳ ゴシック" w:hint="eastAsia"/>
          <w:i/>
          <w:iCs/>
          <w:sz w:val="19"/>
          <w:szCs w:val="19"/>
          <w:lang w:eastAsia="ja-JP"/>
        </w:rPr>
        <w:t>は不確実性があります。</w:t>
      </w:r>
    </w:p>
    <w:p w14:paraId="68213519" w14:textId="580661B6" w:rsidR="0055291C" w:rsidRDefault="00944004">
      <w:pPr>
        <w:pStyle w:val="7"/>
        <w:numPr>
          <w:ilvl w:val="3"/>
          <w:numId w:val="40"/>
        </w:numPr>
        <w:tabs>
          <w:tab w:val="left" w:pos="970"/>
        </w:tabs>
        <w:spacing w:before="133"/>
        <w:ind w:left="969" w:hanging="721"/>
        <w:jc w:val="left"/>
        <w:rPr>
          <w:lang w:eastAsia="ja-JP"/>
        </w:rPr>
      </w:pPr>
      <w:r>
        <w:rPr>
          <w:rFonts w:ascii="ＭＳ 明朝" w:eastAsia="ＭＳ 明朝" w:hAnsi="ＭＳ 明朝" w:cs="ＭＳ 明朝" w:hint="eastAsia"/>
          <w:color w:val="00B8B1"/>
          <w:spacing w:val="-1"/>
          <w:lang w:eastAsia="ja-JP"/>
        </w:rPr>
        <w:t>定性的な不確実性の報告</w:t>
      </w:r>
    </w:p>
    <w:p w14:paraId="3A1E87A7" w14:textId="66F9D576" w:rsidR="0055291C" w:rsidRDefault="00944004" w:rsidP="00B76028">
      <w:pPr>
        <w:pStyle w:val="a3"/>
        <w:spacing w:before="1" w:line="312" w:lineRule="auto"/>
        <w:ind w:left="249" w:right="1124" w:firstLineChars="100" w:firstLine="190"/>
        <w:rPr>
          <w:lang w:eastAsia="ja-JP"/>
        </w:rPr>
      </w:pPr>
      <w:r>
        <w:rPr>
          <w:rFonts w:ascii="ＭＳ ゴシック" w:eastAsia="ＭＳ ゴシック" w:hAnsi="ＭＳ ゴシック" w:cs="ＭＳ ゴシック" w:hint="eastAsia"/>
          <w:lang w:eastAsia="ja-JP"/>
        </w:rPr>
        <w:t>企業は、不確実性の原因と、報告書で用いられた方法論の選択に関する定性的な説明を報告することを求められています。これには、ゆりかごから墓場までの報告書のための使用と廃棄のプロファイル、配分方法（リサイクル配分方法を含む）、使用される</w:t>
      </w:r>
      <w:r>
        <w:rPr>
          <w:lang w:eastAsia="ja-JP"/>
        </w:rPr>
        <w:t>GWP</w:t>
      </w:r>
      <w:r>
        <w:rPr>
          <w:rFonts w:ascii="ＭＳ ゴシック" w:eastAsia="ＭＳ ゴシック" w:hAnsi="ＭＳ ゴシック" w:cs="ＭＳ ゴシック" w:hint="eastAsia"/>
          <w:lang w:eastAsia="ja-JP"/>
        </w:rPr>
        <w:t>のソース、排出と除去の定量化に使用される計算モデルなどが含まれます。</w:t>
      </w:r>
    </w:p>
    <w:p w14:paraId="22B851B9" w14:textId="1D936810" w:rsidR="0055291C" w:rsidRDefault="00944004" w:rsidP="00B76028">
      <w:pPr>
        <w:pStyle w:val="a3"/>
        <w:spacing w:before="2" w:line="312" w:lineRule="auto"/>
        <w:ind w:left="249" w:right="1124" w:firstLineChars="100" w:firstLine="190"/>
        <w:rPr>
          <w:lang w:eastAsia="ja-JP"/>
        </w:rPr>
      </w:pPr>
      <w:r>
        <w:rPr>
          <w:rFonts w:ascii="ＭＳ ゴシック" w:eastAsia="ＭＳ ゴシック" w:hAnsi="ＭＳ ゴシック" w:cs="ＭＳ ゴシック" w:hint="eastAsia"/>
          <w:lang w:eastAsia="ja-JP"/>
        </w:rPr>
        <w:t>定量的な不確実性評価は必須ではないですが、そのような評価は、</w:t>
      </w:r>
      <w:r w:rsidR="00F41492">
        <w:rPr>
          <w:rFonts w:ascii="ＭＳ ゴシック" w:eastAsia="ＭＳ ゴシック" w:hAnsi="ＭＳ ゴシック" w:cs="ＭＳ ゴシック" w:hint="eastAsia"/>
          <w:lang w:eastAsia="ja-JP"/>
        </w:rPr>
        <w:t>経時的にみて高い不確実性を持つ</w:t>
      </w:r>
      <w:r>
        <w:rPr>
          <w:rFonts w:ascii="ＭＳ ゴシック" w:eastAsia="ＭＳ ゴシック" w:hAnsi="ＭＳ ゴシック" w:cs="ＭＳ ゴシック" w:hint="eastAsia"/>
          <w:lang w:eastAsia="ja-JP"/>
        </w:rPr>
        <w:t>領域を特定することができる、より堅牢な結果を提供することができ、企業にとって望ましいです。企業は、</w:t>
      </w:r>
      <w:r w:rsidR="00F41492">
        <w:rPr>
          <w:rFonts w:ascii="ＭＳ ゴシック" w:eastAsia="ＭＳ ゴシック" w:hAnsi="ＭＳ ゴシック" w:cs="ＭＳ ゴシック" w:hint="eastAsia"/>
          <w:lang w:eastAsia="ja-JP"/>
        </w:rPr>
        <w:t>報告書</w:t>
      </w:r>
      <w:r>
        <w:rPr>
          <w:rFonts w:ascii="ＭＳ ゴシック" w:eastAsia="ＭＳ ゴシック" w:hAnsi="ＭＳ ゴシック" w:cs="ＭＳ ゴシック" w:hint="eastAsia"/>
          <w:lang w:eastAsia="ja-JP"/>
        </w:rPr>
        <w:t>において、定性的および定量的な不確実性情報の両方を提示することを望むかもしれ</w:t>
      </w:r>
      <w:r w:rsidR="00F41492">
        <w:rPr>
          <w:rFonts w:ascii="ＭＳ ゴシック" w:eastAsia="ＭＳ ゴシック" w:hAnsi="ＭＳ ゴシック" w:cs="ＭＳ ゴシック" w:hint="eastAsia"/>
          <w:lang w:eastAsia="ja-JP"/>
        </w:rPr>
        <w:t>ません</w:t>
      </w:r>
      <w:r>
        <w:rPr>
          <w:rFonts w:ascii="ＭＳ ゴシック" w:eastAsia="ＭＳ ゴシック" w:hAnsi="ＭＳ ゴシック" w:cs="ＭＳ ゴシック" w:hint="eastAsia"/>
          <w:lang w:eastAsia="ja-JP"/>
        </w:rPr>
        <w:t>。企業はまた、将来の</w:t>
      </w:r>
      <w:r w:rsidR="00F41492">
        <w:rPr>
          <w:rFonts w:ascii="ＭＳ ゴシック" w:eastAsia="ＭＳ ゴシック" w:hAnsi="ＭＳ ゴシック" w:cs="ＭＳ ゴシック" w:hint="eastAsia"/>
          <w:lang w:eastAsia="ja-JP"/>
        </w:rPr>
        <w:t>報告書</w:t>
      </w:r>
      <w:r>
        <w:rPr>
          <w:rFonts w:ascii="ＭＳ ゴシック" w:eastAsia="ＭＳ ゴシック" w:hAnsi="ＭＳ ゴシック" w:cs="ＭＳ ゴシック" w:hint="eastAsia"/>
          <w:lang w:eastAsia="ja-JP"/>
        </w:rPr>
        <w:t>改訂時に不確実性を低減するための努力も記述</w:t>
      </w:r>
      <w:r w:rsidR="00F41492">
        <w:rPr>
          <w:rFonts w:ascii="ＭＳ ゴシック" w:eastAsia="ＭＳ ゴシック" w:hAnsi="ＭＳ ゴシック" w:cs="ＭＳ ゴシック" w:hint="eastAsia"/>
          <w:lang w:eastAsia="ja-JP"/>
        </w:rPr>
        <w:t>します</w:t>
      </w:r>
      <w:r>
        <w:rPr>
          <w:rFonts w:ascii="ＭＳ ゴシック" w:eastAsia="ＭＳ ゴシック" w:hAnsi="ＭＳ ゴシック" w:cs="ＭＳ ゴシック" w:hint="eastAsia"/>
          <w:lang w:eastAsia="ja-JP"/>
        </w:rPr>
        <w:t>。表</w:t>
      </w:r>
      <w:r>
        <w:rPr>
          <w:lang w:eastAsia="ja-JP"/>
        </w:rPr>
        <w:t>10.2</w:t>
      </w:r>
      <w:r>
        <w:rPr>
          <w:rFonts w:ascii="ＭＳ ゴシック" w:eastAsia="ＭＳ ゴシック" w:hAnsi="ＭＳ ゴシック" w:cs="ＭＳ ゴシック" w:hint="eastAsia"/>
          <w:lang w:eastAsia="ja-JP"/>
        </w:rPr>
        <w:t>には、報告するために必要な定性的な</w:t>
      </w:r>
      <w:r w:rsidR="00D05606">
        <w:rPr>
          <w:rFonts w:ascii="ＭＳ ゴシック" w:eastAsia="ＭＳ ゴシック" w:hAnsi="ＭＳ ゴシック" w:cs="ＭＳ ゴシック" w:hint="eastAsia"/>
          <w:lang w:eastAsia="ja-JP"/>
        </w:rPr>
        <w:t>不確実性</w:t>
      </w:r>
      <w:r>
        <w:rPr>
          <w:rFonts w:ascii="ＭＳ ゴシック" w:eastAsia="ＭＳ ゴシック" w:hAnsi="ＭＳ ゴシック" w:cs="ＭＳ ゴシック" w:hint="eastAsia"/>
          <w:lang w:eastAsia="ja-JP"/>
        </w:rPr>
        <w:t>の情報源が記載されてい</w:t>
      </w:r>
      <w:r w:rsidR="00F41492">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w:t>
      </w:r>
    </w:p>
    <w:p w14:paraId="1423EBAB" w14:textId="2DACD9A4" w:rsidR="0055291C" w:rsidRDefault="00F41492">
      <w:pPr>
        <w:pStyle w:val="7"/>
        <w:numPr>
          <w:ilvl w:val="3"/>
          <w:numId w:val="40"/>
        </w:numPr>
        <w:tabs>
          <w:tab w:val="left" w:pos="970"/>
        </w:tabs>
        <w:spacing w:before="129"/>
        <w:ind w:left="969" w:right="1124" w:hanging="721"/>
        <w:jc w:val="left"/>
      </w:pPr>
      <w:r>
        <w:rPr>
          <w:rFonts w:ascii="ＭＳ 明朝" w:eastAsia="ＭＳ 明朝" w:hAnsi="ＭＳ 明朝" w:cs="ＭＳ 明朝" w:hint="eastAsia"/>
          <w:color w:val="00B8B1"/>
          <w:w w:val="95"/>
          <w:lang w:eastAsia="ja-JP"/>
        </w:rPr>
        <w:t>比較対象の不確実性</w:t>
      </w:r>
    </w:p>
    <w:p w14:paraId="5444F009" w14:textId="4A027F5D" w:rsidR="0055291C" w:rsidRDefault="00F41492" w:rsidP="00B76028">
      <w:pPr>
        <w:pStyle w:val="a3"/>
        <w:spacing w:before="2" w:line="312" w:lineRule="auto"/>
        <w:ind w:left="249" w:right="1124" w:firstLineChars="100" w:firstLine="190"/>
        <w:rPr>
          <w:lang w:eastAsia="ja-JP"/>
        </w:rPr>
      </w:pPr>
      <w:r>
        <w:rPr>
          <w:rFonts w:ascii="ＭＳ ゴシック" w:eastAsia="ＭＳ ゴシック" w:hAnsi="ＭＳ ゴシック" w:cs="ＭＳ ゴシック" w:hint="eastAsia"/>
          <w:lang w:eastAsia="ja-JP"/>
        </w:rPr>
        <w:t>相対的不確実性は、複数の製品又はシステムを考慮する点で、先に述べた様々な種類の不確実性と異なります。この規格は、性能追跡（第</w:t>
      </w:r>
      <w:r>
        <w:rPr>
          <w:lang w:eastAsia="ja-JP"/>
        </w:rPr>
        <w:t xml:space="preserve"> 1 </w:t>
      </w:r>
      <w:r>
        <w:rPr>
          <w:rFonts w:ascii="ＭＳ ゴシック" w:eastAsia="ＭＳ ゴシック" w:hAnsi="ＭＳ ゴシック" w:cs="ＭＳ ゴシック" w:hint="eastAsia"/>
          <w:lang w:eastAsia="ja-JP"/>
        </w:rPr>
        <w:t>章に記載）を超えた製品比較を支援することを意図してはいません。</w:t>
      </w:r>
      <w:r>
        <w:rPr>
          <w:lang w:eastAsia="ja-JP"/>
        </w:rPr>
        <w:t xml:space="preserve"> </w:t>
      </w:r>
      <w:r>
        <w:rPr>
          <w:rFonts w:ascii="ＭＳ ゴシック" w:eastAsia="ＭＳ ゴシック" w:hAnsi="ＭＳ ゴシック" w:cs="ＭＳ ゴシック" w:hint="eastAsia"/>
          <w:lang w:eastAsia="ja-JP"/>
        </w:rPr>
        <w:t>しかし、報告書の中でも、製品のライフサイクルにおける</w:t>
      </w:r>
      <w:r w:rsidR="00B76028">
        <w:rPr>
          <w:rFonts w:ascii="ＭＳ ゴシック" w:eastAsia="ＭＳ ゴシック" w:hAnsi="ＭＳ ゴシック" w:cs="ＭＳ ゴシック" w:hint="eastAsia"/>
          <w:lang w:eastAsia="ja-JP"/>
        </w:rPr>
        <w:t>ある工程と</w:t>
      </w:r>
      <w:r>
        <w:rPr>
          <w:rFonts w:ascii="ＭＳ ゴシック" w:eastAsia="ＭＳ ゴシック" w:hAnsi="ＭＳ ゴシック" w:cs="ＭＳ ゴシック" w:hint="eastAsia"/>
          <w:lang w:eastAsia="ja-JP"/>
        </w:rPr>
        <w:t>別の</w:t>
      </w:r>
      <w:r w:rsidR="00B76028">
        <w:rPr>
          <w:rFonts w:ascii="ＭＳ ゴシック" w:eastAsia="ＭＳ ゴシック" w:hAnsi="ＭＳ ゴシック" w:cs="ＭＳ ゴシック" w:hint="eastAsia"/>
          <w:lang w:eastAsia="ja-JP"/>
        </w:rPr>
        <w:t>工程</w:t>
      </w:r>
      <w:r>
        <w:rPr>
          <w:rFonts w:ascii="ＭＳ ゴシック" w:eastAsia="ＭＳ ゴシック" w:hAnsi="ＭＳ ゴシック" w:cs="ＭＳ ゴシック" w:hint="eastAsia"/>
          <w:lang w:eastAsia="ja-JP"/>
        </w:rPr>
        <w:t>の影響を比較する場合など、比較の不確実性が生じることがあります。</w:t>
      </w:r>
    </w:p>
    <w:p w14:paraId="1A39B9A4" w14:textId="516B3ED0" w:rsidR="0055291C" w:rsidRDefault="00B76028" w:rsidP="00B76028">
      <w:pPr>
        <w:pStyle w:val="a3"/>
        <w:spacing w:before="1" w:line="312" w:lineRule="auto"/>
        <w:ind w:left="249" w:right="1124" w:firstLineChars="100" w:firstLine="190"/>
        <w:rPr>
          <w:lang w:eastAsia="ja-JP"/>
        </w:rPr>
      </w:pPr>
      <w:r>
        <w:rPr>
          <w:rFonts w:ascii="ＭＳ ゴシック" w:eastAsia="ＭＳ ゴシック" w:hAnsi="ＭＳ ゴシック" w:cs="ＭＳ ゴシック" w:hint="eastAsia"/>
          <w:lang w:eastAsia="ja-JP"/>
        </w:rPr>
        <w:t>比較における不確実性を考慮する場合、各プロセス、ライフサイクルステージ、または製品の不確実性の範囲を直接比較するべきではなく、比較対象自体の不確実性を評価する必要があります。</w:t>
      </w:r>
      <w:r>
        <w:rPr>
          <w:lang w:eastAsia="ja-JP"/>
        </w:rPr>
        <w:t xml:space="preserve"> </w:t>
      </w:r>
      <w:r>
        <w:rPr>
          <w:rFonts w:ascii="ＭＳ ゴシック" w:eastAsia="ＭＳ ゴシック" w:hAnsi="ＭＳ ゴシック" w:cs="ＭＳ ゴシック" w:hint="eastAsia"/>
          <w:lang w:eastAsia="ja-JP"/>
        </w:rPr>
        <w:t>つまり、</w:t>
      </w:r>
      <w:r>
        <w:rPr>
          <w:lang w:eastAsia="ja-JP"/>
        </w:rPr>
        <w:t xml:space="preserve">A </w:t>
      </w:r>
      <w:r>
        <w:rPr>
          <w:rFonts w:ascii="ＭＳ ゴシック" w:eastAsia="ＭＳ ゴシック" w:hAnsi="ＭＳ ゴシック" w:cs="ＭＳ ゴシック" w:hint="eastAsia"/>
          <w:lang w:eastAsia="ja-JP"/>
        </w:rPr>
        <w:t>の分布と</w:t>
      </w:r>
      <w:r>
        <w:rPr>
          <w:lang w:eastAsia="ja-JP"/>
        </w:rPr>
        <w:t xml:space="preserve"> B </w:t>
      </w:r>
      <w:r>
        <w:rPr>
          <w:rFonts w:ascii="ＭＳ ゴシック" w:eastAsia="ＭＳ ゴシック" w:hAnsi="ＭＳ ゴシック" w:cs="ＭＳ ゴシック" w:hint="eastAsia"/>
          <w:lang w:eastAsia="ja-JP"/>
        </w:rPr>
        <w:t>の分布を比較するのではなく、</w:t>
      </w:r>
      <w:r w:rsidR="0027297E">
        <w:rPr>
          <w:rFonts w:ascii="ＭＳ ゴシック" w:eastAsia="ＭＳ ゴシック" w:hAnsi="ＭＳ ゴシック" w:cs="ＭＳ ゴシック" w:hint="eastAsia"/>
          <w:lang w:eastAsia="ja-JP"/>
        </w:rPr>
        <w:t>AをBで割った分布を評価するのです。</w:t>
      </w:r>
      <w:r>
        <w:rPr>
          <w:rFonts w:ascii="ＭＳ ゴシック" w:eastAsia="ＭＳ ゴシック" w:hAnsi="ＭＳ ゴシック" w:cs="ＭＳ ゴシック" w:hint="eastAsia"/>
          <w:lang w:eastAsia="ja-JP"/>
        </w:rPr>
        <w:t>これは、パラメータの</w:t>
      </w:r>
      <w:r w:rsidR="00D05606">
        <w:rPr>
          <w:rFonts w:ascii="ＭＳ ゴシック" w:eastAsia="ＭＳ ゴシック" w:hAnsi="ＭＳ ゴシック" w:cs="ＭＳ ゴシック" w:hint="eastAsia"/>
          <w:lang w:eastAsia="ja-JP"/>
        </w:rPr>
        <w:t>不確実性</w:t>
      </w:r>
      <w:r>
        <w:rPr>
          <w:rFonts w:ascii="ＭＳ ゴシック" w:eastAsia="ＭＳ ゴシック" w:hAnsi="ＭＳ ゴシック" w:cs="ＭＳ ゴシック" w:hint="eastAsia"/>
          <w:lang w:eastAsia="ja-JP"/>
        </w:rPr>
        <w:t>とシナリオの</w:t>
      </w:r>
      <w:r w:rsidR="00D05606">
        <w:rPr>
          <w:rFonts w:ascii="ＭＳ ゴシック" w:eastAsia="ＭＳ ゴシック" w:hAnsi="ＭＳ ゴシック" w:cs="ＭＳ ゴシック" w:hint="eastAsia"/>
          <w:lang w:eastAsia="ja-JP"/>
        </w:rPr>
        <w:t>不確実性</w:t>
      </w:r>
      <w:r>
        <w:rPr>
          <w:rFonts w:ascii="ＭＳ ゴシック" w:eastAsia="ＭＳ ゴシック" w:hAnsi="ＭＳ ゴシック" w:cs="ＭＳ ゴシック" w:hint="eastAsia"/>
          <w:lang w:eastAsia="ja-JP"/>
        </w:rPr>
        <w:t>の両方について行うことができます。</w:t>
      </w:r>
    </w:p>
    <w:p w14:paraId="33C87B29" w14:textId="77777777" w:rsidR="0055291C" w:rsidRDefault="0055291C">
      <w:pPr>
        <w:spacing w:line="312" w:lineRule="auto"/>
        <w:rPr>
          <w:rFonts w:eastAsiaTheme="minorEastAsia"/>
          <w:lang w:eastAsia="ja-JP"/>
        </w:rPr>
      </w:pPr>
    </w:p>
    <w:p w14:paraId="2F65E03A" w14:textId="77777777" w:rsidR="00067063" w:rsidRDefault="00067063">
      <w:pPr>
        <w:spacing w:line="312" w:lineRule="auto"/>
        <w:rPr>
          <w:rFonts w:eastAsiaTheme="minorEastAsia"/>
          <w:lang w:eastAsia="ja-JP"/>
        </w:rPr>
      </w:pPr>
    </w:p>
    <w:p w14:paraId="2D948F97" w14:textId="4D89E822" w:rsidR="00067063" w:rsidRDefault="00067063">
      <w:pPr>
        <w:spacing w:line="312" w:lineRule="auto"/>
        <w:rPr>
          <w:rFonts w:eastAsiaTheme="minorEastAsia"/>
          <w:lang w:eastAsia="ja-JP"/>
        </w:rPr>
      </w:pPr>
      <w:r>
        <w:rPr>
          <w:noProof/>
          <w:sz w:val="20"/>
          <w:lang w:eastAsia="ja-JP"/>
        </w:rPr>
        <w:lastRenderedPageBreak/>
        <mc:AlternateContent>
          <mc:Choice Requires="wpg">
            <w:drawing>
              <wp:anchor distT="0" distB="0" distL="114300" distR="114300" simplePos="0" relativeHeight="251499008" behindDoc="0" locked="0" layoutInCell="1" allowOverlap="1" wp14:anchorId="446EDBC3" wp14:editId="6DD4763F">
                <wp:simplePos x="0" y="0"/>
                <wp:positionH relativeFrom="column">
                  <wp:posOffset>311150</wp:posOffset>
                </wp:positionH>
                <wp:positionV relativeFrom="paragraph">
                  <wp:posOffset>-184150</wp:posOffset>
                </wp:positionV>
                <wp:extent cx="6645275" cy="4735195"/>
                <wp:effectExtent l="0" t="0" r="3175" b="0"/>
                <wp:wrapTopAndBottom/>
                <wp:docPr id="107" name="グループ化 107"/>
                <wp:cNvGraphicFramePr/>
                <a:graphic xmlns:a="http://schemas.openxmlformats.org/drawingml/2006/main">
                  <a:graphicData uri="http://schemas.microsoft.com/office/word/2010/wordprocessingGroup">
                    <wpg:wgp>
                      <wpg:cNvGrpSpPr/>
                      <wpg:grpSpPr>
                        <a:xfrm>
                          <a:off x="0" y="0"/>
                          <a:ext cx="6645275" cy="4735195"/>
                          <a:chOff x="0" y="0"/>
                          <a:chExt cx="6645275" cy="4735195"/>
                        </a:xfrm>
                      </wpg:grpSpPr>
                      <pic:pic xmlns:pic="http://schemas.openxmlformats.org/drawingml/2006/picture">
                        <pic:nvPicPr>
                          <pic:cNvPr id="105" name="図 105"/>
                          <pic:cNvPicPr>
                            <a:picLocks noChangeAspect="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260350"/>
                            <a:ext cx="6645275" cy="4474845"/>
                          </a:xfrm>
                          <a:prstGeom prst="rect">
                            <a:avLst/>
                          </a:prstGeom>
                          <a:noFill/>
                          <a:ln>
                            <a:noFill/>
                          </a:ln>
                        </pic:spPr>
                      </pic:pic>
                      <wps:wsp>
                        <wps:cNvPr id="106" name="テキスト ボックス 106"/>
                        <wps:cNvSpPr txBox="1"/>
                        <wps:spPr>
                          <a:xfrm>
                            <a:off x="285750" y="0"/>
                            <a:ext cx="6286500" cy="387350"/>
                          </a:xfrm>
                          <a:prstGeom prst="rect">
                            <a:avLst/>
                          </a:prstGeom>
                          <a:solidFill>
                            <a:schemeClr val="lt1"/>
                          </a:solidFill>
                          <a:ln w="6350">
                            <a:noFill/>
                          </a:ln>
                        </wps:spPr>
                        <wps:txbx>
                          <w:txbxContent>
                            <w:p w14:paraId="2C7E0044" w14:textId="7CEB5D98" w:rsidR="00E762AF" w:rsidRPr="00E762AF" w:rsidRDefault="003524E2" w:rsidP="00E762AF">
                              <w:pPr>
                                <w:spacing w:before="99"/>
                                <w:rPr>
                                  <w:rFonts w:ascii="Arial" w:eastAsiaTheme="minorEastAsia"/>
                                  <w:b/>
                                  <w:sz w:val="20"/>
                                  <w:lang w:eastAsia="ja-JP"/>
                                </w:rPr>
                              </w:pPr>
                              <w:r>
                                <w:rPr>
                                  <w:rFonts w:ascii="ＭＳ ゴシック" w:eastAsia="ＭＳ ゴシック" w:hAnsi="ＭＳ ゴシック" w:cs="ＭＳ ゴシック" w:hint="eastAsia"/>
                                  <w:b/>
                                  <w:color w:val="00ACA1"/>
                                  <w:w w:val="95"/>
                                  <w:sz w:val="20"/>
                                  <w:lang w:eastAsia="ja-JP"/>
                                </w:rPr>
                                <w:t>表</w:t>
                              </w:r>
                              <w:r w:rsidR="00E762AF">
                                <w:rPr>
                                  <w:rFonts w:ascii="Arial"/>
                                  <w:b/>
                                  <w:color w:val="00ACA1"/>
                                  <w:spacing w:val="20"/>
                                  <w:w w:val="95"/>
                                  <w:sz w:val="20"/>
                                  <w:lang w:eastAsia="ja-JP"/>
                                </w:rPr>
                                <w:t xml:space="preserve"> </w:t>
                              </w:r>
                              <w:r w:rsidR="00E762AF">
                                <w:rPr>
                                  <w:rFonts w:ascii="Arial"/>
                                  <w:b/>
                                  <w:color w:val="00ACA1"/>
                                  <w:w w:val="95"/>
                                  <w:sz w:val="20"/>
                                  <w:lang w:eastAsia="ja-JP"/>
                                </w:rPr>
                                <w:t>[10.2]</w:t>
                              </w:r>
                              <w:r w:rsidR="00E762AF">
                                <w:rPr>
                                  <w:rFonts w:ascii="Arial"/>
                                  <w:b/>
                                  <w:color w:val="00ACA1"/>
                                  <w:spacing w:val="21"/>
                                  <w:w w:val="95"/>
                                  <w:sz w:val="20"/>
                                  <w:lang w:eastAsia="ja-JP"/>
                                </w:rPr>
                                <w:t xml:space="preserve"> </w:t>
                              </w:r>
                              <w:r w:rsidR="00E762AF">
                                <w:rPr>
                                  <w:rFonts w:ascii="ＭＳ ゴシック" w:eastAsia="ＭＳ ゴシック" w:hAnsi="ＭＳ ゴシック" w:cs="ＭＳ ゴシック" w:hint="eastAsia"/>
                                  <w:b/>
                                  <w:color w:val="545456"/>
                                  <w:w w:val="95"/>
                                  <w:sz w:val="20"/>
                                  <w:lang w:eastAsia="ja-JP"/>
                                </w:rPr>
                                <w:t>報告書において要求される、不確実性の定性的記述</w:t>
                              </w:r>
                            </w:p>
                            <w:p w14:paraId="5999193D" w14:textId="77777777" w:rsidR="00E762AF" w:rsidRDefault="00E762AF">
                              <w:pPr>
                                <w:rPr>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46EDBC3" id="グループ化 107" o:spid="_x0000_s1129" style="position:absolute;margin-left:24.5pt;margin-top:-14.5pt;width:523.25pt;height:372.85pt;z-index:251499008" coordsize="66452,47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">
                <v:shape id="図 105" o:spid="_x0000_s1130" type="#_x0000_t75" style="position:absolute;top:2603;width:66452;height:44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">
                  <v:imagedata r:id="rId263" o:title=""/>
                </v:shape>
                <v:shape id="テキスト ボックス 106" o:spid="_x0000_s1131" type="#_x0000_t202" style="position:absolute;left:2857;width:62865;height:3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" fillcolor="white [3201]" stroked="f" strokeweight=".5pt">
                  <v:textbox>
                    <w:txbxContent>
                      <w:p w14:paraId="2C7E0044" w14:textId="7CEB5D98" w:rsidR="00E762AF" w:rsidRPr="00E762AF" w:rsidRDefault="003524E2" w:rsidP="00E762AF">
                        <w:pPr>
                          <w:spacing w:before="99"/>
                          <w:rPr>
                            <w:rFonts w:ascii="Arial" w:eastAsiaTheme="minorEastAsia"/>
                            <w:b/>
                            <w:sz w:val="20"/>
                            <w:lang w:eastAsia="ja-JP"/>
                          </w:rPr>
                        </w:pPr>
                        <w:r>
                          <w:rPr>
                            <w:rFonts w:ascii="ＭＳ ゴシック" w:eastAsia="ＭＳ ゴシック" w:hAnsi="ＭＳ ゴシック" w:cs="ＭＳ ゴシック" w:hint="eastAsia"/>
                            <w:b/>
                            <w:color w:val="00ACA1"/>
                            <w:w w:val="95"/>
                            <w:sz w:val="20"/>
                            <w:lang w:eastAsia="ja-JP"/>
                          </w:rPr>
                          <w:t>表</w:t>
                        </w:r>
                        <w:r w:rsidR="00E762AF">
                          <w:rPr>
                            <w:rFonts w:ascii="Arial"/>
                            <w:b/>
                            <w:color w:val="00ACA1"/>
                            <w:spacing w:val="20"/>
                            <w:w w:val="95"/>
                            <w:sz w:val="20"/>
                            <w:lang w:eastAsia="ja-JP"/>
                          </w:rPr>
                          <w:t xml:space="preserve"> </w:t>
                        </w:r>
                        <w:r w:rsidR="00E762AF">
                          <w:rPr>
                            <w:rFonts w:ascii="Arial"/>
                            <w:b/>
                            <w:color w:val="00ACA1"/>
                            <w:w w:val="95"/>
                            <w:sz w:val="20"/>
                            <w:lang w:eastAsia="ja-JP"/>
                          </w:rPr>
                          <w:t>[10.2]</w:t>
                        </w:r>
                        <w:r w:rsidR="00E762AF">
                          <w:rPr>
                            <w:rFonts w:ascii="Arial"/>
                            <w:b/>
                            <w:color w:val="00ACA1"/>
                            <w:spacing w:val="21"/>
                            <w:w w:val="95"/>
                            <w:sz w:val="20"/>
                            <w:lang w:eastAsia="ja-JP"/>
                          </w:rPr>
                          <w:t xml:space="preserve"> </w:t>
                        </w:r>
                        <w:r w:rsidR="00E762AF">
                          <w:rPr>
                            <w:rFonts w:ascii="ＭＳ ゴシック" w:eastAsia="ＭＳ ゴシック" w:hAnsi="ＭＳ ゴシック" w:cs="ＭＳ ゴシック" w:hint="eastAsia"/>
                            <w:b/>
                            <w:color w:val="545456"/>
                            <w:w w:val="95"/>
                            <w:sz w:val="20"/>
                            <w:lang w:eastAsia="ja-JP"/>
                          </w:rPr>
                          <w:t>報告書において要求される、不確実性の定性的記述</w:t>
                        </w:r>
                      </w:p>
                      <w:p w14:paraId="5999193D" w14:textId="77777777" w:rsidR="00E762AF" w:rsidRDefault="00E762AF">
                        <w:pPr>
                          <w:rPr>
                            <w:lang w:eastAsia="ja-JP"/>
                          </w:rPr>
                        </w:pPr>
                      </w:p>
                    </w:txbxContent>
                  </v:textbox>
                </v:shape>
                <w10:wrap type="topAndBottom"/>
              </v:group>
            </w:pict>
          </mc:Fallback>
        </mc:AlternateContent>
      </w:r>
    </w:p>
    <w:p w14:paraId="6425A232" w14:textId="77777777" w:rsidR="00067063" w:rsidRDefault="00067063" w:rsidP="00067063">
      <w:pPr>
        <w:pStyle w:val="a3"/>
        <w:spacing w:before="3" w:line="312" w:lineRule="auto"/>
        <w:ind w:left="709" w:rightChars="217" w:right="477" w:firstLineChars="100" w:firstLine="190"/>
        <w:rPr>
          <w:lang w:eastAsia="ja-JP"/>
        </w:rPr>
      </w:pPr>
      <w:r>
        <w:rPr>
          <w:lang w:eastAsia="ja-JP"/>
        </w:rPr>
        <w:t>2</w:t>
      </w:r>
      <w:r>
        <w:rPr>
          <w:rFonts w:ascii="ＭＳ ゴシック" w:eastAsia="ＭＳ ゴシック" w:hAnsi="ＭＳ ゴシック" w:cs="ＭＳ ゴシック" w:hint="eastAsia"/>
          <w:lang w:eastAsia="ja-JP"/>
        </w:rPr>
        <w:t>つ以上の工程、ステージ、製品の間の不確実性を比較する場合、共通の投入、生産、工程を追跡することが重要です。比較される</w:t>
      </w:r>
      <w:r>
        <w:rPr>
          <w:lang w:eastAsia="ja-JP"/>
        </w:rPr>
        <w:t>2</w:t>
      </w:r>
      <w:r>
        <w:rPr>
          <w:rFonts w:ascii="ＭＳ ゴシック" w:eastAsia="ＭＳ ゴシック" w:hAnsi="ＭＳ ゴシック" w:cs="ＭＳ ゴシック" w:hint="eastAsia"/>
          <w:lang w:eastAsia="ja-JP"/>
        </w:rPr>
        <w:t>つの項目が共通の要素を持つ場合、その要素の不確実性は相関している可能性が高く、不確実性の比較結果に含まれるべきではないでしょう。なぜなら相関関係があれば、比較的不確実な</w:t>
      </w:r>
      <w:r>
        <w:rPr>
          <w:lang w:eastAsia="ja-JP"/>
        </w:rPr>
        <w:t>2</w:t>
      </w:r>
      <w:r>
        <w:rPr>
          <w:rFonts w:ascii="ＭＳ ゴシック" w:eastAsia="ＭＳ ゴシック" w:hAnsi="ＭＳ ゴシック" w:cs="ＭＳ ゴシック" w:hint="eastAsia"/>
          <w:lang w:eastAsia="ja-JP"/>
        </w:rPr>
        <w:t>つの結果を比較しても、比較的高い確度で比較することができるからです。相関関係の特定は、製品のGHG排出量の時間的な変化を追跡する上で重要です。</w:t>
      </w:r>
    </w:p>
    <w:p w14:paraId="12CC354E" w14:textId="77777777" w:rsidR="00067063" w:rsidRDefault="00067063" w:rsidP="00067063">
      <w:pPr>
        <w:pStyle w:val="a3"/>
        <w:spacing w:before="4"/>
        <w:ind w:left="709" w:rightChars="217" w:right="477"/>
        <w:rPr>
          <w:sz w:val="16"/>
          <w:lang w:eastAsia="ja-JP"/>
        </w:rPr>
      </w:pPr>
    </w:p>
    <w:p w14:paraId="3F259C58" w14:textId="77777777" w:rsidR="00067063" w:rsidRDefault="00067063" w:rsidP="00067063">
      <w:pPr>
        <w:ind w:left="709" w:rightChars="217" w:right="477"/>
        <w:rPr>
          <w:rFonts w:ascii="Arial"/>
          <w:b/>
          <w:i/>
          <w:sz w:val="14"/>
          <w:lang w:eastAsia="ja-JP"/>
        </w:rPr>
      </w:pPr>
      <w:r>
        <w:rPr>
          <w:rFonts w:ascii="Arial"/>
          <w:b/>
          <w:i/>
          <w:color w:val="7F3F98"/>
          <w:w w:val="95"/>
          <w:sz w:val="14"/>
          <w:lang w:eastAsia="ja-JP"/>
        </w:rPr>
        <w:t>E</w:t>
      </w:r>
      <w:r>
        <w:rPr>
          <w:rFonts w:ascii="Arial"/>
          <w:b/>
          <w:i/>
          <w:color w:val="7F3F98"/>
          <w:spacing w:val="-6"/>
          <w:w w:val="95"/>
          <w:sz w:val="14"/>
          <w:lang w:eastAsia="ja-JP"/>
        </w:rPr>
        <w:t xml:space="preserve"> </w:t>
      </w:r>
      <w:r>
        <w:rPr>
          <w:rFonts w:ascii="Arial"/>
          <w:b/>
          <w:i/>
          <w:color w:val="7F3F98"/>
          <w:spacing w:val="22"/>
          <w:w w:val="95"/>
          <w:sz w:val="14"/>
          <w:lang w:eastAsia="ja-JP"/>
        </w:rPr>
        <w:t>XAMPL</w:t>
      </w:r>
      <w:r>
        <w:rPr>
          <w:rFonts w:ascii="Arial"/>
          <w:b/>
          <w:i/>
          <w:color w:val="7F3F98"/>
          <w:spacing w:val="-8"/>
          <w:w w:val="95"/>
          <w:sz w:val="14"/>
          <w:lang w:eastAsia="ja-JP"/>
        </w:rPr>
        <w:t xml:space="preserve"> </w:t>
      </w:r>
      <w:r>
        <w:rPr>
          <w:rFonts w:ascii="Arial"/>
          <w:b/>
          <w:i/>
          <w:color w:val="7F3F98"/>
          <w:w w:val="95"/>
          <w:sz w:val="14"/>
          <w:lang w:eastAsia="ja-JP"/>
        </w:rPr>
        <w:t>E</w:t>
      </w:r>
    </w:p>
    <w:p w14:paraId="20EBBFDA" w14:textId="77777777" w:rsidR="00067063" w:rsidRPr="004F4648" w:rsidRDefault="00067063" w:rsidP="00067063">
      <w:pPr>
        <w:spacing w:before="2" w:line="307" w:lineRule="auto"/>
        <w:ind w:left="709" w:rightChars="217" w:right="477" w:firstLineChars="100" w:firstLine="190"/>
        <w:rPr>
          <w:rFonts w:ascii="Arial"/>
          <w:i/>
          <w:iCs/>
          <w:sz w:val="19"/>
          <w:szCs w:val="19"/>
          <w:lang w:eastAsia="ja-JP"/>
        </w:rPr>
      </w:pPr>
      <w:r w:rsidRPr="004F4648">
        <w:rPr>
          <w:rFonts w:ascii="ＭＳ ゴシック" w:eastAsia="ＭＳ ゴシック" w:hAnsi="ＭＳ ゴシック" w:cs="ＭＳ ゴシック" w:hint="eastAsia"/>
          <w:i/>
          <w:iCs/>
          <w:sz w:val="19"/>
          <w:szCs w:val="19"/>
          <w:lang w:eastAsia="ja-JP"/>
        </w:rPr>
        <w:t>トナーカートリッジのメーカーは、</w:t>
      </w:r>
      <w:r>
        <w:rPr>
          <w:rFonts w:ascii="ＭＳ ゴシック" w:eastAsia="ＭＳ ゴシック" w:hAnsi="ＭＳ ゴシック" w:cs="ＭＳ ゴシック" w:hint="eastAsia"/>
          <w:i/>
          <w:iCs/>
          <w:sz w:val="19"/>
          <w:szCs w:val="19"/>
          <w:lang w:eastAsia="ja-JP"/>
        </w:rPr>
        <w:t>報告書中</w:t>
      </w:r>
      <w:r w:rsidRPr="004F4648">
        <w:rPr>
          <w:rFonts w:ascii="ＭＳ ゴシック" w:eastAsia="ＭＳ ゴシック" w:hAnsi="ＭＳ ゴシック" w:cs="ＭＳ ゴシック" w:hint="eastAsia"/>
          <w:i/>
          <w:iCs/>
          <w:sz w:val="19"/>
          <w:szCs w:val="19"/>
          <w:lang w:eastAsia="ja-JP"/>
        </w:rPr>
        <w:t>のパラメータの</w:t>
      </w:r>
      <w:r>
        <w:rPr>
          <w:rFonts w:ascii="ＭＳ ゴシック" w:eastAsia="ＭＳ ゴシック" w:hAnsi="ＭＳ ゴシック" w:cs="ＭＳ ゴシック" w:hint="eastAsia"/>
          <w:i/>
          <w:iCs/>
          <w:sz w:val="19"/>
          <w:szCs w:val="19"/>
          <w:lang w:eastAsia="ja-JP"/>
        </w:rPr>
        <w:t>不確実性</w:t>
      </w:r>
      <w:r w:rsidRPr="004F4648">
        <w:rPr>
          <w:rFonts w:ascii="ＭＳ ゴシック" w:eastAsia="ＭＳ ゴシック" w:hAnsi="ＭＳ ゴシック" w:cs="ＭＳ ゴシック" w:hint="eastAsia"/>
          <w:i/>
          <w:iCs/>
          <w:sz w:val="19"/>
          <w:szCs w:val="19"/>
          <w:lang w:eastAsia="ja-JP"/>
        </w:rPr>
        <w:t>を</w:t>
      </w:r>
      <w:r w:rsidRPr="004F4648">
        <w:rPr>
          <w:i/>
          <w:iCs/>
          <w:sz w:val="19"/>
          <w:szCs w:val="19"/>
          <w:lang w:eastAsia="ja-JP"/>
        </w:rPr>
        <w:t>±20</w:t>
      </w:r>
      <w:r w:rsidRPr="004F4648">
        <w:rPr>
          <w:rFonts w:ascii="ＭＳ ゴシック" w:eastAsia="ＭＳ ゴシック" w:hAnsi="ＭＳ ゴシック" w:cs="ＭＳ ゴシック" w:hint="eastAsia"/>
          <w:i/>
          <w:iCs/>
          <w:sz w:val="19"/>
          <w:szCs w:val="19"/>
          <w:lang w:eastAsia="ja-JP"/>
        </w:rPr>
        <w:t>パーセントと決定しています。同社は、より軽量なカートリッジ本体を開発し、重量を</w:t>
      </w:r>
      <w:r w:rsidRPr="004F4648">
        <w:rPr>
          <w:i/>
          <w:iCs/>
          <w:sz w:val="19"/>
          <w:szCs w:val="19"/>
          <w:lang w:eastAsia="ja-JP"/>
        </w:rPr>
        <w:t>30</w:t>
      </w:r>
      <w:r w:rsidRPr="004F4648">
        <w:rPr>
          <w:rFonts w:ascii="ＭＳ ゴシック" w:eastAsia="ＭＳ ゴシック" w:hAnsi="ＭＳ ゴシック" w:cs="ＭＳ ゴシック" w:hint="eastAsia"/>
          <w:i/>
          <w:iCs/>
          <w:sz w:val="19"/>
          <w:szCs w:val="19"/>
          <w:lang w:eastAsia="ja-JP"/>
        </w:rPr>
        <w:t>パーセント</w:t>
      </w:r>
      <w:r>
        <w:rPr>
          <w:rFonts w:ascii="ＭＳ ゴシック" w:eastAsia="ＭＳ ゴシック" w:hAnsi="ＭＳ ゴシック" w:cs="ＭＳ ゴシック" w:hint="eastAsia"/>
          <w:i/>
          <w:iCs/>
          <w:sz w:val="19"/>
          <w:szCs w:val="19"/>
          <w:lang w:eastAsia="ja-JP"/>
        </w:rPr>
        <w:t>、排出量を</w:t>
      </w:r>
      <w:r w:rsidRPr="004F4648">
        <w:rPr>
          <w:i/>
          <w:iCs/>
          <w:sz w:val="19"/>
          <w:szCs w:val="19"/>
          <w:lang w:eastAsia="ja-JP"/>
        </w:rPr>
        <w:t>3</w:t>
      </w:r>
      <w:r w:rsidRPr="004F4648">
        <w:rPr>
          <w:rFonts w:ascii="ＭＳ ゴシック" w:eastAsia="ＭＳ ゴシック" w:hAnsi="ＭＳ ゴシック" w:cs="ＭＳ ゴシック" w:hint="eastAsia"/>
          <w:i/>
          <w:iCs/>
          <w:sz w:val="19"/>
          <w:szCs w:val="19"/>
          <w:lang w:eastAsia="ja-JP"/>
        </w:rPr>
        <w:t>％</w:t>
      </w:r>
      <w:r>
        <w:rPr>
          <w:rFonts w:ascii="ＭＳ ゴシック" w:eastAsia="ＭＳ ゴシック" w:hAnsi="ＭＳ ゴシック" w:cs="ＭＳ ゴシック" w:hint="eastAsia"/>
          <w:i/>
          <w:iCs/>
          <w:sz w:val="19"/>
          <w:szCs w:val="19"/>
          <w:lang w:eastAsia="ja-JP"/>
        </w:rPr>
        <w:t>削減しました</w:t>
      </w:r>
      <w:r w:rsidRPr="004F4648">
        <w:rPr>
          <w:rFonts w:ascii="ＭＳ ゴシック" w:eastAsia="ＭＳ ゴシック" w:hAnsi="ＭＳ ゴシック" w:cs="ＭＳ ゴシック" w:hint="eastAsia"/>
          <w:i/>
          <w:iCs/>
          <w:sz w:val="19"/>
          <w:szCs w:val="19"/>
          <w:lang w:eastAsia="ja-JP"/>
        </w:rPr>
        <w:t>。重量の違い以外に</w:t>
      </w:r>
      <w:r>
        <w:rPr>
          <w:rFonts w:ascii="ＭＳ ゴシック" w:eastAsia="ＭＳ ゴシック" w:hAnsi="ＭＳ ゴシック" w:cs="ＭＳ ゴシック" w:hint="eastAsia"/>
          <w:i/>
          <w:iCs/>
          <w:sz w:val="19"/>
          <w:szCs w:val="19"/>
          <w:lang w:eastAsia="ja-JP"/>
        </w:rPr>
        <w:t>は</w:t>
      </w:r>
      <w:r w:rsidRPr="004F4648">
        <w:rPr>
          <w:rFonts w:ascii="ＭＳ ゴシック" w:eastAsia="ＭＳ ゴシック" w:hAnsi="ＭＳ ゴシック" w:cs="ＭＳ ゴシック" w:hint="eastAsia"/>
          <w:i/>
          <w:iCs/>
          <w:sz w:val="19"/>
          <w:szCs w:val="19"/>
          <w:lang w:eastAsia="ja-JP"/>
        </w:rPr>
        <w:t>、</w:t>
      </w:r>
      <w:r w:rsidRPr="004F4648">
        <w:rPr>
          <w:i/>
          <w:iCs/>
          <w:sz w:val="19"/>
          <w:szCs w:val="19"/>
          <w:lang w:eastAsia="ja-JP"/>
        </w:rPr>
        <w:t>2</w:t>
      </w:r>
      <w:r w:rsidRPr="004F4648">
        <w:rPr>
          <w:rFonts w:ascii="ＭＳ ゴシック" w:eastAsia="ＭＳ ゴシック" w:hAnsi="ＭＳ ゴシック" w:cs="ＭＳ ゴシック" w:hint="eastAsia"/>
          <w:i/>
          <w:iCs/>
          <w:sz w:val="19"/>
          <w:szCs w:val="19"/>
          <w:lang w:eastAsia="ja-JP"/>
        </w:rPr>
        <w:t>つの</w:t>
      </w:r>
      <w:r>
        <w:rPr>
          <w:rFonts w:ascii="ＭＳ ゴシック" w:eastAsia="ＭＳ ゴシック" w:hAnsi="ＭＳ ゴシック" w:cs="ＭＳ ゴシック" w:hint="eastAsia"/>
          <w:i/>
          <w:iCs/>
          <w:sz w:val="19"/>
          <w:szCs w:val="19"/>
          <w:lang w:eastAsia="ja-JP"/>
        </w:rPr>
        <w:t>報告書</w:t>
      </w:r>
      <w:r w:rsidRPr="004F4648">
        <w:rPr>
          <w:rFonts w:ascii="ＭＳ ゴシック" w:eastAsia="ＭＳ ゴシック" w:hAnsi="ＭＳ ゴシック" w:cs="ＭＳ ゴシック" w:hint="eastAsia"/>
          <w:i/>
          <w:iCs/>
          <w:sz w:val="19"/>
          <w:szCs w:val="19"/>
          <w:lang w:eastAsia="ja-JP"/>
        </w:rPr>
        <w:t>のプロセスは同じであり、データソースも一致しています。したがって、</w:t>
      </w:r>
      <w:r>
        <w:rPr>
          <w:rFonts w:ascii="ＭＳ ゴシック" w:eastAsia="ＭＳ ゴシック" w:hAnsi="ＭＳ ゴシック" w:cs="ＭＳ ゴシック" w:hint="eastAsia"/>
          <w:i/>
          <w:iCs/>
          <w:sz w:val="19"/>
          <w:szCs w:val="19"/>
          <w:lang w:eastAsia="ja-JP"/>
        </w:rPr>
        <w:t>元々の排出量</w:t>
      </w:r>
      <w:r w:rsidRPr="004F4648">
        <w:rPr>
          <w:rFonts w:ascii="ＭＳ ゴシック" w:eastAsia="ＭＳ ゴシック" w:hAnsi="ＭＳ ゴシック" w:cs="ＭＳ ゴシック" w:hint="eastAsia"/>
          <w:i/>
          <w:iCs/>
          <w:sz w:val="19"/>
          <w:szCs w:val="19"/>
          <w:lang w:eastAsia="ja-JP"/>
        </w:rPr>
        <w:t>と</w:t>
      </w:r>
      <w:r>
        <w:rPr>
          <w:rFonts w:ascii="ＭＳ ゴシック" w:eastAsia="ＭＳ ゴシック" w:hAnsi="ＭＳ ゴシック" w:cs="ＭＳ ゴシック" w:hint="eastAsia"/>
          <w:i/>
          <w:iCs/>
          <w:sz w:val="19"/>
          <w:szCs w:val="19"/>
          <w:lang w:eastAsia="ja-JP"/>
        </w:rPr>
        <w:t>削減後排出量</w:t>
      </w:r>
      <w:r w:rsidRPr="004F4648">
        <w:rPr>
          <w:rFonts w:ascii="ＭＳ ゴシック" w:eastAsia="ＭＳ ゴシック" w:hAnsi="ＭＳ ゴシック" w:cs="ＭＳ ゴシック" w:hint="eastAsia"/>
          <w:i/>
          <w:iCs/>
          <w:sz w:val="19"/>
          <w:szCs w:val="19"/>
          <w:lang w:eastAsia="ja-JP"/>
        </w:rPr>
        <w:t>のパラメータの不確かさはそれぞれ</w:t>
      </w:r>
      <w:r w:rsidRPr="004F4648">
        <w:rPr>
          <w:i/>
          <w:iCs/>
          <w:sz w:val="19"/>
          <w:szCs w:val="19"/>
          <w:lang w:eastAsia="ja-JP"/>
        </w:rPr>
        <w:t>±20%</w:t>
      </w:r>
      <w:r w:rsidRPr="004F4648">
        <w:rPr>
          <w:rFonts w:ascii="ＭＳ ゴシック" w:eastAsia="ＭＳ ゴシック" w:hAnsi="ＭＳ ゴシック" w:cs="ＭＳ ゴシック" w:hint="eastAsia"/>
          <w:i/>
          <w:iCs/>
          <w:sz w:val="19"/>
          <w:szCs w:val="19"/>
          <w:lang w:eastAsia="ja-JP"/>
        </w:rPr>
        <w:t>であり、その結果の差は</w:t>
      </w:r>
      <w:r w:rsidRPr="004F4648">
        <w:rPr>
          <w:i/>
          <w:iCs/>
          <w:sz w:val="19"/>
          <w:szCs w:val="19"/>
          <w:lang w:eastAsia="ja-JP"/>
        </w:rPr>
        <w:t>3%</w:t>
      </w:r>
      <w:r w:rsidRPr="004F4648">
        <w:rPr>
          <w:rFonts w:ascii="ＭＳ ゴシック" w:eastAsia="ＭＳ ゴシック" w:hAnsi="ＭＳ ゴシック" w:cs="ＭＳ ゴシック" w:hint="eastAsia"/>
          <w:i/>
          <w:iCs/>
          <w:sz w:val="19"/>
          <w:szCs w:val="19"/>
          <w:lang w:eastAsia="ja-JP"/>
        </w:rPr>
        <w:t>ですが、同社は新しいデザインは、より低い</w:t>
      </w:r>
      <w:r w:rsidRPr="004F4648">
        <w:rPr>
          <w:i/>
          <w:iCs/>
          <w:sz w:val="19"/>
          <w:szCs w:val="19"/>
          <w:lang w:eastAsia="ja-JP"/>
        </w:rPr>
        <w:t>GHG</w:t>
      </w:r>
      <w:r w:rsidRPr="004F4648">
        <w:rPr>
          <w:rFonts w:ascii="ＭＳ ゴシック" w:eastAsia="ＭＳ ゴシック" w:hAnsi="ＭＳ ゴシック" w:cs="ＭＳ ゴシック" w:hint="eastAsia"/>
          <w:i/>
          <w:iCs/>
          <w:sz w:val="19"/>
          <w:szCs w:val="19"/>
          <w:lang w:eastAsia="ja-JP"/>
        </w:rPr>
        <w:t>インパクト</w:t>
      </w:r>
      <w:r>
        <w:rPr>
          <w:rFonts w:ascii="ＭＳ ゴシック" w:eastAsia="ＭＳ ゴシック" w:hAnsi="ＭＳ ゴシック" w:cs="ＭＳ ゴシック" w:hint="eastAsia"/>
          <w:i/>
          <w:iCs/>
          <w:sz w:val="19"/>
          <w:szCs w:val="19"/>
          <w:lang w:eastAsia="ja-JP"/>
        </w:rPr>
        <w:t>が低いと確信しました</w:t>
      </w:r>
      <w:r w:rsidRPr="004F4648">
        <w:rPr>
          <w:rFonts w:ascii="ＭＳ ゴシック" w:eastAsia="ＭＳ ゴシック" w:hAnsi="ＭＳ ゴシック" w:cs="ＭＳ ゴシック" w:hint="eastAsia"/>
          <w:i/>
          <w:iCs/>
          <w:sz w:val="19"/>
          <w:szCs w:val="19"/>
          <w:lang w:eastAsia="ja-JP"/>
        </w:rPr>
        <w:t>。</w:t>
      </w:r>
    </w:p>
    <w:p w14:paraId="0F2BC68B" w14:textId="77777777" w:rsidR="00067063" w:rsidRDefault="00067063" w:rsidP="00067063">
      <w:pPr>
        <w:pStyle w:val="3"/>
        <w:spacing w:before="226"/>
        <w:ind w:left="0"/>
      </w:pPr>
      <w:r>
        <w:rPr>
          <w:b w:val="0"/>
          <w:i w:val="0"/>
          <w:lang w:eastAsia="ja-JP"/>
        </w:rPr>
        <w:br w:type="column"/>
      </w:r>
      <w:r>
        <w:rPr>
          <w:rFonts w:ascii="ＭＳ 明朝" w:eastAsia="ＭＳ 明朝" w:hAnsi="ＭＳ 明朝" w:cs="ＭＳ 明朝" w:hint="eastAsia"/>
          <w:color w:val="00ACA1"/>
          <w:lang w:eastAsia="ja-JP"/>
        </w:rPr>
        <w:t>脚注</w:t>
      </w:r>
    </w:p>
    <w:p w14:paraId="1D6C8CC1" w14:textId="77777777" w:rsidR="00067063" w:rsidRPr="00CF34C2" w:rsidRDefault="00067063">
      <w:pPr>
        <w:pStyle w:val="a5"/>
        <w:numPr>
          <w:ilvl w:val="4"/>
          <w:numId w:val="40"/>
        </w:numPr>
        <w:tabs>
          <w:tab w:val="left" w:pos="584"/>
        </w:tabs>
        <w:spacing w:before="61" w:line="345" w:lineRule="auto"/>
        <w:ind w:right="805"/>
        <w:rPr>
          <w:sz w:val="19"/>
          <w:szCs w:val="19"/>
          <w:lang w:eastAsia="ja-JP"/>
        </w:rPr>
      </w:pPr>
      <w:r w:rsidRPr="00CF34C2">
        <w:rPr>
          <w:rFonts w:ascii="ＭＳ ゴシック" w:eastAsia="ＭＳ ゴシック" w:hAnsi="ＭＳ ゴシック" w:cs="ＭＳ ゴシック" w:hint="eastAsia"/>
          <w:sz w:val="19"/>
          <w:szCs w:val="19"/>
          <w:lang w:eastAsia="ja-JP"/>
        </w:rPr>
        <w:t>パラメータとは、製品のライフサイクルにおいて、</w:t>
      </w:r>
      <w:r w:rsidRPr="00CF34C2">
        <w:rPr>
          <w:sz w:val="19"/>
          <w:szCs w:val="19"/>
          <w:lang w:eastAsia="ja-JP"/>
        </w:rPr>
        <w:t xml:space="preserve"> </w:t>
      </w:r>
      <w:r>
        <w:rPr>
          <w:rFonts w:ascii="ＭＳ ゴシック" w:eastAsia="ＭＳ ゴシック" w:hAnsi="ＭＳ ゴシック" w:cs="ＭＳ ゴシック" w:hint="eastAsia"/>
          <w:sz w:val="19"/>
          <w:szCs w:val="19"/>
          <w:lang w:eastAsia="ja-JP"/>
        </w:rPr>
        <w:t>工程</w:t>
      </w:r>
      <w:r w:rsidRPr="00CF34C2">
        <w:rPr>
          <w:rFonts w:ascii="ＭＳ ゴシック" w:eastAsia="ＭＳ ゴシック" w:hAnsi="ＭＳ ゴシック" w:cs="ＭＳ ゴシック" w:hint="eastAsia"/>
          <w:sz w:val="19"/>
          <w:szCs w:val="19"/>
          <w:lang w:eastAsia="ja-JP"/>
        </w:rPr>
        <w:t>、</w:t>
      </w:r>
      <w:r>
        <w:rPr>
          <w:rFonts w:ascii="ＭＳ ゴシック" w:eastAsia="ＭＳ ゴシック" w:hAnsi="ＭＳ ゴシック" w:cs="ＭＳ ゴシック" w:hint="eastAsia"/>
          <w:sz w:val="19"/>
          <w:szCs w:val="19"/>
          <w:lang w:eastAsia="ja-JP"/>
        </w:rPr>
        <w:t>投入</w:t>
      </w:r>
      <w:r w:rsidRPr="00CF34C2">
        <w:rPr>
          <w:rFonts w:ascii="ＭＳ ゴシック" w:eastAsia="ＭＳ ゴシック" w:hAnsi="ＭＳ ゴシック" w:cs="ＭＳ ゴシック" w:hint="eastAsia"/>
          <w:sz w:val="19"/>
          <w:szCs w:val="19"/>
          <w:lang w:eastAsia="ja-JP"/>
        </w:rPr>
        <w:t>、</w:t>
      </w:r>
      <w:r>
        <w:rPr>
          <w:rFonts w:ascii="ＭＳ ゴシック" w:eastAsia="ＭＳ ゴシック" w:hAnsi="ＭＳ ゴシック" w:cs="ＭＳ ゴシック" w:hint="eastAsia"/>
          <w:sz w:val="19"/>
          <w:szCs w:val="19"/>
          <w:lang w:eastAsia="ja-JP"/>
        </w:rPr>
        <w:t>生産</w:t>
      </w:r>
      <w:r w:rsidRPr="00CF34C2">
        <w:rPr>
          <w:rFonts w:ascii="ＭＳ ゴシック" w:eastAsia="ＭＳ ゴシック" w:hAnsi="ＭＳ ゴシック" w:cs="ＭＳ ゴシック" w:hint="eastAsia"/>
          <w:sz w:val="19"/>
          <w:szCs w:val="19"/>
          <w:lang w:eastAsia="ja-JP"/>
        </w:rPr>
        <w:t>に割り当てられる値のことです。</w:t>
      </w:r>
    </w:p>
    <w:p w14:paraId="68607BD0" w14:textId="77777777" w:rsidR="00067063" w:rsidRPr="00CF34C2" w:rsidRDefault="00067063">
      <w:pPr>
        <w:pStyle w:val="a5"/>
        <w:numPr>
          <w:ilvl w:val="4"/>
          <w:numId w:val="40"/>
        </w:numPr>
        <w:tabs>
          <w:tab w:val="left" w:pos="584"/>
        </w:tabs>
        <w:spacing w:line="345" w:lineRule="auto"/>
        <w:ind w:right="805"/>
        <w:rPr>
          <w:sz w:val="19"/>
          <w:szCs w:val="19"/>
          <w:lang w:eastAsia="ja-JP"/>
        </w:rPr>
      </w:pPr>
      <w:r w:rsidRPr="00CF34C2">
        <w:rPr>
          <w:rFonts w:ascii="ＭＳ ゴシック" w:eastAsia="ＭＳ ゴシック" w:hAnsi="ＭＳ ゴシック" w:cs="ＭＳ ゴシック" w:hint="eastAsia"/>
          <w:sz w:val="19"/>
          <w:szCs w:val="19"/>
          <w:lang w:eastAsia="ja-JP"/>
        </w:rPr>
        <w:t>対数正規分布の使用など、場合によっては平均値付近の分布が対称でなく、上下の信頼</w:t>
      </w:r>
      <w:r>
        <w:rPr>
          <w:rFonts w:ascii="ＭＳ ゴシック" w:eastAsia="ＭＳ ゴシック" w:hAnsi="ＭＳ ゴシック" w:cs="ＭＳ ゴシック" w:hint="eastAsia"/>
          <w:sz w:val="19"/>
          <w:szCs w:val="19"/>
          <w:lang w:eastAsia="ja-JP"/>
        </w:rPr>
        <w:t>区間</w:t>
      </w:r>
      <w:r w:rsidRPr="00CF34C2">
        <w:rPr>
          <w:rFonts w:ascii="ＭＳ ゴシック" w:eastAsia="ＭＳ ゴシック" w:hAnsi="ＭＳ ゴシック" w:cs="ＭＳ ゴシック" w:hint="eastAsia"/>
          <w:sz w:val="19"/>
          <w:szCs w:val="19"/>
          <w:lang w:eastAsia="ja-JP"/>
        </w:rPr>
        <w:t>を別々に指定する必要があ</w:t>
      </w:r>
      <w:r>
        <w:rPr>
          <w:rFonts w:ascii="ＭＳ ゴシック" w:eastAsia="ＭＳ ゴシック" w:hAnsi="ＭＳ ゴシック" w:cs="ＭＳ ゴシック" w:hint="eastAsia"/>
          <w:sz w:val="19"/>
          <w:szCs w:val="19"/>
          <w:lang w:eastAsia="ja-JP"/>
        </w:rPr>
        <w:t>ります</w:t>
      </w:r>
      <w:r w:rsidRPr="00CF34C2">
        <w:rPr>
          <w:rFonts w:ascii="ＭＳ ゴシック" w:eastAsia="ＭＳ ゴシック" w:hAnsi="ＭＳ ゴシック" w:cs="ＭＳ ゴシック" w:hint="eastAsia"/>
          <w:sz w:val="19"/>
          <w:szCs w:val="19"/>
          <w:lang w:eastAsia="ja-JP"/>
        </w:rPr>
        <w:t>（例えば、「</w:t>
      </w:r>
      <w:r w:rsidRPr="00CF34C2">
        <w:rPr>
          <w:sz w:val="19"/>
          <w:szCs w:val="19"/>
          <w:lang w:eastAsia="ja-JP"/>
        </w:rPr>
        <w:t>±15</w:t>
      </w:r>
      <w:r w:rsidRPr="00CF34C2">
        <w:rPr>
          <w:rFonts w:ascii="ＭＳ ゴシック" w:eastAsia="ＭＳ ゴシック" w:hAnsi="ＭＳ ゴシック" w:cs="ＭＳ ゴシック" w:hint="eastAsia"/>
          <w:sz w:val="19"/>
          <w:szCs w:val="19"/>
          <w:lang w:eastAsia="ja-JP"/>
        </w:rPr>
        <w:t>」ではなく「</w:t>
      </w:r>
      <w:r w:rsidRPr="00CF34C2">
        <w:rPr>
          <w:sz w:val="19"/>
          <w:szCs w:val="19"/>
          <w:lang w:eastAsia="ja-JP"/>
        </w:rPr>
        <w:t xml:space="preserve">-10 </w:t>
      </w:r>
      <w:r w:rsidRPr="00CF34C2">
        <w:rPr>
          <w:rFonts w:ascii="ＭＳ ゴシック" w:eastAsia="ＭＳ ゴシック" w:hAnsi="ＭＳ ゴシック" w:cs="ＭＳ ゴシック" w:hint="eastAsia"/>
          <w:sz w:val="19"/>
          <w:szCs w:val="19"/>
          <w:lang w:eastAsia="ja-JP"/>
        </w:rPr>
        <w:t>、＋</w:t>
      </w:r>
      <w:r w:rsidRPr="00CF34C2">
        <w:rPr>
          <w:sz w:val="19"/>
          <w:szCs w:val="19"/>
          <w:lang w:eastAsia="ja-JP"/>
        </w:rPr>
        <w:t>20</w:t>
      </w:r>
      <w:r w:rsidRPr="00CF34C2">
        <w:rPr>
          <w:rFonts w:ascii="ＭＳ ゴシック" w:eastAsia="ＭＳ ゴシック" w:hAnsi="ＭＳ ゴシック" w:cs="ＭＳ ゴシック" w:hint="eastAsia"/>
          <w:sz w:val="19"/>
          <w:szCs w:val="19"/>
          <w:lang w:eastAsia="ja-JP"/>
        </w:rPr>
        <w:t>」）。</w:t>
      </w:r>
    </w:p>
    <w:p w14:paraId="587AC123" w14:textId="77777777" w:rsidR="00067063" w:rsidRPr="00067063" w:rsidRDefault="00067063">
      <w:pPr>
        <w:pStyle w:val="a5"/>
        <w:numPr>
          <w:ilvl w:val="4"/>
          <w:numId w:val="40"/>
        </w:numPr>
        <w:tabs>
          <w:tab w:val="left" w:pos="584"/>
        </w:tabs>
        <w:spacing w:line="345" w:lineRule="auto"/>
        <w:ind w:right="805"/>
        <w:rPr>
          <w:sz w:val="19"/>
          <w:szCs w:val="19"/>
        </w:rPr>
      </w:pPr>
      <w:r w:rsidRPr="00067063">
        <w:rPr>
          <w:color w:val="545456"/>
          <w:sz w:val="19"/>
          <w:szCs w:val="19"/>
        </w:rPr>
        <w:t>Mark</w:t>
      </w:r>
      <w:r w:rsidRPr="00067063">
        <w:rPr>
          <w:color w:val="545456"/>
          <w:spacing w:val="-4"/>
          <w:sz w:val="19"/>
          <w:szCs w:val="19"/>
        </w:rPr>
        <w:t xml:space="preserve"> </w:t>
      </w:r>
      <w:r w:rsidRPr="00067063">
        <w:rPr>
          <w:color w:val="545456"/>
          <w:sz w:val="19"/>
          <w:szCs w:val="19"/>
        </w:rPr>
        <w:t>A.</w:t>
      </w:r>
      <w:r w:rsidRPr="00067063">
        <w:rPr>
          <w:color w:val="545456"/>
          <w:spacing w:val="-4"/>
          <w:sz w:val="19"/>
          <w:szCs w:val="19"/>
        </w:rPr>
        <w:t xml:space="preserve"> </w:t>
      </w:r>
      <w:r w:rsidRPr="00067063">
        <w:rPr>
          <w:color w:val="545456"/>
          <w:sz w:val="19"/>
          <w:szCs w:val="19"/>
        </w:rPr>
        <w:t>J.</w:t>
      </w:r>
      <w:r w:rsidRPr="00067063">
        <w:rPr>
          <w:color w:val="545456"/>
          <w:spacing w:val="-3"/>
          <w:sz w:val="19"/>
          <w:szCs w:val="19"/>
        </w:rPr>
        <w:t xml:space="preserve"> </w:t>
      </w:r>
      <w:proofErr w:type="spellStart"/>
      <w:r w:rsidRPr="00067063">
        <w:rPr>
          <w:color w:val="545456"/>
          <w:sz w:val="19"/>
          <w:szCs w:val="19"/>
        </w:rPr>
        <w:t>Huijbregts</w:t>
      </w:r>
      <w:proofErr w:type="spellEnd"/>
      <w:r w:rsidRPr="00067063">
        <w:rPr>
          <w:color w:val="545456"/>
          <w:sz w:val="19"/>
          <w:szCs w:val="19"/>
        </w:rPr>
        <w:t>,</w:t>
      </w:r>
      <w:r w:rsidRPr="00067063">
        <w:rPr>
          <w:color w:val="545456"/>
          <w:spacing w:val="-4"/>
          <w:sz w:val="19"/>
          <w:szCs w:val="19"/>
        </w:rPr>
        <w:t xml:space="preserve"> </w:t>
      </w:r>
      <w:r w:rsidRPr="00067063">
        <w:rPr>
          <w:color w:val="545456"/>
          <w:sz w:val="19"/>
          <w:szCs w:val="19"/>
        </w:rPr>
        <w:t>“Application</w:t>
      </w:r>
      <w:r w:rsidRPr="00067063">
        <w:rPr>
          <w:color w:val="545456"/>
          <w:spacing w:val="-3"/>
          <w:sz w:val="19"/>
          <w:szCs w:val="19"/>
        </w:rPr>
        <w:t xml:space="preserve"> </w:t>
      </w:r>
      <w:r w:rsidRPr="00067063">
        <w:rPr>
          <w:color w:val="545456"/>
          <w:sz w:val="19"/>
          <w:szCs w:val="19"/>
        </w:rPr>
        <w:t>of</w:t>
      </w:r>
      <w:r w:rsidRPr="00067063">
        <w:rPr>
          <w:color w:val="545456"/>
          <w:spacing w:val="-4"/>
          <w:sz w:val="19"/>
          <w:szCs w:val="19"/>
        </w:rPr>
        <w:t xml:space="preserve"> </w:t>
      </w:r>
      <w:r w:rsidRPr="00067063">
        <w:rPr>
          <w:color w:val="545456"/>
          <w:sz w:val="19"/>
          <w:szCs w:val="19"/>
        </w:rPr>
        <w:t>uncertainty</w:t>
      </w:r>
      <w:r w:rsidRPr="00067063">
        <w:rPr>
          <w:color w:val="545456"/>
          <w:spacing w:val="-3"/>
          <w:sz w:val="19"/>
          <w:szCs w:val="19"/>
        </w:rPr>
        <w:t xml:space="preserve"> </w:t>
      </w:r>
      <w:r w:rsidRPr="00067063">
        <w:rPr>
          <w:color w:val="545456"/>
          <w:sz w:val="19"/>
          <w:szCs w:val="19"/>
        </w:rPr>
        <w:t>and</w:t>
      </w:r>
      <w:r w:rsidRPr="00067063">
        <w:rPr>
          <w:color w:val="545456"/>
          <w:spacing w:val="-4"/>
          <w:sz w:val="19"/>
          <w:szCs w:val="19"/>
        </w:rPr>
        <w:t xml:space="preserve"> </w:t>
      </w:r>
      <w:r w:rsidRPr="00067063">
        <w:rPr>
          <w:color w:val="545456"/>
          <w:sz w:val="19"/>
          <w:szCs w:val="19"/>
        </w:rPr>
        <w:t>variability</w:t>
      </w:r>
      <w:r w:rsidRPr="00067063">
        <w:rPr>
          <w:color w:val="545456"/>
          <w:spacing w:val="-39"/>
          <w:sz w:val="19"/>
          <w:szCs w:val="19"/>
        </w:rPr>
        <w:t xml:space="preserve"> </w:t>
      </w:r>
      <w:r w:rsidRPr="00067063">
        <w:rPr>
          <w:color w:val="545456"/>
          <w:sz w:val="19"/>
          <w:szCs w:val="19"/>
        </w:rPr>
        <w:t>in</w:t>
      </w:r>
      <w:r w:rsidRPr="00067063">
        <w:rPr>
          <w:color w:val="545456"/>
          <w:spacing w:val="-10"/>
          <w:sz w:val="19"/>
          <w:szCs w:val="19"/>
        </w:rPr>
        <w:t xml:space="preserve"> </w:t>
      </w:r>
      <w:r w:rsidRPr="00067063">
        <w:rPr>
          <w:color w:val="545456"/>
          <w:sz w:val="19"/>
          <w:szCs w:val="19"/>
        </w:rPr>
        <w:t>LCA.</w:t>
      </w:r>
      <w:r w:rsidRPr="00067063">
        <w:rPr>
          <w:color w:val="545456"/>
          <w:spacing w:val="-10"/>
          <w:sz w:val="19"/>
          <w:szCs w:val="19"/>
        </w:rPr>
        <w:t xml:space="preserve"> </w:t>
      </w:r>
      <w:r w:rsidRPr="00067063">
        <w:rPr>
          <w:color w:val="545456"/>
          <w:sz w:val="19"/>
          <w:szCs w:val="19"/>
        </w:rPr>
        <w:t>Part</w:t>
      </w:r>
      <w:r w:rsidRPr="00067063">
        <w:rPr>
          <w:color w:val="545456"/>
          <w:spacing w:val="-10"/>
          <w:sz w:val="19"/>
          <w:szCs w:val="19"/>
        </w:rPr>
        <w:t xml:space="preserve"> </w:t>
      </w:r>
      <w:r w:rsidRPr="00067063">
        <w:rPr>
          <w:color w:val="545456"/>
          <w:sz w:val="19"/>
          <w:szCs w:val="19"/>
        </w:rPr>
        <w:t>I:</w:t>
      </w:r>
      <w:r w:rsidRPr="00067063">
        <w:rPr>
          <w:color w:val="545456"/>
          <w:spacing w:val="-10"/>
          <w:sz w:val="19"/>
          <w:szCs w:val="19"/>
        </w:rPr>
        <w:t xml:space="preserve"> </w:t>
      </w:r>
      <w:r w:rsidRPr="00067063">
        <w:rPr>
          <w:color w:val="545456"/>
          <w:sz w:val="19"/>
          <w:szCs w:val="19"/>
        </w:rPr>
        <w:t>A</w:t>
      </w:r>
      <w:r w:rsidRPr="00067063">
        <w:rPr>
          <w:color w:val="545456"/>
          <w:spacing w:val="-10"/>
          <w:sz w:val="19"/>
          <w:szCs w:val="19"/>
        </w:rPr>
        <w:t xml:space="preserve"> </w:t>
      </w:r>
      <w:r w:rsidRPr="00067063">
        <w:rPr>
          <w:color w:val="545456"/>
          <w:sz w:val="19"/>
          <w:szCs w:val="19"/>
        </w:rPr>
        <w:t>General</w:t>
      </w:r>
      <w:r w:rsidRPr="00067063">
        <w:rPr>
          <w:color w:val="545456"/>
          <w:spacing w:val="-10"/>
          <w:sz w:val="19"/>
          <w:szCs w:val="19"/>
        </w:rPr>
        <w:t xml:space="preserve"> </w:t>
      </w:r>
      <w:r w:rsidRPr="00067063">
        <w:rPr>
          <w:color w:val="545456"/>
          <w:sz w:val="19"/>
          <w:szCs w:val="19"/>
        </w:rPr>
        <w:t>Framework</w:t>
      </w:r>
      <w:r w:rsidRPr="00067063">
        <w:rPr>
          <w:color w:val="545456"/>
          <w:spacing w:val="-10"/>
          <w:sz w:val="19"/>
          <w:szCs w:val="19"/>
        </w:rPr>
        <w:t xml:space="preserve"> </w:t>
      </w:r>
      <w:r w:rsidRPr="00067063">
        <w:rPr>
          <w:color w:val="545456"/>
          <w:sz w:val="19"/>
          <w:szCs w:val="19"/>
        </w:rPr>
        <w:t>for</w:t>
      </w:r>
      <w:r w:rsidRPr="00067063">
        <w:rPr>
          <w:color w:val="545456"/>
          <w:spacing w:val="-10"/>
          <w:sz w:val="19"/>
          <w:szCs w:val="19"/>
        </w:rPr>
        <w:t xml:space="preserve"> </w:t>
      </w:r>
      <w:r w:rsidRPr="00067063">
        <w:rPr>
          <w:color w:val="545456"/>
          <w:sz w:val="19"/>
          <w:szCs w:val="19"/>
        </w:rPr>
        <w:t>the</w:t>
      </w:r>
      <w:r w:rsidRPr="00067063">
        <w:rPr>
          <w:color w:val="545456"/>
          <w:spacing w:val="-10"/>
          <w:sz w:val="19"/>
          <w:szCs w:val="19"/>
        </w:rPr>
        <w:t xml:space="preserve"> </w:t>
      </w:r>
      <w:r w:rsidRPr="00067063">
        <w:rPr>
          <w:color w:val="545456"/>
          <w:sz w:val="19"/>
          <w:szCs w:val="19"/>
        </w:rPr>
        <w:t>Analysis</w:t>
      </w:r>
      <w:r w:rsidRPr="00067063">
        <w:rPr>
          <w:color w:val="545456"/>
          <w:spacing w:val="-10"/>
          <w:sz w:val="19"/>
          <w:szCs w:val="19"/>
        </w:rPr>
        <w:t xml:space="preserve"> </w:t>
      </w:r>
      <w:r w:rsidRPr="00067063">
        <w:rPr>
          <w:color w:val="545456"/>
          <w:sz w:val="19"/>
          <w:szCs w:val="19"/>
        </w:rPr>
        <w:t>of</w:t>
      </w:r>
      <w:r>
        <w:rPr>
          <w:color w:val="545456"/>
          <w:sz w:val="19"/>
          <w:szCs w:val="19"/>
        </w:rPr>
        <w:t xml:space="preserve"> </w:t>
      </w:r>
      <w:r w:rsidRPr="00067063">
        <w:rPr>
          <w:color w:val="545456"/>
          <w:spacing w:val="-1"/>
          <w:sz w:val="19"/>
          <w:szCs w:val="19"/>
        </w:rPr>
        <w:t>Uncertainty</w:t>
      </w:r>
      <w:r w:rsidRPr="00067063">
        <w:rPr>
          <w:color w:val="545456"/>
          <w:spacing w:val="-9"/>
          <w:sz w:val="19"/>
          <w:szCs w:val="19"/>
        </w:rPr>
        <w:t xml:space="preserve"> </w:t>
      </w:r>
      <w:r w:rsidRPr="00067063">
        <w:rPr>
          <w:color w:val="545456"/>
          <w:spacing w:val="-1"/>
          <w:sz w:val="19"/>
          <w:szCs w:val="19"/>
        </w:rPr>
        <w:t>and</w:t>
      </w:r>
      <w:r w:rsidRPr="00067063">
        <w:rPr>
          <w:color w:val="545456"/>
          <w:spacing w:val="-8"/>
          <w:sz w:val="19"/>
          <w:szCs w:val="19"/>
        </w:rPr>
        <w:t xml:space="preserve"> </w:t>
      </w:r>
      <w:r w:rsidRPr="00067063">
        <w:rPr>
          <w:color w:val="545456"/>
          <w:spacing w:val="-1"/>
          <w:sz w:val="19"/>
          <w:szCs w:val="19"/>
        </w:rPr>
        <w:t>Variability</w:t>
      </w:r>
      <w:r w:rsidRPr="00067063">
        <w:rPr>
          <w:color w:val="545456"/>
          <w:spacing w:val="-9"/>
          <w:sz w:val="19"/>
          <w:szCs w:val="19"/>
        </w:rPr>
        <w:t xml:space="preserve"> </w:t>
      </w:r>
      <w:r w:rsidRPr="00067063">
        <w:rPr>
          <w:color w:val="545456"/>
          <w:sz w:val="19"/>
          <w:szCs w:val="19"/>
        </w:rPr>
        <w:t>in</w:t>
      </w:r>
      <w:r w:rsidRPr="00067063">
        <w:rPr>
          <w:color w:val="545456"/>
          <w:spacing w:val="-8"/>
          <w:sz w:val="19"/>
          <w:szCs w:val="19"/>
        </w:rPr>
        <w:t xml:space="preserve"> </w:t>
      </w:r>
      <w:r w:rsidRPr="00067063">
        <w:rPr>
          <w:color w:val="545456"/>
          <w:sz w:val="19"/>
          <w:szCs w:val="19"/>
        </w:rPr>
        <w:t>Life</w:t>
      </w:r>
      <w:r w:rsidRPr="00067063">
        <w:rPr>
          <w:color w:val="545456"/>
          <w:spacing w:val="-8"/>
          <w:sz w:val="19"/>
          <w:szCs w:val="19"/>
        </w:rPr>
        <w:t xml:space="preserve"> </w:t>
      </w:r>
      <w:r w:rsidRPr="00067063">
        <w:rPr>
          <w:color w:val="545456"/>
          <w:sz w:val="19"/>
          <w:szCs w:val="19"/>
        </w:rPr>
        <w:t>Cycle</w:t>
      </w:r>
      <w:r w:rsidRPr="00067063">
        <w:rPr>
          <w:color w:val="545456"/>
          <w:spacing w:val="-9"/>
          <w:sz w:val="19"/>
          <w:szCs w:val="19"/>
        </w:rPr>
        <w:t xml:space="preserve"> </w:t>
      </w:r>
      <w:proofErr w:type="spellStart"/>
      <w:r w:rsidRPr="00067063">
        <w:rPr>
          <w:color w:val="545456"/>
          <w:sz w:val="19"/>
          <w:szCs w:val="19"/>
        </w:rPr>
        <w:t>Assessment.”International</w:t>
      </w:r>
      <w:proofErr w:type="spellEnd"/>
      <w:r w:rsidRPr="00067063">
        <w:rPr>
          <w:color w:val="545456"/>
          <w:spacing w:val="-39"/>
          <w:sz w:val="19"/>
          <w:szCs w:val="19"/>
        </w:rPr>
        <w:t xml:space="preserve"> </w:t>
      </w:r>
      <w:r w:rsidRPr="00067063">
        <w:rPr>
          <w:color w:val="545456"/>
          <w:sz w:val="19"/>
          <w:szCs w:val="19"/>
        </w:rPr>
        <w:t>Journal</w:t>
      </w:r>
      <w:r w:rsidRPr="00067063">
        <w:rPr>
          <w:color w:val="545456"/>
          <w:spacing w:val="-10"/>
          <w:sz w:val="19"/>
          <w:szCs w:val="19"/>
        </w:rPr>
        <w:t xml:space="preserve"> </w:t>
      </w:r>
      <w:r w:rsidRPr="00067063">
        <w:rPr>
          <w:color w:val="545456"/>
          <w:sz w:val="19"/>
          <w:szCs w:val="19"/>
        </w:rPr>
        <w:t>of</w:t>
      </w:r>
      <w:r w:rsidRPr="00067063">
        <w:rPr>
          <w:color w:val="545456"/>
          <w:spacing w:val="-9"/>
          <w:sz w:val="19"/>
          <w:szCs w:val="19"/>
        </w:rPr>
        <w:t xml:space="preserve"> </w:t>
      </w:r>
      <w:r w:rsidRPr="00067063">
        <w:rPr>
          <w:color w:val="545456"/>
          <w:sz w:val="19"/>
          <w:szCs w:val="19"/>
        </w:rPr>
        <w:t>Life</w:t>
      </w:r>
      <w:r w:rsidRPr="00067063">
        <w:rPr>
          <w:color w:val="545456"/>
          <w:spacing w:val="-9"/>
          <w:sz w:val="19"/>
          <w:szCs w:val="19"/>
        </w:rPr>
        <w:t xml:space="preserve"> </w:t>
      </w:r>
      <w:r w:rsidRPr="00067063">
        <w:rPr>
          <w:color w:val="545456"/>
          <w:sz w:val="19"/>
          <w:szCs w:val="19"/>
        </w:rPr>
        <w:t>Cycle</w:t>
      </w:r>
      <w:r w:rsidRPr="00067063">
        <w:rPr>
          <w:color w:val="545456"/>
          <w:spacing w:val="-9"/>
          <w:sz w:val="19"/>
          <w:szCs w:val="19"/>
        </w:rPr>
        <w:t xml:space="preserve"> </w:t>
      </w:r>
      <w:r w:rsidRPr="00067063">
        <w:rPr>
          <w:color w:val="545456"/>
          <w:sz w:val="19"/>
          <w:szCs w:val="19"/>
        </w:rPr>
        <w:t>Assessment,</w:t>
      </w:r>
      <w:r w:rsidRPr="00067063">
        <w:rPr>
          <w:color w:val="545456"/>
          <w:spacing w:val="-9"/>
          <w:sz w:val="19"/>
          <w:szCs w:val="19"/>
        </w:rPr>
        <w:t xml:space="preserve"> </w:t>
      </w:r>
      <w:r w:rsidRPr="00067063">
        <w:rPr>
          <w:color w:val="545456"/>
          <w:sz w:val="19"/>
          <w:szCs w:val="19"/>
        </w:rPr>
        <w:t>3</w:t>
      </w:r>
      <w:r w:rsidRPr="00067063">
        <w:rPr>
          <w:color w:val="545456"/>
          <w:spacing w:val="-9"/>
          <w:sz w:val="19"/>
          <w:szCs w:val="19"/>
        </w:rPr>
        <w:t xml:space="preserve"> </w:t>
      </w:r>
      <w:r w:rsidRPr="00067063">
        <w:rPr>
          <w:color w:val="545456"/>
          <w:sz w:val="19"/>
          <w:szCs w:val="19"/>
        </w:rPr>
        <w:t>no.</w:t>
      </w:r>
      <w:r w:rsidRPr="00067063">
        <w:rPr>
          <w:color w:val="545456"/>
          <w:spacing w:val="-9"/>
          <w:sz w:val="19"/>
          <w:szCs w:val="19"/>
        </w:rPr>
        <w:t xml:space="preserve"> </w:t>
      </w:r>
      <w:r w:rsidRPr="00067063">
        <w:rPr>
          <w:color w:val="545456"/>
          <w:sz w:val="19"/>
          <w:szCs w:val="19"/>
        </w:rPr>
        <w:t>5</w:t>
      </w:r>
      <w:r w:rsidRPr="00067063">
        <w:rPr>
          <w:color w:val="545456"/>
          <w:spacing w:val="-9"/>
          <w:sz w:val="19"/>
          <w:szCs w:val="19"/>
        </w:rPr>
        <w:t xml:space="preserve"> </w:t>
      </w:r>
      <w:r w:rsidRPr="00067063">
        <w:rPr>
          <w:color w:val="545456"/>
          <w:sz w:val="19"/>
          <w:szCs w:val="19"/>
        </w:rPr>
        <w:t>(1998):273</w:t>
      </w:r>
      <w:r w:rsidRPr="00067063">
        <w:rPr>
          <w:color w:val="545456"/>
          <w:spacing w:val="-9"/>
          <w:sz w:val="19"/>
          <w:szCs w:val="19"/>
        </w:rPr>
        <w:t xml:space="preserve"> </w:t>
      </w:r>
      <w:r w:rsidRPr="00067063">
        <w:rPr>
          <w:color w:val="545456"/>
          <w:sz w:val="19"/>
          <w:szCs w:val="19"/>
        </w:rPr>
        <w:t>–</w:t>
      </w:r>
      <w:r w:rsidRPr="00067063">
        <w:rPr>
          <w:color w:val="545456"/>
          <w:spacing w:val="-9"/>
          <w:sz w:val="19"/>
          <w:szCs w:val="19"/>
        </w:rPr>
        <w:t xml:space="preserve"> </w:t>
      </w:r>
      <w:r w:rsidRPr="00067063">
        <w:rPr>
          <w:color w:val="545456"/>
          <w:sz w:val="19"/>
          <w:szCs w:val="19"/>
        </w:rPr>
        <w:t>280.</w:t>
      </w:r>
    </w:p>
    <w:p w14:paraId="78504F1A" w14:textId="77777777" w:rsidR="00067063" w:rsidRPr="00067063" w:rsidRDefault="00067063">
      <w:pPr>
        <w:pStyle w:val="a5"/>
        <w:numPr>
          <w:ilvl w:val="4"/>
          <w:numId w:val="40"/>
        </w:numPr>
        <w:tabs>
          <w:tab w:val="left" w:pos="584"/>
        </w:tabs>
        <w:spacing w:line="276" w:lineRule="auto"/>
        <w:ind w:right="805" w:hanging="228"/>
        <w:rPr>
          <w:sz w:val="19"/>
          <w:szCs w:val="19"/>
          <w:lang w:eastAsia="ja-JP"/>
        </w:rPr>
      </w:pPr>
      <w:r w:rsidRPr="00067063">
        <w:rPr>
          <w:rFonts w:ascii="ＭＳ ゴシック" w:eastAsia="ＭＳ ゴシック" w:hAnsi="ＭＳ ゴシック" w:cs="ＭＳ ゴシック" w:hint="eastAsia"/>
          <w:color w:val="545456"/>
          <w:spacing w:val="-1"/>
          <w:sz w:val="19"/>
          <w:szCs w:val="19"/>
          <w:lang w:eastAsia="ja-JP"/>
        </w:rPr>
        <w:t>「ゆりかごから墓場まで」の報告書のみに適用</w:t>
      </w:r>
    </w:p>
    <w:p w14:paraId="33937F47" w14:textId="3185D60D" w:rsidR="00067063" w:rsidRPr="00067063" w:rsidRDefault="00067063">
      <w:pPr>
        <w:pStyle w:val="a5"/>
        <w:numPr>
          <w:ilvl w:val="4"/>
          <w:numId w:val="40"/>
        </w:numPr>
        <w:tabs>
          <w:tab w:val="left" w:pos="584"/>
        </w:tabs>
        <w:spacing w:line="276" w:lineRule="auto"/>
        <w:ind w:right="805" w:hanging="228"/>
        <w:rPr>
          <w:sz w:val="19"/>
          <w:szCs w:val="19"/>
          <w:lang w:eastAsia="ja-JP"/>
        </w:rPr>
        <w:sectPr w:rsidR="00067063" w:rsidRPr="00067063">
          <w:type w:val="continuous"/>
          <w:pgSz w:w="12240" w:h="15840"/>
          <w:pgMar w:top="740" w:right="0" w:bottom="280" w:left="0" w:header="0" w:footer="859" w:gutter="0"/>
          <w:cols w:num="2" w:space="720" w:equalWidth="0">
            <w:col w:w="5973" w:space="40"/>
            <w:col w:w="6227"/>
          </w:cols>
        </w:sectPr>
      </w:pPr>
      <w:r w:rsidRPr="00067063">
        <w:rPr>
          <w:rFonts w:ascii="ＭＳ ゴシック" w:eastAsia="ＭＳ ゴシック" w:hAnsi="ＭＳ ゴシック" w:cs="ＭＳ ゴシック" w:hint="eastAsia"/>
          <w:color w:val="545456"/>
          <w:spacing w:val="-1"/>
          <w:sz w:val="19"/>
          <w:szCs w:val="19"/>
          <w:lang w:eastAsia="ja-JP"/>
        </w:rPr>
        <w:t>単一パラメータの不確かさの記述は、データ品質報告要件に含まれています（第７章参照）。</w:t>
      </w:r>
    </w:p>
    <w:p w14:paraId="63C85892" w14:textId="6FE57F20" w:rsidR="00E762AF" w:rsidRPr="00067063" w:rsidRDefault="00E762AF">
      <w:pPr>
        <w:spacing w:line="268" w:lineRule="auto"/>
        <w:rPr>
          <w:rFonts w:eastAsiaTheme="minorEastAsia"/>
          <w:lang w:eastAsia="ja-JP"/>
        </w:rPr>
        <w:sectPr w:rsidR="00E762AF" w:rsidRPr="00067063" w:rsidSect="00E762AF">
          <w:headerReference w:type="default" r:id="rId264"/>
          <w:type w:val="continuous"/>
          <w:pgSz w:w="12240" w:h="15840"/>
          <w:pgMar w:top="740" w:right="0" w:bottom="280" w:left="0" w:header="0" w:footer="859" w:gutter="0"/>
          <w:cols w:num="2" w:space="720" w:equalWidth="0">
            <w:col w:w="4655" w:space="40"/>
            <w:col w:w="7545"/>
          </w:cols>
        </w:sectPr>
      </w:pPr>
    </w:p>
    <w:p w14:paraId="07D85179" w14:textId="77D8A6F4" w:rsidR="00E762AF" w:rsidRPr="00DA69E7" w:rsidRDefault="00E762AF" w:rsidP="00DA69E7">
      <w:pPr>
        <w:pStyle w:val="a3"/>
        <w:rPr>
          <w:rFonts w:eastAsiaTheme="minorEastAsia"/>
          <w:sz w:val="20"/>
          <w:lang w:eastAsia="ja-JP"/>
        </w:rPr>
        <w:sectPr w:rsidR="00E762AF" w:rsidRPr="00DA69E7">
          <w:type w:val="continuous"/>
          <w:pgSz w:w="12240" w:h="15840"/>
          <w:pgMar w:top="740" w:right="0" w:bottom="280" w:left="0" w:header="0" w:footer="859" w:gutter="0"/>
          <w:cols w:space="720"/>
        </w:sectPr>
      </w:pPr>
    </w:p>
    <w:p w14:paraId="234B7E93" w14:textId="77777777" w:rsidR="00067063" w:rsidRDefault="00067063" w:rsidP="00067063">
      <w:pPr>
        <w:pStyle w:val="a5"/>
        <w:tabs>
          <w:tab w:val="left" w:pos="584"/>
        </w:tabs>
        <w:spacing w:line="180" w:lineRule="exact"/>
        <w:ind w:left="583" w:right="80" w:firstLine="0"/>
        <w:jc w:val="right"/>
        <w:rPr>
          <w:sz w:val="16"/>
          <w:lang w:eastAsia="ja-JP"/>
        </w:rPr>
      </w:pPr>
    </w:p>
    <w:p w14:paraId="7FCB5BC4" w14:textId="5C0304A0" w:rsidR="0055291C" w:rsidRDefault="00000000">
      <w:pPr>
        <w:pStyle w:val="1"/>
        <w:numPr>
          <w:ilvl w:val="5"/>
          <w:numId w:val="40"/>
        </w:numPr>
        <w:tabs>
          <w:tab w:val="left" w:pos="2415"/>
          <w:tab w:val="left" w:pos="2416"/>
        </w:tabs>
        <w:spacing w:before="78"/>
      </w:pPr>
      <w:r>
        <w:pict w14:anchorId="4D620EBF">
          <v:group id="docshapegroup1306" o:spid="_x0000_s2525" style="position:absolute;left:0;text-align:left;margin-left:0;margin-top:0;width:612pt;height:11in;z-index:-251556352;mso-position-horizontal-relative:page;mso-position-vertical-relative:page" coordsize="12240,15840">
            <v:shape id="docshape1307" o:spid="_x0000_s2528" type="#_x0000_t75" style="position:absolute;width:12240;height:15840">
              <v:imagedata r:id="rId265" o:title=""/>
            </v:shape>
            <v:rect id="docshape1308" o:spid="_x0000_s2527" style="position:absolute;width:12240;height:2015" fillcolor="#f3f4f4" stroked="f">
              <v:fill opacity="45875f"/>
            </v:rect>
            <v:shape id="docshape1309" o:spid="_x0000_s2526" style="position:absolute;width:2133;height:2015" coordsize="2133,2015" path="m2132,l,,,2014r1892,l2031,2011r71,-27l2129,1913r3,-139l2132,xe" fillcolor="#00aca1" stroked="f">
              <v:path arrowok="t"/>
            </v:shape>
            <w10:wrap anchorx="page" anchory="page"/>
          </v:group>
        </w:pict>
      </w:r>
      <w:r w:rsidR="00570DAA">
        <w:rPr>
          <w:rFonts w:ascii="ＭＳ 明朝" w:eastAsia="ＭＳ 明朝" w:hAnsi="ＭＳ 明朝" w:cs="ＭＳ 明朝" w:hint="eastAsia"/>
          <w:color w:val="545456"/>
          <w:w w:val="95"/>
          <w:lang w:eastAsia="ja-JP"/>
        </w:rPr>
        <w:t>算出</w:t>
      </w:r>
      <w:r w:rsidR="00A830C8">
        <w:rPr>
          <w:rFonts w:ascii="ＭＳ 明朝" w:eastAsia="ＭＳ 明朝" w:hAnsi="ＭＳ 明朝" w:cs="ＭＳ 明朝" w:hint="eastAsia"/>
          <w:color w:val="545456"/>
          <w:w w:val="95"/>
          <w:lang w:eastAsia="ja-JP"/>
        </w:rPr>
        <w:t>結果の</w:t>
      </w:r>
      <w:r w:rsidR="00570DAA">
        <w:rPr>
          <w:rFonts w:ascii="ＭＳ 明朝" w:eastAsia="ＭＳ 明朝" w:hAnsi="ＭＳ 明朝" w:cs="ＭＳ 明朝" w:hint="eastAsia"/>
          <w:color w:val="545456"/>
          <w:w w:val="95"/>
          <w:lang w:eastAsia="ja-JP"/>
        </w:rPr>
        <w:t>計算</w:t>
      </w:r>
    </w:p>
    <w:p w14:paraId="378C7526" w14:textId="77777777" w:rsidR="0055291C" w:rsidRDefault="0055291C">
      <w:pPr>
        <w:sectPr w:rsidR="0055291C">
          <w:headerReference w:type="even" r:id="rId266"/>
          <w:footerReference w:type="even" r:id="rId267"/>
          <w:pgSz w:w="12240" w:h="15840"/>
          <w:pgMar w:top="940" w:right="0" w:bottom="280" w:left="0" w:header="0" w:footer="0" w:gutter="0"/>
          <w:cols w:space="720"/>
        </w:sectPr>
      </w:pPr>
    </w:p>
    <w:p w14:paraId="227711E4" w14:textId="77777777" w:rsidR="0055291C" w:rsidRDefault="0055291C">
      <w:pPr>
        <w:pStyle w:val="a3"/>
        <w:rPr>
          <w:rFonts w:ascii="Arial"/>
          <w:b/>
          <w:i/>
          <w:sz w:val="20"/>
        </w:rPr>
      </w:pPr>
    </w:p>
    <w:p w14:paraId="4CF61E8F" w14:textId="77777777" w:rsidR="0055291C" w:rsidRDefault="0055291C">
      <w:pPr>
        <w:pStyle w:val="a3"/>
        <w:rPr>
          <w:rFonts w:ascii="Arial"/>
          <w:b/>
          <w:i/>
          <w:sz w:val="20"/>
        </w:rPr>
      </w:pPr>
    </w:p>
    <w:p w14:paraId="18FF3FC6" w14:textId="77777777" w:rsidR="0055291C" w:rsidRDefault="0055291C">
      <w:pPr>
        <w:pStyle w:val="a3"/>
        <w:rPr>
          <w:rFonts w:ascii="Arial"/>
          <w:b/>
          <w:i/>
          <w:sz w:val="20"/>
        </w:rPr>
      </w:pPr>
    </w:p>
    <w:p w14:paraId="133E5105" w14:textId="77777777" w:rsidR="0055291C" w:rsidRDefault="0055291C">
      <w:pPr>
        <w:pStyle w:val="a3"/>
        <w:rPr>
          <w:rFonts w:ascii="Arial"/>
          <w:b/>
          <w:i/>
          <w:sz w:val="20"/>
        </w:rPr>
      </w:pPr>
    </w:p>
    <w:p w14:paraId="58B6E83C" w14:textId="77777777" w:rsidR="0055291C" w:rsidRDefault="0055291C">
      <w:pPr>
        <w:pStyle w:val="a3"/>
        <w:rPr>
          <w:rFonts w:ascii="Arial"/>
          <w:b/>
          <w:i/>
          <w:sz w:val="20"/>
        </w:rPr>
      </w:pPr>
    </w:p>
    <w:p w14:paraId="7BF82135" w14:textId="77777777" w:rsidR="0055291C" w:rsidRDefault="0055291C">
      <w:pPr>
        <w:pStyle w:val="a3"/>
        <w:rPr>
          <w:rFonts w:ascii="Arial"/>
          <w:b/>
          <w:i/>
          <w:sz w:val="20"/>
        </w:rPr>
      </w:pPr>
    </w:p>
    <w:p w14:paraId="791EDF2B" w14:textId="77777777" w:rsidR="0055291C" w:rsidRDefault="0055291C">
      <w:pPr>
        <w:pStyle w:val="a3"/>
        <w:rPr>
          <w:rFonts w:ascii="Arial"/>
          <w:b/>
          <w:i/>
          <w:sz w:val="20"/>
        </w:rPr>
      </w:pPr>
    </w:p>
    <w:p w14:paraId="30646AA2" w14:textId="77777777" w:rsidR="0055291C" w:rsidRDefault="0055291C">
      <w:pPr>
        <w:pStyle w:val="a3"/>
        <w:rPr>
          <w:rFonts w:ascii="Arial"/>
          <w:b/>
          <w:i/>
          <w:sz w:val="20"/>
        </w:rPr>
      </w:pPr>
    </w:p>
    <w:p w14:paraId="175BA5FE" w14:textId="77777777" w:rsidR="0055291C" w:rsidRDefault="0055291C">
      <w:pPr>
        <w:pStyle w:val="a3"/>
        <w:rPr>
          <w:rFonts w:ascii="Arial"/>
          <w:b/>
          <w:i/>
          <w:sz w:val="20"/>
        </w:rPr>
      </w:pPr>
    </w:p>
    <w:p w14:paraId="31FBAC49" w14:textId="77777777" w:rsidR="0055291C" w:rsidRDefault="0055291C">
      <w:pPr>
        <w:pStyle w:val="a3"/>
        <w:rPr>
          <w:rFonts w:ascii="Arial"/>
          <w:b/>
          <w:i/>
          <w:sz w:val="20"/>
        </w:rPr>
      </w:pPr>
    </w:p>
    <w:p w14:paraId="1F0D2A0A" w14:textId="77777777" w:rsidR="0055291C" w:rsidRDefault="0055291C">
      <w:pPr>
        <w:pStyle w:val="a3"/>
        <w:rPr>
          <w:rFonts w:ascii="Arial"/>
          <w:b/>
          <w:i/>
          <w:sz w:val="20"/>
        </w:rPr>
      </w:pPr>
    </w:p>
    <w:p w14:paraId="571279FA" w14:textId="77777777" w:rsidR="0055291C" w:rsidRDefault="0055291C">
      <w:pPr>
        <w:pStyle w:val="a3"/>
        <w:rPr>
          <w:rFonts w:ascii="Arial"/>
          <w:b/>
          <w:i/>
          <w:sz w:val="20"/>
        </w:rPr>
      </w:pPr>
    </w:p>
    <w:p w14:paraId="7ADE5C6F" w14:textId="77777777" w:rsidR="0055291C" w:rsidRDefault="0055291C">
      <w:pPr>
        <w:pStyle w:val="a3"/>
        <w:rPr>
          <w:rFonts w:ascii="Arial"/>
          <w:b/>
          <w:i/>
          <w:sz w:val="20"/>
        </w:rPr>
      </w:pPr>
    </w:p>
    <w:p w14:paraId="3F8D0EC0" w14:textId="77777777" w:rsidR="0055291C" w:rsidRDefault="0055291C">
      <w:pPr>
        <w:pStyle w:val="a3"/>
        <w:rPr>
          <w:rFonts w:ascii="Arial"/>
          <w:b/>
          <w:i/>
          <w:sz w:val="20"/>
        </w:rPr>
      </w:pPr>
    </w:p>
    <w:p w14:paraId="217BC27B" w14:textId="77777777" w:rsidR="0055291C" w:rsidRDefault="0055291C">
      <w:pPr>
        <w:pStyle w:val="a3"/>
        <w:rPr>
          <w:rFonts w:ascii="Arial"/>
          <w:b/>
          <w:i/>
          <w:sz w:val="20"/>
        </w:rPr>
      </w:pPr>
    </w:p>
    <w:p w14:paraId="23E09D49" w14:textId="77777777" w:rsidR="0055291C" w:rsidRDefault="0055291C">
      <w:pPr>
        <w:pStyle w:val="a3"/>
        <w:rPr>
          <w:rFonts w:ascii="Arial"/>
          <w:b/>
          <w:i/>
          <w:sz w:val="20"/>
        </w:rPr>
      </w:pPr>
    </w:p>
    <w:p w14:paraId="7AFEC0A0" w14:textId="77777777" w:rsidR="0055291C" w:rsidRDefault="0055291C">
      <w:pPr>
        <w:pStyle w:val="a3"/>
        <w:rPr>
          <w:rFonts w:ascii="Arial"/>
          <w:b/>
          <w:i/>
          <w:sz w:val="20"/>
        </w:rPr>
      </w:pPr>
    </w:p>
    <w:p w14:paraId="1A30A26E" w14:textId="77777777" w:rsidR="0055291C" w:rsidRDefault="0055291C">
      <w:pPr>
        <w:pStyle w:val="a3"/>
        <w:rPr>
          <w:rFonts w:ascii="Arial"/>
          <w:b/>
          <w:i/>
          <w:sz w:val="20"/>
        </w:rPr>
      </w:pPr>
    </w:p>
    <w:p w14:paraId="56D40371" w14:textId="77777777" w:rsidR="0055291C" w:rsidRDefault="0055291C">
      <w:pPr>
        <w:pStyle w:val="a3"/>
        <w:rPr>
          <w:rFonts w:ascii="Arial"/>
          <w:b/>
          <w:i/>
          <w:sz w:val="20"/>
        </w:rPr>
      </w:pPr>
    </w:p>
    <w:p w14:paraId="1E94E9B5" w14:textId="77777777" w:rsidR="0055291C" w:rsidRDefault="0055291C">
      <w:pPr>
        <w:pStyle w:val="a3"/>
        <w:rPr>
          <w:rFonts w:ascii="Arial"/>
          <w:b/>
          <w:i/>
          <w:sz w:val="20"/>
        </w:rPr>
      </w:pPr>
    </w:p>
    <w:p w14:paraId="51D68E8F" w14:textId="77777777" w:rsidR="0055291C" w:rsidRDefault="0055291C">
      <w:pPr>
        <w:pStyle w:val="a3"/>
        <w:rPr>
          <w:rFonts w:ascii="Arial"/>
          <w:b/>
          <w:i/>
          <w:sz w:val="20"/>
        </w:rPr>
      </w:pPr>
    </w:p>
    <w:p w14:paraId="2F27DA91" w14:textId="77777777" w:rsidR="0055291C" w:rsidRDefault="0055291C">
      <w:pPr>
        <w:pStyle w:val="a3"/>
        <w:rPr>
          <w:rFonts w:ascii="Arial"/>
          <w:b/>
          <w:i/>
          <w:sz w:val="20"/>
        </w:rPr>
      </w:pPr>
    </w:p>
    <w:p w14:paraId="26F8C59E" w14:textId="77777777" w:rsidR="0055291C" w:rsidRDefault="0055291C">
      <w:pPr>
        <w:pStyle w:val="a3"/>
        <w:rPr>
          <w:rFonts w:ascii="Arial"/>
          <w:b/>
          <w:i/>
          <w:sz w:val="20"/>
        </w:rPr>
      </w:pPr>
    </w:p>
    <w:p w14:paraId="30C2092E" w14:textId="77777777" w:rsidR="0055291C" w:rsidRDefault="0055291C">
      <w:pPr>
        <w:pStyle w:val="a3"/>
        <w:rPr>
          <w:rFonts w:ascii="Arial"/>
          <w:b/>
          <w:i/>
          <w:sz w:val="20"/>
        </w:rPr>
      </w:pPr>
    </w:p>
    <w:p w14:paraId="1EE6E7D4" w14:textId="77777777" w:rsidR="0055291C" w:rsidRDefault="0055291C">
      <w:pPr>
        <w:pStyle w:val="a3"/>
        <w:spacing w:before="6"/>
        <w:rPr>
          <w:rFonts w:ascii="Arial"/>
          <w:b/>
          <w:i/>
          <w:sz w:val="16"/>
        </w:rPr>
      </w:pPr>
    </w:p>
    <w:p w14:paraId="1B5879BF" w14:textId="576C0BA4" w:rsidR="0055291C" w:rsidRDefault="00000000">
      <w:pPr>
        <w:pStyle w:val="a5"/>
        <w:numPr>
          <w:ilvl w:val="6"/>
          <w:numId w:val="40"/>
        </w:numPr>
        <w:tabs>
          <w:tab w:val="left" w:pos="1853"/>
          <w:tab w:val="left" w:pos="1854"/>
        </w:tabs>
        <w:spacing w:before="99"/>
        <w:ind w:hanging="721"/>
        <w:rPr>
          <w:rFonts w:ascii="Arial"/>
          <w:b/>
          <w:i/>
          <w:sz w:val="24"/>
        </w:rPr>
      </w:pPr>
      <w:r>
        <w:pict w14:anchorId="45DC8808">
          <v:group id="docshapegroup1313" o:spid="_x0000_s2521" style="position:absolute;left:0;text-align:left;margin-left:253.7pt;margin-top:-285.75pt;width:358.55pt;height:382.95pt;z-index:-251555328;mso-position-horizontal-relative:page" coordorigin="5074,-5715" coordsize="7171,7659">
            <v:shape id="docshape1314" o:spid="_x0000_s2524" style="position:absolute;left:11614;top:-5710;width:626;height:5717" coordorigin="11615,-5710" coordsize="626,5717" path="m12240,-5710r-625,l11615,-220r3,131l11643,-22r67,25l11842,6r398,l12240,-5710xe" fillcolor="#00aca1" stroked="f">
              <v:path arrowok="t"/>
            </v:shape>
            <v:shape id="docshape1315" o:spid="_x0000_s2523" style="position:absolute;left:5079;top:-5710;width:7161;height:7649" coordorigin="5079,-5710" coordsize="7161,7649" o:spt="100" adj="0,,0" path="m6524,-5710r-36,32l6436,-5628r-51,49l5945,-5073r-301,460l5472,-4279r-55,128l8039,-4355r1645,189l10536,-3855r244,164l10738,-3755r-44,-64l10650,-3883r-46,-64l10558,-4010r-48,-64l10462,-4137r-50,-62l10362,-4261r-52,-62l10258,-4385r-52,-61l10152,-4507r-54,-60l10044,-4627r-55,-59l9933,-4745r-56,-58l9821,-4861r-56,-57l9708,-4975r-57,-56l9595,-5086r-57,-55l8910,-5703r-9,-7m8810,-5710r1022,862l10860,-3566r380,816l11295,-2464r16,-75l11327,-2614r14,-76l11354,-2767r13,-78l11378,-2923r11,-78l11398,-3080r9,-79l11415,-3239r8,-80l11429,-3399r6,-80l11440,-3560r4,-80l11448,-3720r3,-81l11453,-3881r1,-80l11456,-4041r,-79l11456,-4199r-1,-79l11454,-4357r-42,-835l11360,-5710t-49,l11452,-3944r-191,1625l10946,-1477r-166,241l10845,-1278r65,-43l10975,-1365r64,-45l11103,-1456r64,-47l11231,-1551r63,-49l11358,-1650r62,-50l11483,-1752r62,-52l11606,-1857r61,-53l11728,-1964r60,-54l11847,-2073r59,-55l11965,-2183r58,-56l12080,-2295r56,-56l12192,-2407r48,-49m12240,-2509r-289,334l10653,-1159r-826,375l9538,-729r75,16l9690,-698r77,14l9845,-671r78,12l10002,-647r80,10l10162,-627r80,9l10323,-610r81,7l10485,-597r81,6l10647,-586r81,4l10810,-578r81,3l10972,-573r81,1l11134,-570r81,l11295,-570r80,-1l11454,-572r786,-38m11244,1605r81,-34l11405,1535r78,-36l11560,1461r75,-39l11708,1383r73,-41l11851,1301r70,-43l11988,1215r67,-44l12120,1126r63,-45l12240,1038t,-1707l11038,-575,9392,-764r-852,-311l8296,-1239r42,65l8382,-1110r44,63l8472,-983r46,64l8566,-856r49,63l8664,-731r51,62l8766,-607r52,62l8871,-484r53,61l8978,-363r55,60l9088,-244r55,59l9199,-126r56,57l9312,-11r56,56l9425,101r57,55l9539,211r627,562l10712,1214r386,288l11244,1605t-3411,-2l7915,1636r81,31l8078,1695r81,27l8239,1748r80,23l8399,1793r80,20l8558,1831r79,17l8715,1863r78,14l8870,1889r76,11l9022,1909r76,8l9173,1924r74,5l9321,1933r72,3l9466,1938r71,1l10211,1888r541,-115l11113,1657r131,-52l9243,-82,8215,-1365r-380,-815l7781,-2466r-17,75l7749,-2316r-14,77l7721,-2162r-12,77l7697,-2007r-10,78l7677,-1850r-9,80l7660,-1691r-7,80l7646,-1531r-5,80l7636,-1370r-5,80l7628,-1210r-3,81l7622,-1049r-1,80l7620,-889r-1,79l7619,-730r1,79l7621,-573r42,836l7735,956r68,472l7833,1603m5418,-780r34,81l5488,-621r37,77l5563,-468r39,74l5642,-321r42,71l5726,-181r43,69l5813,-46r44,66l5903,84r46,62l5996,207r47,60l6091,326r48,57l6188,438r49,55l6286,546r50,52l6386,648r513,434l7364,1379r338,170l7833,1603,7626,-986r190,-1625l8132,-3454r165,-240l8232,-3652r-65,42l8103,-3566r-65,46l7974,-3474r-64,47l7846,-3379r-63,49l7720,-3280r-63,50l7595,-3178r-62,52l7472,-3073r-61,53l7350,-2966r-60,54l7230,-2857r-59,55l7113,-2747r-58,56l6998,-2635r-57,56l6885,-2523r-55,56l6261,-1846r-447,540l5522,-924r-104,144m5417,-4151r-33,81l5353,-3989r-29,80l5297,-3829r-25,80l5248,-3670r-22,79l5206,-3512r-18,78l5171,-3356r-16,77l5142,-3202r-13,77l5119,-3050r-10,76l5101,-2900r-7,74l5089,-2752r-4,72l5082,-2608r-2,72l5079,-2466r52,666l5247,-1265r117,356l5418,-780,7125,-2755,8424,-3771r826,-376l9539,-4201r-76,-16l9387,-4232r-78,-14l9232,-4259r-79,-12l9074,-4283r-79,-10l8915,-4303r-81,-9l8754,-4319r-81,-8l8592,-4333r-81,-6l8429,-4344r-81,-4l8267,-4351r-82,-3l8104,-4357r-81,-1l7942,-4359r-80,-1l7781,-4360r-79,1l7622,-4358r-846,41l6074,-4246r-479,66l5417,-4151e" filled="f" strokecolor="#d9dadc" strokeweight=".5pt">
              <v:stroke joinstyle="round"/>
              <v:formulas/>
              <v:path arrowok="t" o:connecttype="segments"/>
            </v:shape>
            <v:shape id="docshape1316" o:spid="_x0000_s2522" style="position:absolute;left:11614;top:-5710;width:626;height:5717" coordorigin="11615,-5710" coordsize="626,5717" path="m12240,-5710r-625,l11615,-220r3,131l11643,-22r67,25l11842,6r398,l12240,-5710xe" fillcolor="#7f3f98" stroked="f">
              <v:path arrowok="t"/>
            </v:shape>
            <w10:wrap anchorx="page"/>
          </v:group>
        </w:pict>
      </w:r>
      <w:r>
        <w:pict w14:anchorId="385B8229">
          <v:shape id="docshape1317" o:spid="_x0000_s2520" type="#_x0000_t202" style="position:absolute;left:0;text-align:left;margin-left:585.65pt;margin-top:-211.85pt;width:17.7pt;height:180.55pt;z-index:251631104;mso-position-horizontal-relative:page" filled="f" stroked="f">
            <v:textbox style="layout-flow:vertical;mso-layout-flow-alt:bottom-to-top;mso-next-textbox:#docshape1317" inset="0,0,0,0">
              <w:txbxContent>
                <w:p w14:paraId="6440D433" w14:textId="77777777" w:rsidR="0055291C" w:rsidRDefault="00F23C61">
                  <w:pPr>
                    <w:spacing w:before="18"/>
                    <w:ind w:left="20"/>
                    <w:rPr>
                      <w:rFonts w:ascii="Arial"/>
                      <w:b/>
                      <w:i/>
                      <w:sz w:val="28"/>
                    </w:rPr>
                  </w:pPr>
                  <w:r>
                    <w:rPr>
                      <w:rFonts w:ascii="Arial"/>
                      <w:b/>
                      <w:i/>
                      <w:color w:val="F3F4F4"/>
                      <w:spacing w:val="-159"/>
                      <w:w w:val="92"/>
                      <w:sz w:val="28"/>
                    </w:rPr>
                    <w:t>g</w:t>
                  </w:r>
                  <w:r>
                    <w:rPr>
                      <w:rFonts w:ascii="Arial"/>
                      <w:b/>
                      <w:i/>
                      <w:color w:val="F3F4F4"/>
                      <w:w w:val="109"/>
                      <w:sz w:val="28"/>
                    </w:rPr>
                    <w:t>r</w:t>
                  </w:r>
                  <w:r>
                    <w:rPr>
                      <w:rFonts w:ascii="Arial"/>
                      <w:b/>
                      <w:i/>
                      <w:color w:val="F3F4F4"/>
                      <w:sz w:val="28"/>
                    </w:rPr>
                    <w:t xml:space="preserve"> </w:t>
                  </w:r>
                  <w:r>
                    <w:rPr>
                      <w:rFonts w:ascii="Arial"/>
                      <w:b/>
                      <w:i/>
                      <w:color w:val="F3F4F4"/>
                      <w:spacing w:val="6"/>
                      <w:sz w:val="28"/>
                    </w:rPr>
                    <w:t xml:space="preserve"> </w:t>
                  </w:r>
                  <w:proofErr w:type="spellStart"/>
                  <w:r>
                    <w:rPr>
                      <w:rFonts w:ascii="Arial"/>
                      <w:b/>
                      <w:i/>
                      <w:color w:val="F3F4F4"/>
                      <w:spacing w:val="-104"/>
                      <w:w w:val="95"/>
                      <w:sz w:val="28"/>
                    </w:rPr>
                    <w:t>e</w:t>
                  </w:r>
                  <w:r>
                    <w:rPr>
                      <w:rFonts w:ascii="Arial"/>
                      <w:b/>
                      <w:i/>
                      <w:color w:val="F3F4F4"/>
                      <w:w w:val="95"/>
                      <w:sz w:val="28"/>
                    </w:rPr>
                    <w:t>u</w:t>
                  </w:r>
                  <w:proofErr w:type="spellEnd"/>
                  <w:r>
                    <w:rPr>
                      <w:rFonts w:ascii="Arial"/>
                      <w:b/>
                      <w:i/>
                      <w:color w:val="F3F4F4"/>
                      <w:spacing w:val="30"/>
                      <w:sz w:val="28"/>
                    </w:rPr>
                    <w:t xml:space="preserve"> </w:t>
                  </w:r>
                  <w:r>
                    <w:rPr>
                      <w:rFonts w:ascii="Arial"/>
                      <w:b/>
                      <w:i/>
                      <w:color w:val="F3F4F4"/>
                      <w:spacing w:val="-102"/>
                      <w:w w:val="93"/>
                      <w:sz w:val="28"/>
                    </w:rPr>
                    <w:t>q</w:t>
                  </w:r>
                  <w:r>
                    <w:rPr>
                      <w:rFonts w:ascii="Arial"/>
                      <w:b/>
                      <w:i/>
                      <w:color w:val="F3F4F4"/>
                      <w:w w:val="101"/>
                      <w:sz w:val="28"/>
                    </w:rPr>
                    <w:t>i</w:t>
                  </w:r>
                  <w:r>
                    <w:rPr>
                      <w:rFonts w:ascii="Arial"/>
                      <w:b/>
                      <w:i/>
                      <w:color w:val="F3F4F4"/>
                      <w:sz w:val="28"/>
                    </w:rPr>
                    <w:t xml:space="preserve"> </w:t>
                  </w:r>
                  <w:r>
                    <w:rPr>
                      <w:rFonts w:ascii="Arial"/>
                      <w:b/>
                      <w:i/>
                      <w:color w:val="F3F4F4"/>
                      <w:spacing w:val="12"/>
                      <w:sz w:val="28"/>
                    </w:rPr>
                    <w:t xml:space="preserve"> </w:t>
                  </w:r>
                  <w:r>
                    <w:rPr>
                      <w:rFonts w:ascii="Arial"/>
                      <w:b/>
                      <w:i/>
                      <w:color w:val="F3F4F4"/>
                      <w:spacing w:val="-144"/>
                      <w:w w:val="96"/>
                      <w:sz w:val="28"/>
                    </w:rPr>
                    <w:t>d</w:t>
                  </w:r>
                  <w:r>
                    <w:rPr>
                      <w:rFonts w:ascii="Arial"/>
                      <w:b/>
                      <w:i/>
                      <w:color w:val="F3F4F4"/>
                      <w:w w:val="95"/>
                      <w:sz w:val="28"/>
                    </w:rPr>
                    <w:t>u</w:t>
                  </w:r>
                  <w:r>
                    <w:rPr>
                      <w:rFonts w:ascii="Arial"/>
                      <w:b/>
                      <w:i/>
                      <w:color w:val="F3F4F4"/>
                      <w:sz w:val="28"/>
                    </w:rPr>
                    <w:t xml:space="preserve"> </w:t>
                  </w:r>
                  <w:r>
                    <w:rPr>
                      <w:rFonts w:ascii="Arial"/>
                      <w:b/>
                      <w:i/>
                      <w:color w:val="F3F4F4"/>
                      <w:spacing w:val="-7"/>
                      <w:sz w:val="28"/>
                    </w:rPr>
                    <w:t xml:space="preserve"> </w:t>
                  </w:r>
                  <w:r>
                    <w:rPr>
                      <w:rFonts w:ascii="Arial"/>
                      <w:b/>
                      <w:i/>
                      <w:color w:val="F3F4F4"/>
                      <w:spacing w:val="-146"/>
                      <w:w w:val="105"/>
                      <w:sz w:val="28"/>
                    </w:rPr>
                    <w:t>a</w:t>
                  </w:r>
                  <w:r>
                    <w:rPr>
                      <w:rFonts w:ascii="Arial"/>
                      <w:b/>
                      <w:i/>
                      <w:color w:val="F3F4F4"/>
                      <w:w w:val="101"/>
                      <w:sz w:val="28"/>
                    </w:rPr>
                    <w:t>i</w:t>
                  </w:r>
                  <w:r>
                    <w:rPr>
                      <w:rFonts w:ascii="Arial"/>
                      <w:b/>
                      <w:i/>
                      <w:color w:val="F3F4F4"/>
                      <w:sz w:val="28"/>
                    </w:rPr>
                    <w:t xml:space="preserve"> </w:t>
                  </w:r>
                  <w:r>
                    <w:rPr>
                      <w:rFonts w:ascii="Arial"/>
                      <w:b/>
                      <w:i/>
                      <w:color w:val="F3F4F4"/>
                      <w:spacing w:val="12"/>
                      <w:sz w:val="28"/>
                    </w:rPr>
                    <w:t xml:space="preserve"> </w:t>
                  </w:r>
                  <w:proofErr w:type="spellStart"/>
                  <w:r>
                    <w:rPr>
                      <w:rFonts w:ascii="Arial"/>
                      <w:b/>
                      <w:i/>
                      <w:color w:val="F3F4F4"/>
                      <w:spacing w:val="-54"/>
                      <w:w w:val="109"/>
                      <w:sz w:val="28"/>
                    </w:rPr>
                    <w:t>r</w:t>
                  </w:r>
                  <w:r>
                    <w:rPr>
                      <w:rFonts w:ascii="Arial"/>
                      <w:b/>
                      <w:i/>
                      <w:color w:val="F3F4F4"/>
                      <w:w w:val="92"/>
                      <w:sz w:val="28"/>
                    </w:rPr>
                    <w:t>n</w:t>
                  </w:r>
                  <w:proofErr w:type="spellEnd"/>
                  <w:r>
                    <w:rPr>
                      <w:rFonts w:ascii="Arial"/>
                      <w:b/>
                      <w:i/>
                      <w:color w:val="F3F4F4"/>
                      <w:spacing w:val="-21"/>
                      <w:sz w:val="28"/>
                    </w:rPr>
                    <w:t xml:space="preserve"> </w:t>
                  </w:r>
                  <w:proofErr w:type="spellStart"/>
                  <w:r>
                    <w:rPr>
                      <w:rFonts w:ascii="Arial"/>
                      <w:b/>
                      <w:i/>
                      <w:color w:val="F3F4F4"/>
                      <w:spacing w:val="-38"/>
                      <w:w w:val="95"/>
                      <w:sz w:val="28"/>
                    </w:rPr>
                    <w:t>e</w:t>
                  </w:r>
                  <w:r>
                    <w:rPr>
                      <w:rFonts w:ascii="Arial"/>
                      <w:b/>
                      <w:i/>
                      <w:color w:val="F3F4F4"/>
                      <w:w w:val="86"/>
                      <w:sz w:val="28"/>
                    </w:rPr>
                    <w:t>c</w:t>
                  </w:r>
                  <w:proofErr w:type="spellEnd"/>
                  <w:r>
                    <w:rPr>
                      <w:rFonts w:ascii="Arial"/>
                      <w:b/>
                      <w:i/>
                      <w:color w:val="F3F4F4"/>
                      <w:spacing w:val="-7"/>
                      <w:sz w:val="28"/>
                    </w:rPr>
                    <w:t xml:space="preserve"> </w:t>
                  </w:r>
                  <w:r>
                    <w:rPr>
                      <w:rFonts w:ascii="Arial"/>
                      <w:b/>
                      <w:i/>
                      <w:color w:val="F3F4F4"/>
                      <w:spacing w:val="-147"/>
                      <w:w w:val="95"/>
                      <w:sz w:val="28"/>
                    </w:rPr>
                    <w:t>m</w:t>
                  </w:r>
                  <w:r>
                    <w:rPr>
                      <w:rFonts w:ascii="Arial"/>
                      <w:b/>
                      <w:i/>
                      <w:color w:val="F3F4F4"/>
                      <w:w w:val="95"/>
                      <w:sz w:val="28"/>
                    </w:rPr>
                    <w:t>e</w:t>
                  </w:r>
                  <w:r>
                    <w:rPr>
                      <w:rFonts w:ascii="Arial"/>
                      <w:b/>
                      <w:i/>
                      <w:color w:val="F3F4F4"/>
                      <w:sz w:val="28"/>
                    </w:rPr>
                    <w:t xml:space="preserve"> </w:t>
                  </w:r>
                  <w:r>
                    <w:rPr>
                      <w:rFonts w:ascii="Arial"/>
                      <w:b/>
                      <w:i/>
                      <w:color w:val="F3F4F4"/>
                      <w:spacing w:val="10"/>
                      <w:sz w:val="28"/>
                    </w:rPr>
                    <w:t xml:space="preserve"> </w:t>
                  </w:r>
                  <w:r>
                    <w:rPr>
                      <w:rFonts w:ascii="Arial"/>
                      <w:b/>
                      <w:i/>
                      <w:color w:val="F3F4F4"/>
                      <w:w w:val="95"/>
                      <w:sz w:val="28"/>
                    </w:rPr>
                    <w:t>e</w:t>
                  </w:r>
                  <w:r>
                    <w:rPr>
                      <w:rFonts w:ascii="Arial"/>
                      <w:b/>
                      <w:i/>
                      <w:color w:val="F3F4F4"/>
                      <w:sz w:val="28"/>
                    </w:rPr>
                    <w:t xml:space="preserve"> </w:t>
                  </w:r>
                  <w:r>
                    <w:rPr>
                      <w:rFonts w:ascii="Arial"/>
                      <w:b/>
                      <w:i/>
                      <w:color w:val="F3F4F4"/>
                      <w:spacing w:val="12"/>
                      <w:sz w:val="28"/>
                    </w:rPr>
                    <w:t xml:space="preserve"> </w:t>
                  </w:r>
                  <w:r>
                    <w:rPr>
                      <w:rFonts w:ascii="Arial"/>
                      <w:b/>
                      <w:i/>
                      <w:color w:val="F3F4F4"/>
                      <w:w w:val="92"/>
                      <w:sz w:val="28"/>
                    </w:rPr>
                    <w:t>n</w:t>
                  </w:r>
                  <w:r>
                    <w:rPr>
                      <w:rFonts w:ascii="Arial"/>
                      <w:b/>
                      <w:i/>
                      <w:color w:val="F3F4F4"/>
                      <w:sz w:val="28"/>
                    </w:rPr>
                    <w:t xml:space="preserve"> </w:t>
                  </w:r>
                  <w:r>
                    <w:rPr>
                      <w:rFonts w:ascii="Arial"/>
                      <w:b/>
                      <w:i/>
                      <w:color w:val="F3F4F4"/>
                      <w:spacing w:val="12"/>
                      <w:sz w:val="28"/>
                    </w:rPr>
                    <w:t xml:space="preserve"> </w:t>
                  </w:r>
                  <w:r>
                    <w:rPr>
                      <w:rFonts w:ascii="Arial"/>
                      <w:b/>
                      <w:i/>
                      <w:color w:val="F3F4F4"/>
                      <w:w w:val="124"/>
                      <w:sz w:val="28"/>
                    </w:rPr>
                    <w:t>t</w:t>
                  </w:r>
                  <w:r>
                    <w:rPr>
                      <w:rFonts w:ascii="Arial"/>
                      <w:b/>
                      <w:i/>
                      <w:color w:val="F3F4F4"/>
                      <w:sz w:val="28"/>
                    </w:rPr>
                    <w:t xml:space="preserve"> </w:t>
                  </w:r>
                  <w:r>
                    <w:rPr>
                      <w:rFonts w:ascii="Arial"/>
                      <w:b/>
                      <w:i/>
                      <w:color w:val="F3F4F4"/>
                      <w:spacing w:val="12"/>
                      <w:sz w:val="28"/>
                    </w:rPr>
                    <w:t xml:space="preserve"> </w:t>
                  </w:r>
                  <w:r>
                    <w:rPr>
                      <w:rFonts w:ascii="Arial"/>
                      <w:b/>
                      <w:i/>
                      <w:color w:val="F3F4F4"/>
                      <w:w w:val="86"/>
                      <w:sz w:val="28"/>
                    </w:rPr>
                    <w:t>s</w:t>
                  </w:r>
                </w:p>
              </w:txbxContent>
            </v:textbox>
            <w10:wrap anchorx="page"/>
          </v:shape>
        </w:pict>
      </w:r>
      <w:r>
        <w:pict w14:anchorId="299D1DE9">
          <v:shape id="docshape1318" o:spid="_x0000_s2519" type="#_x0000_t202" style="position:absolute;left:0;text-align:left;margin-left:44.7pt;margin-top:11.55pt;width:42.3pt;height:81.4pt;z-index:-251554304;mso-position-horizontal-relative:page" filled="f" stroked="f">
            <v:textbox style="mso-next-textbox:#docshape1318" inset="0,0,0,0">
              <w:txbxContent>
                <w:p w14:paraId="3BFB9E33" w14:textId="77777777" w:rsidR="0055291C" w:rsidRDefault="00F23C61">
                  <w:pPr>
                    <w:spacing w:line="1628" w:lineRule="exact"/>
                    <w:rPr>
                      <w:rFonts w:ascii="Arial"/>
                      <w:b/>
                      <w:i/>
                      <w:sz w:val="145"/>
                    </w:rPr>
                  </w:pPr>
                  <w:r>
                    <w:rPr>
                      <w:rFonts w:ascii="Arial"/>
                      <w:b/>
                      <w:i/>
                      <w:color w:val="00ACA1"/>
                      <w:w w:val="95"/>
                      <w:sz w:val="145"/>
                    </w:rPr>
                    <w:t>T</w:t>
                  </w:r>
                </w:p>
              </w:txbxContent>
            </v:textbox>
            <w10:wrap anchorx="page"/>
          </v:shape>
        </w:pict>
      </w:r>
      <w:r w:rsidR="00A830C8">
        <w:rPr>
          <w:rFonts w:ascii="ＭＳ ゴシック" w:eastAsia="ＭＳ ゴシック" w:hAnsi="ＭＳ ゴシック" w:cs="ＭＳ ゴシック" w:hint="eastAsia"/>
          <w:b/>
          <w:i/>
          <w:color w:val="00ACA1"/>
          <w:sz w:val="24"/>
          <w:lang w:eastAsia="ja-JP"/>
        </w:rPr>
        <w:t>はじめに</w:t>
      </w:r>
    </w:p>
    <w:p w14:paraId="2C436409" w14:textId="7325EE09" w:rsidR="0055291C" w:rsidRDefault="00A830C8">
      <w:pPr>
        <w:spacing w:before="144" w:line="364" w:lineRule="auto"/>
        <w:ind w:left="2050" w:right="1138"/>
        <w:rPr>
          <w:rFonts w:ascii="Arial"/>
          <w:b/>
          <w:i/>
          <w:sz w:val="24"/>
          <w:lang w:eastAsia="ja-JP"/>
        </w:rPr>
      </w:pPr>
      <w:r>
        <w:rPr>
          <w:rFonts w:ascii="ＭＳ ゴシック" w:eastAsia="ＭＳ ゴシック" w:hAnsi="ＭＳ ゴシック" w:cs="ＭＳ ゴシック" w:hint="eastAsia"/>
          <w:lang w:eastAsia="ja-JP"/>
        </w:rPr>
        <w:t>本章では、公的な報告に必要な調査対象製品の</w:t>
      </w:r>
      <w:r>
        <w:rPr>
          <w:lang w:eastAsia="ja-JP"/>
        </w:rPr>
        <w:t>GHG</w:t>
      </w:r>
      <w:r>
        <w:rPr>
          <w:rFonts w:ascii="ＭＳ ゴシック" w:eastAsia="ＭＳ ゴシック" w:hAnsi="ＭＳ ゴシック" w:cs="ＭＳ ゴシック" w:hint="eastAsia"/>
          <w:lang w:eastAsia="ja-JP"/>
        </w:rPr>
        <w:t>排出結果の定量化に関わる主要な要件、ステップ、および手順を概説します。</w:t>
      </w:r>
    </w:p>
    <w:p w14:paraId="30618A55" w14:textId="083DC95B" w:rsidR="0055291C" w:rsidRDefault="0055291C">
      <w:pPr>
        <w:pStyle w:val="a3"/>
        <w:rPr>
          <w:rFonts w:ascii="Arial"/>
          <w:b/>
          <w:i/>
          <w:sz w:val="26"/>
          <w:lang w:eastAsia="ja-JP"/>
        </w:rPr>
      </w:pPr>
    </w:p>
    <w:p w14:paraId="2904A949" w14:textId="4D7DA420" w:rsidR="0055291C" w:rsidRDefault="0055291C">
      <w:pPr>
        <w:pStyle w:val="a3"/>
        <w:spacing w:before="11"/>
        <w:rPr>
          <w:rFonts w:ascii="Arial"/>
          <w:b/>
          <w:i/>
          <w:sz w:val="34"/>
          <w:lang w:eastAsia="ja-JP"/>
        </w:rPr>
      </w:pPr>
    </w:p>
    <w:p w14:paraId="32DF1728" w14:textId="37DF5EC3" w:rsidR="0055291C" w:rsidRDefault="000A74F6">
      <w:pPr>
        <w:pStyle w:val="a5"/>
        <w:numPr>
          <w:ilvl w:val="6"/>
          <w:numId w:val="40"/>
        </w:numPr>
        <w:tabs>
          <w:tab w:val="left" w:pos="1911"/>
          <w:tab w:val="left" w:pos="1912"/>
        </w:tabs>
        <w:ind w:left="1911" w:hanging="779"/>
        <w:rPr>
          <w:rFonts w:ascii="Arial"/>
          <w:b/>
          <w:i/>
          <w:sz w:val="24"/>
        </w:rPr>
      </w:pPr>
      <w:r w:rsidRPr="00EE78D8">
        <w:rPr>
          <w:rFonts w:ascii="ＭＳ ゴシック" w:eastAsia="ＭＳ ゴシック" w:hAnsi="ＭＳ ゴシック" w:cs="ＭＳ ゴシック" w:hint="eastAsia"/>
          <w:b/>
          <w:i/>
          <w:noProof/>
          <w:color w:val="00ACA1"/>
          <w:sz w:val="24"/>
          <w:lang w:eastAsia="ja-JP"/>
        </w:rPr>
        <mc:AlternateContent>
          <mc:Choice Requires="wps">
            <w:drawing>
              <wp:anchor distT="0" distB="0" distL="114300" distR="114300" simplePos="0" relativeHeight="251501056" behindDoc="0" locked="0" layoutInCell="1" allowOverlap="1" wp14:anchorId="6B35A304" wp14:editId="663FAA72">
                <wp:simplePos x="0" y="0"/>
                <wp:positionH relativeFrom="column">
                  <wp:posOffset>3917950</wp:posOffset>
                </wp:positionH>
                <wp:positionV relativeFrom="paragraph">
                  <wp:posOffset>266065</wp:posOffset>
                </wp:positionV>
                <wp:extent cx="2997200" cy="1035050"/>
                <wp:effectExtent l="0" t="0" r="0" b="0"/>
                <wp:wrapTopAndBottom/>
                <wp:docPr id="109" name="四角形: 角を丸くする 109"/>
                <wp:cNvGraphicFramePr/>
                <a:graphic xmlns:a="http://schemas.openxmlformats.org/drawingml/2006/main">
                  <a:graphicData uri="http://schemas.microsoft.com/office/word/2010/wordprocessingShape">
                    <wps:wsp>
                      <wps:cNvSpPr/>
                      <wps:spPr>
                        <a:xfrm>
                          <a:off x="0" y="0"/>
                          <a:ext cx="2997200" cy="1035050"/>
                        </a:xfrm>
                        <a:prstGeom prst="roundRect">
                          <a:avLst>
                            <a:gd name="adj" fmla="val 5624"/>
                          </a:avLst>
                        </a:prstGeom>
                        <a:solidFill>
                          <a:srgbClr val="70029C">
                            <a:alpha val="25098"/>
                          </a:srgbClr>
                        </a:solidFill>
                        <a:ln w="25400" cap="flat" cmpd="sng" algn="ctr">
                          <a:noFill/>
                          <a:prstDash val="solid"/>
                        </a:ln>
                        <a:effectLst/>
                      </wps:spPr>
                      <wps:txbx>
                        <w:txbxContent>
                          <w:p w14:paraId="7C3A7825" w14:textId="3ED9C5DA" w:rsidR="00EE78D8" w:rsidRPr="005D2C10" w:rsidRDefault="005D2C10" w:rsidP="00EE78D8">
                            <w:pPr>
                              <w:rPr>
                                <w:rFonts w:ascii="ＭＳ ゴシック" w:eastAsia="ＭＳ ゴシック" w:hAnsi="ＭＳ ゴシック" w:cs="ＭＳ ゴシック"/>
                                <w:b/>
                                <w:i/>
                                <w:iCs/>
                                <w:color w:val="000000" w:themeColor="text1"/>
                                <w:sz w:val="19"/>
                                <w:szCs w:val="19"/>
                                <w:lang w:eastAsia="ja-JP"/>
                              </w:rPr>
                            </w:pPr>
                            <w:r w:rsidRPr="005D2C10">
                              <w:rPr>
                                <w:rFonts w:ascii="ＭＳ ゴシック" w:eastAsia="ＭＳ ゴシック" w:hAnsi="ＭＳ ゴシック" w:cs="ＭＳ ゴシック" w:hint="eastAsia"/>
                                <w:b/>
                                <w:i/>
                                <w:iCs/>
                                <w:color w:val="000000" w:themeColor="text1"/>
                                <w:sz w:val="19"/>
                                <w:szCs w:val="19"/>
                                <w:lang w:eastAsia="ja-JP"/>
                              </w:rPr>
                              <w:t>企業は、生物起源、非生物起源、土地利用変化による影響から</w:t>
                            </w:r>
                            <w:r>
                              <w:rPr>
                                <w:rFonts w:ascii="ＭＳ ゴシック" w:eastAsia="ＭＳ ゴシック" w:hAnsi="ＭＳ ゴシック" w:cs="ＭＳ ゴシック" w:hint="eastAsia"/>
                                <w:b/>
                                <w:i/>
                                <w:iCs/>
                                <w:color w:val="000000" w:themeColor="text1"/>
                                <w:sz w:val="19"/>
                                <w:szCs w:val="19"/>
                                <w:lang w:eastAsia="ja-JP"/>
                              </w:rPr>
                              <w:t>境界内</w:t>
                            </w:r>
                            <w:r w:rsidRPr="005D2C10">
                              <w:rPr>
                                <w:rFonts w:ascii="ＭＳ ゴシック" w:eastAsia="ＭＳ ゴシック" w:hAnsi="ＭＳ ゴシック" w:cs="ＭＳ ゴシック" w:hint="eastAsia"/>
                                <w:b/>
                                <w:i/>
                                <w:iCs/>
                                <w:color w:val="000000" w:themeColor="text1"/>
                                <w:sz w:val="19"/>
                                <w:szCs w:val="19"/>
                                <w:lang w:eastAsia="ja-JP"/>
                              </w:rPr>
                              <w:t>に含まれるすべての排出と削減を含む</w:t>
                            </w:r>
                            <w:r w:rsidR="004A2497">
                              <w:rPr>
                                <w:rFonts w:ascii="ＭＳ ゴシック" w:eastAsia="ＭＳ ゴシック" w:hAnsi="ＭＳ ゴシック" w:cs="ＭＳ ゴシック" w:hint="eastAsia"/>
                                <w:b/>
                                <w:i/>
                                <w:iCs/>
                                <w:color w:val="000000" w:themeColor="text1"/>
                                <w:sz w:val="19"/>
                                <w:szCs w:val="19"/>
                                <w:lang w:eastAsia="ja-JP"/>
                              </w:rPr>
                              <w:t>、</w:t>
                            </w:r>
                            <w:r w:rsidR="004A2497" w:rsidRPr="005D2C10">
                              <w:rPr>
                                <w:rFonts w:ascii="ＭＳ ゴシック" w:eastAsia="ＭＳ ゴシック" w:hAnsi="ＭＳ ゴシック" w:cs="ＭＳ ゴシック" w:hint="eastAsia"/>
                                <w:b/>
                                <w:i/>
                                <w:iCs/>
                                <w:color w:val="000000" w:themeColor="text1"/>
                                <w:sz w:val="19"/>
                                <w:szCs w:val="19"/>
                                <w:lang w:eastAsia="ja-JP"/>
                              </w:rPr>
                              <w:t>分析単位あたりの</w:t>
                            </w:r>
                            <w:r w:rsidR="004A2497" w:rsidRPr="005D2C10">
                              <w:rPr>
                                <w:rFonts w:ascii="ＭＳ ゴシック" w:eastAsia="ＭＳ ゴシック" w:hAnsi="ＭＳ ゴシック"/>
                                <w:b/>
                                <w:i/>
                                <w:iCs/>
                                <w:color w:val="000000" w:themeColor="text1"/>
                                <w:sz w:val="19"/>
                                <w:szCs w:val="19"/>
                                <w:lang w:eastAsia="ja-JP"/>
                              </w:rPr>
                              <w:t>CO2e</w:t>
                            </w:r>
                            <w:r w:rsidR="004A2497">
                              <w:rPr>
                                <w:rFonts w:ascii="ＭＳ ゴシック" w:eastAsia="ＭＳ ゴシック" w:hAnsi="ＭＳ ゴシック" w:cs="ＭＳ ゴシック" w:hint="eastAsia"/>
                                <w:b/>
                                <w:i/>
                                <w:iCs/>
                                <w:color w:val="000000" w:themeColor="text1"/>
                                <w:sz w:val="19"/>
                                <w:szCs w:val="19"/>
                                <w:lang w:eastAsia="ja-JP"/>
                              </w:rPr>
                              <w:t>の総排出結果を定量的に把握し、報告しなければならない。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35A304" id="四角形: 角を丸くする 109" o:spid="_x0000_s1132" style="position:absolute;left:0;text-align:left;margin-left:308.5pt;margin-top:20.95pt;width:236pt;height:81.5pt;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6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" fillcolor="#70029c" stroked="f" strokeweight="2pt">
                <v:fill opacity="16448f"/>
                <v:textbox>
                  <w:txbxContent>
                    <w:p w14:paraId="7C3A7825" w14:textId="3ED9C5DA" w:rsidR="00EE78D8" w:rsidRPr="005D2C10" w:rsidRDefault="005D2C10" w:rsidP="00EE78D8">
                      <w:pPr>
                        <w:rPr>
                          <w:rFonts w:ascii="ＭＳ ゴシック" w:eastAsia="ＭＳ ゴシック" w:hAnsi="ＭＳ ゴシック" w:cs="ＭＳ ゴシック"/>
                          <w:b/>
                          <w:i/>
                          <w:iCs/>
                          <w:color w:val="000000" w:themeColor="text1"/>
                          <w:sz w:val="19"/>
                          <w:szCs w:val="19"/>
                          <w:lang w:eastAsia="ja-JP"/>
                        </w:rPr>
                      </w:pPr>
                      <w:r w:rsidRPr="005D2C10">
                        <w:rPr>
                          <w:rFonts w:ascii="ＭＳ ゴシック" w:eastAsia="ＭＳ ゴシック" w:hAnsi="ＭＳ ゴシック" w:cs="ＭＳ ゴシック" w:hint="eastAsia"/>
                          <w:b/>
                          <w:i/>
                          <w:iCs/>
                          <w:color w:val="000000" w:themeColor="text1"/>
                          <w:sz w:val="19"/>
                          <w:szCs w:val="19"/>
                          <w:lang w:eastAsia="ja-JP"/>
                        </w:rPr>
                        <w:t>企業は、生物起源、非生物起源、土地利用変化による影響から</w:t>
                      </w:r>
                      <w:r>
                        <w:rPr>
                          <w:rFonts w:ascii="ＭＳ ゴシック" w:eastAsia="ＭＳ ゴシック" w:hAnsi="ＭＳ ゴシック" w:cs="ＭＳ ゴシック" w:hint="eastAsia"/>
                          <w:b/>
                          <w:i/>
                          <w:iCs/>
                          <w:color w:val="000000" w:themeColor="text1"/>
                          <w:sz w:val="19"/>
                          <w:szCs w:val="19"/>
                          <w:lang w:eastAsia="ja-JP"/>
                        </w:rPr>
                        <w:t>境界内</w:t>
                      </w:r>
                      <w:r w:rsidRPr="005D2C10">
                        <w:rPr>
                          <w:rFonts w:ascii="ＭＳ ゴシック" w:eastAsia="ＭＳ ゴシック" w:hAnsi="ＭＳ ゴシック" w:cs="ＭＳ ゴシック" w:hint="eastAsia"/>
                          <w:b/>
                          <w:i/>
                          <w:iCs/>
                          <w:color w:val="000000" w:themeColor="text1"/>
                          <w:sz w:val="19"/>
                          <w:szCs w:val="19"/>
                          <w:lang w:eastAsia="ja-JP"/>
                        </w:rPr>
                        <w:t>に含まれるすべての排出と削減を含む</w:t>
                      </w:r>
                      <w:r w:rsidR="004A2497">
                        <w:rPr>
                          <w:rFonts w:ascii="ＭＳ ゴシック" w:eastAsia="ＭＳ ゴシック" w:hAnsi="ＭＳ ゴシック" w:cs="ＭＳ ゴシック" w:hint="eastAsia"/>
                          <w:b/>
                          <w:i/>
                          <w:iCs/>
                          <w:color w:val="000000" w:themeColor="text1"/>
                          <w:sz w:val="19"/>
                          <w:szCs w:val="19"/>
                          <w:lang w:eastAsia="ja-JP"/>
                        </w:rPr>
                        <w:t>、</w:t>
                      </w:r>
                      <w:r w:rsidR="004A2497" w:rsidRPr="005D2C10">
                        <w:rPr>
                          <w:rFonts w:ascii="ＭＳ ゴシック" w:eastAsia="ＭＳ ゴシック" w:hAnsi="ＭＳ ゴシック" w:cs="ＭＳ ゴシック" w:hint="eastAsia"/>
                          <w:b/>
                          <w:i/>
                          <w:iCs/>
                          <w:color w:val="000000" w:themeColor="text1"/>
                          <w:sz w:val="19"/>
                          <w:szCs w:val="19"/>
                          <w:lang w:eastAsia="ja-JP"/>
                        </w:rPr>
                        <w:t>分析単位あたりの</w:t>
                      </w:r>
                      <w:r w:rsidR="004A2497" w:rsidRPr="005D2C10">
                        <w:rPr>
                          <w:rFonts w:ascii="ＭＳ ゴシック" w:eastAsia="ＭＳ ゴシック" w:hAnsi="ＭＳ ゴシック"/>
                          <w:b/>
                          <w:i/>
                          <w:iCs/>
                          <w:color w:val="000000" w:themeColor="text1"/>
                          <w:sz w:val="19"/>
                          <w:szCs w:val="19"/>
                          <w:lang w:eastAsia="ja-JP"/>
                        </w:rPr>
                        <w:t>CO2e</w:t>
                      </w:r>
                      <w:r w:rsidR="004A2497">
                        <w:rPr>
                          <w:rFonts w:ascii="ＭＳ ゴシック" w:eastAsia="ＭＳ ゴシック" w:hAnsi="ＭＳ ゴシック" w:cs="ＭＳ ゴシック" w:hint="eastAsia"/>
                          <w:b/>
                          <w:i/>
                          <w:iCs/>
                          <w:color w:val="000000" w:themeColor="text1"/>
                          <w:sz w:val="19"/>
                          <w:szCs w:val="19"/>
                          <w:lang w:eastAsia="ja-JP"/>
                        </w:rPr>
                        <w:t>の総排出結果を定量的に把握し、報告しなければならない。</w:t>
                      </w:r>
                    </w:p>
                  </w:txbxContent>
                </v:textbox>
                <w10:wrap type="topAndBottom"/>
              </v:roundrect>
            </w:pict>
          </mc:Fallback>
        </mc:AlternateContent>
      </w:r>
      <w:r>
        <w:rPr>
          <w:rFonts w:ascii="ＭＳ ゴシック" w:eastAsia="ＭＳ ゴシック" w:hAnsi="ＭＳ ゴシック" w:cs="ＭＳ ゴシック" w:hint="eastAsia"/>
          <w:b/>
          <w:i/>
          <w:noProof/>
          <w:color w:val="00ACA1"/>
          <w:sz w:val="24"/>
          <w:lang w:eastAsia="ja-JP"/>
        </w:rPr>
        <mc:AlternateContent>
          <mc:Choice Requires="wps">
            <w:drawing>
              <wp:anchor distT="0" distB="0" distL="114300" distR="114300" simplePos="0" relativeHeight="251500032" behindDoc="0" locked="0" layoutInCell="1" allowOverlap="1" wp14:anchorId="7A42AD56" wp14:editId="0AC943EE">
                <wp:simplePos x="0" y="0"/>
                <wp:positionH relativeFrom="column">
                  <wp:posOffset>749300</wp:posOffset>
                </wp:positionH>
                <wp:positionV relativeFrom="paragraph">
                  <wp:posOffset>266065</wp:posOffset>
                </wp:positionV>
                <wp:extent cx="2997200" cy="1079500"/>
                <wp:effectExtent l="0" t="0" r="0" b="6350"/>
                <wp:wrapNone/>
                <wp:docPr id="108" name="四角形: 角を丸くする 108"/>
                <wp:cNvGraphicFramePr/>
                <a:graphic xmlns:a="http://schemas.openxmlformats.org/drawingml/2006/main">
                  <a:graphicData uri="http://schemas.microsoft.com/office/word/2010/wordprocessingShape">
                    <wps:wsp>
                      <wps:cNvSpPr/>
                      <wps:spPr>
                        <a:xfrm>
                          <a:off x="0" y="0"/>
                          <a:ext cx="2997200" cy="1079500"/>
                        </a:xfrm>
                        <a:prstGeom prst="roundRect">
                          <a:avLst>
                            <a:gd name="adj" fmla="val 5491"/>
                          </a:avLst>
                        </a:prstGeom>
                        <a:solidFill>
                          <a:srgbClr val="70029C">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3CFD3A" w14:textId="77777777" w:rsidR="005D2C10" w:rsidRDefault="00A830C8" w:rsidP="00A830C8">
                            <w:pPr>
                              <w:rPr>
                                <w:rFonts w:ascii="ＭＳ ゴシック" w:eastAsia="ＭＳ ゴシック" w:hAnsi="ＭＳ ゴシック" w:cs="ＭＳ ゴシック"/>
                                <w:b/>
                                <w:bCs/>
                                <w:i/>
                                <w:iCs/>
                                <w:color w:val="000000" w:themeColor="text1"/>
                                <w:sz w:val="19"/>
                                <w:szCs w:val="19"/>
                                <w:lang w:eastAsia="ja-JP"/>
                              </w:rPr>
                            </w:pPr>
                            <w:r w:rsidRPr="005D2C10">
                              <w:rPr>
                                <w:rFonts w:ascii="ＭＳ ゴシック" w:eastAsia="ＭＳ ゴシック" w:hAnsi="ＭＳ ゴシック" w:cs="ＭＳ ゴシック" w:hint="eastAsia"/>
                                <w:b/>
                                <w:bCs/>
                                <w:i/>
                                <w:iCs/>
                                <w:color w:val="000000" w:themeColor="text1"/>
                                <w:sz w:val="19"/>
                                <w:szCs w:val="19"/>
                                <w:lang w:eastAsia="ja-JP"/>
                              </w:rPr>
                              <w:t>企業は、</w:t>
                            </w:r>
                            <w:r w:rsidRPr="005D2C10">
                              <w:rPr>
                                <w:b/>
                                <w:bCs/>
                                <w:i/>
                                <w:iCs/>
                                <w:color w:val="000000" w:themeColor="text1"/>
                                <w:sz w:val="19"/>
                                <w:szCs w:val="19"/>
                                <w:lang w:eastAsia="ja-JP"/>
                              </w:rPr>
                              <w:t>GHG</w:t>
                            </w:r>
                            <w:r w:rsidRPr="005D2C10">
                              <w:rPr>
                                <w:rFonts w:ascii="ＭＳ ゴシック" w:eastAsia="ＭＳ ゴシック" w:hAnsi="ＭＳ ゴシック" w:cs="ＭＳ ゴシック" w:hint="eastAsia"/>
                                <w:b/>
                                <w:bCs/>
                                <w:i/>
                                <w:iCs/>
                                <w:color w:val="000000" w:themeColor="text1"/>
                                <w:sz w:val="19"/>
                                <w:szCs w:val="19"/>
                                <w:lang w:eastAsia="ja-JP"/>
                              </w:rPr>
                              <w:t>の排出と削減のデータに</w:t>
                            </w:r>
                            <w:r w:rsidRPr="005D2C10">
                              <w:rPr>
                                <w:b/>
                                <w:bCs/>
                                <w:i/>
                                <w:iCs/>
                                <w:color w:val="000000" w:themeColor="text1"/>
                                <w:sz w:val="19"/>
                                <w:szCs w:val="19"/>
                                <w:lang w:eastAsia="ja-JP"/>
                              </w:rPr>
                              <w:t>100</w:t>
                            </w:r>
                            <w:r w:rsidRPr="005D2C10">
                              <w:rPr>
                                <w:rFonts w:ascii="ＭＳ ゴシック" w:eastAsia="ＭＳ ゴシック" w:hAnsi="ＭＳ ゴシック" w:cs="ＭＳ ゴシック" w:hint="eastAsia"/>
                                <w:b/>
                                <w:bCs/>
                                <w:i/>
                                <w:iCs/>
                                <w:color w:val="000000" w:themeColor="text1"/>
                                <w:sz w:val="19"/>
                                <w:szCs w:val="19"/>
                                <w:lang w:eastAsia="ja-JP"/>
                              </w:rPr>
                              <w:t>年</w:t>
                            </w:r>
                            <w:r w:rsidRPr="005D2C10">
                              <w:rPr>
                                <w:b/>
                                <w:bCs/>
                                <w:i/>
                                <w:iCs/>
                                <w:color w:val="000000" w:themeColor="text1"/>
                                <w:sz w:val="19"/>
                                <w:szCs w:val="19"/>
                                <w:lang w:eastAsia="ja-JP"/>
                              </w:rPr>
                              <w:t>GWP</w:t>
                            </w:r>
                            <w:r w:rsidRPr="005D2C10">
                              <w:rPr>
                                <w:rFonts w:ascii="ＭＳ ゴシック" w:eastAsia="ＭＳ ゴシック" w:hAnsi="ＭＳ ゴシック" w:cs="ＭＳ ゴシック" w:hint="eastAsia"/>
                                <w:b/>
                                <w:bCs/>
                                <w:i/>
                                <w:iCs/>
                                <w:color w:val="000000" w:themeColor="text1"/>
                                <w:sz w:val="19"/>
                                <w:szCs w:val="19"/>
                                <w:lang w:eastAsia="ja-JP"/>
                              </w:rPr>
                              <w:t>係数を適用し、排出量算出の結果を</w:t>
                            </w:r>
                            <w:r w:rsidRPr="005D2C10">
                              <w:rPr>
                                <w:b/>
                                <w:bCs/>
                                <w:i/>
                                <w:iCs/>
                                <w:color w:val="000000" w:themeColor="text1"/>
                                <w:sz w:val="19"/>
                                <w:szCs w:val="19"/>
                                <w:lang w:eastAsia="ja-JP"/>
                              </w:rPr>
                              <w:t>CO2</w:t>
                            </w:r>
                            <w:r w:rsidRPr="005D2C10">
                              <w:rPr>
                                <w:rFonts w:ascii="ＭＳ ゴシック" w:eastAsia="ＭＳ ゴシック" w:hAnsi="ＭＳ ゴシック" w:cs="ＭＳ ゴシック" w:hint="eastAsia"/>
                                <w:b/>
                                <w:bCs/>
                                <w:i/>
                                <w:iCs/>
                                <w:color w:val="000000" w:themeColor="text1"/>
                                <w:sz w:val="19"/>
                                <w:szCs w:val="19"/>
                                <w:lang w:eastAsia="ja-JP"/>
                              </w:rPr>
                              <w:t>換算（</w:t>
                            </w:r>
                            <w:r w:rsidRPr="005D2C10">
                              <w:rPr>
                                <w:b/>
                                <w:bCs/>
                                <w:i/>
                                <w:iCs/>
                                <w:color w:val="000000" w:themeColor="text1"/>
                                <w:sz w:val="19"/>
                                <w:szCs w:val="19"/>
                                <w:lang w:eastAsia="ja-JP"/>
                              </w:rPr>
                              <w:t>CO2e</w:t>
                            </w:r>
                            <w:r w:rsidRPr="005D2C10">
                              <w:rPr>
                                <w:rFonts w:ascii="ＭＳ ゴシック" w:eastAsia="ＭＳ ゴシック" w:hAnsi="ＭＳ ゴシック" w:cs="ＭＳ ゴシック" w:hint="eastAsia"/>
                                <w:b/>
                                <w:bCs/>
                                <w:i/>
                                <w:iCs/>
                                <w:color w:val="000000" w:themeColor="text1"/>
                                <w:sz w:val="19"/>
                                <w:szCs w:val="19"/>
                                <w:lang w:eastAsia="ja-JP"/>
                              </w:rPr>
                              <w:t>）で計算しなければならない。</w:t>
                            </w:r>
                          </w:p>
                          <w:p w14:paraId="6FEC8168" w14:textId="32D526C4" w:rsidR="00A830C8" w:rsidRPr="005D2C10" w:rsidRDefault="00A830C8" w:rsidP="00A830C8">
                            <w:pPr>
                              <w:rPr>
                                <w:rFonts w:ascii="ＭＳ ゴシック" w:eastAsia="ＭＳ ゴシック" w:hAnsi="ＭＳ ゴシック" w:cs="ＭＳ ゴシック"/>
                                <w:b/>
                                <w:bCs/>
                                <w:i/>
                                <w:iCs/>
                                <w:color w:val="000000" w:themeColor="text1"/>
                                <w:sz w:val="19"/>
                                <w:szCs w:val="19"/>
                                <w:lang w:eastAsia="ja-JP"/>
                              </w:rPr>
                            </w:pPr>
                            <w:r w:rsidRPr="005D2C10">
                              <w:rPr>
                                <w:rFonts w:ascii="ＭＳ ゴシック" w:eastAsia="ＭＳ ゴシック" w:hAnsi="ＭＳ ゴシック" w:cs="ＭＳ ゴシック" w:hint="eastAsia"/>
                                <w:b/>
                                <w:bCs/>
                                <w:i/>
                                <w:iCs/>
                                <w:color w:val="000000" w:themeColor="text1"/>
                                <w:sz w:val="19"/>
                                <w:szCs w:val="19"/>
                                <w:lang w:eastAsia="ja-JP"/>
                              </w:rPr>
                              <w:t>企業は、使用した</w:t>
                            </w:r>
                            <w:r w:rsidRPr="005D2C10">
                              <w:rPr>
                                <w:b/>
                                <w:bCs/>
                                <w:i/>
                                <w:iCs/>
                                <w:color w:val="000000" w:themeColor="text1"/>
                                <w:sz w:val="19"/>
                                <w:szCs w:val="19"/>
                                <w:lang w:eastAsia="ja-JP"/>
                              </w:rPr>
                              <w:t>GWP</w:t>
                            </w:r>
                            <w:r w:rsidRPr="005D2C10">
                              <w:rPr>
                                <w:rFonts w:ascii="ＭＳ ゴシック" w:eastAsia="ＭＳ ゴシック" w:hAnsi="ＭＳ ゴシック" w:cs="ＭＳ ゴシック" w:hint="eastAsia"/>
                                <w:b/>
                                <w:bCs/>
                                <w:i/>
                                <w:iCs/>
                                <w:color w:val="000000" w:themeColor="text1"/>
                                <w:sz w:val="19"/>
                                <w:szCs w:val="19"/>
                                <w:lang w:eastAsia="ja-JP"/>
                              </w:rPr>
                              <w:t>係数の出典と日付を報告しなければならない。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42AD56" id="四角形: 角を丸くする 108" o:spid="_x0000_s1133" style="position:absolute;left:0;text-align:left;margin-left:59pt;margin-top:20.95pt;width:236pt;height:85pt;z-index:2515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5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" fillcolor="#70029c" stroked="f" strokeweight="2pt">
                <v:fill opacity="16448f"/>
                <v:textbox>
                  <w:txbxContent>
                    <w:p w14:paraId="363CFD3A" w14:textId="77777777" w:rsidR="005D2C10" w:rsidRDefault="00A830C8" w:rsidP="00A830C8">
                      <w:pPr>
                        <w:rPr>
                          <w:rFonts w:ascii="ＭＳ ゴシック" w:eastAsia="ＭＳ ゴシック" w:hAnsi="ＭＳ ゴシック" w:cs="ＭＳ ゴシック"/>
                          <w:b/>
                          <w:bCs/>
                          <w:i/>
                          <w:iCs/>
                          <w:color w:val="000000" w:themeColor="text1"/>
                          <w:sz w:val="19"/>
                          <w:szCs w:val="19"/>
                          <w:lang w:eastAsia="ja-JP"/>
                        </w:rPr>
                      </w:pPr>
                      <w:r w:rsidRPr="005D2C10">
                        <w:rPr>
                          <w:rFonts w:ascii="ＭＳ ゴシック" w:eastAsia="ＭＳ ゴシック" w:hAnsi="ＭＳ ゴシック" w:cs="ＭＳ ゴシック" w:hint="eastAsia"/>
                          <w:b/>
                          <w:bCs/>
                          <w:i/>
                          <w:iCs/>
                          <w:color w:val="000000" w:themeColor="text1"/>
                          <w:sz w:val="19"/>
                          <w:szCs w:val="19"/>
                          <w:lang w:eastAsia="ja-JP"/>
                        </w:rPr>
                        <w:t>企業は、</w:t>
                      </w:r>
                      <w:r w:rsidRPr="005D2C10">
                        <w:rPr>
                          <w:b/>
                          <w:bCs/>
                          <w:i/>
                          <w:iCs/>
                          <w:color w:val="000000" w:themeColor="text1"/>
                          <w:sz w:val="19"/>
                          <w:szCs w:val="19"/>
                          <w:lang w:eastAsia="ja-JP"/>
                        </w:rPr>
                        <w:t>GHG</w:t>
                      </w:r>
                      <w:r w:rsidRPr="005D2C10">
                        <w:rPr>
                          <w:rFonts w:ascii="ＭＳ ゴシック" w:eastAsia="ＭＳ ゴシック" w:hAnsi="ＭＳ ゴシック" w:cs="ＭＳ ゴシック" w:hint="eastAsia"/>
                          <w:b/>
                          <w:bCs/>
                          <w:i/>
                          <w:iCs/>
                          <w:color w:val="000000" w:themeColor="text1"/>
                          <w:sz w:val="19"/>
                          <w:szCs w:val="19"/>
                          <w:lang w:eastAsia="ja-JP"/>
                        </w:rPr>
                        <w:t>の排出と削減のデータに</w:t>
                      </w:r>
                      <w:r w:rsidRPr="005D2C10">
                        <w:rPr>
                          <w:b/>
                          <w:bCs/>
                          <w:i/>
                          <w:iCs/>
                          <w:color w:val="000000" w:themeColor="text1"/>
                          <w:sz w:val="19"/>
                          <w:szCs w:val="19"/>
                          <w:lang w:eastAsia="ja-JP"/>
                        </w:rPr>
                        <w:t>100</w:t>
                      </w:r>
                      <w:r w:rsidRPr="005D2C10">
                        <w:rPr>
                          <w:rFonts w:ascii="ＭＳ ゴシック" w:eastAsia="ＭＳ ゴシック" w:hAnsi="ＭＳ ゴシック" w:cs="ＭＳ ゴシック" w:hint="eastAsia"/>
                          <w:b/>
                          <w:bCs/>
                          <w:i/>
                          <w:iCs/>
                          <w:color w:val="000000" w:themeColor="text1"/>
                          <w:sz w:val="19"/>
                          <w:szCs w:val="19"/>
                          <w:lang w:eastAsia="ja-JP"/>
                        </w:rPr>
                        <w:t>年</w:t>
                      </w:r>
                      <w:r w:rsidRPr="005D2C10">
                        <w:rPr>
                          <w:b/>
                          <w:bCs/>
                          <w:i/>
                          <w:iCs/>
                          <w:color w:val="000000" w:themeColor="text1"/>
                          <w:sz w:val="19"/>
                          <w:szCs w:val="19"/>
                          <w:lang w:eastAsia="ja-JP"/>
                        </w:rPr>
                        <w:t>GWP</w:t>
                      </w:r>
                      <w:r w:rsidRPr="005D2C10">
                        <w:rPr>
                          <w:rFonts w:ascii="ＭＳ ゴシック" w:eastAsia="ＭＳ ゴシック" w:hAnsi="ＭＳ ゴシック" w:cs="ＭＳ ゴシック" w:hint="eastAsia"/>
                          <w:b/>
                          <w:bCs/>
                          <w:i/>
                          <w:iCs/>
                          <w:color w:val="000000" w:themeColor="text1"/>
                          <w:sz w:val="19"/>
                          <w:szCs w:val="19"/>
                          <w:lang w:eastAsia="ja-JP"/>
                        </w:rPr>
                        <w:t>係数を適用し、排出量算出の結果を</w:t>
                      </w:r>
                      <w:r w:rsidRPr="005D2C10">
                        <w:rPr>
                          <w:b/>
                          <w:bCs/>
                          <w:i/>
                          <w:iCs/>
                          <w:color w:val="000000" w:themeColor="text1"/>
                          <w:sz w:val="19"/>
                          <w:szCs w:val="19"/>
                          <w:lang w:eastAsia="ja-JP"/>
                        </w:rPr>
                        <w:t>CO2</w:t>
                      </w:r>
                      <w:r w:rsidRPr="005D2C10">
                        <w:rPr>
                          <w:rFonts w:ascii="ＭＳ ゴシック" w:eastAsia="ＭＳ ゴシック" w:hAnsi="ＭＳ ゴシック" w:cs="ＭＳ ゴシック" w:hint="eastAsia"/>
                          <w:b/>
                          <w:bCs/>
                          <w:i/>
                          <w:iCs/>
                          <w:color w:val="000000" w:themeColor="text1"/>
                          <w:sz w:val="19"/>
                          <w:szCs w:val="19"/>
                          <w:lang w:eastAsia="ja-JP"/>
                        </w:rPr>
                        <w:t>換算（</w:t>
                      </w:r>
                      <w:r w:rsidRPr="005D2C10">
                        <w:rPr>
                          <w:b/>
                          <w:bCs/>
                          <w:i/>
                          <w:iCs/>
                          <w:color w:val="000000" w:themeColor="text1"/>
                          <w:sz w:val="19"/>
                          <w:szCs w:val="19"/>
                          <w:lang w:eastAsia="ja-JP"/>
                        </w:rPr>
                        <w:t>CO2e</w:t>
                      </w:r>
                      <w:r w:rsidRPr="005D2C10">
                        <w:rPr>
                          <w:rFonts w:ascii="ＭＳ ゴシック" w:eastAsia="ＭＳ ゴシック" w:hAnsi="ＭＳ ゴシック" w:cs="ＭＳ ゴシック" w:hint="eastAsia"/>
                          <w:b/>
                          <w:bCs/>
                          <w:i/>
                          <w:iCs/>
                          <w:color w:val="000000" w:themeColor="text1"/>
                          <w:sz w:val="19"/>
                          <w:szCs w:val="19"/>
                          <w:lang w:eastAsia="ja-JP"/>
                        </w:rPr>
                        <w:t>）で計算しなければならない。</w:t>
                      </w:r>
                    </w:p>
                    <w:p w14:paraId="6FEC8168" w14:textId="32D526C4" w:rsidR="00A830C8" w:rsidRPr="005D2C10" w:rsidRDefault="00A830C8" w:rsidP="00A830C8">
                      <w:pPr>
                        <w:rPr>
                          <w:rFonts w:ascii="ＭＳ ゴシック" w:eastAsia="ＭＳ ゴシック" w:hAnsi="ＭＳ ゴシック" w:cs="ＭＳ ゴシック"/>
                          <w:b/>
                          <w:bCs/>
                          <w:i/>
                          <w:iCs/>
                          <w:color w:val="000000" w:themeColor="text1"/>
                          <w:sz w:val="19"/>
                          <w:szCs w:val="19"/>
                          <w:lang w:eastAsia="ja-JP"/>
                        </w:rPr>
                      </w:pPr>
                      <w:r w:rsidRPr="005D2C10">
                        <w:rPr>
                          <w:rFonts w:ascii="ＭＳ ゴシック" w:eastAsia="ＭＳ ゴシック" w:hAnsi="ＭＳ ゴシック" w:cs="ＭＳ ゴシック" w:hint="eastAsia"/>
                          <w:b/>
                          <w:bCs/>
                          <w:i/>
                          <w:iCs/>
                          <w:color w:val="000000" w:themeColor="text1"/>
                          <w:sz w:val="19"/>
                          <w:szCs w:val="19"/>
                          <w:lang w:eastAsia="ja-JP"/>
                        </w:rPr>
                        <w:t>企業は、使用した</w:t>
                      </w:r>
                      <w:r w:rsidRPr="005D2C10">
                        <w:rPr>
                          <w:b/>
                          <w:bCs/>
                          <w:i/>
                          <w:iCs/>
                          <w:color w:val="000000" w:themeColor="text1"/>
                          <w:sz w:val="19"/>
                          <w:szCs w:val="19"/>
                          <w:lang w:eastAsia="ja-JP"/>
                        </w:rPr>
                        <w:t>GWP</w:t>
                      </w:r>
                      <w:r w:rsidRPr="005D2C10">
                        <w:rPr>
                          <w:rFonts w:ascii="ＭＳ ゴシック" w:eastAsia="ＭＳ ゴシック" w:hAnsi="ＭＳ ゴシック" w:cs="ＭＳ ゴシック" w:hint="eastAsia"/>
                          <w:b/>
                          <w:bCs/>
                          <w:i/>
                          <w:iCs/>
                          <w:color w:val="000000" w:themeColor="text1"/>
                          <w:sz w:val="19"/>
                          <w:szCs w:val="19"/>
                          <w:lang w:eastAsia="ja-JP"/>
                        </w:rPr>
                        <w:t>係数の出典と日付を報告しなければならない。</w:t>
                      </w:r>
                    </w:p>
                  </w:txbxContent>
                </v:textbox>
              </v:roundrect>
            </w:pict>
          </mc:Fallback>
        </mc:AlternateContent>
      </w:r>
      <w:r w:rsidR="00A830C8">
        <w:rPr>
          <w:rFonts w:ascii="ＭＳ ゴシック" w:eastAsia="ＭＳ ゴシック" w:hAnsi="ＭＳ ゴシック" w:cs="ＭＳ ゴシック" w:hint="eastAsia"/>
          <w:b/>
          <w:i/>
          <w:color w:val="00ACA1"/>
          <w:sz w:val="24"/>
          <w:lang w:eastAsia="ja-JP"/>
        </w:rPr>
        <w:t>要求事項</w:t>
      </w:r>
    </w:p>
    <w:p w14:paraId="338837DE" w14:textId="62418261" w:rsidR="0055291C" w:rsidRDefault="0055291C">
      <w:pPr>
        <w:pStyle w:val="a3"/>
        <w:spacing w:before="1"/>
        <w:rPr>
          <w:rFonts w:ascii="Arial"/>
          <w:b/>
          <w:i/>
          <w:sz w:val="11"/>
        </w:rPr>
      </w:pPr>
    </w:p>
    <w:p w14:paraId="0BD40D6D" w14:textId="66339838" w:rsidR="0055291C" w:rsidRDefault="0055291C">
      <w:pPr>
        <w:pStyle w:val="a3"/>
        <w:spacing w:before="1"/>
        <w:rPr>
          <w:rFonts w:ascii="Arial"/>
          <w:b/>
          <w:i/>
          <w:sz w:val="22"/>
        </w:rPr>
      </w:pPr>
    </w:p>
    <w:p w14:paraId="6113D6E7" w14:textId="77777777" w:rsidR="0055291C" w:rsidRDefault="0055291C">
      <w:pPr>
        <w:rPr>
          <w:rFonts w:ascii="Arial"/>
        </w:rPr>
        <w:sectPr w:rsidR="0055291C">
          <w:headerReference w:type="default" r:id="rId268"/>
          <w:footerReference w:type="even" r:id="rId269"/>
          <w:footerReference w:type="default" r:id="rId270"/>
          <w:pgSz w:w="12240" w:h="15840"/>
          <w:pgMar w:top="0" w:right="0" w:bottom="1040" w:left="0" w:header="0" w:footer="859" w:gutter="0"/>
          <w:pgNumType w:start="85"/>
          <w:cols w:space="720"/>
        </w:sectPr>
      </w:pPr>
    </w:p>
    <w:p w14:paraId="5128409F" w14:textId="32F401E1" w:rsidR="0055291C" w:rsidRDefault="0098592F" w:rsidP="00EE78D8">
      <w:pPr>
        <w:pStyle w:val="a3"/>
        <w:spacing w:before="102" w:line="312" w:lineRule="auto"/>
        <w:ind w:left="1133" w:firstLineChars="100" w:firstLine="190"/>
        <w:rPr>
          <w:lang w:eastAsia="ja-JP"/>
        </w:rPr>
      </w:pPr>
      <w:r>
        <w:rPr>
          <w:rFonts w:ascii="ＭＳ ゴシック" w:eastAsia="ＭＳ ゴシック" w:hAnsi="ＭＳ ゴシック" w:cs="ＭＳ ゴシック" w:hint="eastAsia"/>
          <w:lang w:eastAsia="ja-JP"/>
        </w:rPr>
        <w:t>地球温暖化係数（</w:t>
      </w:r>
      <w:r>
        <w:rPr>
          <w:lang w:eastAsia="ja-JP"/>
        </w:rPr>
        <w:t>GWP</w:t>
      </w:r>
      <w:r>
        <w:rPr>
          <w:rFonts w:ascii="ＭＳ ゴシック" w:eastAsia="ＭＳ ゴシック" w:hAnsi="ＭＳ ゴシック" w:cs="ＭＳ ゴシック" w:hint="eastAsia"/>
          <w:lang w:eastAsia="ja-JP"/>
        </w:rPr>
        <w:t>）は、複数の温室効果ガスの放射強制力の累積的な影響を比較可能な方法で計算するために使用される指標です。排出量や除去量にそれぞれの</w:t>
      </w:r>
      <w:r>
        <w:rPr>
          <w:lang w:eastAsia="ja-JP"/>
        </w:rPr>
        <w:t>GWP</w:t>
      </w:r>
      <w:r>
        <w:rPr>
          <w:rFonts w:ascii="ＭＳ ゴシック" w:eastAsia="ＭＳ ゴシック" w:hAnsi="ＭＳ ゴシック" w:cs="ＭＳ ゴシック" w:hint="eastAsia"/>
          <w:lang w:eastAsia="ja-JP"/>
        </w:rPr>
        <w:t>を乗じると、</w:t>
      </w:r>
      <w:r>
        <w:rPr>
          <w:lang w:eastAsia="ja-JP"/>
        </w:rPr>
        <w:t>CO</w:t>
      </w:r>
      <w:r w:rsidRPr="00EE78D8">
        <w:rPr>
          <w:vertAlign w:val="subscript"/>
          <w:lang w:eastAsia="ja-JP"/>
        </w:rPr>
        <w:t>2</w:t>
      </w:r>
      <w:r>
        <w:rPr>
          <w:rFonts w:ascii="ＭＳ ゴシック" w:eastAsia="ＭＳ ゴシック" w:hAnsi="ＭＳ ゴシック" w:cs="ＭＳ ゴシック" w:hint="eastAsia"/>
          <w:lang w:eastAsia="ja-JP"/>
        </w:rPr>
        <w:t>相当量（</w:t>
      </w:r>
      <w:r>
        <w:rPr>
          <w:lang w:eastAsia="ja-JP"/>
        </w:rPr>
        <w:t>CO</w:t>
      </w:r>
      <w:r w:rsidRPr="00EE78D8">
        <w:rPr>
          <w:vertAlign w:val="subscript"/>
          <w:lang w:eastAsia="ja-JP"/>
        </w:rPr>
        <w:t xml:space="preserve">2 </w:t>
      </w:r>
      <w:r>
        <w:rPr>
          <w:lang w:eastAsia="ja-JP"/>
        </w:rPr>
        <w:t>e</w:t>
      </w:r>
      <w:r>
        <w:rPr>
          <w:rFonts w:ascii="ＭＳ ゴシック" w:eastAsia="ＭＳ ゴシック" w:hAnsi="ＭＳ ゴシック" w:cs="ＭＳ ゴシック" w:hint="eastAsia"/>
          <w:lang w:eastAsia="ja-JP"/>
        </w:rPr>
        <w:t>）にな</w:t>
      </w:r>
      <w:r w:rsidR="00EE78D8">
        <w:rPr>
          <w:rFonts w:ascii="ＭＳ ゴシック" w:eastAsia="ＭＳ ゴシック" w:hAnsi="ＭＳ ゴシック" w:cs="ＭＳ ゴシック" w:hint="eastAsia"/>
          <w:lang w:eastAsia="ja-JP"/>
        </w:rPr>
        <w:t>ります</w:t>
      </w:r>
      <w:r>
        <w:rPr>
          <w:rFonts w:ascii="ＭＳ ゴシック" w:eastAsia="ＭＳ ゴシック" w:hAnsi="ＭＳ ゴシック" w:cs="ＭＳ ゴシック" w:hint="eastAsia"/>
          <w:lang w:eastAsia="ja-JP"/>
        </w:rPr>
        <w:t>。企業は、</w:t>
      </w:r>
      <w:r>
        <w:rPr>
          <w:lang w:eastAsia="ja-JP"/>
        </w:rPr>
        <w:t>2007</w:t>
      </w:r>
      <w:r>
        <w:rPr>
          <w:rFonts w:ascii="ＭＳ ゴシック" w:eastAsia="ＭＳ ゴシック" w:hAnsi="ＭＳ ゴシック" w:cs="ＭＳ ゴシック" w:hint="eastAsia"/>
          <w:lang w:eastAsia="ja-JP"/>
        </w:rPr>
        <w:t>年に発行された</w:t>
      </w:r>
      <w:r>
        <w:rPr>
          <w:lang w:eastAsia="ja-JP"/>
        </w:rPr>
        <w:t>IPCC</w:t>
      </w:r>
      <w:r>
        <w:rPr>
          <w:rFonts w:ascii="ＭＳ ゴシック" w:eastAsia="ＭＳ ゴシック" w:hAnsi="ＭＳ ゴシック" w:cs="ＭＳ ゴシック" w:hint="eastAsia"/>
          <w:lang w:eastAsia="ja-JP"/>
        </w:rPr>
        <w:t>（</w:t>
      </w:r>
      <w:r>
        <w:rPr>
          <w:lang w:eastAsia="ja-JP"/>
        </w:rPr>
        <w:t xml:space="preserve"> Intergovernmental Panel for Climate Change</w:t>
      </w:r>
      <w:r>
        <w:rPr>
          <w:rFonts w:ascii="ＭＳ ゴシック" w:eastAsia="ＭＳ ゴシック" w:hAnsi="ＭＳ ゴシック" w:cs="ＭＳ ゴシック" w:hint="eastAsia"/>
          <w:lang w:eastAsia="ja-JP"/>
        </w:rPr>
        <w:t>）第</w:t>
      </w:r>
      <w:r>
        <w:rPr>
          <w:lang w:eastAsia="ja-JP"/>
        </w:rPr>
        <w:t>4</w:t>
      </w:r>
      <w:r>
        <w:rPr>
          <w:rFonts w:ascii="ＭＳ ゴシック" w:eastAsia="ＭＳ ゴシック" w:hAnsi="ＭＳ ゴシック" w:cs="ＭＳ ゴシック" w:hint="eastAsia"/>
          <w:lang w:eastAsia="ja-JP"/>
        </w:rPr>
        <w:t>次評価報告書の</w:t>
      </w:r>
      <w:r>
        <w:rPr>
          <w:lang w:eastAsia="ja-JP"/>
        </w:rPr>
        <w:t>GWP</w:t>
      </w:r>
      <w:r>
        <w:rPr>
          <w:rFonts w:ascii="ＭＳ ゴシック" w:eastAsia="ＭＳ ゴシック" w:hAnsi="ＭＳ ゴシック" w:cs="ＭＳ ゴシック" w:hint="eastAsia"/>
          <w:lang w:eastAsia="ja-JP"/>
        </w:rPr>
        <w:t>値、または第</w:t>
      </w:r>
      <w:r>
        <w:rPr>
          <w:lang w:eastAsia="ja-JP"/>
        </w:rPr>
        <w:t>4</w:t>
      </w:r>
      <w:r>
        <w:rPr>
          <w:rFonts w:ascii="ＭＳ ゴシック" w:eastAsia="ＭＳ ゴシック" w:hAnsi="ＭＳ ゴシック" w:cs="ＭＳ ゴシック" w:hint="eastAsia"/>
          <w:lang w:eastAsia="ja-JP"/>
        </w:rPr>
        <w:t>次評価報告書が最新でない場合は、最新の</w:t>
      </w:r>
      <w:r>
        <w:rPr>
          <w:lang w:eastAsia="ja-JP"/>
        </w:rPr>
        <w:t>IPCC</w:t>
      </w:r>
      <w:r>
        <w:rPr>
          <w:rFonts w:ascii="ＭＳ ゴシック" w:eastAsia="ＭＳ ゴシック" w:hAnsi="ＭＳ ゴシック" w:cs="ＭＳ ゴシック" w:hint="eastAsia"/>
          <w:lang w:eastAsia="ja-JP"/>
        </w:rPr>
        <w:t>値を使用する必要がありま</w:t>
      </w:r>
      <w:r>
        <w:rPr>
          <w:lang w:eastAsia="ja-JP"/>
        </w:rPr>
        <w:t xml:space="preserve"> </w:t>
      </w:r>
      <w:r>
        <w:rPr>
          <w:rFonts w:ascii="ＭＳ ゴシック" w:eastAsia="ＭＳ ゴシック" w:hAnsi="ＭＳ ゴシック" w:cs="ＭＳ ゴシック" w:hint="eastAsia"/>
          <w:lang w:eastAsia="ja-JP"/>
        </w:rPr>
        <w:t>す。</w:t>
      </w:r>
      <w:r>
        <w:rPr>
          <w:lang w:eastAsia="ja-JP"/>
        </w:rPr>
        <w:t>IPCC</w:t>
      </w:r>
      <w:r>
        <w:rPr>
          <w:rFonts w:ascii="ＭＳ ゴシック" w:eastAsia="ＭＳ ゴシック" w:hAnsi="ＭＳ ゴシック" w:cs="ＭＳ ゴシック" w:hint="eastAsia"/>
          <w:lang w:eastAsia="ja-JP"/>
        </w:rPr>
        <w:t>は、異なる期間（例：</w:t>
      </w:r>
      <w:r>
        <w:rPr>
          <w:lang w:eastAsia="ja-JP"/>
        </w:rPr>
        <w:t>20</w:t>
      </w:r>
      <w:r>
        <w:rPr>
          <w:rFonts w:ascii="ＭＳ ゴシック" w:eastAsia="ＭＳ ゴシック" w:hAnsi="ＭＳ ゴシック" w:cs="ＭＳ ゴシック" w:hint="eastAsia"/>
          <w:lang w:eastAsia="ja-JP"/>
        </w:rPr>
        <w:t>年、</w:t>
      </w:r>
      <w:r>
        <w:rPr>
          <w:lang w:eastAsia="ja-JP"/>
        </w:rPr>
        <w:t>500</w:t>
      </w:r>
      <w:r>
        <w:rPr>
          <w:rFonts w:ascii="ＭＳ ゴシック" w:eastAsia="ＭＳ ゴシック" w:hAnsi="ＭＳ ゴシック" w:cs="ＭＳ ゴシック" w:hint="eastAsia"/>
          <w:lang w:eastAsia="ja-JP"/>
        </w:rPr>
        <w:t>年）</w:t>
      </w:r>
      <w:r>
        <w:rPr>
          <w:lang w:eastAsia="ja-JP"/>
        </w:rPr>
        <w:t xml:space="preserve"> </w:t>
      </w:r>
      <w:r>
        <w:rPr>
          <w:rFonts w:ascii="ＭＳ ゴシック" w:eastAsia="ＭＳ ゴシック" w:hAnsi="ＭＳ ゴシック" w:cs="ＭＳ ゴシック" w:hint="eastAsia"/>
          <w:lang w:eastAsia="ja-JP"/>
        </w:rPr>
        <w:t>の</w:t>
      </w:r>
      <w:r>
        <w:rPr>
          <w:lang w:eastAsia="ja-JP"/>
        </w:rPr>
        <w:t xml:space="preserve"> GWP</w:t>
      </w:r>
      <w:r>
        <w:rPr>
          <w:rFonts w:ascii="ＭＳ ゴシック" w:eastAsia="ＭＳ ゴシック" w:hAnsi="ＭＳ ゴシック" w:cs="ＭＳ ゴシック" w:hint="eastAsia"/>
          <w:lang w:eastAsia="ja-JP"/>
        </w:rPr>
        <w:t>指標を提供してい</w:t>
      </w:r>
      <w:r w:rsidR="00EE78D8">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が、</w:t>
      </w:r>
      <w:r>
        <w:rPr>
          <w:lang w:eastAsia="ja-JP"/>
        </w:rPr>
        <w:t>100</w:t>
      </w:r>
      <w:r>
        <w:rPr>
          <w:rFonts w:ascii="ＭＳ ゴシック" w:eastAsia="ＭＳ ゴシック" w:hAnsi="ＭＳ ゴシック" w:cs="ＭＳ ゴシック" w:hint="eastAsia"/>
          <w:lang w:eastAsia="ja-JP"/>
        </w:rPr>
        <w:t>年が中央値としてプログラムや政策で最も頻繁に使用されているため</w:t>
      </w:r>
      <w:r>
        <w:rPr>
          <w:lang w:eastAsia="ja-JP"/>
        </w:rPr>
        <w:t xml:space="preserve"> </w:t>
      </w:r>
      <w:r>
        <w:rPr>
          <w:rFonts w:ascii="ＭＳ ゴシック" w:eastAsia="ＭＳ ゴシック" w:hAnsi="ＭＳ ゴシック" w:cs="ＭＳ ゴシック" w:hint="eastAsia"/>
          <w:lang w:eastAsia="ja-JP"/>
        </w:rPr>
        <w:t>、この基準における</w:t>
      </w:r>
      <w:r w:rsidR="00EE78D8">
        <w:rPr>
          <w:rFonts w:ascii="ＭＳ ゴシック" w:eastAsia="ＭＳ ゴシック" w:hAnsi="ＭＳ ゴシック" w:cs="ＭＳ ゴシック" w:hint="eastAsia"/>
          <w:lang w:eastAsia="ja-JP"/>
        </w:rPr>
        <w:t>排出</w:t>
      </w:r>
      <w:r>
        <w:rPr>
          <w:rFonts w:ascii="ＭＳ ゴシック" w:eastAsia="ＭＳ ゴシック" w:hAnsi="ＭＳ ゴシック" w:cs="ＭＳ ゴシック" w:hint="eastAsia"/>
          <w:lang w:eastAsia="ja-JP"/>
        </w:rPr>
        <w:t>結果の算出に</w:t>
      </w:r>
      <w:r w:rsidR="00EE78D8">
        <w:rPr>
          <w:rFonts w:ascii="ＭＳ ゴシック" w:eastAsia="ＭＳ ゴシック" w:hAnsi="ＭＳ ゴシック" w:cs="ＭＳ ゴシック" w:hint="eastAsia"/>
          <w:lang w:eastAsia="ja-JP"/>
        </w:rPr>
        <w:t>も</w:t>
      </w:r>
      <w:r>
        <w:rPr>
          <w:rFonts w:ascii="ＭＳ ゴシック" w:eastAsia="ＭＳ ゴシック" w:hAnsi="ＭＳ ゴシック" w:cs="ＭＳ ゴシック" w:hint="eastAsia"/>
          <w:lang w:eastAsia="ja-JP"/>
        </w:rPr>
        <w:t>使用</w:t>
      </w:r>
      <w:r w:rsidR="00EE78D8">
        <w:rPr>
          <w:rFonts w:ascii="ＭＳ ゴシック" w:eastAsia="ＭＳ ゴシック" w:hAnsi="ＭＳ ゴシック" w:cs="ＭＳ ゴシック" w:hint="eastAsia"/>
          <w:lang w:eastAsia="ja-JP"/>
        </w:rPr>
        <w:t>します。</w:t>
      </w:r>
    </w:p>
    <w:p w14:paraId="1043F266" w14:textId="45F9BC67" w:rsidR="0055291C" w:rsidRDefault="00F23C61" w:rsidP="005D2C10">
      <w:pPr>
        <w:pStyle w:val="a3"/>
        <w:spacing w:before="102" w:line="312" w:lineRule="auto"/>
        <w:ind w:left="300" w:right="1172" w:firstLineChars="100" w:firstLine="190"/>
        <w:rPr>
          <w:lang w:eastAsia="ja-JP"/>
        </w:rPr>
      </w:pPr>
      <w:r>
        <w:rPr>
          <w:lang w:eastAsia="ja-JP"/>
        </w:rPr>
        <w:br w:type="column"/>
      </w:r>
      <w:r w:rsidR="00EE78D8">
        <w:rPr>
          <w:rFonts w:ascii="ＭＳ ゴシック" w:eastAsia="ＭＳ ゴシック" w:hAnsi="ＭＳ ゴシック" w:cs="ＭＳ ゴシック" w:hint="eastAsia"/>
          <w:lang w:eastAsia="ja-JP"/>
        </w:rPr>
        <w:t>データの収集、配分、およびデータの品質評価が完了したら、企業は、分析単位（例：機能単位）ごとの</w:t>
      </w:r>
      <w:r w:rsidR="00EE78D8">
        <w:rPr>
          <w:lang w:eastAsia="ja-JP"/>
        </w:rPr>
        <w:t>CO</w:t>
      </w:r>
      <w:r w:rsidR="00EE78D8" w:rsidRPr="005D2C10">
        <w:rPr>
          <w:vertAlign w:val="subscript"/>
          <w:lang w:eastAsia="ja-JP"/>
        </w:rPr>
        <w:t>2</w:t>
      </w:r>
      <w:r w:rsidR="00EE78D8">
        <w:rPr>
          <w:lang w:eastAsia="ja-JP"/>
        </w:rPr>
        <w:t>e</w:t>
      </w:r>
      <w:r w:rsidR="00EE78D8">
        <w:rPr>
          <w:rFonts w:ascii="ＭＳ ゴシック" w:eastAsia="ＭＳ ゴシック" w:hAnsi="ＭＳ ゴシック" w:cs="ＭＳ ゴシック" w:hint="eastAsia"/>
          <w:lang w:eastAsia="ja-JP"/>
        </w:rPr>
        <w:t>で</w:t>
      </w:r>
      <w:r w:rsidR="005D2C10">
        <w:rPr>
          <w:rFonts w:ascii="ＭＳ ゴシック" w:eastAsia="ＭＳ ゴシック" w:hAnsi="ＭＳ ゴシック" w:cs="ＭＳ ゴシック" w:hint="eastAsia"/>
          <w:lang w:eastAsia="ja-JP"/>
        </w:rPr>
        <w:t>排出量</w:t>
      </w:r>
      <w:r w:rsidR="00EE78D8">
        <w:rPr>
          <w:rFonts w:ascii="ＭＳ ゴシック" w:eastAsia="ＭＳ ゴシック" w:hAnsi="ＭＳ ゴシック" w:cs="ＭＳ ゴシック" w:hint="eastAsia"/>
          <w:lang w:eastAsia="ja-JP"/>
        </w:rPr>
        <w:t>の合計結果を定量化し報告</w:t>
      </w:r>
      <w:r w:rsidR="005D2C10">
        <w:rPr>
          <w:rFonts w:ascii="ＭＳ ゴシック" w:eastAsia="ＭＳ ゴシック" w:hAnsi="ＭＳ ゴシック" w:cs="ＭＳ ゴシック" w:hint="eastAsia"/>
          <w:lang w:eastAsia="ja-JP"/>
        </w:rPr>
        <w:t>しなければなりません</w:t>
      </w:r>
      <w:r w:rsidR="00EE78D8">
        <w:rPr>
          <w:rFonts w:ascii="ＭＳ ゴシック" w:eastAsia="ＭＳ ゴシック" w:hAnsi="ＭＳ ゴシック" w:cs="ＭＳ ゴシック" w:hint="eastAsia"/>
          <w:lang w:eastAsia="ja-JP"/>
        </w:rPr>
        <w:t>。分析単位の詳細については、第</w:t>
      </w:r>
      <w:r w:rsidR="00EE78D8">
        <w:rPr>
          <w:lang w:eastAsia="ja-JP"/>
        </w:rPr>
        <w:t>6</w:t>
      </w:r>
      <w:r w:rsidR="00EE78D8">
        <w:rPr>
          <w:rFonts w:ascii="ＭＳ ゴシック" w:eastAsia="ＭＳ ゴシック" w:hAnsi="ＭＳ ゴシック" w:cs="ＭＳ ゴシック" w:hint="eastAsia"/>
          <w:lang w:eastAsia="ja-JP"/>
        </w:rPr>
        <w:t>章を参照</w:t>
      </w:r>
      <w:r w:rsidR="005D2C10">
        <w:rPr>
          <w:rFonts w:ascii="ＭＳ ゴシック" w:eastAsia="ＭＳ ゴシック" w:hAnsi="ＭＳ ゴシック" w:cs="ＭＳ ゴシック" w:hint="eastAsia"/>
          <w:lang w:eastAsia="ja-JP"/>
        </w:rPr>
        <w:t>してください。</w:t>
      </w:r>
    </w:p>
    <w:p w14:paraId="19B6F658"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922" w:space="40"/>
            <w:col w:w="6278"/>
          </w:cols>
        </w:sectPr>
      </w:pPr>
    </w:p>
    <w:p w14:paraId="1B1545CB" w14:textId="010FF88B" w:rsidR="0055291C" w:rsidRDefault="000A74F6">
      <w:pPr>
        <w:pStyle w:val="a3"/>
        <w:rPr>
          <w:sz w:val="20"/>
        </w:rPr>
      </w:pPr>
      <w:r>
        <w:rPr>
          <w:noProof/>
        </w:rPr>
        <w:lastRenderedPageBreak/>
        <w:drawing>
          <wp:anchor distT="0" distB="0" distL="0" distR="0" simplePos="0" relativeHeight="251497984" behindDoc="0" locked="0" layoutInCell="1" allowOverlap="1" wp14:anchorId="6659FA9E" wp14:editId="0FCAB027">
            <wp:simplePos x="0" y="0"/>
            <wp:positionH relativeFrom="page">
              <wp:posOffset>0</wp:posOffset>
            </wp:positionH>
            <wp:positionV relativeFrom="paragraph">
              <wp:posOffset>411480</wp:posOffset>
            </wp:positionV>
            <wp:extent cx="7067091" cy="4343400"/>
            <wp:effectExtent l="0" t="0" r="0" b="0"/>
            <wp:wrapTopAndBottom/>
            <wp:docPr id="31"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97.jpeg"/>
                    <pic:cNvPicPr/>
                  </pic:nvPicPr>
                  <pic:blipFill>
                    <a:blip r:embed="rId271" cstate="print"/>
                    <a:stretch>
                      <a:fillRect/>
                    </a:stretch>
                  </pic:blipFill>
                  <pic:spPr>
                    <a:xfrm>
                      <a:off x="0" y="0"/>
                      <a:ext cx="7067091" cy="4343400"/>
                    </a:xfrm>
                    <a:prstGeom prst="rect">
                      <a:avLst/>
                    </a:prstGeom>
                  </pic:spPr>
                </pic:pic>
              </a:graphicData>
            </a:graphic>
          </wp:anchor>
        </w:drawing>
      </w:r>
      <w:r w:rsidR="00000000">
        <w:rPr>
          <w:sz w:val="20"/>
        </w:rPr>
      </w:r>
      <w:r w:rsidR="00000000">
        <w:rPr>
          <w:sz w:val="20"/>
        </w:rPr>
        <w:pict w14:anchorId="2C161615">
          <v:group id="docshapegroup1325" o:spid="_x0000_s2510" style="width:297pt;height:31.8pt;mso-position-horizontal-relative:char;mso-position-vertical-relative:line" coordsize="5940,636">
            <v:shape id="docshape1326" o:spid="_x0000_s2512" style="position:absolute;width:5940;height:636" coordsize="5940,636" path="m5940,l,,,635r5713,l5844,632r68,-25l5936,539r4,-131l5940,xe" fillcolor="#7f3f98" stroked="f">
              <v:path arrowok="t"/>
            </v:shape>
            <v:shape id="docshape1327" o:spid="_x0000_s2511" type="#_x0000_t202" style="position:absolute;width:5940;height:636" filled="f" stroked="f">
              <v:textbox style="mso-next-textbox:#docshape1327" inset="0,0,0,0">
                <w:txbxContent>
                  <w:p w14:paraId="4BF9E1F7" w14:textId="77777777" w:rsidR="0055291C" w:rsidRDefault="00F23C61">
                    <w:pPr>
                      <w:spacing w:before="219"/>
                      <w:ind w:left="1133"/>
                      <w:rPr>
                        <w:rFonts w:ascii="Arial"/>
                        <w:b/>
                        <w:i/>
                        <w:sz w:val="28"/>
                      </w:rPr>
                    </w:pPr>
                    <w:r>
                      <w:rPr>
                        <w:rFonts w:ascii="Arial"/>
                        <w:b/>
                        <w:i/>
                        <w:color w:val="F3F4F4"/>
                        <w:sz w:val="28"/>
                      </w:rPr>
                      <w:t>r</w:t>
                    </w:r>
                    <w:r>
                      <w:rPr>
                        <w:rFonts w:ascii="Arial"/>
                        <w:b/>
                        <w:i/>
                        <w:color w:val="F3F4F4"/>
                        <w:spacing w:val="3"/>
                        <w:sz w:val="28"/>
                      </w:rPr>
                      <w:t xml:space="preserve"> </w:t>
                    </w:r>
                    <w:r>
                      <w:rPr>
                        <w:rFonts w:ascii="Arial"/>
                        <w:b/>
                        <w:i/>
                        <w:color w:val="F3F4F4"/>
                        <w:sz w:val="28"/>
                      </w:rPr>
                      <w:t>e</w:t>
                    </w:r>
                    <w:r>
                      <w:rPr>
                        <w:rFonts w:ascii="Arial"/>
                        <w:b/>
                        <w:i/>
                        <w:color w:val="F3F4F4"/>
                        <w:spacing w:val="9"/>
                        <w:sz w:val="28"/>
                      </w:rPr>
                      <w:t xml:space="preserve"> </w:t>
                    </w:r>
                    <w:r>
                      <w:rPr>
                        <w:rFonts w:ascii="Arial"/>
                        <w:b/>
                        <w:i/>
                        <w:color w:val="F3F4F4"/>
                        <w:sz w:val="28"/>
                      </w:rPr>
                      <w:t>q</w:t>
                    </w:r>
                    <w:r>
                      <w:rPr>
                        <w:rFonts w:ascii="Arial"/>
                        <w:b/>
                        <w:i/>
                        <w:color w:val="F3F4F4"/>
                        <w:spacing w:val="86"/>
                        <w:sz w:val="28"/>
                      </w:rPr>
                      <w:t xml:space="preserve"> </w:t>
                    </w:r>
                    <w:r>
                      <w:rPr>
                        <w:rFonts w:ascii="Arial"/>
                        <w:b/>
                        <w:i/>
                        <w:color w:val="F3F4F4"/>
                        <w:sz w:val="28"/>
                      </w:rPr>
                      <w:t>u</w:t>
                    </w:r>
                    <w:r>
                      <w:rPr>
                        <w:rFonts w:ascii="Arial"/>
                        <w:b/>
                        <w:i/>
                        <w:color w:val="F3F4F4"/>
                        <w:spacing w:val="87"/>
                        <w:sz w:val="28"/>
                      </w:rPr>
                      <w:t xml:space="preserve"> </w:t>
                    </w:r>
                    <w:proofErr w:type="spellStart"/>
                    <w:r>
                      <w:rPr>
                        <w:rFonts w:ascii="Arial"/>
                        <w:b/>
                        <w:i/>
                        <w:color w:val="F3F4F4"/>
                        <w:sz w:val="28"/>
                      </w:rPr>
                      <w:t>i</w:t>
                    </w:r>
                    <w:proofErr w:type="spellEnd"/>
                    <w:r>
                      <w:rPr>
                        <w:rFonts w:ascii="Arial"/>
                        <w:b/>
                        <w:i/>
                        <w:color w:val="F3F4F4"/>
                        <w:spacing w:val="86"/>
                        <w:sz w:val="28"/>
                      </w:rPr>
                      <w:t xml:space="preserve"> </w:t>
                    </w:r>
                    <w:r>
                      <w:rPr>
                        <w:rFonts w:ascii="Arial"/>
                        <w:b/>
                        <w:i/>
                        <w:color w:val="F3F4F4"/>
                        <w:sz w:val="28"/>
                      </w:rPr>
                      <w:t>r</w:t>
                    </w:r>
                    <w:r>
                      <w:rPr>
                        <w:rFonts w:ascii="Arial"/>
                        <w:b/>
                        <w:i/>
                        <w:color w:val="F3F4F4"/>
                        <w:spacing w:val="80"/>
                        <w:sz w:val="28"/>
                      </w:rPr>
                      <w:t xml:space="preserve"> </w:t>
                    </w:r>
                    <w:r>
                      <w:rPr>
                        <w:rFonts w:ascii="Arial"/>
                        <w:b/>
                        <w:i/>
                        <w:color w:val="F3F4F4"/>
                        <w:sz w:val="28"/>
                      </w:rPr>
                      <w:t>e</w:t>
                    </w:r>
                    <w:r>
                      <w:rPr>
                        <w:rFonts w:ascii="Arial"/>
                        <w:b/>
                        <w:i/>
                        <w:color w:val="F3F4F4"/>
                        <w:spacing w:val="87"/>
                        <w:sz w:val="28"/>
                      </w:rPr>
                      <w:t xml:space="preserve"> </w:t>
                    </w:r>
                    <w:r>
                      <w:rPr>
                        <w:rFonts w:ascii="Arial"/>
                        <w:b/>
                        <w:i/>
                        <w:color w:val="F3F4F4"/>
                        <w:sz w:val="28"/>
                      </w:rPr>
                      <w:t>m</w:t>
                    </w:r>
                    <w:r>
                      <w:rPr>
                        <w:rFonts w:ascii="Arial"/>
                        <w:b/>
                        <w:i/>
                        <w:color w:val="F3F4F4"/>
                        <w:spacing w:val="86"/>
                        <w:sz w:val="28"/>
                      </w:rPr>
                      <w:t xml:space="preserve"> </w:t>
                    </w:r>
                    <w:r>
                      <w:rPr>
                        <w:rFonts w:ascii="Arial"/>
                        <w:b/>
                        <w:i/>
                        <w:color w:val="F3F4F4"/>
                        <w:sz w:val="28"/>
                      </w:rPr>
                      <w:t>e</w:t>
                    </w:r>
                    <w:r>
                      <w:rPr>
                        <w:rFonts w:ascii="Arial"/>
                        <w:b/>
                        <w:i/>
                        <w:color w:val="F3F4F4"/>
                        <w:spacing w:val="87"/>
                        <w:sz w:val="28"/>
                      </w:rPr>
                      <w:t xml:space="preserve"> </w:t>
                    </w:r>
                    <w:r>
                      <w:rPr>
                        <w:rFonts w:ascii="Arial"/>
                        <w:b/>
                        <w:i/>
                        <w:color w:val="F3F4F4"/>
                        <w:sz w:val="28"/>
                      </w:rPr>
                      <w:t>n</w:t>
                    </w:r>
                    <w:r>
                      <w:rPr>
                        <w:rFonts w:ascii="Arial"/>
                        <w:b/>
                        <w:i/>
                        <w:color w:val="F3F4F4"/>
                        <w:spacing w:val="85"/>
                        <w:sz w:val="28"/>
                      </w:rPr>
                      <w:t xml:space="preserve"> </w:t>
                    </w:r>
                    <w:r>
                      <w:rPr>
                        <w:rFonts w:ascii="Arial"/>
                        <w:b/>
                        <w:i/>
                        <w:color w:val="F3F4F4"/>
                        <w:sz w:val="28"/>
                      </w:rPr>
                      <w:t>t</w:t>
                    </w:r>
                    <w:r>
                      <w:rPr>
                        <w:rFonts w:ascii="Arial"/>
                        <w:b/>
                        <w:i/>
                        <w:color w:val="F3F4F4"/>
                        <w:spacing w:val="87"/>
                        <w:sz w:val="28"/>
                      </w:rPr>
                      <w:t xml:space="preserve"> </w:t>
                    </w:r>
                    <w:r>
                      <w:rPr>
                        <w:rFonts w:ascii="Arial"/>
                        <w:b/>
                        <w:i/>
                        <w:color w:val="F3F4F4"/>
                        <w:sz w:val="28"/>
                      </w:rPr>
                      <w:t>s</w:t>
                    </w:r>
                  </w:p>
                </w:txbxContent>
              </v:textbox>
            </v:shape>
            <w10:anchorlock/>
          </v:group>
        </w:pict>
      </w:r>
    </w:p>
    <w:p w14:paraId="1A233C96" w14:textId="5D067DC9" w:rsidR="0055291C" w:rsidRDefault="001A220A">
      <w:pPr>
        <w:pStyle w:val="a3"/>
        <w:rPr>
          <w:sz w:val="20"/>
        </w:rPr>
      </w:pPr>
      <w:r w:rsidRPr="004A2497">
        <w:rPr>
          <w:rFonts w:ascii="ＭＳ ゴシック" w:eastAsia="ＭＳ ゴシック" w:hAnsi="ＭＳ ゴシック" w:cs="ＭＳ ゴシック" w:hint="eastAsia"/>
          <w:b/>
          <w:i/>
          <w:noProof/>
          <w:color w:val="00ACA1"/>
          <w:sz w:val="24"/>
          <w:szCs w:val="22"/>
          <w:lang w:eastAsia="ja-JP"/>
        </w:rPr>
        <mc:AlternateContent>
          <mc:Choice Requires="wps">
            <w:drawing>
              <wp:anchor distT="0" distB="0" distL="114300" distR="114300" simplePos="0" relativeHeight="251502080" behindDoc="1" locked="0" layoutInCell="1" allowOverlap="1" wp14:anchorId="1264C89F" wp14:editId="337ABEF7">
                <wp:simplePos x="0" y="0"/>
                <wp:positionH relativeFrom="column">
                  <wp:posOffset>241300</wp:posOffset>
                </wp:positionH>
                <wp:positionV relativeFrom="paragraph">
                  <wp:posOffset>4511675</wp:posOffset>
                </wp:positionV>
                <wp:extent cx="3124200" cy="2101850"/>
                <wp:effectExtent l="0" t="0" r="0" b="0"/>
                <wp:wrapTopAndBottom/>
                <wp:docPr id="110" name="四角形: 角を丸くする 110"/>
                <wp:cNvGraphicFramePr/>
                <a:graphic xmlns:a="http://schemas.openxmlformats.org/drawingml/2006/main">
                  <a:graphicData uri="http://schemas.microsoft.com/office/word/2010/wordprocessingShape">
                    <wps:wsp>
                      <wps:cNvSpPr/>
                      <wps:spPr>
                        <a:xfrm>
                          <a:off x="0" y="0"/>
                          <a:ext cx="3124200" cy="2101850"/>
                        </a:xfrm>
                        <a:prstGeom prst="roundRect">
                          <a:avLst>
                            <a:gd name="adj" fmla="val 5063"/>
                          </a:avLst>
                        </a:prstGeom>
                        <a:solidFill>
                          <a:srgbClr val="70029C">
                            <a:alpha val="25098"/>
                          </a:srgbClr>
                        </a:solidFill>
                        <a:ln w="25400" cap="flat" cmpd="sng" algn="ctr">
                          <a:noFill/>
                          <a:prstDash val="solid"/>
                        </a:ln>
                        <a:effectLst/>
                      </wps:spPr>
                      <wps:txbx>
                        <w:txbxContent>
                          <w:p w14:paraId="43DD846D" w14:textId="4F9FFC53" w:rsidR="004A2497" w:rsidRPr="004A2497" w:rsidRDefault="004A2497" w:rsidP="001A220A">
                            <w:pPr>
                              <w:spacing w:line="276" w:lineRule="auto"/>
                              <w:ind w:firstLine="6"/>
                              <w:rPr>
                                <w:b/>
                                <w:bCs/>
                                <w:i/>
                                <w:iCs/>
                                <w:color w:val="000000" w:themeColor="text1"/>
                                <w:sz w:val="19"/>
                                <w:szCs w:val="19"/>
                                <w:lang w:eastAsia="ja-JP"/>
                              </w:rPr>
                            </w:pPr>
                            <w:r w:rsidRPr="004A2497">
                              <w:rPr>
                                <w:rFonts w:ascii="ＭＳ ゴシック" w:eastAsia="ＭＳ ゴシック" w:hAnsi="ＭＳ ゴシック" w:cs="ＭＳ ゴシック" w:hint="eastAsia"/>
                                <w:b/>
                                <w:bCs/>
                                <w:i/>
                                <w:iCs/>
                                <w:color w:val="000000" w:themeColor="text1"/>
                                <w:sz w:val="19"/>
                                <w:szCs w:val="19"/>
                                <w:lang w:eastAsia="ja-JP"/>
                              </w:rPr>
                              <w:t>総</w:t>
                            </w:r>
                            <w:r w:rsidR="000A74F6">
                              <w:rPr>
                                <w:rFonts w:ascii="ＭＳ ゴシック" w:eastAsia="ＭＳ ゴシック" w:hAnsi="ＭＳ ゴシック" w:cs="ＭＳ ゴシック" w:hint="eastAsia"/>
                                <w:b/>
                                <w:bCs/>
                                <w:i/>
                                <w:iCs/>
                                <w:color w:val="000000" w:themeColor="text1"/>
                                <w:sz w:val="19"/>
                                <w:szCs w:val="19"/>
                                <w:lang w:eastAsia="ja-JP"/>
                              </w:rPr>
                              <w:t>排出量</w:t>
                            </w:r>
                            <w:r w:rsidRPr="004A2497">
                              <w:rPr>
                                <w:rFonts w:ascii="ＭＳ ゴシック" w:eastAsia="ＭＳ ゴシック" w:hAnsi="ＭＳ ゴシック" w:cs="ＭＳ ゴシック" w:hint="eastAsia"/>
                                <w:b/>
                                <w:bCs/>
                                <w:i/>
                                <w:iCs/>
                                <w:color w:val="000000" w:themeColor="text1"/>
                                <w:sz w:val="19"/>
                                <w:szCs w:val="19"/>
                                <w:lang w:eastAsia="ja-JP"/>
                              </w:rPr>
                              <w:t>結果に加え、企業は</w:t>
                            </w:r>
                            <w:r w:rsidR="000A74F6">
                              <w:rPr>
                                <w:rFonts w:ascii="ＭＳ ゴシック" w:eastAsia="ＭＳ ゴシック" w:hAnsi="ＭＳ ゴシック" w:cs="ＭＳ ゴシック" w:hint="eastAsia"/>
                                <w:b/>
                                <w:bCs/>
                                <w:i/>
                                <w:iCs/>
                                <w:color w:val="000000" w:themeColor="text1"/>
                                <w:sz w:val="19"/>
                                <w:szCs w:val="19"/>
                                <w:lang w:eastAsia="ja-JP"/>
                              </w:rPr>
                              <w:t>以下も</w:t>
                            </w:r>
                            <w:r w:rsidRPr="004A2497">
                              <w:rPr>
                                <w:rFonts w:ascii="ＭＳ ゴシック" w:eastAsia="ＭＳ ゴシック" w:hAnsi="ＭＳ ゴシック" w:cs="ＭＳ ゴシック" w:hint="eastAsia"/>
                                <w:b/>
                                <w:bCs/>
                                <w:i/>
                                <w:iCs/>
                                <w:color w:val="000000" w:themeColor="text1"/>
                                <w:sz w:val="19"/>
                                <w:szCs w:val="19"/>
                                <w:lang w:eastAsia="ja-JP"/>
                              </w:rPr>
                              <w:t>数値化して報告すること。</w:t>
                            </w:r>
                          </w:p>
                          <w:p w14:paraId="0EA2333C" w14:textId="1C5CC4BA" w:rsidR="004A2497" w:rsidRPr="004A2497" w:rsidRDefault="004A2497">
                            <w:pPr>
                              <w:pStyle w:val="a5"/>
                              <w:numPr>
                                <w:ilvl w:val="0"/>
                                <w:numId w:val="84"/>
                              </w:numPr>
                              <w:spacing w:line="276" w:lineRule="auto"/>
                              <w:rPr>
                                <w:rFonts w:ascii="ＭＳ ゴシック" w:eastAsia="ＭＳ ゴシック" w:hAnsi="ＭＳ ゴシック" w:cs="ＭＳ ゴシック"/>
                                <w:b/>
                                <w:i/>
                                <w:iCs/>
                                <w:color w:val="000000" w:themeColor="text1"/>
                                <w:sz w:val="19"/>
                                <w:szCs w:val="19"/>
                                <w:lang w:eastAsia="ja-JP"/>
                              </w:rPr>
                            </w:pPr>
                            <w:r w:rsidRPr="004A2497">
                              <w:rPr>
                                <w:rFonts w:ascii="ＭＳ ゴシック" w:eastAsia="ＭＳ ゴシック" w:hAnsi="ＭＳ ゴシック" w:cs="ＭＳ ゴシック" w:hint="eastAsia"/>
                                <w:b/>
                                <w:i/>
                                <w:iCs/>
                                <w:color w:val="000000" w:themeColor="text1"/>
                                <w:sz w:val="19"/>
                                <w:szCs w:val="19"/>
                                <w:lang w:eastAsia="ja-JP"/>
                              </w:rPr>
                              <w:t>ライフサイクルステージ別の総算出量の割合</w:t>
                            </w:r>
                          </w:p>
                          <w:p w14:paraId="7F943293" w14:textId="430B74C4" w:rsidR="004A2497" w:rsidRPr="004A2497" w:rsidRDefault="004A2497">
                            <w:pPr>
                              <w:pStyle w:val="a5"/>
                              <w:numPr>
                                <w:ilvl w:val="0"/>
                                <w:numId w:val="84"/>
                              </w:numPr>
                              <w:spacing w:line="276" w:lineRule="auto"/>
                              <w:rPr>
                                <w:rFonts w:ascii="ＭＳ ゴシック" w:eastAsia="ＭＳ ゴシック" w:hAnsi="ＭＳ ゴシック" w:cs="ＭＳ ゴシック"/>
                                <w:b/>
                                <w:i/>
                                <w:iCs/>
                                <w:color w:val="000000" w:themeColor="text1"/>
                                <w:sz w:val="19"/>
                                <w:szCs w:val="19"/>
                                <w:lang w:eastAsia="ja-JP"/>
                              </w:rPr>
                            </w:pPr>
                            <w:r w:rsidRPr="004A2497">
                              <w:rPr>
                                <w:rFonts w:ascii="ＭＳ ゴシック" w:eastAsia="ＭＳ ゴシック" w:hAnsi="ＭＳ ゴシック" w:cs="ＭＳ ゴシック" w:hint="eastAsia"/>
                                <w:b/>
                                <w:i/>
                                <w:iCs/>
                                <w:color w:val="000000" w:themeColor="text1"/>
                                <w:sz w:val="19"/>
                                <w:szCs w:val="19"/>
                                <w:lang w:eastAsia="ja-JP"/>
                              </w:rPr>
                              <w:t>該当する場合、生物起源と非生物起源の排出と削減を分けた記載</w:t>
                            </w:r>
                          </w:p>
                          <w:p w14:paraId="736530ED" w14:textId="61694D15" w:rsidR="004A2497" w:rsidRPr="004A2497" w:rsidRDefault="004A2497">
                            <w:pPr>
                              <w:pStyle w:val="a5"/>
                              <w:numPr>
                                <w:ilvl w:val="0"/>
                                <w:numId w:val="84"/>
                              </w:numPr>
                              <w:spacing w:line="276" w:lineRule="auto"/>
                              <w:rPr>
                                <w:rFonts w:ascii="ＭＳ ゴシック" w:eastAsia="ＭＳ ゴシック" w:hAnsi="ＭＳ ゴシック" w:cs="ＭＳ ゴシック"/>
                                <w:b/>
                                <w:i/>
                                <w:iCs/>
                                <w:color w:val="000000" w:themeColor="text1"/>
                                <w:sz w:val="19"/>
                                <w:szCs w:val="19"/>
                                <w:lang w:eastAsia="ja-JP"/>
                              </w:rPr>
                            </w:pPr>
                            <w:r w:rsidRPr="004A2497">
                              <w:rPr>
                                <w:rFonts w:ascii="ＭＳ ゴシック" w:eastAsia="ＭＳ ゴシック" w:hAnsi="ＭＳ ゴシック" w:cs="ＭＳ ゴシック" w:hint="eastAsia"/>
                                <w:b/>
                                <w:i/>
                                <w:iCs/>
                                <w:color w:val="000000" w:themeColor="text1"/>
                                <w:sz w:val="19"/>
                                <w:szCs w:val="19"/>
                                <w:lang w:eastAsia="ja-JP"/>
                              </w:rPr>
                              <w:t>該当する場合、土地利用変化による影響を区分した記載</w:t>
                            </w:r>
                          </w:p>
                          <w:p w14:paraId="72D35BFB" w14:textId="7E099159" w:rsidR="004A2497" w:rsidRPr="004A2497" w:rsidRDefault="004A2497">
                            <w:pPr>
                              <w:pStyle w:val="a5"/>
                              <w:numPr>
                                <w:ilvl w:val="0"/>
                                <w:numId w:val="84"/>
                              </w:numPr>
                              <w:spacing w:line="276" w:lineRule="auto"/>
                              <w:rPr>
                                <w:rFonts w:ascii="ＭＳ ゴシック" w:eastAsia="ＭＳ ゴシック" w:hAnsi="ＭＳ ゴシック" w:cs="ＭＳ ゴシック"/>
                                <w:b/>
                                <w:i/>
                                <w:iCs/>
                                <w:color w:val="000000" w:themeColor="text1"/>
                                <w:sz w:val="19"/>
                                <w:szCs w:val="19"/>
                                <w:lang w:eastAsia="ja-JP"/>
                              </w:rPr>
                            </w:pPr>
                            <w:r w:rsidRPr="004A2497">
                              <w:rPr>
                                <w:rFonts w:ascii="ＭＳ ゴシック" w:eastAsia="ＭＳ ゴシック" w:hAnsi="ＭＳ ゴシック" w:cs="ＭＳ ゴシック" w:hint="eastAsia"/>
                                <w:b/>
                                <w:i/>
                                <w:iCs/>
                                <w:color w:val="000000" w:themeColor="text1"/>
                                <w:sz w:val="19"/>
                                <w:szCs w:val="19"/>
                                <w:lang w:eastAsia="ja-JP"/>
                              </w:rPr>
                              <w:t>ゆりかごからゲートまでとゲートからゲートまでのインベントリ結果を別々に、あるいは機密保持が制限されることを示す明確な記述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64C89F" id="四角形: 角を丸くする 110" o:spid="_x0000_s1134" style="position:absolute;margin-left:19pt;margin-top:355.25pt;width:246pt;height:165.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3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" fillcolor="#70029c" stroked="f" strokeweight="2pt">
                <v:fill opacity="16448f"/>
                <v:textbox>
                  <w:txbxContent>
                    <w:p w14:paraId="43DD846D" w14:textId="4F9FFC53" w:rsidR="004A2497" w:rsidRPr="004A2497" w:rsidRDefault="004A2497" w:rsidP="001A220A">
                      <w:pPr>
                        <w:spacing w:line="276" w:lineRule="auto"/>
                        <w:ind w:firstLine="6"/>
                        <w:rPr>
                          <w:b/>
                          <w:bCs/>
                          <w:i/>
                          <w:iCs/>
                          <w:color w:val="000000" w:themeColor="text1"/>
                          <w:sz w:val="19"/>
                          <w:szCs w:val="19"/>
                          <w:lang w:eastAsia="ja-JP"/>
                        </w:rPr>
                      </w:pPr>
                      <w:r w:rsidRPr="004A2497">
                        <w:rPr>
                          <w:rFonts w:ascii="ＭＳ ゴシック" w:eastAsia="ＭＳ ゴシック" w:hAnsi="ＭＳ ゴシック" w:cs="ＭＳ ゴシック" w:hint="eastAsia"/>
                          <w:b/>
                          <w:bCs/>
                          <w:i/>
                          <w:iCs/>
                          <w:color w:val="000000" w:themeColor="text1"/>
                          <w:sz w:val="19"/>
                          <w:szCs w:val="19"/>
                          <w:lang w:eastAsia="ja-JP"/>
                        </w:rPr>
                        <w:t>総</w:t>
                      </w:r>
                      <w:r w:rsidR="000A74F6">
                        <w:rPr>
                          <w:rFonts w:ascii="ＭＳ ゴシック" w:eastAsia="ＭＳ ゴシック" w:hAnsi="ＭＳ ゴシック" w:cs="ＭＳ ゴシック" w:hint="eastAsia"/>
                          <w:b/>
                          <w:bCs/>
                          <w:i/>
                          <w:iCs/>
                          <w:color w:val="000000" w:themeColor="text1"/>
                          <w:sz w:val="19"/>
                          <w:szCs w:val="19"/>
                          <w:lang w:eastAsia="ja-JP"/>
                        </w:rPr>
                        <w:t>排出量</w:t>
                      </w:r>
                      <w:r w:rsidRPr="004A2497">
                        <w:rPr>
                          <w:rFonts w:ascii="ＭＳ ゴシック" w:eastAsia="ＭＳ ゴシック" w:hAnsi="ＭＳ ゴシック" w:cs="ＭＳ ゴシック" w:hint="eastAsia"/>
                          <w:b/>
                          <w:bCs/>
                          <w:i/>
                          <w:iCs/>
                          <w:color w:val="000000" w:themeColor="text1"/>
                          <w:sz w:val="19"/>
                          <w:szCs w:val="19"/>
                          <w:lang w:eastAsia="ja-JP"/>
                        </w:rPr>
                        <w:t>結果に加え、企業は</w:t>
                      </w:r>
                      <w:r w:rsidR="000A74F6">
                        <w:rPr>
                          <w:rFonts w:ascii="ＭＳ ゴシック" w:eastAsia="ＭＳ ゴシック" w:hAnsi="ＭＳ ゴシック" w:cs="ＭＳ ゴシック" w:hint="eastAsia"/>
                          <w:b/>
                          <w:bCs/>
                          <w:i/>
                          <w:iCs/>
                          <w:color w:val="000000" w:themeColor="text1"/>
                          <w:sz w:val="19"/>
                          <w:szCs w:val="19"/>
                          <w:lang w:eastAsia="ja-JP"/>
                        </w:rPr>
                        <w:t>以下も</w:t>
                      </w:r>
                      <w:r w:rsidRPr="004A2497">
                        <w:rPr>
                          <w:rFonts w:ascii="ＭＳ ゴシック" w:eastAsia="ＭＳ ゴシック" w:hAnsi="ＭＳ ゴシック" w:cs="ＭＳ ゴシック" w:hint="eastAsia"/>
                          <w:b/>
                          <w:bCs/>
                          <w:i/>
                          <w:iCs/>
                          <w:color w:val="000000" w:themeColor="text1"/>
                          <w:sz w:val="19"/>
                          <w:szCs w:val="19"/>
                          <w:lang w:eastAsia="ja-JP"/>
                        </w:rPr>
                        <w:t>数値化して報告すること。</w:t>
                      </w:r>
                    </w:p>
                    <w:p w14:paraId="0EA2333C" w14:textId="1C5CC4BA" w:rsidR="004A2497" w:rsidRPr="004A2497" w:rsidRDefault="004A2497">
                      <w:pPr>
                        <w:pStyle w:val="a5"/>
                        <w:numPr>
                          <w:ilvl w:val="0"/>
                          <w:numId w:val="84"/>
                        </w:numPr>
                        <w:spacing w:line="276" w:lineRule="auto"/>
                        <w:rPr>
                          <w:rFonts w:ascii="ＭＳ ゴシック" w:eastAsia="ＭＳ ゴシック" w:hAnsi="ＭＳ ゴシック" w:cs="ＭＳ ゴシック"/>
                          <w:b/>
                          <w:i/>
                          <w:iCs/>
                          <w:color w:val="000000" w:themeColor="text1"/>
                          <w:sz w:val="19"/>
                          <w:szCs w:val="19"/>
                          <w:lang w:eastAsia="ja-JP"/>
                        </w:rPr>
                      </w:pPr>
                      <w:r w:rsidRPr="004A2497">
                        <w:rPr>
                          <w:rFonts w:ascii="ＭＳ ゴシック" w:eastAsia="ＭＳ ゴシック" w:hAnsi="ＭＳ ゴシック" w:cs="ＭＳ ゴシック" w:hint="eastAsia"/>
                          <w:b/>
                          <w:i/>
                          <w:iCs/>
                          <w:color w:val="000000" w:themeColor="text1"/>
                          <w:sz w:val="19"/>
                          <w:szCs w:val="19"/>
                          <w:lang w:eastAsia="ja-JP"/>
                        </w:rPr>
                        <w:t>ライフサイクルステージ別の総算出量の割合</w:t>
                      </w:r>
                    </w:p>
                    <w:p w14:paraId="7F943293" w14:textId="430B74C4" w:rsidR="004A2497" w:rsidRPr="004A2497" w:rsidRDefault="004A2497">
                      <w:pPr>
                        <w:pStyle w:val="a5"/>
                        <w:numPr>
                          <w:ilvl w:val="0"/>
                          <w:numId w:val="84"/>
                        </w:numPr>
                        <w:spacing w:line="276" w:lineRule="auto"/>
                        <w:rPr>
                          <w:rFonts w:ascii="ＭＳ ゴシック" w:eastAsia="ＭＳ ゴシック" w:hAnsi="ＭＳ ゴシック" w:cs="ＭＳ ゴシック"/>
                          <w:b/>
                          <w:i/>
                          <w:iCs/>
                          <w:color w:val="000000" w:themeColor="text1"/>
                          <w:sz w:val="19"/>
                          <w:szCs w:val="19"/>
                          <w:lang w:eastAsia="ja-JP"/>
                        </w:rPr>
                      </w:pPr>
                      <w:r w:rsidRPr="004A2497">
                        <w:rPr>
                          <w:rFonts w:ascii="ＭＳ ゴシック" w:eastAsia="ＭＳ ゴシック" w:hAnsi="ＭＳ ゴシック" w:cs="ＭＳ ゴシック" w:hint="eastAsia"/>
                          <w:b/>
                          <w:i/>
                          <w:iCs/>
                          <w:color w:val="000000" w:themeColor="text1"/>
                          <w:sz w:val="19"/>
                          <w:szCs w:val="19"/>
                          <w:lang w:eastAsia="ja-JP"/>
                        </w:rPr>
                        <w:t>該当する場合、生物起源と非生物起源の排出と削減を分けた記載</w:t>
                      </w:r>
                    </w:p>
                    <w:p w14:paraId="736530ED" w14:textId="61694D15" w:rsidR="004A2497" w:rsidRPr="004A2497" w:rsidRDefault="004A2497">
                      <w:pPr>
                        <w:pStyle w:val="a5"/>
                        <w:numPr>
                          <w:ilvl w:val="0"/>
                          <w:numId w:val="84"/>
                        </w:numPr>
                        <w:spacing w:line="276" w:lineRule="auto"/>
                        <w:rPr>
                          <w:rFonts w:ascii="ＭＳ ゴシック" w:eastAsia="ＭＳ ゴシック" w:hAnsi="ＭＳ ゴシック" w:cs="ＭＳ ゴシック"/>
                          <w:b/>
                          <w:i/>
                          <w:iCs/>
                          <w:color w:val="000000" w:themeColor="text1"/>
                          <w:sz w:val="19"/>
                          <w:szCs w:val="19"/>
                          <w:lang w:eastAsia="ja-JP"/>
                        </w:rPr>
                      </w:pPr>
                      <w:r w:rsidRPr="004A2497">
                        <w:rPr>
                          <w:rFonts w:ascii="ＭＳ ゴシック" w:eastAsia="ＭＳ ゴシック" w:hAnsi="ＭＳ ゴシック" w:cs="ＭＳ ゴシック" w:hint="eastAsia"/>
                          <w:b/>
                          <w:i/>
                          <w:iCs/>
                          <w:color w:val="000000" w:themeColor="text1"/>
                          <w:sz w:val="19"/>
                          <w:szCs w:val="19"/>
                          <w:lang w:eastAsia="ja-JP"/>
                        </w:rPr>
                        <w:t>該当する場合、土地利用変化による影響を区分した記載</w:t>
                      </w:r>
                    </w:p>
                    <w:p w14:paraId="72D35BFB" w14:textId="7E099159" w:rsidR="004A2497" w:rsidRPr="004A2497" w:rsidRDefault="004A2497">
                      <w:pPr>
                        <w:pStyle w:val="a5"/>
                        <w:numPr>
                          <w:ilvl w:val="0"/>
                          <w:numId w:val="84"/>
                        </w:numPr>
                        <w:spacing w:line="276" w:lineRule="auto"/>
                        <w:rPr>
                          <w:rFonts w:ascii="ＭＳ ゴシック" w:eastAsia="ＭＳ ゴシック" w:hAnsi="ＭＳ ゴシック" w:cs="ＭＳ ゴシック"/>
                          <w:b/>
                          <w:i/>
                          <w:iCs/>
                          <w:color w:val="000000" w:themeColor="text1"/>
                          <w:sz w:val="19"/>
                          <w:szCs w:val="19"/>
                          <w:lang w:eastAsia="ja-JP"/>
                        </w:rPr>
                      </w:pPr>
                      <w:r w:rsidRPr="004A2497">
                        <w:rPr>
                          <w:rFonts w:ascii="ＭＳ ゴシック" w:eastAsia="ＭＳ ゴシック" w:hAnsi="ＭＳ ゴシック" w:cs="ＭＳ ゴシック" w:hint="eastAsia"/>
                          <w:b/>
                          <w:i/>
                          <w:iCs/>
                          <w:color w:val="000000" w:themeColor="text1"/>
                          <w:sz w:val="19"/>
                          <w:szCs w:val="19"/>
                          <w:lang w:eastAsia="ja-JP"/>
                        </w:rPr>
                        <w:t>ゆりかごからゲートまでとゲートからゲートまでのインベントリ結果を別々に、あるいは機密保持が制限されることを示す明確な記述</w:t>
                      </w:r>
                    </w:p>
                  </w:txbxContent>
                </v:textbox>
                <w10:wrap type="topAndBottom"/>
              </v:roundrect>
            </w:pict>
          </mc:Fallback>
        </mc:AlternateContent>
      </w:r>
      <w:r w:rsidR="004A322C" w:rsidRPr="004A322C">
        <w:rPr>
          <w:rFonts w:ascii="ＭＳ ゴシック" w:eastAsia="ＭＳ ゴシック" w:hAnsi="ＭＳ ゴシック" w:cs="ＭＳ ゴシック" w:hint="eastAsia"/>
          <w:b/>
          <w:i/>
          <w:noProof/>
          <w:color w:val="00ACA1"/>
          <w:sz w:val="24"/>
          <w:szCs w:val="22"/>
          <w:lang w:eastAsia="ja-JP"/>
        </w:rPr>
        <mc:AlternateContent>
          <mc:Choice Requires="wps">
            <w:drawing>
              <wp:anchor distT="0" distB="0" distL="114300" distR="114300" simplePos="0" relativeHeight="251503104" behindDoc="1" locked="0" layoutInCell="1" allowOverlap="1" wp14:anchorId="380E4E7F" wp14:editId="06FCE49F">
                <wp:simplePos x="0" y="0"/>
                <wp:positionH relativeFrom="column">
                  <wp:posOffset>3784600</wp:posOffset>
                </wp:positionH>
                <wp:positionV relativeFrom="paragraph">
                  <wp:posOffset>4556125</wp:posOffset>
                </wp:positionV>
                <wp:extent cx="3448050" cy="1460500"/>
                <wp:effectExtent l="0" t="0" r="0" b="6350"/>
                <wp:wrapTopAndBottom/>
                <wp:docPr id="111" name="四角形: 角を丸くする 111"/>
                <wp:cNvGraphicFramePr/>
                <a:graphic xmlns:a="http://schemas.openxmlformats.org/drawingml/2006/main">
                  <a:graphicData uri="http://schemas.microsoft.com/office/word/2010/wordprocessingShape">
                    <wps:wsp>
                      <wps:cNvSpPr/>
                      <wps:spPr>
                        <a:xfrm>
                          <a:off x="0" y="0"/>
                          <a:ext cx="3448050" cy="1460500"/>
                        </a:xfrm>
                        <a:prstGeom prst="roundRect">
                          <a:avLst>
                            <a:gd name="adj" fmla="val 5063"/>
                          </a:avLst>
                        </a:prstGeom>
                        <a:solidFill>
                          <a:srgbClr val="70029C">
                            <a:alpha val="25098"/>
                          </a:srgbClr>
                        </a:solidFill>
                        <a:ln w="25400" cap="flat" cmpd="sng" algn="ctr">
                          <a:noFill/>
                          <a:prstDash val="solid"/>
                        </a:ln>
                        <a:effectLst/>
                      </wps:spPr>
                      <wps:txbx>
                        <w:txbxContent>
                          <w:p w14:paraId="04AE9FD6" w14:textId="01A8A1AA" w:rsidR="004A322C" w:rsidRPr="004A2497" w:rsidRDefault="004A322C" w:rsidP="001A220A">
                            <w:pPr>
                              <w:spacing w:line="276" w:lineRule="auto"/>
                              <w:ind w:firstLine="6"/>
                              <w:rPr>
                                <w:b/>
                                <w:bCs/>
                                <w:i/>
                                <w:iCs/>
                                <w:color w:val="000000" w:themeColor="text1"/>
                                <w:sz w:val="19"/>
                                <w:szCs w:val="19"/>
                                <w:lang w:eastAsia="ja-JP"/>
                              </w:rPr>
                            </w:pPr>
                            <w:r w:rsidRPr="004A322C">
                              <w:rPr>
                                <w:rFonts w:ascii="ＭＳ ゴシック" w:eastAsia="ＭＳ ゴシック" w:hAnsi="ＭＳ ゴシック" w:cs="ＭＳ ゴシック" w:hint="eastAsia"/>
                                <w:b/>
                                <w:i/>
                                <w:iCs/>
                                <w:color w:val="000000" w:themeColor="text1"/>
                                <w:sz w:val="19"/>
                                <w:szCs w:val="19"/>
                                <w:lang w:eastAsia="ja-JP"/>
                              </w:rPr>
                              <w:t>会社は、算出結果を定量化する際、以下のものを含んではならない</w:t>
                            </w:r>
                            <w:r w:rsidRPr="004A2497">
                              <w:rPr>
                                <w:rFonts w:ascii="ＭＳ ゴシック" w:eastAsia="ＭＳ ゴシック" w:hAnsi="ＭＳ ゴシック" w:cs="ＭＳ ゴシック" w:hint="eastAsia"/>
                                <w:b/>
                                <w:bCs/>
                                <w:i/>
                                <w:iCs/>
                                <w:color w:val="000000" w:themeColor="text1"/>
                                <w:sz w:val="19"/>
                                <w:szCs w:val="19"/>
                                <w:lang w:eastAsia="ja-JP"/>
                              </w:rPr>
                              <w:t>。</w:t>
                            </w:r>
                          </w:p>
                          <w:p w14:paraId="4537DA1D" w14:textId="2E8A0A2B" w:rsidR="004A322C" w:rsidRDefault="004A322C">
                            <w:pPr>
                              <w:pStyle w:val="a5"/>
                              <w:numPr>
                                <w:ilvl w:val="0"/>
                                <w:numId w:val="84"/>
                              </w:numPr>
                              <w:spacing w:line="276" w:lineRule="auto"/>
                              <w:rPr>
                                <w:rFonts w:ascii="ＭＳ ゴシック" w:eastAsia="ＭＳ ゴシック" w:hAnsi="ＭＳ ゴシック" w:cs="ＭＳ ゴシック"/>
                                <w:b/>
                                <w:i/>
                                <w:iCs/>
                                <w:color w:val="000000" w:themeColor="text1"/>
                                <w:sz w:val="19"/>
                                <w:szCs w:val="19"/>
                                <w:lang w:eastAsia="ja-JP"/>
                              </w:rPr>
                            </w:pPr>
                            <w:r>
                              <w:rPr>
                                <w:rFonts w:ascii="ＭＳ ゴシック" w:eastAsia="ＭＳ ゴシック" w:hAnsi="ＭＳ ゴシック" w:cs="ＭＳ ゴシック" w:hint="eastAsia"/>
                                <w:b/>
                                <w:i/>
                                <w:iCs/>
                                <w:color w:val="000000" w:themeColor="text1"/>
                                <w:sz w:val="19"/>
                                <w:szCs w:val="19"/>
                                <w:lang w:eastAsia="ja-JP"/>
                              </w:rPr>
                              <w:t>遅延排出量の加重係数</w:t>
                            </w:r>
                          </w:p>
                          <w:p w14:paraId="7E2D6B17" w14:textId="28E38578" w:rsidR="004A322C" w:rsidRDefault="004A322C">
                            <w:pPr>
                              <w:pStyle w:val="a5"/>
                              <w:numPr>
                                <w:ilvl w:val="0"/>
                                <w:numId w:val="84"/>
                              </w:numPr>
                              <w:spacing w:line="276" w:lineRule="auto"/>
                              <w:rPr>
                                <w:rFonts w:ascii="ＭＳ ゴシック" w:eastAsia="ＭＳ ゴシック" w:hAnsi="ＭＳ ゴシック" w:cs="ＭＳ ゴシック"/>
                                <w:b/>
                                <w:i/>
                                <w:iCs/>
                                <w:color w:val="000000" w:themeColor="text1"/>
                                <w:sz w:val="19"/>
                                <w:szCs w:val="19"/>
                                <w:lang w:eastAsia="ja-JP"/>
                              </w:rPr>
                            </w:pPr>
                            <w:r>
                              <w:rPr>
                                <w:rFonts w:ascii="ＭＳ ゴシック" w:eastAsia="ＭＳ ゴシック" w:hAnsi="ＭＳ ゴシック" w:cs="ＭＳ ゴシック" w:hint="eastAsia"/>
                                <w:b/>
                                <w:i/>
                                <w:iCs/>
                                <w:color w:val="000000" w:themeColor="text1"/>
                                <w:sz w:val="19"/>
                                <w:szCs w:val="19"/>
                                <w:lang w:eastAsia="ja-JP"/>
                              </w:rPr>
                              <w:t>オフセット</w:t>
                            </w:r>
                          </w:p>
                          <w:p w14:paraId="3B840C82" w14:textId="00B4D7E3" w:rsidR="004A322C" w:rsidRPr="004A2497" w:rsidRDefault="004A322C">
                            <w:pPr>
                              <w:pStyle w:val="a5"/>
                              <w:numPr>
                                <w:ilvl w:val="0"/>
                                <w:numId w:val="84"/>
                              </w:numPr>
                              <w:spacing w:line="276" w:lineRule="auto"/>
                              <w:rPr>
                                <w:rFonts w:ascii="ＭＳ ゴシック" w:eastAsia="ＭＳ ゴシック" w:hAnsi="ＭＳ ゴシック" w:cs="ＭＳ ゴシック"/>
                                <w:b/>
                                <w:i/>
                                <w:iCs/>
                                <w:color w:val="000000" w:themeColor="text1"/>
                                <w:sz w:val="19"/>
                                <w:szCs w:val="19"/>
                                <w:lang w:eastAsia="ja-JP"/>
                              </w:rPr>
                            </w:pPr>
                            <w:r>
                              <w:rPr>
                                <w:rFonts w:ascii="ＭＳ ゴシック" w:eastAsia="ＭＳ ゴシック" w:hAnsi="ＭＳ ゴシック" w:cs="ＭＳ ゴシック" w:hint="eastAsia"/>
                                <w:b/>
                                <w:i/>
                                <w:iCs/>
                                <w:color w:val="000000" w:themeColor="text1"/>
                                <w:sz w:val="19"/>
                                <w:szCs w:val="19"/>
                                <w:lang w:eastAsia="ja-JP"/>
                              </w:rPr>
                              <w:t>回避排出量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0E4E7F" id="四角形: 角を丸くする 111" o:spid="_x0000_s1135" style="position:absolute;margin-left:298pt;margin-top:358.75pt;width:271.5pt;height:115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3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" fillcolor="#70029c" stroked="f" strokeweight="2pt">
                <v:fill opacity="16448f"/>
                <v:textbox>
                  <w:txbxContent>
                    <w:p w14:paraId="04AE9FD6" w14:textId="01A8A1AA" w:rsidR="004A322C" w:rsidRPr="004A2497" w:rsidRDefault="004A322C" w:rsidP="001A220A">
                      <w:pPr>
                        <w:spacing w:line="276" w:lineRule="auto"/>
                        <w:ind w:firstLine="6"/>
                        <w:rPr>
                          <w:b/>
                          <w:bCs/>
                          <w:i/>
                          <w:iCs/>
                          <w:color w:val="000000" w:themeColor="text1"/>
                          <w:sz w:val="19"/>
                          <w:szCs w:val="19"/>
                          <w:lang w:eastAsia="ja-JP"/>
                        </w:rPr>
                      </w:pPr>
                      <w:r w:rsidRPr="004A322C">
                        <w:rPr>
                          <w:rFonts w:ascii="ＭＳ ゴシック" w:eastAsia="ＭＳ ゴシック" w:hAnsi="ＭＳ ゴシック" w:cs="ＭＳ ゴシック" w:hint="eastAsia"/>
                          <w:b/>
                          <w:i/>
                          <w:iCs/>
                          <w:color w:val="000000" w:themeColor="text1"/>
                          <w:sz w:val="19"/>
                          <w:szCs w:val="19"/>
                          <w:lang w:eastAsia="ja-JP"/>
                        </w:rPr>
                        <w:t>会社は、算出結果を定量化する際、以下のものを含んではならない</w:t>
                      </w:r>
                      <w:r w:rsidRPr="004A2497">
                        <w:rPr>
                          <w:rFonts w:ascii="ＭＳ ゴシック" w:eastAsia="ＭＳ ゴシック" w:hAnsi="ＭＳ ゴシック" w:cs="ＭＳ ゴシック" w:hint="eastAsia"/>
                          <w:b/>
                          <w:bCs/>
                          <w:i/>
                          <w:iCs/>
                          <w:color w:val="000000" w:themeColor="text1"/>
                          <w:sz w:val="19"/>
                          <w:szCs w:val="19"/>
                          <w:lang w:eastAsia="ja-JP"/>
                        </w:rPr>
                        <w:t>。</w:t>
                      </w:r>
                    </w:p>
                    <w:p w14:paraId="4537DA1D" w14:textId="2E8A0A2B" w:rsidR="004A322C" w:rsidRDefault="004A322C">
                      <w:pPr>
                        <w:pStyle w:val="a5"/>
                        <w:numPr>
                          <w:ilvl w:val="0"/>
                          <w:numId w:val="84"/>
                        </w:numPr>
                        <w:spacing w:line="276" w:lineRule="auto"/>
                        <w:rPr>
                          <w:rFonts w:ascii="ＭＳ ゴシック" w:eastAsia="ＭＳ ゴシック" w:hAnsi="ＭＳ ゴシック" w:cs="ＭＳ ゴシック"/>
                          <w:b/>
                          <w:i/>
                          <w:iCs/>
                          <w:color w:val="000000" w:themeColor="text1"/>
                          <w:sz w:val="19"/>
                          <w:szCs w:val="19"/>
                          <w:lang w:eastAsia="ja-JP"/>
                        </w:rPr>
                      </w:pPr>
                      <w:r>
                        <w:rPr>
                          <w:rFonts w:ascii="ＭＳ ゴシック" w:eastAsia="ＭＳ ゴシック" w:hAnsi="ＭＳ ゴシック" w:cs="ＭＳ ゴシック" w:hint="eastAsia"/>
                          <w:b/>
                          <w:i/>
                          <w:iCs/>
                          <w:color w:val="000000" w:themeColor="text1"/>
                          <w:sz w:val="19"/>
                          <w:szCs w:val="19"/>
                          <w:lang w:eastAsia="ja-JP"/>
                        </w:rPr>
                        <w:t>遅延排出量の加重係数</w:t>
                      </w:r>
                    </w:p>
                    <w:p w14:paraId="7E2D6B17" w14:textId="28E38578" w:rsidR="004A322C" w:rsidRDefault="004A322C">
                      <w:pPr>
                        <w:pStyle w:val="a5"/>
                        <w:numPr>
                          <w:ilvl w:val="0"/>
                          <w:numId w:val="84"/>
                        </w:numPr>
                        <w:spacing w:line="276" w:lineRule="auto"/>
                        <w:rPr>
                          <w:rFonts w:ascii="ＭＳ ゴシック" w:eastAsia="ＭＳ ゴシック" w:hAnsi="ＭＳ ゴシック" w:cs="ＭＳ ゴシック"/>
                          <w:b/>
                          <w:i/>
                          <w:iCs/>
                          <w:color w:val="000000" w:themeColor="text1"/>
                          <w:sz w:val="19"/>
                          <w:szCs w:val="19"/>
                          <w:lang w:eastAsia="ja-JP"/>
                        </w:rPr>
                      </w:pPr>
                      <w:r>
                        <w:rPr>
                          <w:rFonts w:ascii="ＭＳ ゴシック" w:eastAsia="ＭＳ ゴシック" w:hAnsi="ＭＳ ゴシック" w:cs="ＭＳ ゴシック" w:hint="eastAsia"/>
                          <w:b/>
                          <w:i/>
                          <w:iCs/>
                          <w:color w:val="000000" w:themeColor="text1"/>
                          <w:sz w:val="19"/>
                          <w:szCs w:val="19"/>
                          <w:lang w:eastAsia="ja-JP"/>
                        </w:rPr>
                        <w:t>オフセット</w:t>
                      </w:r>
                    </w:p>
                    <w:p w14:paraId="3B840C82" w14:textId="00B4D7E3" w:rsidR="004A322C" w:rsidRPr="004A2497" w:rsidRDefault="004A322C">
                      <w:pPr>
                        <w:pStyle w:val="a5"/>
                        <w:numPr>
                          <w:ilvl w:val="0"/>
                          <w:numId w:val="84"/>
                        </w:numPr>
                        <w:spacing w:line="276" w:lineRule="auto"/>
                        <w:rPr>
                          <w:rFonts w:ascii="ＭＳ ゴシック" w:eastAsia="ＭＳ ゴシック" w:hAnsi="ＭＳ ゴシック" w:cs="ＭＳ ゴシック"/>
                          <w:b/>
                          <w:i/>
                          <w:iCs/>
                          <w:color w:val="000000" w:themeColor="text1"/>
                          <w:sz w:val="19"/>
                          <w:szCs w:val="19"/>
                          <w:lang w:eastAsia="ja-JP"/>
                        </w:rPr>
                      </w:pPr>
                      <w:r>
                        <w:rPr>
                          <w:rFonts w:ascii="ＭＳ ゴシック" w:eastAsia="ＭＳ ゴシック" w:hAnsi="ＭＳ ゴシック" w:cs="ＭＳ ゴシック" w:hint="eastAsia"/>
                          <w:b/>
                          <w:i/>
                          <w:iCs/>
                          <w:color w:val="000000" w:themeColor="text1"/>
                          <w:sz w:val="19"/>
                          <w:szCs w:val="19"/>
                          <w:lang w:eastAsia="ja-JP"/>
                        </w:rPr>
                        <w:t>回避排出量</w:t>
                      </w:r>
                    </w:p>
                  </w:txbxContent>
                </v:textbox>
                <w10:wrap type="topAndBottom"/>
              </v:roundrect>
            </w:pict>
          </mc:Fallback>
        </mc:AlternateContent>
      </w:r>
    </w:p>
    <w:p w14:paraId="27D1C581" w14:textId="10257EDF" w:rsidR="0055291C" w:rsidRPr="000A74F6" w:rsidRDefault="0055291C" w:rsidP="000A74F6">
      <w:pPr>
        <w:pStyle w:val="a3"/>
        <w:rPr>
          <w:sz w:val="20"/>
        </w:rPr>
      </w:pPr>
    </w:p>
    <w:p w14:paraId="1226864E" w14:textId="77777777" w:rsidR="0055291C" w:rsidRDefault="000A74F6" w:rsidP="000A74F6">
      <w:pPr>
        <w:pStyle w:val="a3"/>
        <w:spacing w:before="102" w:line="312" w:lineRule="auto"/>
        <w:ind w:left="709" w:right="834" w:firstLineChars="100" w:firstLine="190"/>
        <w:rPr>
          <w:lang w:eastAsia="ja-JP"/>
        </w:rPr>
      </w:pPr>
      <w:r>
        <w:rPr>
          <w:rFonts w:ascii="ＭＳ ゴシック" w:eastAsia="ＭＳ ゴシック" w:hAnsi="ＭＳ ゴシック" w:cs="ＭＳ ゴシック" w:hint="eastAsia"/>
          <w:color w:val="545456"/>
          <w:lang w:eastAsia="ja-JP"/>
        </w:rPr>
        <w:t>排出</w:t>
      </w:r>
      <w:r w:rsidRPr="000A74F6">
        <w:rPr>
          <w:rFonts w:ascii="ＭＳ ゴシック" w:eastAsia="ＭＳ ゴシック" w:hAnsi="ＭＳ ゴシック" w:cs="ＭＳ ゴシック" w:hint="eastAsia"/>
          <w:color w:val="545456"/>
          <w:lang w:eastAsia="ja-JP"/>
        </w:rPr>
        <w:t>結果のこれらの構成要素を別々に計算し報告することで、製品のライフサイクルに透明性を持たせ、どのような種類の排出と削減が</w:t>
      </w:r>
      <w:r>
        <w:rPr>
          <w:rFonts w:ascii="ＭＳ ゴシック" w:eastAsia="ＭＳ ゴシック" w:hAnsi="ＭＳ ゴシック" w:cs="ＭＳ ゴシック" w:hint="eastAsia"/>
          <w:color w:val="545456"/>
          <w:lang w:eastAsia="ja-JP"/>
        </w:rPr>
        <w:t>排出量に関わって</w:t>
      </w:r>
      <w:r w:rsidRPr="000A74F6">
        <w:rPr>
          <w:rFonts w:ascii="ＭＳ ゴシック" w:eastAsia="ＭＳ ゴシック" w:hAnsi="ＭＳ ゴシック" w:cs="ＭＳ ゴシック" w:hint="eastAsia"/>
          <w:color w:val="545456"/>
          <w:lang w:eastAsia="ja-JP"/>
        </w:rPr>
        <w:t>いるか、ライフサイクルのどこで発生しているかを、企業やその利害関係者がより良く理解できるようにしています。</w:t>
      </w:r>
      <w:r w:rsidR="00F23C61">
        <w:rPr>
          <w:lang w:eastAsia="ja-JP"/>
        </w:rPr>
        <w:br w:type="column"/>
      </w:r>
    </w:p>
    <w:p w14:paraId="3D5A2510" w14:textId="167F2ACF" w:rsidR="000A74F6" w:rsidRDefault="000A74F6" w:rsidP="000A74F6">
      <w:pPr>
        <w:pStyle w:val="a3"/>
        <w:spacing w:before="102" w:line="312" w:lineRule="auto"/>
        <w:ind w:left="709" w:right="834" w:firstLineChars="100" w:firstLine="190"/>
        <w:rPr>
          <w:lang w:eastAsia="ja-JP"/>
        </w:rPr>
      </w:pPr>
    </w:p>
    <w:p w14:paraId="4D2F827E" w14:textId="45C858E7" w:rsidR="000A74F6" w:rsidRDefault="000A74F6" w:rsidP="000A74F6">
      <w:pPr>
        <w:pStyle w:val="a3"/>
        <w:spacing w:before="102" w:line="312" w:lineRule="auto"/>
        <w:ind w:right="834"/>
        <w:rPr>
          <w:rFonts w:eastAsiaTheme="minorEastAsia"/>
          <w:lang w:eastAsia="ja-JP"/>
        </w:rPr>
      </w:pPr>
    </w:p>
    <w:p w14:paraId="32076B90" w14:textId="77777777" w:rsidR="001A220A" w:rsidRDefault="001A220A" w:rsidP="000A74F6">
      <w:pPr>
        <w:pStyle w:val="a3"/>
        <w:spacing w:before="102" w:line="312" w:lineRule="auto"/>
        <w:ind w:right="834"/>
        <w:rPr>
          <w:rFonts w:eastAsiaTheme="minorEastAsia"/>
          <w:lang w:eastAsia="ja-JP"/>
        </w:rPr>
      </w:pPr>
    </w:p>
    <w:p w14:paraId="5122D870" w14:textId="43ECE76D" w:rsidR="004A322C" w:rsidRPr="000A74F6" w:rsidRDefault="004A322C" w:rsidP="000A74F6">
      <w:pPr>
        <w:pStyle w:val="a3"/>
        <w:spacing w:before="102" w:line="312" w:lineRule="auto"/>
        <w:ind w:right="834"/>
        <w:rPr>
          <w:rFonts w:eastAsiaTheme="minorEastAsia"/>
          <w:lang w:eastAsia="ja-JP"/>
        </w:rPr>
        <w:sectPr w:rsidR="004A322C" w:rsidRPr="000A74F6">
          <w:headerReference w:type="even" r:id="rId272"/>
          <w:type w:val="continuous"/>
          <w:pgSz w:w="12240" w:h="15840"/>
          <w:pgMar w:top="740" w:right="0" w:bottom="280" w:left="0" w:header="0" w:footer="859" w:gutter="0"/>
          <w:cols w:num="2" w:space="720" w:equalWidth="0">
            <w:col w:w="5978" w:space="40"/>
            <w:col w:w="6222"/>
          </w:cols>
        </w:sectPr>
      </w:pPr>
      <w:r>
        <w:rPr>
          <w:rFonts w:ascii="ＭＳ ゴシック" w:eastAsia="ＭＳ ゴシック" w:hAnsi="ＭＳ ゴシック" w:cs="ＭＳ ゴシック" w:hint="eastAsia"/>
          <w:lang w:eastAsia="ja-JP"/>
        </w:rPr>
        <w:t>ライフサイクルにおいて、特に使用期間と廃品回収までの期間が長い製品では、排出は異なる時点で発生し、大気中に異なる影響を与える可能性があります。いくつかの方法論は、時間の経過に伴って遅れる排出量を考慮するために加重係数を適用し</w:t>
      </w:r>
      <w:r>
        <w:rPr>
          <w:lang w:eastAsia="ja-JP"/>
        </w:rPr>
        <w:t xml:space="preserve"> </w:t>
      </w:r>
      <w:r>
        <w:rPr>
          <w:rFonts w:ascii="ＭＳ ゴシック" w:eastAsia="ＭＳ ゴシック" w:hAnsi="ＭＳ ゴシック" w:cs="ＭＳ ゴシック" w:hint="eastAsia"/>
          <w:lang w:eastAsia="ja-JP"/>
        </w:rPr>
        <w:t>て、ライフサイクルの算出結果にこれを取り込もうとしています（または排出量割引）</w:t>
      </w:r>
      <w:r w:rsidR="001A220A">
        <w:rPr>
          <w:rFonts w:ascii="ＭＳ ゴシック" w:eastAsia="ＭＳ ゴシック" w:hAnsi="ＭＳ ゴシック" w:cs="ＭＳ ゴシック" w:hint="eastAsia"/>
          <w:lang w:eastAsia="ja-JP"/>
        </w:rPr>
        <w:t>。本基準では、算出結果は、加重係数</w:t>
      </w:r>
    </w:p>
    <w:p w14:paraId="40D61F3F" w14:textId="77777777" w:rsidR="0055291C" w:rsidRDefault="0055291C">
      <w:pPr>
        <w:pStyle w:val="a3"/>
        <w:rPr>
          <w:sz w:val="20"/>
          <w:lang w:eastAsia="ja-JP"/>
        </w:rPr>
      </w:pPr>
    </w:p>
    <w:p w14:paraId="71799691" w14:textId="77777777" w:rsidR="0055291C" w:rsidRDefault="0055291C">
      <w:pPr>
        <w:pStyle w:val="a3"/>
        <w:rPr>
          <w:sz w:val="20"/>
          <w:lang w:eastAsia="ja-JP"/>
        </w:rPr>
      </w:pPr>
    </w:p>
    <w:p w14:paraId="60921AFB" w14:textId="77777777" w:rsidR="0055291C" w:rsidRDefault="0055291C">
      <w:pPr>
        <w:pStyle w:val="a3"/>
        <w:rPr>
          <w:sz w:val="20"/>
          <w:lang w:eastAsia="ja-JP"/>
        </w:rPr>
      </w:pPr>
    </w:p>
    <w:p w14:paraId="6021F502" w14:textId="77777777" w:rsidR="0055291C" w:rsidRDefault="0055291C">
      <w:pPr>
        <w:pStyle w:val="a3"/>
        <w:spacing w:before="4"/>
        <w:rPr>
          <w:sz w:val="24"/>
          <w:lang w:eastAsia="ja-JP"/>
        </w:rPr>
      </w:pPr>
    </w:p>
    <w:p w14:paraId="11C1482A" w14:textId="77777777" w:rsidR="0055291C" w:rsidRDefault="00000000">
      <w:pPr>
        <w:spacing w:before="1"/>
        <w:ind w:left="7341"/>
        <w:rPr>
          <w:rFonts w:ascii="Arial"/>
          <w:i/>
          <w:sz w:val="19"/>
          <w:lang w:eastAsia="ja-JP"/>
        </w:rPr>
      </w:pPr>
      <w:r>
        <w:pict w14:anchorId="13E78DA6">
          <v:shape id="docshape1338" o:spid="_x0000_s2503" style="position:absolute;left:0;text-align:left;margin-left:580.75pt;margin-top:-47.75pt;width:31.3pt;height:285.85pt;z-index:251632128;mso-position-horizontal-relative:page" coordorigin="11615,-955" coordsize="626,5717" path="m12240,-955r-625,l11615,4535r3,131l11643,4733r67,25l11842,4761r398,l12240,-955xe" fillcolor="#7f3f98" stroked="f">
            <v:path arrowok="t"/>
            <w10:wrap anchorx="page"/>
          </v:shape>
        </w:pict>
      </w:r>
      <w:r w:rsidR="00F23C61">
        <w:rPr>
          <w:rFonts w:ascii="Arial"/>
          <w:b/>
          <w:i/>
          <w:color w:val="7F3F98"/>
          <w:sz w:val="19"/>
          <w:lang w:eastAsia="ja-JP"/>
        </w:rPr>
        <w:t>CHAPTER</w:t>
      </w:r>
      <w:r w:rsidR="00F23C61">
        <w:rPr>
          <w:rFonts w:ascii="Arial"/>
          <w:b/>
          <w:i/>
          <w:color w:val="7F3F98"/>
          <w:spacing w:val="11"/>
          <w:sz w:val="19"/>
          <w:lang w:eastAsia="ja-JP"/>
        </w:rPr>
        <w:t xml:space="preserve"> </w:t>
      </w:r>
      <w:r w:rsidR="00F23C61">
        <w:rPr>
          <w:rFonts w:ascii="Arial"/>
          <w:b/>
          <w:i/>
          <w:color w:val="7F3F98"/>
          <w:sz w:val="19"/>
          <w:lang w:eastAsia="ja-JP"/>
        </w:rPr>
        <w:t>11</w:t>
      </w:r>
      <w:r w:rsidR="00F23C61">
        <w:rPr>
          <w:rFonts w:ascii="Arial"/>
          <w:b/>
          <w:i/>
          <w:color w:val="7F3F98"/>
          <w:spacing w:val="11"/>
          <w:sz w:val="19"/>
          <w:lang w:eastAsia="ja-JP"/>
        </w:rPr>
        <w:t xml:space="preserve"> </w:t>
      </w:r>
      <w:r w:rsidR="00F23C61">
        <w:rPr>
          <w:rFonts w:ascii="Arial"/>
          <w:i/>
          <w:color w:val="545456"/>
          <w:sz w:val="19"/>
          <w:lang w:eastAsia="ja-JP"/>
        </w:rPr>
        <w:t>Calculating</w:t>
      </w:r>
      <w:r w:rsidR="00F23C61">
        <w:rPr>
          <w:rFonts w:ascii="Arial"/>
          <w:i/>
          <w:color w:val="545456"/>
          <w:spacing w:val="10"/>
          <w:sz w:val="19"/>
          <w:lang w:eastAsia="ja-JP"/>
        </w:rPr>
        <w:t xml:space="preserve"> </w:t>
      </w:r>
      <w:r w:rsidR="00F23C61">
        <w:rPr>
          <w:rFonts w:ascii="Arial"/>
          <w:i/>
          <w:color w:val="545456"/>
          <w:sz w:val="19"/>
          <w:lang w:eastAsia="ja-JP"/>
        </w:rPr>
        <w:t>Inventory</w:t>
      </w:r>
      <w:r w:rsidR="00F23C61">
        <w:rPr>
          <w:rFonts w:ascii="Arial"/>
          <w:i/>
          <w:color w:val="545456"/>
          <w:spacing w:val="9"/>
          <w:sz w:val="19"/>
          <w:lang w:eastAsia="ja-JP"/>
        </w:rPr>
        <w:t xml:space="preserve"> </w:t>
      </w:r>
      <w:r w:rsidR="00F23C61">
        <w:rPr>
          <w:rFonts w:ascii="Arial"/>
          <w:i/>
          <w:color w:val="545456"/>
          <w:sz w:val="19"/>
          <w:lang w:eastAsia="ja-JP"/>
        </w:rPr>
        <w:t>Results</w:t>
      </w:r>
    </w:p>
    <w:p w14:paraId="3EFA1F17" w14:textId="77777777" w:rsidR="0055291C" w:rsidRDefault="0055291C">
      <w:pPr>
        <w:pStyle w:val="a3"/>
        <w:rPr>
          <w:rFonts w:ascii="Arial"/>
          <w:i/>
          <w:sz w:val="20"/>
          <w:lang w:eastAsia="ja-JP"/>
        </w:rPr>
      </w:pPr>
    </w:p>
    <w:p w14:paraId="1C87992A" w14:textId="77777777" w:rsidR="0055291C" w:rsidRDefault="0055291C">
      <w:pPr>
        <w:pStyle w:val="a3"/>
        <w:spacing w:before="5"/>
        <w:rPr>
          <w:rFonts w:ascii="Arial"/>
          <w:i/>
          <w:sz w:val="25"/>
          <w:lang w:eastAsia="ja-JP"/>
        </w:rPr>
      </w:pPr>
    </w:p>
    <w:p w14:paraId="190B91A3" w14:textId="77777777" w:rsidR="0055291C" w:rsidRDefault="0055291C">
      <w:pPr>
        <w:rPr>
          <w:rFonts w:ascii="Arial"/>
          <w:sz w:val="25"/>
          <w:lang w:eastAsia="ja-JP"/>
        </w:rPr>
        <w:sectPr w:rsidR="0055291C">
          <w:headerReference w:type="default" r:id="rId273"/>
          <w:footerReference w:type="even" r:id="rId274"/>
          <w:footerReference w:type="default" r:id="rId275"/>
          <w:pgSz w:w="12240" w:h="15840"/>
          <w:pgMar w:top="0" w:right="0" w:bottom="1040" w:left="0" w:header="0" w:footer="859" w:gutter="0"/>
          <w:pgNumType w:start="87"/>
          <w:cols w:space="720"/>
        </w:sectPr>
      </w:pPr>
    </w:p>
    <w:p w14:paraId="618DC28B" w14:textId="41C0502A" w:rsidR="0055291C" w:rsidRDefault="001A220A" w:rsidP="001B612E">
      <w:pPr>
        <w:pStyle w:val="a3"/>
        <w:spacing w:before="2" w:line="312" w:lineRule="auto"/>
        <w:ind w:left="709" w:right="708"/>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を用いて計算してはいけません。これは、</w:t>
      </w:r>
      <w:r>
        <w:rPr>
          <w:lang w:eastAsia="ja-JP"/>
        </w:rPr>
        <w:t xml:space="preserve"> </w:t>
      </w:r>
      <w:r>
        <w:rPr>
          <w:rFonts w:ascii="ＭＳ ゴシック" w:eastAsia="ＭＳ ゴシック" w:hAnsi="ＭＳ ゴシック" w:cs="ＭＳ ゴシック" w:hint="eastAsia"/>
          <w:lang w:eastAsia="ja-JP"/>
        </w:rPr>
        <w:t>生物起源と非生物起源の排出量、除去量、</w:t>
      </w:r>
      <w:r>
        <w:rPr>
          <w:lang w:eastAsia="ja-JP"/>
        </w:rPr>
        <w:t xml:space="preserve"> </w:t>
      </w:r>
      <w:r>
        <w:rPr>
          <w:rFonts w:ascii="ＭＳ ゴシック" w:eastAsia="ＭＳ ゴシック" w:hAnsi="ＭＳ ゴシック" w:cs="ＭＳ ゴシック" w:hint="eastAsia"/>
          <w:lang w:eastAsia="ja-JP"/>
        </w:rPr>
        <w:t>製品について当てはまります。企業は、遅延した排出と除去の影響を算出結果とは別に示すことができます。</w:t>
      </w:r>
      <w:r>
        <w:rPr>
          <w:lang w:eastAsia="ja-JP"/>
        </w:rPr>
        <w:t xml:space="preserve"> </w:t>
      </w:r>
      <w:r>
        <w:rPr>
          <w:rFonts w:ascii="ＭＳ ゴシック" w:eastAsia="ＭＳ ゴシック" w:hAnsi="ＭＳ ゴシック" w:cs="ＭＳ ゴシック" w:hint="eastAsia"/>
          <w:lang w:eastAsia="ja-JP"/>
        </w:rPr>
        <w:t>使用済み製品段階での排出・除去の遅れの影響を計算するために加重係数を適用する場合、副産物やリサイクル材の使用済み製品への割り当てにも同じ係数を適用する必要がある点に留意することが重要です。</w:t>
      </w:r>
    </w:p>
    <w:p w14:paraId="09D04177" w14:textId="77777777" w:rsidR="002E1274" w:rsidRDefault="002E1274" w:rsidP="001B612E">
      <w:pPr>
        <w:pStyle w:val="a3"/>
        <w:spacing w:before="2" w:line="312" w:lineRule="auto"/>
        <w:ind w:left="709" w:right="708"/>
        <w:rPr>
          <w:lang w:eastAsia="ja-JP"/>
        </w:rPr>
      </w:pPr>
    </w:p>
    <w:p w14:paraId="7723E0B8" w14:textId="69034814" w:rsidR="0055291C" w:rsidRDefault="002E1274" w:rsidP="001B612E">
      <w:pPr>
        <w:pStyle w:val="a3"/>
        <w:spacing w:before="4" w:line="312" w:lineRule="auto"/>
        <w:ind w:left="709" w:right="708" w:firstLineChars="100" w:firstLine="190"/>
        <w:rPr>
          <w:lang w:eastAsia="ja-JP"/>
        </w:rPr>
      </w:pPr>
      <w:r>
        <w:rPr>
          <w:rFonts w:ascii="ＭＳ ゴシック" w:eastAsia="ＭＳ ゴシック" w:hAnsi="ＭＳ ゴシック" w:cs="ＭＳ ゴシック" w:hint="eastAsia"/>
          <w:lang w:eastAsia="ja-JP"/>
        </w:rPr>
        <w:t>オフセットと回避排出量は、いずれも製品のライフサイクルの境界外で発生する行動として分類されます。オフセットとは、調査対象製品の算出結果を相殺するために企業が購入する排出権（排出権取引や排出削減プロジェクト</w:t>
      </w:r>
      <w:r w:rsidRPr="002E1274">
        <w:rPr>
          <w:vertAlign w:val="superscript"/>
          <w:lang w:eastAsia="ja-JP"/>
        </w:rPr>
        <w:t>1</w:t>
      </w:r>
      <w:r>
        <w:rPr>
          <w:rFonts w:ascii="ＭＳ ゴシック" w:eastAsia="ＭＳ ゴシック" w:hAnsi="ＭＳ ゴシック" w:cs="ＭＳ ゴシック" w:hint="eastAsia"/>
          <w:lang w:eastAsia="ja-JP"/>
        </w:rPr>
        <w:t>への資金提供の形で）のことです。回避排出量は、調査対象製品あるいは調査対象製品のライフサイクルの中で発生するプロセスによって間接的に引き起こされる排出削減量として定量化されます。なお</w:t>
      </w:r>
      <w:r>
        <w:rPr>
          <w:lang w:eastAsia="ja-JP"/>
        </w:rPr>
        <w:t xml:space="preserve"> </w:t>
      </w:r>
      <w:r>
        <w:rPr>
          <w:rFonts w:ascii="ＭＳ ゴシック" w:eastAsia="ＭＳ ゴシック" w:hAnsi="ＭＳ ゴシック" w:cs="ＭＳ ゴシック" w:hint="eastAsia"/>
          <w:lang w:eastAsia="ja-JP"/>
        </w:rPr>
        <w:t>、ここでいう回避排出量は、直接起因する削減プロジェクトにより発生した、</w:t>
      </w:r>
      <w:r>
        <w:rPr>
          <w:lang w:eastAsia="ja-JP"/>
        </w:rPr>
        <w:t xml:space="preserve"> </w:t>
      </w:r>
      <w:r>
        <w:rPr>
          <w:rFonts w:ascii="ＭＳ ゴシック" w:eastAsia="ＭＳ ゴシック" w:hAnsi="ＭＳ ゴシック" w:cs="ＭＳ ゴシック" w:hint="eastAsia"/>
          <w:lang w:eastAsia="ja-JP"/>
        </w:rPr>
        <w:t>またはシステム拡張配分法を用いて配分された排出削減量と同じ意味ではありません。</w:t>
      </w:r>
      <w:r>
        <w:rPr>
          <w:lang w:eastAsia="ja-JP"/>
        </w:rPr>
        <w:t xml:space="preserve"> </w:t>
      </w:r>
      <w:r>
        <w:rPr>
          <w:rFonts w:ascii="ＭＳ ゴシック" w:eastAsia="ＭＳ ゴシック" w:hAnsi="ＭＳ ゴシック" w:cs="ＭＳ ゴシック" w:hint="eastAsia"/>
          <w:lang w:eastAsia="ja-JP"/>
        </w:rPr>
        <w:t>購入したオフセットや回避された排出量は、製品から差し引</w:t>
      </w:r>
      <w:r w:rsidR="00757632">
        <w:rPr>
          <w:rFonts w:ascii="ＭＳ ゴシック" w:eastAsia="ＭＳ ゴシック" w:hAnsi="ＭＳ ゴシック" w:cs="ＭＳ ゴシック" w:hint="eastAsia"/>
          <w:lang w:eastAsia="ja-JP"/>
        </w:rPr>
        <w:t>いてはいけませんが</w:t>
      </w:r>
      <w:r>
        <w:rPr>
          <w:rFonts w:ascii="ＭＳ ゴシック" w:eastAsia="ＭＳ ゴシック" w:hAnsi="ＭＳ ゴシック" w:cs="ＭＳ ゴシック" w:hint="eastAsia"/>
          <w:lang w:eastAsia="ja-JP"/>
        </w:rPr>
        <w:t>、個別に</w:t>
      </w:r>
      <w:r w:rsidR="00757632">
        <w:rPr>
          <w:rFonts w:ascii="ＭＳ ゴシック" w:eastAsia="ＭＳ ゴシック" w:hAnsi="ＭＳ ゴシック" w:cs="ＭＳ ゴシック" w:hint="eastAsia"/>
          <w:lang w:eastAsia="ja-JP"/>
        </w:rPr>
        <w:t>報告</w:t>
      </w:r>
      <w:r>
        <w:rPr>
          <w:rFonts w:ascii="ＭＳ ゴシック" w:eastAsia="ＭＳ ゴシック" w:hAnsi="ＭＳ ゴシック" w:cs="ＭＳ ゴシック" w:hint="eastAsia"/>
          <w:lang w:eastAsia="ja-JP"/>
        </w:rPr>
        <w:t>することができ</w:t>
      </w:r>
      <w:r w:rsidR="00757632">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。削減目標を達成するためのオフセットの使用に関するガイダンスは、第</w:t>
      </w:r>
      <w:r>
        <w:rPr>
          <w:lang w:eastAsia="ja-JP"/>
        </w:rPr>
        <w:t>14</w:t>
      </w:r>
      <w:r>
        <w:rPr>
          <w:rFonts w:ascii="ＭＳ ゴシック" w:eastAsia="ＭＳ ゴシック" w:hAnsi="ＭＳ ゴシック" w:cs="ＭＳ ゴシック" w:hint="eastAsia"/>
          <w:lang w:eastAsia="ja-JP"/>
        </w:rPr>
        <w:t>章に掲載されて</w:t>
      </w:r>
      <w:r w:rsidR="00757632">
        <w:rPr>
          <w:rFonts w:ascii="ＭＳ ゴシック" w:eastAsia="ＭＳ ゴシック" w:hAnsi="ＭＳ ゴシック" w:cs="ＭＳ ゴシック" w:hint="eastAsia"/>
          <w:lang w:eastAsia="ja-JP"/>
        </w:rPr>
        <w:t>います。</w:t>
      </w:r>
    </w:p>
    <w:p w14:paraId="3670E290" w14:textId="1AAB7792" w:rsidR="0055291C" w:rsidRDefault="00757632" w:rsidP="001B612E">
      <w:pPr>
        <w:pStyle w:val="a3"/>
        <w:spacing w:before="2" w:line="312" w:lineRule="auto"/>
        <w:ind w:left="709" w:right="708"/>
        <w:rPr>
          <w:lang w:eastAsia="ja-JP"/>
        </w:rPr>
      </w:pPr>
      <w:r w:rsidRPr="00757632">
        <w:rPr>
          <w:rFonts w:ascii="ＭＳ ゴシック" w:eastAsia="ＭＳ ゴシック" w:hAnsi="ＭＳ ゴシック" w:cs="ＭＳ ゴシック" w:hint="eastAsia"/>
          <w:b/>
          <w:i/>
          <w:noProof/>
          <w:color w:val="00ACA1"/>
          <w:sz w:val="24"/>
          <w:szCs w:val="22"/>
          <w:lang w:eastAsia="ja-JP"/>
        </w:rPr>
        <mc:AlternateContent>
          <mc:Choice Requires="wps">
            <w:drawing>
              <wp:anchor distT="0" distB="0" distL="114300" distR="114300" simplePos="0" relativeHeight="251504128" behindDoc="1" locked="0" layoutInCell="1" allowOverlap="1" wp14:anchorId="5BE28DAD" wp14:editId="2EDB67E7">
                <wp:simplePos x="0" y="0"/>
                <wp:positionH relativeFrom="column">
                  <wp:posOffset>431800</wp:posOffset>
                </wp:positionH>
                <wp:positionV relativeFrom="paragraph">
                  <wp:posOffset>61595</wp:posOffset>
                </wp:positionV>
                <wp:extent cx="3060700" cy="1460500"/>
                <wp:effectExtent l="0" t="0" r="6350" b="6350"/>
                <wp:wrapSquare wrapText="bothSides"/>
                <wp:docPr id="112" name="四角形: 角を丸くする 112"/>
                <wp:cNvGraphicFramePr/>
                <a:graphic xmlns:a="http://schemas.openxmlformats.org/drawingml/2006/main">
                  <a:graphicData uri="http://schemas.microsoft.com/office/word/2010/wordprocessingShape">
                    <wps:wsp>
                      <wps:cNvSpPr/>
                      <wps:spPr>
                        <a:xfrm>
                          <a:off x="0" y="0"/>
                          <a:ext cx="3060700" cy="1460500"/>
                        </a:xfrm>
                        <a:prstGeom prst="roundRect">
                          <a:avLst>
                            <a:gd name="adj" fmla="val 5063"/>
                          </a:avLst>
                        </a:prstGeom>
                        <a:solidFill>
                          <a:srgbClr val="70029C">
                            <a:alpha val="25098"/>
                          </a:srgbClr>
                        </a:solidFill>
                        <a:ln w="25400" cap="flat" cmpd="sng" algn="ctr">
                          <a:noFill/>
                          <a:prstDash val="solid"/>
                        </a:ln>
                        <a:effectLst/>
                      </wps:spPr>
                      <wps:txbx>
                        <w:txbxContent>
                          <w:p w14:paraId="3C8027BF" w14:textId="77777777" w:rsidR="00757632" w:rsidRPr="00757632" w:rsidRDefault="00757632" w:rsidP="00757632">
                            <w:pPr>
                              <w:spacing w:line="276" w:lineRule="auto"/>
                              <w:rPr>
                                <w:rFonts w:ascii="ＭＳ ゴシック" w:eastAsia="ＭＳ ゴシック" w:hAnsi="ＭＳ ゴシック" w:cs="ＭＳ ゴシック"/>
                                <w:b/>
                                <w:i/>
                                <w:iCs/>
                                <w:color w:val="000000" w:themeColor="text1"/>
                                <w:sz w:val="19"/>
                                <w:szCs w:val="19"/>
                                <w:lang w:eastAsia="ja-JP"/>
                              </w:rPr>
                            </w:pPr>
                            <w:r w:rsidRPr="00757632">
                              <w:rPr>
                                <w:rFonts w:ascii="ＭＳ ゴシック" w:eastAsia="ＭＳ ゴシック" w:hAnsi="ＭＳ ゴシック" w:cs="ＭＳ ゴシック" w:hint="eastAsia"/>
                                <w:b/>
                                <w:i/>
                                <w:iCs/>
                                <w:color w:val="000000" w:themeColor="text1"/>
                                <w:sz w:val="19"/>
                                <w:szCs w:val="19"/>
                                <w:lang w:eastAsia="ja-JP"/>
                              </w:rPr>
                              <w:t>該当する場合、企業は、製品またはその構成部品に含まれる炭素のうち、廃棄物処理中に大気中に放出されなかった量を報告しなければならない。</w:t>
                            </w:r>
                          </w:p>
                          <w:p w14:paraId="0F1D6A3D" w14:textId="1B81B204" w:rsidR="00757632" w:rsidRPr="00757632" w:rsidRDefault="00757632" w:rsidP="00757632">
                            <w:pPr>
                              <w:spacing w:line="276" w:lineRule="auto"/>
                              <w:rPr>
                                <w:rFonts w:ascii="ＭＳ ゴシック" w:eastAsia="ＭＳ ゴシック" w:hAnsi="ＭＳ ゴシック" w:cs="ＭＳ ゴシック"/>
                                <w:b/>
                                <w:i/>
                                <w:iCs/>
                                <w:color w:val="000000" w:themeColor="text1"/>
                                <w:sz w:val="19"/>
                                <w:szCs w:val="19"/>
                                <w:lang w:eastAsia="ja-JP"/>
                              </w:rPr>
                            </w:pPr>
                            <w:r w:rsidRPr="00757632">
                              <w:rPr>
                                <w:rFonts w:ascii="ＭＳ ゴシック" w:eastAsia="ＭＳ ゴシック" w:hAnsi="ＭＳ ゴシック" w:cs="ＭＳ ゴシック" w:hint="eastAsia"/>
                                <w:b/>
                                <w:i/>
                                <w:iCs/>
                                <w:color w:val="000000" w:themeColor="text1"/>
                                <w:sz w:val="19"/>
                                <w:szCs w:val="19"/>
                                <w:lang w:eastAsia="ja-JP"/>
                              </w:rPr>
                              <w:t>ゆりかごからゲートまでの排出量算出では、企業は、中間製品に含まれる炭素の量を報告しなければならない。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E28DAD" id="四角形: 角を丸くする 112" o:spid="_x0000_s1136" style="position:absolute;left:0;text-align:left;margin-left:34pt;margin-top:4.85pt;width:241pt;height:11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3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" fillcolor="#70029c" stroked="f" strokeweight="2pt">
                <v:fill opacity="16448f"/>
                <v:textbox>
                  <w:txbxContent>
                    <w:p w14:paraId="3C8027BF" w14:textId="77777777" w:rsidR="00757632" w:rsidRPr="00757632" w:rsidRDefault="00757632" w:rsidP="00757632">
                      <w:pPr>
                        <w:spacing w:line="276" w:lineRule="auto"/>
                        <w:rPr>
                          <w:rFonts w:ascii="ＭＳ ゴシック" w:eastAsia="ＭＳ ゴシック" w:hAnsi="ＭＳ ゴシック" w:cs="ＭＳ ゴシック"/>
                          <w:b/>
                          <w:i/>
                          <w:iCs/>
                          <w:color w:val="000000" w:themeColor="text1"/>
                          <w:sz w:val="19"/>
                          <w:szCs w:val="19"/>
                          <w:lang w:eastAsia="ja-JP"/>
                        </w:rPr>
                      </w:pPr>
                      <w:r w:rsidRPr="00757632">
                        <w:rPr>
                          <w:rFonts w:ascii="ＭＳ ゴシック" w:eastAsia="ＭＳ ゴシック" w:hAnsi="ＭＳ ゴシック" w:cs="ＭＳ ゴシック" w:hint="eastAsia"/>
                          <w:b/>
                          <w:i/>
                          <w:iCs/>
                          <w:color w:val="000000" w:themeColor="text1"/>
                          <w:sz w:val="19"/>
                          <w:szCs w:val="19"/>
                          <w:lang w:eastAsia="ja-JP"/>
                        </w:rPr>
                        <w:t>該当する場合、企業は、製品またはその構成部品に含まれる炭素のうち、廃棄物処理中に大気中に放出されなかった量を報告しなければならない。</w:t>
                      </w:r>
                    </w:p>
                    <w:p w14:paraId="0F1D6A3D" w14:textId="1B81B204" w:rsidR="00757632" w:rsidRPr="00757632" w:rsidRDefault="00757632" w:rsidP="00757632">
                      <w:pPr>
                        <w:spacing w:line="276" w:lineRule="auto"/>
                        <w:rPr>
                          <w:rFonts w:ascii="ＭＳ ゴシック" w:eastAsia="ＭＳ ゴシック" w:hAnsi="ＭＳ ゴシック" w:cs="ＭＳ ゴシック"/>
                          <w:b/>
                          <w:i/>
                          <w:iCs/>
                          <w:color w:val="000000" w:themeColor="text1"/>
                          <w:sz w:val="19"/>
                          <w:szCs w:val="19"/>
                          <w:lang w:eastAsia="ja-JP"/>
                        </w:rPr>
                      </w:pPr>
                      <w:r w:rsidRPr="00757632">
                        <w:rPr>
                          <w:rFonts w:ascii="ＭＳ ゴシック" w:eastAsia="ＭＳ ゴシック" w:hAnsi="ＭＳ ゴシック" w:cs="ＭＳ ゴシック" w:hint="eastAsia"/>
                          <w:b/>
                          <w:i/>
                          <w:iCs/>
                          <w:color w:val="000000" w:themeColor="text1"/>
                          <w:sz w:val="19"/>
                          <w:szCs w:val="19"/>
                          <w:lang w:eastAsia="ja-JP"/>
                        </w:rPr>
                        <w:t>ゆりかごからゲートまでの排出量算出では、企業は、中間製品に含まれる炭素の量を報告しなければならない。</w:t>
                      </w:r>
                    </w:p>
                  </w:txbxContent>
                </v:textbox>
                <w10:wrap type="square"/>
              </v:roundrect>
            </w:pict>
          </mc:Fallback>
        </mc:AlternateContent>
      </w:r>
    </w:p>
    <w:p w14:paraId="23B0818F" w14:textId="62F63711" w:rsidR="0055291C" w:rsidRDefault="0055291C" w:rsidP="001B612E">
      <w:pPr>
        <w:pStyle w:val="a3"/>
        <w:ind w:left="709" w:right="708"/>
        <w:rPr>
          <w:sz w:val="20"/>
          <w:lang w:eastAsia="ja-JP"/>
        </w:rPr>
      </w:pPr>
    </w:p>
    <w:p w14:paraId="45671D38" w14:textId="1BD3898F" w:rsidR="0055291C" w:rsidRDefault="0055291C" w:rsidP="001B612E">
      <w:pPr>
        <w:pStyle w:val="a3"/>
        <w:ind w:left="709" w:right="708"/>
        <w:rPr>
          <w:sz w:val="20"/>
          <w:lang w:eastAsia="ja-JP"/>
        </w:rPr>
      </w:pPr>
    </w:p>
    <w:p w14:paraId="1FD8D81E" w14:textId="77777777" w:rsidR="0055291C" w:rsidRDefault="0055291C" w:rsidP="001B612E">
      <w:pPr>
        <w:pStyle w:val="a3"/>
        <w:ind w:left="709" w:right="708"/>
        <w:rPr>
          <w:sz w:val="20"/>
          <w:lang w:eastAsia="ja-JP"/>
        </w:rPr>
      </w:pPr>
    </w:p>
    <w:p w14:paraId="5CE7CA84" w14:textId="77777777" w:rsidR="0055291C" w:rsidRDefault="0055291C" w:rsidP="001B612E">
      <w:pPr>
        <w:pStyle w:val="a3"/>
        <w:ind w:left="709" w:right="708"/>
        <w:rPr>
          <w:sz w:val="20"/>
          <w:lang w:eastAsia="ja-JP"/>
        </w:rPr>
      </w:pPr>
    </w:p>
    <w:p w14:paraId="43511F11" w14:textId="77777777" w:rsidR="0055291C" w:rsidRDefault="0055291C" w:rsidP="001B612E">
      <w:pPr>
        <w:pStyle w:val="a3"/>
        <w:ind w:left="709" w:right="708"/>
        <w:rPr>
          <w:sz w:val="20"/>
          <w:lang w:eastAsia="ja-JP"/>
        </w:rPr>
      </w:pPr>
    </w:p>
    <w:p w14:paraId="1A21A559" w14:textId="77777777" w:rsidR="0055291C" w:rsidRDefault="0055291C" w:rsidP="001B612E">
      <w:pPr>
        <w:pStyle w:val="a3"/>
        <w:ind w:left="709" w:right="708"/>
        <w:rPr>
          <w:sz w:val="20"/>
          <w:lang w:eastAsia="ja-JP"/>
        </w:rPr>
      </w:pPr>
    </w:p>
    <w:p w14:paraId="17D0F677" w14:textId="77777777" w:rsidR="0055291C" w:rsidRDefault="0055291C" w:rsidP="001B612E">
      <w:pPr>
        <w:pStyle w:val="a3"/>
        <w:ind w:left="709" w:right="708"/>
        <w:rPr>
          <w:sz w:val="20"/>
          <w:lang w:eastAsia="ja-JP"/>
        </w:rPr>
      </w:pPr>
    </w:p>
    <w:p w14:paraId="468BF05F" w14:textId="77777777" w:rsidR="0055291C" w:rsidRDefault="0055291C" w:rsidP="001B612E">
      <w:pPr>
        <w:pStyle w:val="a3"/>
        <w:ind w:left="709" w:right="708"/>
        <w:rPr>
          <w:sz w:val="20"/>
          <w:lang w:eastAsia="ja-JP"/>
        </w:rPr>
      </w:pPr>
    </w:p>
    <w:p w14:paraId="01914EBF" w14:textId="77777777" w:rsidR="0055291C" w:rsidRDefault="0055291C" w:rsidP="001B612E">
      <w:pPr>
        <w:pStyle w:val="a3"/>
        <w:ind w:left="709" w:right="708"/>
        <w:rPr>
          <w:sz w:val="20"/>
          <w:lang w:eastAsia="ja-JP"/>
        </w:rPr>
      </w:pPr>
    </w:p>
    <w:p w14:paraId="3E86ADE2" w14:textId="77777777" w:rsidR="0055291C" w:rsidRDefault="0055291C" w:rsidP="001B612E">
      <w:pPr>
        <w:pStyle w:val="a3"/>
        <w:ind w:left="709" w:right="708"/>
        <w:rPr>
          <w:sz w:val="20"/>
          <w:lang w:eastAsia="ja-JP"/>
        </w:rPr>
      </w:pPr>
    </w:p>
    <w:p w14:paraId="028B0D89" w14:textId="77777777" w:rsidR="0055291C" w:rsidRPr="00757632" w:rsidRDefault="0055291C" w:rsidP="001B612E">
      <w:pPr>
        <w:pStyle w:val="a3"/>
        <w:spacing w:before="6"/>
        <w:ind w:left="709" w:right="708"/>
        <w:rPr>
          <w:rFonts w:eastAsiaTheme="minorEastAsia"/>
          <w:sz w:val="27"/>
          <w:lang w:eastAsia="ja-JP"/>
        </w:rPr>
      </w:pPr>
    </w:p>
    <w:p w14:paraId="4082BD1F" w14:textId="0A51B837" w:rsidR="0055291C" w:rsidRDefault="00757632" w:rsidP="001B612E">
      <w:pPr>
        <w:pStyle w:val="a3"/>
        <w:spacing w:before="2" w:line="312" w:lineRule="auto"/>
        <w:ind w:left="709" w:right="708" w:firstLineChars="100" w:firstLine="190"/>
        <w:rPr>
          <w:lang w:eastAsia="ja-JP"/>
        </w:rPr>
      </w:pPr>
      <w:r>
        <w:rPr>
          <w:rFonts w:ascii="ＭＳ ゴシック" w:eastAsia="ＭＳ ゴシック" w:hAnsi="ＭＳ ゴシック" w:cs="ＭＳ ゴシック" w:hint="eastAsia"/>
          <w:lang w:eastAsia="ja-JP"/>
        </w:rPr>
        <w:t>多くの製品は、その化学的構成または組成の一部として炭素を含んでいます。この炭素は、生物起源または非生物起源のものがあり、リサイクルされるか、別の製品サイクルで再利用されるか、または</w:t>
      </w:r>
      <w:r>
        <w:rPr>
          <w:lang w:eastAsia="ja-JP"/>
        </w:rPr>
        <w:t>CO</w:t>
      </w:r>
      <w:r w:rsidRPr="009673B3">
        <w:rPr>
          <w:vertAlign w:val="subscript"/>
          <w:lang w:eastAsia="ja-JP"/>
        </w:rPr>
        <w:t>2</w:t>
      </w:r>
      <w:r>
        <w:rPr>
          <w:rFonts w:ascii="ＭＳ ゴシック" w:eastAsia="ＭＳ ゴシック" w:hAnsi="ＭＳ ゴシック" w:cs="ＭＳ ゴシック" w:hint="eastAsia"/>
          <w:lang w:eastAsia="ja-JP"/>
        </w:rPr>
        <w:t>、</w:t>
      </w:r>
      <w:r>
        <w:rPr>
          <w:lang w:eastAsia="ja-JP"/>
        </w:rPr>
        <w:t>CH</w:t>
      </w:r>
      <w:r w:rsidRPr="009673B3">
        <w:rPr>
          <w:vertAlign w:val="subscript"/>
          <w:lang w:eastAsia="ja-JP"/>
        </w:rPr>
        <w:t>4</w:t>
      </w:r>
      <w:r w:rsidR="009673B3">
        <w:rPr>
          <w:rFonts w:ascii="ＭＳ ゴシック" w:eastAsia="ＭＳ ゴシック" w:hAnsi="ＭＳ ゴシック" w:cs="ＭＳ ゴシック" w:hint="eastAsia"/>
          <w:lang w:eastAsia="ja-JP"/>
        </w:rPr>
        <w:t>として</w:t>
      </w:r>
      <w:r>
        <w:rPr>
          <w:rFonts w:ascii="ＭＳ ゴシック" w:eastAsia="ＭＳ ゴシック" w:hAnsi="ＭＳ ゴシック" w:cs="ＭＳ ゴシック" w:hint="eastAsia"/>
          <w:lang w:eastAsia="ja-JP"/>
        </w:rPr>
        <w:t>製品サイクルの途中で放出され</w:t>
      </w:r>
      <w:r w:rsidR="009673B3">
        <w:rPr>
          <w:rFonts w:ascii="ＭＳ ゴシック" w:eastAsia="ＭＳ ゴシック" w:hAnsi="ＭＳ ゴシック" w:cs="ＭＳ ゴシック" w:hint="eastAsia"/>
          <w:lang w:eastAsia="ja-JP"/>
        </w:rPr>
        <w:t>るか、</w:t>
      </w:r>
      <w:r>
        <w:rPr>
          <w:rFonts w:ascii="ＭＳ ゴシック" w:eastAsia="ＭＳ ゴシック" w:hAnsi="ＭＳ ゴシック" w:cs="ＭＳ ゴシック" w:hint="eastAsia"/>
          <w:lang w:eastAsia="ja-JP"/>
        </w:rPr>
        <w:t>または廃棄物処理の結果（埋め立てや分解を妨げるような処理による</w:t>
      </w:r>
      <w:r w:rsidR="009673B3">
        <w:rPr>
          <w:rFonts w:ascii="ＭＳ ゴシック" w:eastAsia="ＭＳ ゴシック" w:hAnsi="ＭＳ ゴシック" w:cs="ＭＳ ゴシック" w:hint="eastAsia"/>
          <w:lang w:eastAsia="ja-JP"/>
        </w:rPr>
        <w:t>）</w:t>
      </w:r>
      <w:r>
        <w:rPr>
          <w:rFonts w:ascii="ＭＳ ゴシック" w:eastAsia="ＭＳ ゴシック" w:hAnsi="ＭＳ ゴシック" w:cs="ＭＳ ゴシック" w:hint="eastAsia"/>
          <w:lang w:eastAsia="ja-JP"/>
        </w:rPr>
        <w:t>貯蔵され</w:t>
      </w:r>
      <w:r w:rsidR="009673B3">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w:t>
      </w:r>
    </w:p>
    <w:p w14:paraId="36FF8FEE" w14:textId="1D6CE444" w:rsidR="0055291C" w:rsidRPr="001B612E" w:rsidRDefault="00F23C61" w:rsidP="001B612E">
      <w:pPr>
        <w:pStyle w:val="a3"/>
        <w:spacing w:before="102" w:line="312" w:lineRule="auto"/>
        <w:ind w:left="269" w:right="1285"/>
        <w:rPr>
          <w:rFonts w:eastAsiaTheme="minorEastAsia"/>
          <w:lang w:eastAsia="ja-JP"/>
        </w:rPr>
      </w:pPr>
      <w:r>
        <w:rPr>
          <w:lang w:eastAsia="ja-JP"/>
        </w:rPr>
        <w:br w:type="column"/>
      </w:r>
      <w:r w:rsidR="009673B3">
        <w:rPr>
          <w:rFonts w:ascii="ＭＳ ゴシック" w:eastAsia="ＭＳ ゴシック" w:hAnsi="ＭＳ ゴシック" w:cs="ＭＳ ゴシック" w:hint="eastAsia"/>
          <w:lang w:eastAsia="ja-JP"/>
        </w:rPr>
        <w:t>企業は、製品またはその部品に含まれる炭素が廃棄物処理中に外部に放出されず、そのため貯蔵されたと考えられる場合、報告しなければなりません。貯蔵される炭素の量は、</w:t>
      </w:r>
      <w:r w:rsidR="009673B3">
        <w:rPr>
          <w:lang w:eastAsia="ja-JP"/>
        </w:rPr>
        <w:t xml:space="preserve"> </w:t>
      </w:r>
      <w:r w:rsidR="009673B3">
        <w:rPr>
          <w:rFonts w:ascii="ＭＳ ゴシック" w:eastAsia="ＭＳ ゴシック" w:hAnsi="ＭＳ ゴシック" w:cs="ＭＳ ゴシック" w:hint="eastAsia"/>
          <w:lang w:eastAsia="ja-JP"/>
        </w:rPr>
        <w:t>廃棄物処理プロセス、特定の環境下での製品の劣化に関する科学的理解、および選択した期間に依存します。期間に関するより詳しい情報は、第</w:t>
      </w:r>
      <w:r w:rsidR="009673B3">
        <w:rPr>
          <w:lang w:eastAsia="ja-JP"/>
        </w:rPr>
        <w:t>7</w:t>
      </w:r>
      <w:r w:rsidR="009673B3">
        <w:rPr>
          <w:rFonts w:ascii="ＭＳ ゴシック" w:eastAsia="ＭＳ ゴシック" w:hAnsi="ＭＳ ゴシック" w:cs="ＭＳ ゴシック" w:hint="eastAsia"/>
          <w:lang w:eastAsia="ja-JP"/>
        </w:rPr>
        <w:t>章に掲載されてい</w:t>
      </w:r>
      <w:r w:rsidR="001B612E">
        <w:rPr>
          <w:rFonts w:ascii="ＭＳ ゴシック" w:eastAsia="ＭＳ ゴシック" w:hAnsi="ＭＳ ゴシック" w:cs="ＭＳ ゴシック" w:hint="eastAsia"/>
          <w:lang w:eastAsia="ja-JP"/>
        </w:rPr>
        <w:t>ます。</w:t>
      </w:r>
    </w:p>
    <w:p w14:paraId="05417581" w14:textId="539F6948" w:rsidR="0055291C" w:rsidRDefault="00F23C61" w:rsidP="001B612E">
      <w:pPr>
        <w:pStyle w:val="a3"/>
        <w:spacing w:before="142" w:line="312" w:lineRule="auto"/>
        <w:ind w:left="269" w:right="1285" w:firstLineChars="100" w:firstLine="190"/>
        <w:rPr>
          <w:lang w:eastAsia="ja-JP"/>
        </w:rPr>
      </w:pPr>
      <w:r>
        <w:rPr>
          <w:noProof/>
        </w:rPr>
        <w:drawing>
          <wp:anchor distT="0" distB="0" distL="0" distR="0" simplePos="0" relativeHeight="251496960" behindDoc="0" locked="0" layoutInCell="1" allowOverlap="1" wp14:anchorId="5436552C" wp14:editId="292F1F26">
            <wp:simplePos x="0" y="0"/>
            <wp:positionH relativeFrom="page">
              <wp:posOffset>3976204</wp:posOffset>
            </wp:positionH>
            <wp:positionV relativeFrom="paragraph">
              <wp:posOffset>1894394</wp:posOffset>
            </wp:positionV>
            <wp:extent cx="3076206" cy="4686300"/>
            <wp:effectExtent l="0" t="0" r="0" b="0"/>
            <wp:wrapNone/>
            <wp:docPr id="33"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98.png"/>
                    <pic:cNvPicPr/>
                  </pic:nvPicPr>
                  <pic:blipFill>
                    <a:blip r:embed="rId276" cstate="print"/>
                    <a:stretch>
                      <a:fillRect/>
                    </a:stretch>
                  </pic:blipFill>
                  <pic:spPr>
                    <a:xfrm>
                      <a:off x="0" y="0"/>
                      <a:ext cx="3076206" cy="4686300"/>
                    </a:xfrm>
                    <a:prstGeom prst="rect">
                      <a:avLst/>
                    </a:prstGeom>
                  </pic:spPr>
                </pic:pic>
              </a:graphicData>
            </a:graphic>
          </wp:anchor>
        </w:drawing>
      </w:r>
      <w:r w:rsidR="001B612E">
        <w:rPr>
          <w:rFonts w:ascii="ＭＳ ゴシック" w:eastAsia="ＭＳ ゴシック" w:hAnsi="ＭＳ ゴシック" w:cs="ＭＳ ゴシック" w:hint="eastAsia"/>
          <w:lang w:eastAsia="ja-JP"/>
        </w:rPr>
        <w:t>ゆりかごからゲートまでの報告書では、含有されている炭素は中間製品の一部として報告書の境界を離れます。中間製品のゆりかごからゲートまでの報告書の算出結果が、最終製品のゆりかごから墓場までの報告を行う下流の顧客に有用であるためには、</w:t>
      </w:r>
      <w:r w:rsidR="001B612E">
        <w:rPr>
          <w:lang w:eastAsia="ja-JP"/>
        </w:rPr>
        <w:t xml:space="preserve"> </w:t>
      </w:r>
      <w:r w:rsidR="001B612E">
        <w:rPr>
          <w:rFonts w:ascii="ＭＳ ゴシック" w:eastAsia="ＭＳ ゴシック" w:hAnsi="ＭＳ ゴシック" w:cs="ＭＳ ゴシック" w:hint="eastAsia"/>
          <w:lang w:eastAsia="ja-JP"/>
        </w:rPr>
        <w:t>企業が境界（ゲートなど）を離れる製品に含まれる炭素量を報告しなければなりません。企業は、算出結果とは別に、中間製品の使用済み製品特性に関する追加情報を含めることができます。</w:t>
      </w:r>
      <w:r w:rsidR="001B612E">
        <w:rPr>
          <w:lang w:eastAsia="ja-JP"/>
        </w:rPr>
        <w:t xml:space="preserve"> </w:t>
      </w:r>
    </w:p>
    <w:p w14:paraId="3B4599C0"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953" w:space="40"/>
            <w:col w:w="6247"/>
          </w:cols>
        </w:sectPr>
      </w:pPr>
    </w:p>
    <w:p w14:paraId="782823F4" w14:textId="77777777" w:rsidR="0055291C" w:rsidRDefault="0055291C">
      <w:pPr>
        <w:pStyle w:val="a3"/>
        <w:rPr>
          <w:sz w:val="20"/>
          <w:lang w:eastAsia="ja-JP"/>
        </w:rPr>
      </w:pPr>
    </w:p>
    <w:p w14:paraId="36F8333D" w14:textId="77777777" w:rsidR="0055291C" w:rsidRDefault="0055291C">
      <w:pPr>
        <w:pStyle w:val="a3"/>
        <w:rPr>
          <w:sz w:val="20"/>
          <w:lang w:eastAsia="ja-JP"/>
        </w:rPr>
      </w:pPr>
    </w:p>
    <w:p w14:paraId="6AD27EB4" w14:textId="77777777" w:rsidR="0055291C" w:rsidRDefault="0055291C">
      <w:pPr>
        <w:pStyle w:val="a3"/>
        <w:rPr>
          <w:sz w:val="20"/>
          <w:lang w:eastAsia="ja-JP"/>
        </w:rPr>
      </w:pPr>
    </w:p>
    <w:p w14:paraId="2853AD89" w14:textId="77777777" w:rsidR="0055291C" w:rsidRDefault="0055291C">
      <w:pPr>
        <w:pStyle w:val="a3"/>
        <w:spacing w:before="7"/>
        <w:rPr>
          <w:sz w:val="29"/>
          <w:lang w:eastAsia="ja-JP"/>
        </w:rPr>
      </w:pPr>
    </w:p>
    <w:p w14:paraId="2D353B36" w14:textId="77777777" w:rsidR="0055291C" w:rsidRDefault="0055291C">
      <w:pPr>
        <w:rPr>
          <w:sz w:val="29"/>
          <w:lang w:eastAsia="ja-JP"/>
        </w:rPr>
        <w:sectPr w:rsidR="0055291C">
          <w:headerReference w:type="even" r:id="rId277"/>
          <w:pgSz w:w="12240" w:h="15840"/>
          <w:pgMar w:top="620" w:right="0" w:bottom="1040" w:left="0" w:header="0" w:footer="859" w:gutter="0"/>
          <w:cols w:space="720"/>
        </w:sectPr>
      </w:pPr>
    </w:p>
    <w:p w14:paraId="6E2D434E" w14:textId="62672966" w:rsidR="0055291C" w:rsidRDefault="008C3277">
      <w:pPr>
        <w:pStyle w:val="3"/>
        <w:numPr>
          <w:ilvl w:val="6"/>
          <w:numId w:val="40"/>
        </w:numPr>
        <w:tabs>
          <w:tab w:val="left" w:pos="1853"/>
          <w:tab w:val="left" w:pos="1854"/>
        </w:tabs>
        <w:ind w:rightChars="205" w:right="451" w:hanging="721"/>
      </w:pPr>
      <w:r>
        <w:rPr>
          <w:rFonts w:ascii="ＭＳ 明朝" w:eastAsia="ＭＳ 明朝" w:hAnsi="ＭＳ 明朝" w:cs="ＭＳ 明朝" w:hint="eastAsia"/>
          <w:color w:val="00ACA1"/>
          <w:lang w:eastAsia="ja-JP"/>
        </w:rPr>
        <w:t>ガイダンス</w:t>
      </w:r>
    </w:p>
    <w:p w14:paraId="597C0C7B" w14:textId="1B92C37E" w:rsidR="0055291C" w:rsidRDefault="008C3277">
      <w:pPr>
        <w:pStyle w:val="7"/>
        <w:numPr>
          <w:ilvl w:val="7"/>
          <w:numId w:val="40"/>
        </w:numPr>
        <w:tabs>
          <w:tab w:val="left" w:pos="1854"/>
        </w:tabs>
        <w:spacing w:before="41" w:line="292" w:lineRule="auto"/>
        <w:ind w:rightChars="205" w:right="451"/>
        <w:jc w:val="left"/>
        <w:rPr>
          <w:lang w:eastAsia="ja-JP"/>
        </w:rPr>
      </w:pPr>
      <w:r>
        <w:rPr>
          <w:rFonts w:ascii="ＭＳ 明朝" w:eastAsia="ＭＳ 明朝" w:hAnsi="ＭＳ 明朝" w:cs="ＭＳ 明朝" w:hint="eastAsia"/>
          <w:color w:val="00B8B1"/>
          <w:spacing w:val="-1"/>
          <w:lang w:eastAsia="ja-JP"/>
        </w:rPr>
        <w:t>調査対象製品の排出結果の算出</w:t>
      </w:r>
    </w:p>
    <w:p w14:paraId="06F7C259" w14:textId="1F4668EF" w:rsidR="0055291C" w:rsidRDefault="008C3277" w:rsidP="002264BD">
      <w:pPr>
        <w:pStyle w:val="a3"/>
        <w:spacing w:before="12" w:line="312" w:lineRule="auto"/>
        <w:ind w:left="1133" w:rightChars="205" w:right="451"/>
        <w:rPr>
          <w:lang w:eastAsia="ja-JP"/>
        </w:rPr>
      </w:pPr>
      <w:r>
        <w:rPr>
          <w:rFonts w:ascii="ＭＳ ゴシック" w:eastAsia="ＭＳ ゴシック" w:hAnsi="ＭＳ ゴシック" w:cs="ＭＳ ゴシック" w:hint="eastAsia"/>
          <w:lang w:eastAsia="ja-JP"/>
        </w:rPr>
        <w:t>企業は、調査対象製品の</w:t>
      </w:r>
      <w:r>
        <w:rPr>
          <w:lang w:eastAsia="ja-JP"/>
        </w:rPr>
        <w:t>GHG</w:t>
      </w:r>
      <w:r>
        <w:rPr>
          <w:rFonts w:ascii="ＭＳ ゴシック" w:eastAsia="ＭＳ ゴシック" w:hAnsi="ＭＳ ゴシック" w:cs="ＭＳ ゴシック" w:hint="eastAsia"/>
          <w:lang w:eastAsia="ja-JP"/>
        </w:rPr>
        <w:t>の影響を計算する際、以下のステップを踏むべきです。</w:t>
      </w:r>
    </w:p>
    <w:p w14:paraId="69E786E1" w14:textId="070A9ACF" w:rsidR="0055291C" w:rsidRDefault="008C3277">
      <w:pPr>
        <w:pStyle w:val="a5"/>
        <w:numPr>
          <w:ilvl w:val="0"/>
          <w:numId w:val="35"/>
        </w:numPr>
        <w:tabs>
          <w:tab w:val="left" w:pos="1853"/>
          <w:tab w:val="left" w:pos="1854"/>
        </w:tabs>
        <w:spacing w:before="147"/>
        <w:ind w:rightChars="205" w:right="451" w:hanging="721"/>
        <w:rPr>
          <w:rFonts w:ascii="Arial"/>
          <w:b/>
          <w:i/>
          <w:sz w:val="18"/>
        </w:rPr>
      </w:pPr>
      <w:r>
        <w:rPr>
          <w:rFonts w:asciiTheme="minorEastAsia" w:eastAsiaTheme="minorEastAsia" w:hAnsiTheme="minorEastAsia" w:hint="eastAsia"/>
          <w:b/>
          <w:i/>
          <w:color w:val="7F3F98"/>
          <w:w w:val="95"/>
          <w:sz w:val="18"/>
          <w:lang w:eastAsia="ja-JP"/>
        </w:rPr>
        <w:t>GWP</w:t>
      </w:r>
      <w:r>
        <w:rPr>
          <w:rFonts w:ascii="ＭＳ ゴシック" w:eastAsia="ＭＳ ゴシック" w:hAnsi="ＭＳ ゴシック" w:cs="ＭＳ ゴシック" w:hint="eastAsia"/>
          <w:b/>
          <w:i/>
          <w:color w:val="7F3F98"/>
          <w:w w:val="95"/>
          <w:sz w:val="18"/>
          <w:lang w:eastAsia="ja-JP"/>
        </w:rPr>
        <w:t>値の選択</w:t>
      </w:r>
    </w:p>
    <w:p w14:paraId="25825F1C" w14:textId="7D54BD37" w:rsidR="0055291C" w:rsidRDefault="008C3277" w:rsidP="002264BD">
      <w:pPr>
        <w:pStyle w:val="a3"/>
        <w:spacing w:before="2" w:line="312" w:lineRule="auto"/>
        <w:ind w:left="851" w:rightChars="205" w:right="451" w:firstLineChars="100" w:firstLine="190"/>
        <w:rPr>
          <w:lang w:eastAsia="ja-JP"/>
        </w:rPr>
      </w:pPr>
      <w:r>
        <w:rPr>
          <w:rFonts w:ascii="ＭＳ ゴシック" w:eastAsia="ＭＳ ゴシック" w:hAnsi="ＭＳ ゴシック" w:cs="ＭＳ ゴシック" w:hint="eastAsia"/>
          <w:lang w:eastAsia="ja-JP"/>
        </w:rPr>
        <w:t>放射強制力は大気中の温室効果ガス濃度の関数であり、</w:t>
      </w:r>
      <w:r>
        <w:rPr>
          <w:lang w:eastAsia="ja-JP"/>
        </w:rPr>
        <w:t xml:space="preserve"> GWP</w:t>
      </w:r>
      <w:r>
        <w:rPr>
          <w:rFonts w:ascii="ＭＳ ゴシック" w:eastAsia="ＭＳ ゴシック" w:hAnsi="ＭＳ ゴシック" w:cs="ＭＳ ゴシック" w:hint="eastAsia"/>
          <w:lang w:eastAsia="ja-JP"/>
        </w:rPr>
        <w:t>の計算方法は進化し続けているため、</w:t>
      </w:r>
      <w:r>
        <w:rPr>
          <w:lang w:eastAsia="ja-JP"/>
        </w:rPr>
        <w:t>GWP</w:t>
      </w:r>
      <w:r>
        <w:rPr>
          <w:rFonts w:ascii="ＭＳ ゴシック" w:eastAsia="ＭＳ ゴシック" w:hAnsi="ＭＳ ゴシック" w:cs="ＭＳ ゴシック" w:hint="eastAsia"/>
          <w:lang w:eastAsia="ja-JP"/>
        </w:rPr>
        <w:t>係数は</w:t>
      </w:r>
      <w:r>
        <w:rPr>
          <w:lang w:eastAsia="ja-JP"/>
        </w:rPr>
        <w:t xml:space="preserve"> IPCC</w:t>
      </w:r>
      <w:r>
        <w:rPr>
          <w:rFonts w:ascii="ＭＳ ゴシック" w:eastAsia="ＭＳ ゴシック" w:hAnsi="ＭＳ ゴシック" w:cs="ＭＳ ゴシック" w:hint="eastAsia"/>
          <w:lang w:eastAsia="ja-JP"/>
        </w:rPr>
        <w:t>によって数年ごとに見直されています。この規格が発行された時点で</w:t>
      </w:r>
      <w:r>
        <w:rPr>
          <w:lang w:eastAsia="ja-JP"/>
        </w:rPr>
        <w:t xml:space="preserve">IPCC </w:t>
      </w:r>
      <w:r>
        <w:rPr>
          <w:rFonts w:ascii="ＭＳ ゴシック" w:eastAsia="ＭＳ ゴシック" w:hAnsi="ＭＳ ゴシック" w:cs="ＭＳ ゴシック" w:hint="eastAsia"/>
          <w:lang w:eastAsia="ja-JP"/>
        </w:rPr>
        <w:t>が公表している最新の</w:t>
      </w:r>
      <w:r>
        <w:rPr>
          <w:lang w:eastAsia="ja-JP"/>
        </w:rPr>
        <w:t>GWP</w:t>
      </w:r>
      <w:r>
        <w:rPr>
          <w:rFonts w:ascii="ＭＳ ゴシック" w:eastAsia="ＭＳ ゴシック" w:hAnsi="ＭＳ ゴシック" w:cs="ＭＳ ゴシック" w:hint="eastAsia"/>
          <w:lang w:eastAsia="ja-JP"/>
        </w:rPr>
        <w:t>係数は、第</w:t>
      </w:r>
      <w:r>
        <w:rPr>
          <w:lang w:eastAsia="ja-JP"/>
        </w:rPr>
        <w:t>4</w:t>
      </w:r>
      <w:r>
        <w:rPr>
          <w:rFonts w:ascii="ＭＳ ゴシック" w:eastAsia="ＭＳ ゴシック" w:hAnsi="ＭＳ ゴシック" w:cs="ＭＳ ゴシック" w:hint="eastAsia"/>
          <w:lang w:eastAsia="ja-JP"/>
        </w:rPr>
        <w:t>次評価報告書</w:t>
      </w:r>
      <w:r>
        <w:rPr>
          <w:lang w:eastAsia="ja-JP"/>
        </w:rPr>
        <w:t xml:space="preserve"> </w:t>
      </w:r>
      <w:r>
        <w:rPr>
          <w:rFonts w:ascii="ＭＳ ゴシック" w:eastAsia="ＭＳ ゴシック" w:hAnsi="ＭＳ ゴシック" w:cs="ＭＳ ゴシック" w:hint="eastAsia"/>
          <w:lang w:eastAsia="ja-JP"/>
        </w:rPr>
        <w:t>（</w:t>
      </w:r>
      <w:r>
        <w:rPr>
          <w:lang w:eastAsia="ja-JP"/>
        </w:rPr>
        <w:t>2007</w:t>
      </w:r>
      <w:r>
        <w:rPr>
          <w:rFonts w:ascii="ＭＳ ゴシック" w:eastAsia="ＭＳ ゴシック" w:hAnsi="ＭＳ ゴシック" w:cs="ＭＳ ゴシック" w:hint="eastAsia"/>
          <w:lang w:eastAsia="ja-JP"/>
        </w:rPr>
        <w:t>年）で公表された係数です。第</w:t>
      </w:r>
      <w:r>
        <w:rPr>
          <w:lang w:eastAsia="ja-JP"/>
        </w:rPr>
        <w:t>5</w:t>
      </w:r>
      <w:r>
        <w:rPr>
          <w:rFonts w:ascii="ＭＳ ゴシック" w:eastAsia="ＭＳ ゴシック" w:hAnsi="ＭＳ ゴシック" w:cs="ＭＳ ゴシック" w:hint="eastAsia"/>
          <w:lang w:eastAsia="ja-JP"/>
        </w:rPr>
        <w:t>次評価報告書は</w:t>
      </w:r>
      <w:r>
        <w:rPr>
          <w:lang w:eastAsia="ja-JP"/>
        </w:rPr>
        <w:t>2013-2014</w:t>
      </w:r>
      <w:r>
        <w:rPr>
          <w:rFonts w:ascii="ＭＳ ゴシック" w:eastAsia="ＭＳ ゴシック" w:hAnsi="ＭＳ ゴシック" w:cs="ＭＳ ゴシック" w:hint="eastAsia"/>
          <w:lang w:eastAsia="ja-JP"/>
        </w:rPr>
        <w:t>年に完成し、更新された因子が含まれる予定です。最新の</w:t>
      </w:r>
      <w:r>
        <w:rPr>
          <w:lang w:eastAsia="ja-JP"/>
        </w:rPr>
        <w:t xml:space="preserve"> GWP </w:t>
      </w:r>
      <w:r>
        <w:rPr>
          <w:rFonts w:ascii="ＭＳ ゴシック" w:eastAsia="ＭＳ ゴシック" w:hAnsi="ＭＳ ゴシック" w:cs="ＭＳ ゴシック" w:hint="eastAsia"/>
          <w:lang w:eastAsia="ja-JP"/>
        </w:rPr>
        <w:t>値の表は、</w:t>
      </w:r>
      <w:r>
        <w:rPr>
          <w:lang w:eastAsia="ja-JP"/>
        </w:rPr>
        <w:t xml:space="preserve"> (www.ghgprotocol.org) </w:t>
      </w:r>
      <w:r>
        <w:rPr>
          <w:rFonts w:ascii="ＭＳ ゴシック" w:eastAsia="ＭＳ ゴシック" w:hAnsi="ＭＳ ゴシック" w:cs="ＭＳ ゴシック" w:hint="eastAsia"/>
          <w:lang w:eastAsia="ja-JP"/>
        </w:rPr>
        <w:t>に掲載されています。</w:t>
      </w:r>
    </w:p>
    <w:p w14:paraId="081F6A76" w14:textId="616AE2D7" w:rsidR="0055291C" w:rsidRDefault="008C3277" w:rsidP="002264BD">
      <w:pPr>
        <w:pStyle w:val="a3"/>
        <w:spacing w:line="312" w:lineRule="auto"/>
        <w:ind w:left="851" w:rightChars="205" w:right="451" w:firstLineChars="100" w:firstLine="190"/>
        <w:rPr>
          <w:lang w:eastAsia="ja-JP"/>
        </w:rPr>
      </w:pPr>
      <w:r>
        <w:rPr>
          <w:rFonts w:ascii="ＭＳ ゴシック" w:eastAsia="ＭＳ ゴシック" w:hAnsi="ＭＳ ゴシック" w:cs="ＭＳ ゴシック" w:hint="eastAsia"/>
          <w:lang w:eastAsia="ja-JP"/>
        </w:rPr>
        <w:t>企業は、他の</w:t>
      </w:r>
      <w:r>
        <w:rPr>
          <w:lang w:eastAsia="ja-JP"/>
        </w:rPr>
        <w:t>GWP</w:t>
      </w:r>
      <w:r>
        <w:rPr>
          <w:rFonts w:ascii="ＭＳ ゴシック" w:eastAsia="ＭＳ ゴシック" w:hAnsi="ＭＳ ゴシック" w:cs="ＭＳ ゴシック" w:hint="eastAsia"/>
          <w:lang w:eastAsia="ja-JP"/>
        </w:rPr>
        <w:t>値を使用することも選択できます。例えば、</w:t>
      </w:r>
      <w:r>
        <w:rPr>
          <w:lang w:eastAsia="ja-JP"/>
        </w:rPr>
        <w:t>UNFCCC</w:t>
      </w:r>
      <w:r>
        <w:rPr>
          <w:rFonts w:ascii="ＭＳ ゴシック" w:eastAsia="ＭＳ ゴシック" w:hAnsi="ＭＳ ゴシック" w:cs="ＭＳ ゴシック" w:hint="eastAsia"/>
          <w:lang w:eastAsia="ja-JP"/>
        </w:rPr>
        <w:t>に従った国別排出量と整合性を取るために、第2次評価報告書の値を使用することを希望する企業もあります。</w:t>
      </w:r>
      <w:r w:rsidR="004E58A0">
        <w:rPr>
          <w:rFonts w:ascii="ＭＳ ゴシック" w:eastAsia="ＭＳ ゴシック" w:hAnsi="ＭＳ ゴシック" w:cs="ＭＳ ゴシック" w:hint="eastAsia"/>
          <w:lang w:eastAsia="ja-JP"/>
        </w:rPr>
        <w:t>企業は</w:t>
      </w:r>
      <w:r>
        <w:rPr>
          <w:lang w:eastAsia="ja-JP"/>
        </w:rPr>
        <w:t>100</w:t>
      </w:r>
      <w:r>
        <w:rPr>
          <w:rFonts w:ascii="ＭＳ ゴシック" w:eastAsia="ＭＳ ゴシック" w:hAnsi="ＭＳ ゴシック" w:cs="ＭＳ ゴシック" w:hint="eastAsia"/>
          <w:lang w:eastAsia="ja-JP"/>
        </w:rPr>
        <w:t>年</w:t>
      </w:r>
      <w:r>
        <w:rPr>
          <w:lang w:eastAsia="ja-JP"/>
        </w:rPr>
        <w:t>GWP</w:t>
      </w:r>
      <w:r w:rsidR="004E58A0">
        <w:rPr>
          <w:rFonts w:ascii="ＭＳ ゴシック" w:eastAsia="ＭＳ ゴシック" w:hAnsi="ＭＳ ゴシック" w:cs="ＭＳ ゴシック" w:hint="eastAsia"/>
          <w:lang w:eastAsia="ja-JP"/>
        </w:rPr>
        <w:t>係数を使用して結果を算出することが求められていますが</w:t>
      </w:r>
      <w:r>
        <w:rPr>
          <w:rFonts w:ascii="ＭＳ ゴシック" w:eastAsia="ＭＳ ゴシック" w:hAnsi="ＭＳ ゴシック" w:cs="ＭＳ ゴシック" w:hint="eastAsia"/>
          <w:lang w:eastAsia="ja-JP"/>
        </w:rPr>
        <w:t>、</w:t>
      </w:r>
      <w:r w:rsidR="004E58A0">
        <w:rPr>
          <w:rFonts w:ascii="ＭＳ ゴシック" w:eastAsia="ＭＳ ゴシック" w:hAnsi="ＭＳ ゴシック" w:cs="ＭＳ ゴシック" w:hint="eastAsia"/>
          <w:lang w:eastAsia="ja-JP"/>
        </w:rPr>
        <w:t>ステークホルダーにとって有用であると認めた場合、</w:t>
      </w:r>
      <w:r>
        <w:rPr>
          <w:rFonts w:ascii="ＭＳ ゴシック" w:eastAsia="ＭＳ ゴシック" w:hAnsi="ＭＳ ゴシック" w:cs="ＭＳ ゴシック" w:hint="eastAsia"/>
          <w:lang w:eastAsia="ja-JP"/>
        </w:rPr>
        <w:t>企業は</w:t>
      </w:r>
      <w:r>
        <w:rPr>
          <w:lang w:eastAsia="ja-JP"/>
        </w:rPr>
        <w:t>20</w:t>
      </w:r>
      <w:r>
        <w:rPr>
          <w:rFonts w:ascii="ＭＳ ゴシック" w:eastAsia="ＭＳ ゴシック" w:hAnsi="ＭＳ ゴシック" w:cs="ＭＳ ゴシック" w:hint="eastAsia"/>
          <w:lang w:eastAsia="ja-JP"/>
        </w:rPr>
        <w:t>年または</w:t>
      </w:r>
      <w:r>
        <w:rPr>
          <w:lang w:eastAsia="ja-JP"/>
        </w:rPr>
        <w:t>500</w:t>
      </w:r>
      <w:r>
        <w:rPr>
          <w:rFonts w:ascii="ＭＳ ゴシック" w:eastAsia="ＭＳ ゴシック" w:hAnsi="ＭＳ ゴシック" w:cs="ＭＳ ゴシック" w:hint="eastAsia"/>
          <w:lang w:eastAsia="ja-JP"/>
        </w:rPr>
        <w:t>年</w:t>
      </w:r>
      <w:r>
        <w:rPr>
          <w:lang w:eastAsia="ja-JP"/>
        </w:rPr>
        <w:t>GWP</w:t>
      </w:r>
      <w:r w:rsidR="004E58A0">
        <w:rPr>
          <w:rFonts w:ascii="ＭＳ ゴシック" w:eastAsia="ＭＳ ゴシック" w:hAnsi="ＭＳ ゴシック" w:cs="ＭＳ ゴシック" w:hint="eastAsia"/>
          <w:lang w:eastAsia="ja-JP"/>
        </w:rPr>
        <w:t>係数、または他の評価尺度</w:t>
      </w:r>
      <w:r>
        <w:rPr>
          <w:rFonts w:ascii="ＭＳ ゴシック" w:eastAsia="ＭＳ ゴシック" w:hAnsi="ＭＳ ゴシック" w:cs="ＭＳ ゴシック" w:hint="eastAsia"/>
          <w:lang w:eastAsia="ja-JP"/>
        </w:rPr>
        <w:t>を使用して計算し、結果を別途報告することを選択</w:t>
      </w:r>
      <w:r w:rsidR="004E58A0">
        <w:rPr>
          <w:rFonts w:ascii="ＭＳ ゴシック" w:eastAsia="ＭＳ ゴシック" w:hAnsi="ＭＳ ゴシック" w:cs="ＭＳ ゴシック" w:hint="eastAsia"/>
          <w:lang w:eastAsia="ja-JP"/>
        </w:rPr>
        <w:t>することもできます</w:t>
      </w:r>
      <w:r>
        <w:rPr>
          <w:rFonts w:ascii="ＭＳ ゴシック" w:eastAsia="ＭＳ ゴシック" w:hAnsi="ＭＳ ゴシック" w:cs="ＭＳ ゴシック" w:hint="eastAsia"/>
          <w:lang w:eastAsia="ja-JP"/>
        </w:rPr>
        <w:t>。</w:t>
      </w:r>
    </w:p>
    <w:p w14:paraId="202B8F2D" w14:textId="2B8D1AC9" w:rsidR="0055291C" w:rsidRPr="002264BD" w:rsidRDefault="0055291C" w:rsidP="002264BD">
      <w:pPr>
        <w:rPr>
          <w:sz w:val="20"/>
          <w:lang w:eastAsia="ja-JP"/>
        </w:rPr>
      </w:pPr>
    </w:p>
    <w:p w14:paraId="42207C80" w14:textId="1DFD12B0" w:rsidR="0055291C" w:rsidRDefault="002264BD" w:rsidP="00243279">
      <w:pPr>
        <w:pStyle w:val="a3"/>
        <w:spacing w:line="312" w:lineRule="auto"/>
        <w:ind w:left="239" w:right="1179" w:firstLineChars="100" w:firstLine="190"/>
        <w:rPr>
          <w:lang w:eastAsia="ja-JP"/>
        </w:rPr>
      </w:pPr>
      <w:r>
        <w:rPr>
          <w:rFonts w:ascii="ＭＳ ゴシック" w:eastAsia="ＭＳ ゴシック" w:hAnsi="ＭＳ ゴシック" w:cs="ＭＳ ゴシック" w:hint="eastAsia"/>
          <w:lang w:eastAsia="ja-JP"/>
        </w:rPr>
        <w:t>直接排出データが収集されている場合、排出係数は必要なく</w:t>
      </w:r>
      <w:r>
        <w:rPr>
          <w:lang w:eastAsia="ja-JP"/>
        </w:rPr>
        <w:t xml:space="preserve"> </w:t>
      </w:r>
      <w:r>
        <w:rPr>
          <w:rFonts w:ascii="ＭＳ ゴシック" w:eastAsia="ＭＳ ゴシック" w:hAnsi="ＭＳ ゴシック" w:cs="ＭＳ ゴシック" w:hint="eastAsia"/>
          <w:lang w:eastAsia="ja-JP"/>
        </w:rPr>
        <w:t>、投入、生産、または各工程の排出結果を計算する基本的な式は次のとおりで</w:t>
      </w:r>
      <w:r w:rsidR="00243279">
        <w:rPr>
          <w:rFonts w:ascii="ＭＳ ゴシック" w:eastAsia="ＭＳ ゴシック" w:hAnsi="ＭＳ ゴシック" w:cs="ＭＳ ゴシック" w:hint="eastAsia"/>
          <w:lang w:eastAsia="ja-JP"/>
        </w:rPr>
        <w:t>す</w:t>
      </w:r>
      <w:r>
        <w:rPr>
          <w:rFonts w:ascii="ＭＳ ゴシック" w:eastAsia="ＭＳ ゴシック" w:hAnsi="ＭＳ ゴシック" w:cs="ＭＳ ゴシック" w:hint="eastAsia"/>
          <w:lang w:eastAsia="ja-JP"/>
        </w:rPr>
        <w:t>。</w:t>
      </w:r>
    </w:p>
    <w:p w14:paraId="73551B74" w14:textId="2786579C" w:rsidR="0055291C" w:rsidRDefault="00F23C61">
      <w:pPr>
        <w:pStyle w:val="9"/>
        <w:spacing w:before="138" w:line="213" w:lineRule="exact"/>
        <w:ind w:left="239"/>
        <w:rPr>
          <w:lang w:eastAsia="ja-JP"/>
        </w:rPr>
      </w:pPr>
      <w:r>
        <w:rPr>
          <w:color w:val="545456"/>
          <w:w w:val="90"/>
          <w:lang w:eastAsia="ja-JP"/>
        </w:rPr>
        <w:t>kg</w:t>
      </w:r>
      <w:r>
        <w:rPr>
          <w:color w:val="545456"/>
          <w:spacing w:val="-11"/>
          <w:w w:val="90"/>
          <w:lang w:eastAsia="ja-JP"/>
        </w:rPr>
        <w:t xml:space="preserve"> </w:t>
      </w:r>
      <w:r>
        <w:rPr>
          <w:color w:val="545456"/>
          <w:w w:val="90"/>
          <w:lang w:eastAsia="ja-JP"/>
        </w:rPr>
        <w:t>CO</w:t>
      </w:r>
      <w:r>
        <w:rPr>
          <w:color w:val="545456"/>
          <w:w w:val="90"/>
          <w:vertAlign w:val="subscript"/>
          <w:lang w:eastAsia="ja-JP"/>
        </w:rPr>
        <w:t>2</w:t>
      </w:r>
      <w:r>
        <w:rPr>
          <w:color w:val="545456"/>
          <w:w w:val="90"/>
          <w:lang w:eastAsia="ja-JP"/>
        </w:rPr>
        <w:t>e</w:t>
      </w:r>
      <w:r>
        <w:rPr>
          <w:color w:val="545456"/>
          <w:spacing w:val="31"/>
          <w:w w:val="90"/>
          <w:lang w:eastAsia="ja-JP"/>
        </w:rPr>
        <w:t xml:space="preserve"> </w:t>
      </w:r>
      <w:r>
        <w:rPr>
          <w:color w:val="00ACA1"/>
          <w:w w:val="90"/>
          <w:lang w:eastAsia="ja-JP"/>
        </w:rPr>
        <w:t>=</w:t>
      </w:r>
      <w:r>
        <w:rPr>
          <w:color w:val="00ACA1"/>
          <w:spacing w:val="31"/>
          <w:w w:val="90"/>
          <w:lang w:eastAsia="ja-JP"/>
        </w:rPr>
        <w:t xml:space="preserve"> </w:t>
      </w:r>
      <w:r w:rsidR="002264BD">
        <w:rPr>
          <w:rFonts w:ascii="ＭＳ 明朝" w:eastAsia="ＭＳ 明朝" w:hAnsi="ＭＳ 明朝" w:cs="ＭＳ 明朝" w:hint="eastAsia"/>
          <w:color w:val="545456"/>
          <w:w w:val="90"/>
          <w:lang w:eastAsia="ja-JP"/>
        </w:rPr>
        <w:t>直接排出データ</w:t>
      </w:r>
      <w:r>
        <w:rPr>
          <w:color w:val="545456"/>
          <w:spacing w:val="31"/>
          <w:w w:val="90"/>
          <w:lang w:eastAsia="ja-JP"/>
        </w:rPr>
        <w:t xml:space="preserve"> </w:t>
      </w:r>
      <w:r>
        <w:rPr>
          <w:color w:val="00ACA1"/>
          <w:w w:val="90"/>
          <w:lang w:eastAsia="ja-JP"/>
        </w:rPr>
        <w:t>x</w:t>
      </w:r>
      <w:r>
        <w:rPr>
          <w:color w:val="00ACA1"/>
          <w:spacing w:val="31"/>
          <w:w w:val="90"/>
          <w:lang w:eastAsia="ja-JP"/>
        </w:rPr>
        <w:t xml:space="preserve"> </w:t>
      </w:r>
      <w:r>
        <w:rPr>
          <w:color w:val="545456"/>
          <w:w w:val="90"/>
          <w:lang w:eastAsia="ja-JP"/>
        </w:rPr>
        <w:t>GWP</w:t>
      </w:r>
    </w:p>
    <w:p w14:paraId="230B32FE" w14:textId="77777777" w:rsidR="0055291C" w:rsidRDefault="00F23C61" w:rsidP="002264BD">
      <w:pPr>
        <w:tabs>
          <w:tab w:val="left" w:pos="2664"/>
        </w:tabs>
        <w:spacing w:line="155" w:lineRule="exact"/>
        <w:ind w:left="1151"/>
        <w:rPr>
          <w:rFonts w:ascii="Arial"/>
          <w:b/>
          <w:i/>
          <w:sz w:val="14"/>
          <w:lang w:eastAsia="ja-JP"/>
        </w:rPr>
      </w:pPr>
      <w:r>
        <w:rPr>
          <w:rFonts w:ascii="Arial"/>
          <w:b/>
          <w:i/>
          <w:color w:val="545456"/>
          <w:spacing w:val="-1"/>
          <w:w w:val="90"/>
          <w:sz w:val="14"/>
          <w:lang w:eastAsia="ja-JP"/>
        </w:rPr>
        <w:t>(kg</w:t>
      </w:r>
      <w:r>
        <w:rPr>
          <w:rFonts w:ascii="Arial"/>
          <w:b/>
          <w:i/>
          <w:color w:val="545456"/>
          <w:spacing w:val="-8"/>
          <w:w w:val="90"/>
          <w:sz w:val="14"/>
          <w:lang w:eastAsia="ja-JP"/>
        </w:rPr>
        <w:t xml:space="preserve"> </w:t>
      </w:r>
      <w:r>
        <w:rPr>
          <w:rFonts w:ascii="Arial"/>
          <w:b/>
          <w:i/>
          <w:color w:val="545456"/>
          <w:spacing w:val="-1"/>
          <w:w w:val="90"/>
          <w:sz w:val="14"/>
          <w:lang w:eastAsia="ja-JP"/>
        </w:rPr>
        <w:t>GHG)</w:t>
      </w:r>
      <w:r>
        <w:rPr>
          <w:rFonts w:ascii="Arial"/>
          <w:b/>
          <w:i/>
          <w:color w:val="545456"/>
          <w:spacing w:val="-1"/>
          <w:w w:val="90"/>
          <w:sz w:val="14"/>
          <w:lang w:eastAsia="ja-JP"/>
        </w:rPr>
        <w:tab/>
      </w:r>
      <w:r>
        <w:rPr>
          <w:rFonts w:ascii="Arial"/>
          <w:b/>
          <w:i/>
          <w:color w:val="545456"/>
          <w:spacing w:val="-4"/>
          <w:w w:val="95"/>
          <w:sz w:val="14"/>
          <w:lang w:eastAsia="ja-JP"/>
        </w:rPr>
        <w:t>[kg</w:t>
      </w:r>
      <w:r>
        <w:rPr>
          <w:rFonts w:ascii="Arial"/>
          <w:b/>
          <w:i/>
          <w:color w:val="545456"/>
          <w:spacing w:val="-10"/>
          <w:w w:val="95"/>
          <w:sz w:val="14"/>
          <w:lang w:eastAsia="ja-JP"/>
        </w:rPr>
        <w:t xml:space="preserve"> </w:t>
      </w:r>
      <w:r>
        <w:rPr>
          <w:rFonts w:ascii="Arial"/>
          <w:b/>
          <w:i/>
          <w:color w:val="545456"/>
          <w:spacing w:val="-4"/>
          <w:w w:val="95"/>
          <w:sz w:val="14"/>
          <w:lang w:eastAsia="ja-JP"/>
        </w:rPr>
        <w:t>CO</w:t>
      </w:r>
      <w:r>
        <w:rPr>
          <w:rFonts w:ascii="Arial"/>
          <w:b/>
          <w:i/>
          <w:color w:val="545456"/>
          <w:spacing w:val="-4"/>
          <w:w w:val="95"/>
          <w:sz w:val="14"/>
          <w:vertAlign w:val="subscript"/>
          <w:lang w:eastAsia="ja-JP"/>
        </w:rPr>
        <w:t>2</w:t>
      </w:r>
      <w:r>
        <w:rPr>
          <w:rFonts w:ascii="Arial"/>
          <w:b/>
          <w:i/>
          <w:color w:val="545456"/>
          <w:spacing w:val="-4"/>
          <w:w w:val="95"/>
          <w:sz w:val="14"/>
          <w:lang w:eastAsia="ja-JP"/>
        </w:rPr>
        <w:t>e/kg</w:t>
      </w:r>
      <w:r>
        <w:rPr>
          <w:rFonts w:ascii="Arial"/>
          <w:b/>
          <w:i/>
          <w:color w:val="545456"/>
          <w:spacing w:val="-9"/>
          <w:w w:val="95"/>
          <w:sz w:val="14"/>
          <w:lang w:eastAsia="ja-JP"/>
        </w:rPr>
        <w:t xml:space="preserve"> </w:t>
      </w:r>
      <w:r>
        <w:rPr>
          <w:rFonts w:ascii="Arial"/>
          <w:b/>
          <w:i/>
          <w:color w:val="545456"/>
          <w:spacing w:val="-3"/>
          <w:w w:val="95"/>
          <w:sz w:val="14"/>
          <w:lang w:eastAsia="ja-JP"/>
        </w:rPr>
        <w:t>GHG]</w:t>
      </w:r>
    </w:p>
    <w:p w14:paraId="7FB00BDE" w14:textId="77777777" w:rsidR="0055291C" w:rsidRDefault="0055291C">
      <w:pPr>
        <w:pStyle w:val="a3"/>
        <w:rPr>
          <w:rFonts w:ascii="Arial"/>
          <w:b/>
          <w:i/>
          <w:sz w:val="18"/>
          <w:lang w:eastAsia="ja-JP"/>
        </w:rPr>
      </w:pPr>
    </w:p>
    <w:p w14:paraId="1FC43C6F" w14:textId="77777777" w:rsidR="0055291C" w:rsidRDefault="0055291C">
      <w:pPr>
        <w:pStyle w:val="a3"/>
        <w:spacing w:before="4"/>
        <w:rPr>
          <w:rFonts w:ascii="Arial"/>
          <w:b/>
          <w:i/>
          <w:sz w:val="23"/>
          <w:lang w:eastAsia="ja-JP"/>
        </w:rPr>
      </w:pPr>
    </w:p>
    <w:p w14:paraId="464F40AC" w14:textId="17EF0C91" w:rsidR="0055291C" w:rsidRDefault="00243279" w:rsidP="00243279">
      <w:pPr>
        <w:pStyle w:val="a3"/>
        <w:spacing w:line="312" w:lineRule="auto"/>
        <w:ind w:left="239" w:right="1159" w:firstLineChars="100" w:firstLine="190"/>
        <w:rPr>
          <w:lang w:eastAsia="ja-JP"/>
        </w:rPr>
      </w:pPr>
      <w:r>
        <w:rPr>
          <w:rFonts w:ascii="ＭＳ ゴシック" w:eastAsia="ＭＳ ゴシック" w:hAnsi="ＭＳ ゴシック" w:cs="ＭＳ ゴシック" w:hint="eastAsia"/>
          <w:lang w:eastAsia="ja-JP"/>
        </w:rPr>
        <w:t>直接排出データと活動データが入手可能な場合、企業はクロスチェックとして両方の方法で算出し、計算することにメリットを見出すことができるでしょう。</w:t>
      </w:r>
    </w:p>
    <w:p w14:paraId="6970D1DC" w14:textId="30D5EF4B" w:rsidR="0055291C" w:rsidRDefault="00243279" w:rsidP="00243279">
      <w:pPr>
        <w:pStyle w:val="a3"/>
        <w:spacing w:before="141" w:line="312" w:lineRule="auto"/>
        <w:ind w:left="239" w:right="1204" w:firstLineChars="100" w:firstLine="190"/>
        <w:rPr>
          <w:lang w:eastAsia="ja-JP"/>
        </w:rPr>
      </w:pPr>
      <w:r>
        <w:rPr>
          <w:lang w:eastAsia="ja-JP"/>
        </w:rPr>
        <w:t>CO</w:t>
      </w:r>
      <w:r w:rsidRPr="00243279">
        <w:rPr>
          <w:vertAlign w:val="subscript"/>
          <w:lang w:eastAsia="ja-JP"/>
        </w:rPr>
        <w:t>2</w:t>
      </w:r>
      <w:r>
        <w:rPr>
          <w:lang w:eastAsia="ja-JP"/>
        </w:rPr>
        <w:t xml:space="preserve"> </w:t>
      </w:r>
      <w:r>
        <w:rPr>
          <w:rFonts w:ascii="ＭＳ ゴシック" w:eastAsia="ＭＳ ゴシック" w:hAnsi="ＭＳ ゴシック" w:cs="ＭＳ ゴシック" w:hint="eastAsia"/>
          <w:lang w:eastAsia="ja-JP"/>
        </w:rPr>
        <w:t>が使用段階で製品によって大気から除去される場合</w:t>
      </w:r>
      <w:r>
        <w:rPr>
          <w:lang w:eastAsia="ja-JP"/>
        </w:rPr>
        <w:t xml:space="preserve"> (</w:t>
      </w:r>
      <w:r>
        <w:rPr>
          <w:rFonts w:ascii="ＭＳ ゴシック" w:eastAsia="ＭＳ ゴシック" w:hAnsi="ＭＳ ゴシック" w:cs="ＭＳ ゴシック" w:hint="eastAsia"/>
          <w:lang w:eastAsia="ja-JP"/>
        </w:rPr>
        <w:t>例えば、セメントによる</w:t>
      </w:r>
      <w:r>
        <w:rPr>
          <w:lang w:eastAsia="ja-JP"/>
        </w:rPr>
        <w:t>CO</w:t>
      </w:r>
      <w:r w:rsidRPr="00243279">
        <w:rPr>
          <w:vertAlign w:val="subscript"/>
          <w:lang w:eastAsia="ja-JP"/>
        </w:rPr>
        <w:t>2</w:t>
      </w:r>
      <w:r>
        <w:rPr>
          <w:lang w:eastAsia="ja-JP"/>
        </w:rPr>
        <w:t xml:space="preserve"> </w:t>
      </w:r>
      <w:r>
        <w:rPr>
          <w:rFonts w:ascii="ＭＳ ゴシック" w:eastAsia="ＭＳ ゴシック" w:hAnsi="ＭＳ ゴシック" w:cs="ＭＳ ゴシック" w:hint="eastAsia"/>
          <w:lang w:eastAsia="ja-JP"/>
        </w:rPr>
        <w:t>の取り込み</w:t>
      </w:r>
      <w:r>
        <w:rPr>
          <w:lang w:eastAsia="ja-JP"/>
        </w:rPr>
        <w:t>)</w:t>
      </w:r>
      <w:r>
        <w:rPr>
          <w:rFonts w:ascii="ＭＳ ゴシック" w:eastAsia="ＭＳ ゴシック" w:hAnsi="ＭＳ ゴシック" w:cs="ＭＳ ゴシック" w:hint="eastAsia"/>
          <w:lang w:eastAsia="ja-JP"/>
        </w:rPr>
        <w:t>、除去データは製品の質量または体積当たりの除去率という形で得られるかもしれません。しかし、大気中の</w:t>
      </w:r>
      <w:r>
        <w:rPr>
          <w:lang w:eastAsia="ja-JP"/>
        </w:rPr>
        <w:t>CO</w:t>
      </w:r>
      <w:r w:rsidRPr="00243279">
        <w:rPr>
          <w:vertAlign w:val="subscript"/>
          <w:lang w:eastAsia="ja-JP"/>
        </w:rPr>
        <w:t>2</w:t>
      </w:r>
      <w:r>
        <w:rPr>
          <w:lang w:eastAsia="ja-JP"/>
        </w:rPr>
        <w:t xml:space="preserve"> </w:t>
      </w:r>
      <w:r>
        <w:rPr>
          <w:rFonts w:ascii="ＭＳ ゴシック" w:eastAsia="ＭＳ ゴシック" w:hAnsi="ＭＳ ゴシック" w:cs="ＭＳ ゴシック" w:hint="eastAsia"/>
          <w:lang w:eastAsia="ja-JP"/>
        </w:rPr>
        <w:t>除去の</w:t>
      </w:r>
      <w:r>
        <w:rPr>
          <w:lang w:eastAsia="ja-JP"/>
        </w:rPr>
        <w:t xml:space="preserve"> </w:t>
      </w:r>
      <w:r>
        <w:rPr>
          <w:rFonts w:ascii="ＭＳ ゴシック" w:eastAsia="ＭＳ ゴシック" w:hAnsi="ＭＳ ゴシック" w:cs="ＭＳ ゴシック" w:hint="eastAsia"/>
          <w:lang w:eastAsia="ja-JP"/>
        </w:rPr>
        <w:t>最も典型的な形態は、光合成中の生物学的取り込みによるものです。この場合、企業は通常、材料や製品に含まれる生物起源炭素の量のみを把握しています。これを</w:t>
      </w:r>
      <w:r>
        <w:rPr>
          <w:lang w:eastAsia="ja-JP"/>
        </w:rPr>
        <w:t xml:space="preserve"> CO</w:t>
      </w:r>
      <w:r w:rsidRPr="00243279">
        <w:rPr>
          <w:vertAlign w:val="subscript"/>
          <w:lang w:eastAsia="ja-JP"/>
        </w:rPr>
        <w:t>2</w:t>
      </w:r>
      <w:r>
        <w:rPr>
          <w:lang w:eastAsia="ja-JP"/>
        </w:rPr>
        <w:t xml:space="preserve"> </w:t>
      </w:r>
      <w:r>
        <w:rPr>
          <w:rFonts w:ascii="ＭＳ ゴシック" w:eastAsia="ＭＳ ゴシック" w:hAnsi="ＭＳ ゴシック" w:cs="ＭＳ ゴシック" w:hint="eastAsia"/>
          <w:lang w:eastAsia="ja-JP"/>
        </w:rPr>
        <w:t>に変換するために、炭素の量に、</w:t>
      </w:r>
      <w:r>
        <w:rPr>
          <w:lang w:eastAsia="ja-JP"/>
        </w:rPr>
        <w:t>CO</w:t>
      </w:r>
      <w:r w:rsidRPr="00243279">
        <w:rPr>
          <w:vertAlign w:val="subscript"/>
          <w:lang w:eastAsia="ja-JP"/>
        </w:rPr>
        <w:t>2</w:t>
      </w:r>
      <w:r>
        <w:rPr>
          <w:lang w:eastAsia="ja-JP"/>
        </w:rPr>
        <w:t xml:space="preserve"> </w:t>
      </w:r>
      <w:r>
        <w:rPr>
          <w:rFonts w:ascii="ＭＳ ゴシック" w:eastAsia="ＭＳ ゴシック" w:hAnsi="ＭＳ ゴシック" w:cs="ＭＳ ゴシック" w:hint="eastAsia"/>
          <w:lang w:eastAsia="ja-JP"/>
        </w:rPr>
        <w:t>の分子量（</w:t>
      </w:r>
      <w:r>
        <w:rPr>
          <w:lang w:eastAsia="ja-JP"/>
        </w:rPr>
        <w:t>44</w:t>
      </w:r>
      <w:r>
        <w:rPr>
          <w:rFonts w:ascii="ＭＳ ゴシック" w:eastAsia="ＭＳ ゴシック" w:hAnsi="ＭＳ ゴシック" w:cs="ＭＳ ゴシック" w:hint="eastAsia"/>
          <w:lang w:eastAsia="ja-JP"/>
        </w:rPr>
        <w:t>）と炭素の分子量（</w:t>
      </w:r>
      <w:r>
        <w:rPr>
          <w:lang w:eastAsia="ja-JP"/>
        </w:rPr>
        <w:t>12</w:t>
      </w:r>
      <w:r>
        <w:rPr>
          <w:rFonts w:ascii="ＭＳ ゴシック" w:eastAsia="ＭＳ ゴシック" w:hAnsi="ＭＳ ゴシック" w:cs="ＭＳ ゴシック" w:hint="eastAsia"/>
          <w:lang w:eastAsia="ja-JP"/>
        </w:rPr>
        <w:t>）の比をそれぞれ乗じます。</w:t>
      </w:r>
      <w:r>
        <w:rPr>
          <w:lang w:eastAsia="ja-JP"/>
        </w:rPr>
        <w:t>CO</w:t>
      </w:r>
      <w:r w:rsidRPr="00243279">
        <w:rPr>
          <w:vertAlign w:val="subscript"/>
          <w:lang w:eastAsia="ja-JP"/>
        </w:rPr>
        <w:t>2</w:t>
      </w:r>
      <w:r>
        <w:rPr>
          <w:lang w:eastAsia="ja-JP"/>
        </w:rPr>
        <w:t xml:space="preserve"> </w:t>
      </w:r>
      <w:r>
        <w:rPr>
          <w:rFonts w:ascii="ＭＳ ゴシック" w:eastAsia="ＭＳ ゴシック" w:hAnsi="ＭＳ ゴシック" w:cs="ＭＳ ゴシック" w:hint="eastAsia"/>
          <w:lang w:eastAsia="ja-JP"/>
        </w:rPr>
        <w:t>の除去データは、直接排出データのように排出係数を乗じる必要がなく、単純に</w:t>
      </w:r>
      <w:r>
        <w:rPr>
          <w:lang w:eastAsia="ja-JP"/>
        </w:rPr>
        <w:t>CO</w:t>
      </w:r>
      <w:r w:rsidRPr="00243279">
        <w:rPr>
          <w:vertAlign w:val="subscript"/>
          <w:lang w:eastAsia="ja-JP"/>
        </w:rPr>
        <w:t>2</w:t>
      </w:r>
      <w:r>
        <w:rPr>
          <w:lang w:eastAsia="ja-JP"/>
        </w:rPr>
        <w:t xml:space="preserve"> </w:t>
      </w:r>
      <w:r>
        <w:rPr>
          <w:rFonts w:ascii="ＭＳ ゴシック" w:eastAsia="ＭＳ ゴシック" w:hAnsi="ＭＳ ゴシック" w:cs="ＭＳ ゴシック" w:hint="eastAsia"/>
          <w:lang w:eastAsia="ja-JP"/>
        </w:rPr>
        <w:t>の</w:t>
      </w:r>
      <w:r>
        <w:rPr>
          <w:lang w:eastAsia="ja-JP"/>
        </w:rPr>
        <w:t>GWP</w:t>
      </w:r>
      <w:r>
        <w:rPr>
          <w:rFonts w:ascii="ＭＳ ゴシック" w:eastAsia="ＭＳ ゴシック" w:hAnsi="ＭＳ ゴシック" w:cs="ＭＳ ゴシック" w:hint="eastAsia"/>
          <w:lang w:eastAsia="ja-JP"/>
        </w:rPr>
        <w:t>である</w:t>
      </w:r>
      <w:r>
        <w:rPr>
          <w:lang w:eastAsia="ja-JP"/>
        </w:rPr>
        <w:t>1</w:t>
      </w:r>
      <w:r>
        <w:rPr>
          <w:rFonts w:ascii="ＭＳ ゴシック" w:eastAsia="ＭＳ ゴシック" w:hAnsi="ＭＳ ゴシック" w:cs="ＭＳ ゴシック" w:hint="eastAsia"/>
          <w:lang w:eastAsia="ja-JP"/>
        </w:rPr>
        <w:t>を乗じればよいのです。</w:t>
      </w:r>
    </w:p>
    <w:p w14:paraId="4EE92025" w14:textId="2F1D712C" w:rsidR="00243279" w:rsidRPr="00243279" w:rsidRDefault="00F23C61" w:rsidP="00243279">
      <w:pPr>
        <w:pStyle w:val="9"/>
        <w:spacing w:before="143" w:line="138" w:lineRule="exact"/>
        <w:ind w:left="239"/>
        <w:rPr>
          <w:color w:val="545456"/>
          <w:spacing w:val="-3"/>
          <w:w w:val="95"/>
        </w:rPr>
        <w:sectPr w:rsidR="00243279" w:rsidRPr="00243279">
          <w:type w:val="continuous"/>
          <w:pgSz w:w="12240" w:h="15840"/>
          <w:pgMar w:top="740" w:right="0" w:bottom="280" w:left="0" w:header="0" w:footer="859" w:gutter="0"/>
          <w:cols w:num="2" w:space="720" w:equalWidth="0">
            <w:col w:w="5982" w:space="40"/>
            <w:col w:w="6218"/>
          </w:cols>
        </w:sectPr>
      </w:pPr>
      <w:r>
        <w:rPr>
          <w:color w:val="545456"/>
          <w:spacing w:val="-4"/>
          <w:w w:val="95"/>
        </w:rPr>
        <w:t>kg</w:t>
      </w:r>
      <w:r>
        <w:rPr>
          <w:color w:val="545456"/>
          <w:spacing w:val="-14"/>
          <w:w w:val="95"/>
        </w:rPr>
        <w:t xml:space="preserve"> </w:t>
      </w:r>
      <w:r>
        <w:rPr>
          <w:color w:val="545456"/>
          <w:spacing w:val="-4"/>
          <w:w w:val="95"/>
        </w:rPr>
        <w:t>CO</w:t>
      </w:r>
      <w:r w:rsidR="00243279" w:rsidRPr="00243279">
        <w:rPr>
          <w:rFonts w:ascii="ＭＳ 明朝" w:eastAsia="ＭＳ 明朝" w:hAnsi="ＭＳ 明朝" w:cs="ＭＳ 明朝" w:hint="eastAsia"/>
          <w:color w:val="545456"/>
          <w:spacing w:val="7"/>
          <w:w w:val="95"/>
          <w:vertAlign w:val="subscript"/>
          <w:lang w:eastAsia="ja-JP"/>
        </w:rPr>
        <w:t>２</w:t>
      </w:r>
      <w:r>
        <w:rPr>
          <w:color w:val="545456"/>
          <w:spacing w:val="-4"/>
          <w:w w:val="95"/>
        </w:rPr>
        <w:t>e</w:t>
      </w:r>
      <w:r>
        <w:rPr>
          <w:color w:val="545456"/>
          <w:spacing w:val="28"/>
          <w:w w:val="95"/>
        </w:rPr>
        <w:t xml:space="preserve"> </w:t>
      </w:r>
      <w:r>
        <w:rPr>
          <w:color w:val="00ACA1"/>
          <w:spacing w:val="-4"/>
          <w:w w:val="95"/>
        </w:rPr>
        <w:t>=</w:t>
      </w:r>
      <w:r>
        <w:rPr>
          <w:color w:val="00ACA1"/>
          <w:spacing w:val="27"/>
          <w:w w:val="95"/>
        </w:rPr>
        <w:t xml:space="preserve"> </w:t>
      </w:r>
      <w:r>
        <w:rPr>
          <w:color w:val="545456"/>
          <w:spacing w:val="-4"/>
          <w:w w:val="95"/>
        </w:rPr>
        <w:t>kg</w:t>
      </w:r>
      <w:r>
        <w:rPr>
          <w:color w:val="545456"/>
          <w:spacing w:val="-13"/>
          <w:w w:val="95"/>
        </w:rPr>
        <w:t xml:space="preserve"> </w:t>
      </w:r>
      <w:r w:rsidR="00243279">
        <w:rPr>
          <w:rFonts w:ascii="ＭＳ 明朝" w:eastAsia="ＭＳ 明朝" w:hAnsi="ＭＳ 明朝" w:cs="ＭＳ 明朝" w:hint="eastAsia"/>
          <w:color w:val="545456"/>
          <w:spacing w:val="-4"/>
          <w:w w:val="95"/>
          <w:lang w:eastAsia="ja-JP"/>
        </w:rPr>
        <w:t>生物起源炭素</w:t>
      </w:r>
      <w:r>
        <w:rPr>
          <w:color w:val="545456"/>
          <w:spacing w:val="27"/>
          <w:w w:val="95"/>
        </w:rPr>
        <w:t xml:space="preserve"> </w:t>
      </w:r>
      <w:r>
        <w:rPr>
          <w:color w:val="00ACA1"/>
          <w:spacing w:val="-4"/>
          <w:w w:val="95"/>
        </w:rPr>
        <w:t>x</w:t>
      </w:r>
      <w:r>
        <w:rPr>
          <w:color w:val="00ACA1"/>
          <w:spacing w:val="28"/>
          <w:w w:val="95"/>
        </w:rPr>
        <w:t xml:space="preserve"> </w:t>
      </w:r>
      <w:r>
        <w:rPr>
          <w:color w:val="545456"/>
          <w:spacing w:val="-4"/>
          <w:w w:val="95"/>
        </w:rPr>
        <w:t>(44/12)</w:t>
      </w:r>
      <w:r>
        <w:rPr>
          <w:color w:val="545456"/>
          <w:spacing w:val="28"/>
          <w:w w:val="95"/>
        </w:rPr>
        <w:t xml:space="preserve"> </w:t>
      </w:r>
      <w:r>
        <w:rPr>
          <w:color w:val="00ACA1"/>
          <w:spacing w:val="-3"/>
          <w:w w:val="95"/>
        </w:rPr>
        <w:t>x</w:t>
      </w:r>
      <w:r>
        <w:rPr>
          <w:color w:val="00ACA1"/>
          <w:spacing w:val="28"/>
          <w:w w:val="95"/>
        </w:rPr>
        <w:t xml:space="preserve"> </w:t>
      </w:r>
      <w:r>
        <w:rPr>
          <w:color w:val="545456"/>
          <w:spacing w:val="-3"/>
          <w:w w:val="95"/>
        </w:rPr>
        <w:t>GWP</w:t>
      </w:r>
      <w:r w:rsidR="006C6B58">
        <w:rPr>
          <w:color w:val="545456"/>
          <w:spacing w:val="-4"/>
          <w:w w:val="95"/>
          <w:sz w:val="14"/>
        </w:rPr>
        <w:t>[kg</w:t>
      </w:r>
      <w:r w:rsidR="006C6B58">
        <w:rPr>
          <w:color w:val="545456"/>
          <w:spacing w:val="-10"/>
          <w:w w:val="95"/>
          <w:sz w:val="14"/>
        </w:rPr>
        <w:t xml:space="preserve"> </w:t>
      </w:r>
      <w:r w:rsidR="006C6B58">
        <w:rPr>
          <w:color w:val="545456"/>
          <w:spacing w:val="-4"/>
          <w:w w:val="95"/>
          <w:sz w:val="14"/>
        </w:rPr>
        <w:t>CO</w:t>
      </w:r>
      <w:r w:rsidR="006C6B58">
        <w:rPr>
          <w:color w:val="545456"/>
          <w:spacing w:val="-4"/>
          <w:w w:val="95"/>
          <w:sz w:val="14"/>
          <w:vertAlign w:val="subscript"/>
        </w:rPr>
        <w:t>2</w:t>
      </w:r>
      <w:r w:rsidR="006C6B58">
        <w:rPr>
          <w:color w:val="545456"/>
          <w:spacing w:val="-4"/>
          <w:w w:val="95"/>
          <w:sz w:val="14"/>
        </w:rPr>
        <w:t>e/kg</w:t>
      </w:r>
      <w:r w:rsidR="006C6B58">
        <w:rPr>
          <w:color w:val="545456"/>
          <w:spacing w:val="-9"/>
          <w:w w:val="95"/>
          <w:sz w:val="14"/>
        </w:rPr>
        <w:t xml:space="preserve"> </w:t>
      </w:r>
      <w:r w:rsidR="006C6B58">
        <w:rPr>
          <w:color w:val="545456"/>
          <w:spacing w:val="-3"/>
          <w:w w:val="95"/>
          <w:sz w:val="14"/>
        </w:rPr>
        <w:t>GHG]</w:t>
      </w:r>
    </w:p>
    <w:p w14:paraId="1C5A793F" w14:textId="67FBF6F2" w:rsidR="0055291C" w:rsidRPr="00836E5F" w:rsidRDefault="0055291C" w:rsidP="00243279">
      <w:pPr>
        <w:pStyle w:val="a3"/>
        <w:tabs>
          <w:tab w:val="right" w:pos="6811"/>
        </w:tabs>
        <w:rPr>
          <w:rFonts w:ascii="Arial"/>
          <w:b/>
          <w:i/>
        </w:rPr>
      </w:pPr>
    </w:p>
    <w:p w14:paraId="55EA24E7" w14:textId="4A07FA62" w:rsidR="0055291C" w:rsidRDefault="00F23C61">
      <w:pPr>
        <w:spacing w:before="107"/>
        <w:ind w:left="1133"/>
        <w:rPr>
          <w:rFonts w:ascii="Arial"/>
          <w:b/>
          <w:i/>
          <w:sz w:val="14"/>
        </w:rPr>
      </w:pPr>
      <w:r>
        <w:br w:type="column"/>
      </w:r>
    </w:p>
    <w:p w14:paraId="1296828B" w14:textId="77777777" w:rsidR="0055291C" w:rsidRDefault="0055291C">
      <w:pPr>
        <w:rPr>
          <w:rFonts w:ascii="Arial"/>
          <w:sz w:val="14"/>
        </w:rPr>
        <w:sectPr w:rsidR="0055291C">
          <w:type w:val="continuous"/>
          <w:pgSz w:w="12240" w:h="15840"/>
          <w:pgMar w:top="740" w:right="0" w:bottom="280" w:left="0" w:header="0" w:footer="859" w:gutter="0"/>
          <w:cols w:num="2" w:space="720" w:equalWidth="0">
            <w:col w:w="6852" w:space="1846"/>
            <w:col w:w="3542"/>
          </w:cols>
        </w:sectPr>
      </w:pPr>
    </w:p>
    <w:p w14:paraId="271FA1A5" w14:textId="77777777" w:rsidR="0055291C" w:rsidRDefault="0055291C">
      <w:pPr>
        <w:pStyle w:val="a3"/>
        <w:spacing w:before="1"/>
        <w:rPr>
          <w:sz w:val="18"/>
        </w:rPr>
      </w:pPr>
    </w:p>
    <w:p w14:paraId="0388FD74" w14:textId="0EF4814C" w:rsidR="0055291C" w:rsidRDefault="00836E5F" w:rsidP="002264BD">
      <w:pPr>
        <w:pStyle w:val="a3"/>
        <w:spacing w:line="312" w:lineRule="auto"/>
        <w:ind w:left="851" w:right="442" w:firstLineChars="100" w:firstLine="190"/>
        <w:rPr>
          <w:lang w:eastAsia="ja-JP"/>
        </w:rPr>
      </w:pPr>
      <w:r w:rsidRPr="00836E5F">
        <w:rPr>
          <w:rFonts w:ascii="ＭＳ ゴシック" w:eastAsia="ＭＳ ゴシック" w:hAnsi="ＭＳ ゴシック" w:cs="ＭＳ ゴシック" w:hint="eastAsia"/>
          <w:color w:val="545456"/>
          <w:lang w:eastAsia="ja-JP"/>
        </w:rPr>
        <w:t>放射強制力を考慮した乗数やその他の補正を</w:t>
      </w:r>
      <w:r w:rsidRPr="00836E5F">
        <w:rPr>
          <w:color w:val="545456"/>
          <w:lang w:eastAsia="ja-JP"/>
        </w:rPr>
        <w:t xml:space="preserve">GWP </w:t>
      </w:r>
      <w:r w:rsidRPr="00836E5F">
        <w:rPr>
          <w:rFonts w:ascii="ＭＳ ゴシック" w:eastAsia="ＭＳ ゴシック" w:hAnsi="ＭＳ ゴシック" w:cs="ＭＳ ゴシック" w:hint="eastAsia"/>
          <w:color w:val="545456"/>
          <w:lang w:eastAsia="ja-JP"/>
        </w:rPr>
        <w:t>に適用することができ</w:t>
      </w:r>
      <w:r>
        <w:rPr>
          <w:rFonts w:ascii="ＭＳ ゴシック" w:eastAsia="ＭＳ ゴシック" w:hAnsi="ＭＳ ゴシック" w:cs="ＭＳ ゴシック" w:hint="eastAsia"/>
          <w:color w:val="545456"/>
          <w:lang w:eastAsia="ja-JP"/>
        </w:rPr>
        <w:t>ます</w:t>
      </w:r>
      <w:r w:rsidRPr="00836E5F">
        <w:rPr>
          <w:rFonts w:ascii="ＭＳ ゴシック" w:eastAsia="ＭＳ ゴシック" w:hAnsi="ＭＳ ゴシック" w:cs="ＭＳ ゴシック" w:hint="eastAsia"/>
          <w:color w:val="545456"/>
          <w:lang w:eastAsia="ja-JP"/>
        </w:rPr>
        <w:t>。航空機輸送に起因する排出物の</w:t>
      </w:r>
      <w:r w:rsidRPr="00836E5F">
        <w:rPr>
          <w:color w:val="545456"/>
          <w:lang w:eastAsia="ja-JP"/>
        </w:rPr>
        <w:t>GWP</w:t>
      </w:r>
      <w:r w:rsidRPr="00836E5F">
        <w:rPr>
          <w:rFonts w:ascii="ＭＳ ゴシック" w:eastAsia="ＭＳ ゴシック" w:hAnsi="ＭＳ ゴシック" w:cs="ＭＳ ゴシック" w:hint="eastAsia"/>
          <w:color w:val="545456"/>
          <w:lang w:eastAsia="ja-JP"/>
        </w:rPr>
        <w:t>には、放射強制力を考慮した乗数や他の補正が適用される場合があ</w:t>
      </w:r>
      <w:r>
        <w:rPr>
          <w:rFonts w:ascii="ＭＳ ゴシック" w:eastAsia="ＭＳ ゴシック" w:hAnsi="ＭＳ ゴシック" w:cs="ＭＳ ゴシック" w:hint="eastAsia"/>
          <w:color w:val="545456"/>
          <w:lang w:eastAsia="ja-JP"/>
        </w:rPr>
        <w:t>ります</w:t>
      </w:r>
      <w:r w:rsidRPr="00836E5F">
        <w:rPr>
          <w:rFonts w:ascii="ＭＳ ゴシック" w:eastAsia="ＭＳ ゴシック" w:hAnsi="ＭＳ ゴシック" w:cs="ＭＳ ゴシック" w:hint="eastAsia"/>
          <w:color w:val="545456"/>
          <w:lang w:eastAsia="ja-JP"/>
        </w:rPr>
        <w:t>。使用する場合、</w:t>
      </w:r>
      <w:r>
        <w:rPr>
          <w:rFonts w:ascii="ＭＳ ゴシック" w:eastAsia="ＭＳ ゴシック" w:hAnsi="ＭＳ ゴシック" w:cs="ＭＳ ゴシック" w:hint="eastAsia"/>
          <w:color w:val="545456"/>
          <w:lang w:eastAsia="ja-JP"/>
        </w:rPr>
        <w:t>乗数</w:t>
      </w:r>
      <w:r w:rsidRPr="00836E5F">
        <w:rPr>
          <w:rFonts w:ascii="ＭＳ ゴシック" w:eastAsia="ＭＳ ゴシック" w:hAnsi="ＭＳ ゴシック" w:cs="ＭＳ ゴシック" w:hint="eastAsia"/>
          <w:color w:val="545456"/>
          <w:lang w:eastAsia="ja-JP"/>
        </w:rPr>
        <w:t>の種類と出典を報告書で</w:t>
      </w:r>
      <w:r>
        <w:rPr>
          <w:rFonts w:ascii="ＭＳ ゴシック" w:eastAsia="ＭＳ ゴシック" w:hAnsi="ＭＳ ゴシック" w:cs="ＭＳ ゴシック" w:hint="eastAsia"/>
          <w:color w:val="545456"/>
          <w:lang w:eastAsia="ja-JP"/>
        </w:rPr>
        <w:t>明示</w:t>
      </w:r>
      <w:r w:rsidRPr="00836E5F">
        <w:rPr>
          <w:rFonts w:ascii="ＭＳ ゴシック" w:eastAsia="ＭＳ ゴシック" w:hAnsi="ＭＳ ゴシック" w:cs="ＭＳ ゴシック" w:hint="eastAsia"/>
          <w:color w:val="545456"/>
          <w:lang w:eastAsia="ja-JP"/>
        </w:rPr>
        <w:t>すべきで</w:t>
      </w:r>
      <w:r>
        <w:rPr>
          <w:rFonts w:ascii="ＭＳ ゴシック" w:eastAsia="ＭＳ ゴシック" w:hAnsi="ＭＳ ゴシック" w:cs="ＭＳ ゴシック" w:hint="eastAsia"/>
          <w:color w:val="545456"/>
          <w:lang w:eastAsia="ja-JP"/>
        </w:rPr>
        <w:t>す</w:t>
      </w:r>
      <w:r w:rsidRPr="00836E5F">
        <w:rPr>
          <w:rFonts w:ascii="ＭＳ ゴシック" w:eastAsia="ＭＳ ゴシック" w:hAnsi="ＭＳ ゴシック" w:cs="ＭＳ ゴシック" w:hint="eastAsia"/>
          <w:color w:val="545456"/>
          <w:lang w:eastAsia="ja-JP"/>
        </w:rPr>
        <w:t>。</w:t>
      </w:r>
    </w:p>
    <w:p w14:paraId="396FFBB2" w14:textId="0BFFBECB" w:rsidR="0055291C" w:rsidRDefault="00836E5F">
      <w:pPr>
        <w:pStyle w:val="a5"/>
        <w:numPr>
          <w:ilvl w:val="0"/>
          <w:numId w:val="35"/>
        </w:numPr>
        <w:tabs>
          <w:tab w:val="left" w:pos="1276"/>
          <w:tab w:val="left" w:pos="1853"/>
          <w:tab w:val="left" w:pos="1854"/>
        </w:tabs>
        <w:spacing w:before="148"/>
        <w:ind w:left="1560" w:right="442" w:hanging="425"/>
        <w:rPr>
          <w:rFonts w:ascii="Arial"/>
          <w:b/>
          <w:i/>
          <w:sz w:val="18"/>
          <w:lang w:eastAsia="ja-JP"/>
        </w:rPr>
      </w:pPr>
      <w:r>
        <w:rPr>
          <w:rFonts w:ascii="ＭＳ ゴシック" w:eastAsia="ＭＳ ゴシック" w:hAnsi="ＭＳ ゴシック" w:cs="ＭＳ ゴシック" w:hint="eastAsia"/>
          <w:b/>
          <w:i/>
          <w:color w:val="7F3F98"/>
          <w:sz w:val="18"/>
          <w:lang w:eastAsia="ja-JP"/>
        </w:rPr>
        <w:t>データを用いた</w:t>
      </w:r>
      <w:r w:rsidR="00F23C61">
        <w:rPr>
          <w:rFonts w:ascii="Arial"/>
          <w:b/>
          <w:i/>
          <w:color w:val="7F3F98"/>
          <w:spacing w:val="12"/>
          <w:sz w:val="18"/>
          <w:lang w:eastAsia="ja-JP"/>
        </w:rPr>
        <w:t xml:space="preserve"> </w:t>
      </w:r>
      <w:r w:rsidR="00F23C61">
        <w:rPr>
          <w:rFonts w:ascii="Arial"/>
          <w:b/>
          <w:i/>
          <w:color w:val="7F3F98"/>
          <w:sz w:val="18"/>
          <w:lang w:eastAsia="ja-JP"/>
        </w:rPr>
        <w:t>CO</w:t>
      </w:r>
      <w:r w:rsidR="00F23C61">
        <w:rPr>
          <w:rFonts w:ascii="Arial"/>
          <w:b/>
          <w:i/>
          <w:color w:val="7F3F98"/>
          <w:sz w:val="18"/>
          <w:vertAlign w:val="subscript"/>
          <w:lang w:eastAsia="ja-JP"/>
        </w:rPr>
        <w:t>2</w:t>
      </w:r>
      <w:r w:rsidR="00F23C61">
        <w:rPr>
          <w:rFonts w:ascii="Arial"/>
          <w:b/>
          <w:i/>
          <w:color w:val="7F3F98"/>
          <w:sz w:val="18"/>
          <w:lang w:eastAsia="ja-JP"/>
        </w:rPr>
        <w:t>e</w:t>
      </w:r>
      <w:r>
        <w:rPr>
          <w:rFonts w:ascii="ＭＳ ゴシック" w:eastAsia="ＭＳ ゴシック" w:hAnsi="ＭＳ ゴシック" w:cs="ＭＳ ゴシック" w:hint="eastAsia"/>
          <w:b/>
          <w:i/>
          <w:color w:val="7F3F98"/>
          <w:sz w:val="18"/>
          <w:lang w:eastAsia="ja-JP"/>
        </w:rPr>
        <w:t>の計算</w:t>
      </w:r>
    </w:p>
    <w:p w14:paraId="1817AA1E" w14:textId="2436FD1D" w:rsidR="0055291C" w:rsidRDefault="00836E5F" w:rsidP="00243279">
      <w:pPr>
        <w:pStyle w:val="a3"/>
        <w:spacing w:before="67" w:line="312" w:lineRule="auto"/>
        <w:ind w:left="851" w:right="442" w:firstLineChars="100" w:firstLine="190"/>
        <w:rPr>
          <w:lang w:eastAsia="ja-JP"/>
        </w:rPr>
      </w:pPr>
      <w:r>
        <w:rPr>
          <w:rFonts w:ascii="ＭＳ ゴシック" w:eastAsia="ＭＳ ゴシック" w:hAnsi="ＭＳ ゴシック" w:cs="ＭＳ ゴシック" w:hint="eastAsia"/>
          <w:lang w:eastAsia="ja-JP"/>
        </w:rPr>
        <w:t>以下の式は、活動データ、排出係数、</w:t>
      </w:r>
      <w:r>
        <w:rPr>
          <w:lang w:eastAsia="ja-JP"/>
        </w:rPr>
        <w:t>GWP</w:t>
      </w:r>
      <w:r>
        <w:rPr>
          <w:rFonts w:ascii="ＭＳ ゴシック" w:eastAsia="ＭＳ ゴシック" w:hAnsi="ＭＳ ゴシック" w:cs="ＭＳ ゴシック" w:hint="eastAsia"/>
          <w:lang w:eastAsia="ja-JP"/>
        </w:rPr>
        <w:t>に基づき、</w:t>
      </w:r>
      <w:r>
        <w:rPr>
          <w:lang w:eastAsia="ja-JP"/>
        </w:rPr>
        <w:t xml:space="preserve"> </w:t>
      </w:r>
      <w:r>
        <w:rPr>
          <w:rFonts w:ascii="ＭＳ ゴシック" w:eastAsia="ＭＳ ゴシック" w:hAnsi="ＭＳ ゴシック" w:cs="ＭＳ ゴシック" w:hint="eastAsia"/>
          <w:lang w:eastAsia="ja-JP"/>
        </w:rPr>
        <w:t>入力、出力、各工程の</w:t>
      </w:r>
      <w:r>
        <w:rPr>
          <w:lang w:eastAsia="ja-JP"/>
        </w:rPr>
        <w:t xml:space="preserve"> CO</w:t>
      </w:r>
      <w:r w:rsidRPr="00836E5F">
        <w:rPr>
          <w:vertAlign w:val="subscript"/>
          <w:lang w:eastAsia="ja-JP"/>
        </w:rPr>
        <w:t>2</w:t>
      </w:r>
      <w:r>
        <w:rPr>
          <w:lang w:eastAsia="ja-JP"/>
        </w:rPr>
        <w:t xml:space="preserve"> e</w:t>
      </w:r>
      <w:r>
        <w:rPr>
          <w:rFonts w:ascii="ＭＳ ゴシック" w:eastAsia="ＭＳ ゴシック" w:hAnsi="ＭＳ ゴシック" w:cs="ＭＳ ゴシック" w:hint="eastAsia"/>
          <w:lang w:eastAsia="ja-JP"/>
        </w:rPr>
        <w:t>を計算する方法を示しています。データ収集と排出係数の出典に関するより詳細な情報は、第</w:t>
      </w:r>
      <w:r>
        <w:rPr>
          <w:lang w:eastAsia="ja-JP"/>
        </w:rPr>
        <w:t>8</w:t>
      </w:r>
      <w:r>
        <w:rPr>
          <w:rFonts w:ascii="ＭＳ ゴシック" w:eastAsia="ＭＳ ゴシック" w:hAnsi="ＭＳ ゴシック" w:cs="ＭＳ ゴシック" w:hint="eastAsia"/>
          <w:lang w:eastAsia="ja-JP"/>
        </w:rPr>
        <w:t>章に掲載されています。</w:t>
      </w:r>
    </w:p>
    <w:p w14:paraId="5EE5FB31" w14:textId="402DE578" w:rsidR="0055291C" w:rsidRDefault="00836E5F" w:rsidP="00243279">
      <w:pPr>
        <w:pStyle w:val="a3"/>
        <w:spacing w:before="142" w:line="312" w:lineRule="auto"/>
        <w:ind w:left="851" w:right="726" w:firstLineChars="100" w:firstLine="190"/>
        <w:rPr>
          <w:lang w:eastAsia="ja-JP"/>
        </w:rPr>
      </w:pPr>
      <w:r>
        <w:rPr>
          <w:rFonts w:ascii="ＭＳ ゴシック" w:eastAsia="ＭＳ ゴシック" w:hAnsi="ＭＳ ゴシック" w:cs="ＭＳ ゴシック" w:hint="eastAsia"/>
          <w:lang w:eastAsia="ja-JP"/>
        </w:rPr>
        <w:t>工程</w:t>
      </w:r>
      <w:r w:rsidR="002264BD">
        <w:rPr>
          <w:rFonts w:ascii="ＭＳ ゴシック" w:eastAsia="ＭＳ ゴシック" w:hAnsi="ＭＳ ゴシック" w:cs="ＭＳ ゴシック" w:hint="eastAsia"/>
          <w:lang w:eastAsia="ja-JP"/>
        </w:rPr>
        <w:t>活動データ</w:t>
      </w:r>
      <w:r>
        <w:rPr>
          <w:rFonts w:ascii="ＭＳ ゴシック" w:eastAsia="ＭＳ ゴシック" w:hAnsi="ＭＳ ゴシック" w:cs="ＭＳ ゴシック" w:hint="eastAsia"/>
          <w:lang w:eastAsia="ja-JP"/>
        </w:rPr>
        <w:t>または財務活動データを収集した場合、入力</w:t>
      </w:r>
      <w:r>
        <w:rPr>
          <w:lang w:eastAsia="ja-JP"/>
        </w:rPr>
        <w:t xml:space="preserve"> </w:t>
      </w:r>
      <w:r>
        <w:rPr>
          <w:rFonts w:ascii="ＭＳ ゴシック" w:eastAsia="ＭＳ ゴシック" w:hAnsi="ＭＳ ゴシック" w:cs="ＭＳ ゴシック" w:hint="eastAsia"/>
          <w:lang w:eastAsia="ja-JP"/>
        </w:rPr>
        <w:t>、出力、または</w:t>
      </w:r>
      <w:r w:rsidR="002264BD">
        <w:rPr>
          <w:rFonts w:ascii="ＭＳ ゴシック" w:eastAsia="ＭＳ ゴシック" w:hAnsi="ＭＳ ゴシック" w:cs="ＭＳ ゴシック" w:hint="eastAsia"/>
          <w:lang w:eastAsia="ja-JP"/>
        </w:rPr>
        <w:t>工程</w:t>
      </w:r>
      <w:r>
        <w:rPr>
          <w:rFonts w:ascii="ＭＳ ゴシック" w:eastAsia="ＭＳ ゴシック" w:hAnsi="ＭＳ ゴシック" w:cs="ＭＳ ゴシック" w:hint="eastAsia"/>
          <w:lang w:eastAsia="ja-JP"/>
        </w:rPr>
        <w:t>の</w:t>
      </w:r>
      <w:r>
        <w:rPr>
          <w:lang w:eastAsia="ja-JP"/>
        </w:rPr>
        <w:t xml:space="preserve"> CO</w:t>
      </w:r>
      <w:r w:rsidRPr="002264BD">
        <w:rPr>
          <w:vertAlign w:val="subscript"/>
          <w:lang w:eastAsia="ja-JP"/>
        </w:rPr>
        <w:t>2</w:t>
      </w:r>
      <w:r>
        <w:rPr>
          <w:lang w:eastAsia="ja-JP"/>
        </w:rPr>
        <w:t xml:space="preserve"> e </w:t>
      </w:r>
      <w:r>
        <w:rPr>
          <w:rFonts w:ascii="ＭＳ ゴシック" w:eastAsia="ＭＳ ゴシック" w:hAnsi="ＭＳ ゴシック" w:cs="ＭＳ ゴシック" w:hint="eastAsia"/>
          <w:lang w:eastAsia="ja-JP"/>
        </w:rPr>
        <w:t>を計算する基本的な</w:t>
      </w:r>
      <w:r>
        <w:rPr>
          <w:lang w:eastAsia="ja-JP"/>
        </w:rPr>
        <w:t xml:space="preserve"> </w:t>
      </w:r>
      <w:r>
        <w:rPr>
          <w:rFonts w:ascii="ＭＳ ゴシック" w:eastAsia="ＭＳ ゴシック" w:hAnsi="ＭＳ ゴシック" w:cs="ＭＳ ゴシック" w:hint="eastAsia"/>
          <w:lang w:eastAsia="ja-JP"/>
        </w:rPr>
        <w:t>方程式は次のとおりです。</w:t>
      </w:r>
    </w:p>
    <w:p w14:paraId="37E26CC7" w14:textId="136436DF" w:rsidR="0055291C" w:rsidRDefault="00F23C61">
      <w:pPr>
        <w:pStyle w:val="9"/>
        <w:spacing w:before="138"/>
        <w:ind w:left="1133"/>
        <w:rPr>
          <w:lang w:eastAsia="ja-JP"/>
        </w:rPr>
      </w:pPr>
      <w:r>
        <w:rPr>
          <w:color w:val="545456"/>
          <w:w w:val="90"/>
          <w:lang w:eastAsia="ja-JP"/>
        </w:rPr>
        <w:t>kg</w:t>
      </w:r>
      <w:r>
        <w:rPr>
          <w:color w:val="545456"/>
          <w:spacing w:val="-10"/>
          <w:w w:val="90"/>
          <w:lang w:eastAsia="ja-JP"/>
        </w:rPr>
        <w:t xml:space="preserve"> </w:t>
      </w:r>
      <w:r>
        <w:rPr>
          <w:color w:val="545456"/>
          <w:w w:val="90"/>
          <w:lang w:eastAsia="ja-JP"/>
        </w:rPr>
        <w:t>CO</w:t>
      </w:r>
      <w:r>
        <w:rPr>
          <w:color w:val="545456"/>
          <w:w w:val="90"/>
          <w:vertAlign w:val="subscript"/>
          <w:lang w:eastAsia="ja-JP"/>
        </w:rPr>
        <w:t>2</w:t>
      </w:r>
      <w:r>
        <w:rPr>
          <w:color w:val="545456"/>
          <w:w w:val="90"/>
          <w:lang w:eastAsia="ja-JP"/>
        </w:rPr>
        <w:t>e</w:t>
      </w:r>
      <w:r>
        <w:rPr>
          <w:color w:val="545456"/>
          <w:spacing w:val="33"/>
          <w:w w:val="90"/>
          <w:lang w:eastAsia="ja-JP"/>
        </w:rPr>
        <w:t xml:space="preserve"> </w:t>
      </w:r>
      <w:r>
        <w:rPr>
          <w:color w:val="00ACA1"/>
          <w:w w:val="90"/>
          <w:lang w:eastAsia="ja-JP"/>
        </w:rPr>
        <w:t>=</w:t>
      </w:r>
      <w:r>
        <w:rPr>
          <w:color w:val="00ACA1"/>
          <w:spacing w:val="33"/>
          <w:w w:val="90"/>
          <w:lang w:eastAsia="ja-JP"/>
        </w:rPr>
        <w:t xml:space="preserve"> </w:t>
      </w:r>
      <w:r w:rsidR="002264BD">
        <w:rPr>
          <w:rFonts w:ascii="ＭＳ 明朝" w:eastAsia="ＭＳ 明朝" w:hAnsi="ＭＳ 明朝" w:cs="ＭＳ 明朝" w:hint="eastAsia"/>
          <w:color w:val="545456"/>
          <w:w w:val="90"/>
          <w:lang w:eastAsia="ja-JP"/>
        </w:rPr>
        <w:t>活動データ</w:t>
      </w:r>
      <w:r>
        <w:rPr>
          <w:color w:val="545456"/>
          <w:spacing w:val="33"/>
          <w:w w:val="90"/>
          <w:lang w:eastAsia="ja-JP"/>
        </w:rPr>
        <w:t xml:space="preserve"> </w:t>
      </w:r>
      <w:r>
        <w:rPr>
          <w:color w:val="00ACA1"/>
          <w:w w:val="90"/>
          <w:lang w:eastAsia="ja-JP"/>
        </w:rPr>
        <w:t>x</w:t>
      </w:r>
      <w:r>
        <w:rPr>
          <w:color w:val="00ACA1"/>
          <w:spacing w:val="33"/>
          <w:w w:val="90"/>
          <w:lang w:eastAsia="ja-JP"/>
        </w:rPr>
        <w:t xml:space="preserve"> </w:t>
      </w:r>
      <w:r w:rsidR="002264BD">
        <w:rPr>
          <w:rFonts w:ascii="ＭＳ 明朝" w:eastAsia="ＭＳ 明朝" w:hAnsi="ＭＳ 明朝" w:cs="ＭＳ 明朝" w:hint="eastAsia"/>
          <w:color w:val="545456"/>
          <w:w w:val="90"/>
          <w:lang w:eastAsia="ja-JP"/>
        </w:rPr>
        <w:t>排出係数</w:t>
      </w:r>
      <w:r>
        <w:rPr>
          <w:color w:val="545456"/>
          <w:spacing w:val="33"/>
          <w:w w:val="90"/>
          <w:lang w:eastAsia="ja-JP"/>
        </w:rPr>
        <w:t xml:space="preserve"> </w:t>
      </w:r>
      <w:r>
        <w:rPr>
          <w:color w:val="00ACA1"/>
          <w:w w:val="90"/>
          <w:lang w:eastAsia="ja-JP"/>
        </w:rPr>
        <w:t>x</w:t>
      </w:r>
      <w:r>
        <w:rPr>
          <w:color w:val="00ACA1"/>
          <w:spacing w:val="33"/>
          <w:w w:val="90"/>
          <w:lang w:eastAsia="ja-JP"/>
        </w:rPr>
        <w:t xml:space="preserve"> </w:t>
      </w:r>
      <w:r>
        <w:rPr>
          <w:color w:val="545456"/>
          <w:w w:val="90"/>
          <w:lang w:eastAsia="ja-JP"/>
        </w:rPr>
        <w:t>GWP</w:t>
      </w:r>
    </w:p>
    <w:p w14:paraId="0473F04E" w14:textId="2EE529FF" w:rsidR="0055291C" w:rsidRDefault="00F23C61" w:rsidP="002264BD">
      <w:pPr>
        <w:tabs>
          <w:tab w:val="left" w:pos="3059"/>
          <w:tab w:val="left" w:pos="4339"/>
        </w:tabs>
        <w:spacing w:before="9"/>
        <w:ind w:left="2004"/>
        <w:rPr>
          <w:rFonts w:ascii="Arial"/>
          <w:b/>
          <w:i/>
          <w:sz w:val="14"/>
          <w:lang w:eastAsia="ja-JP"/>
        </w:rPr>
      </w:pPr>
      <w:r>
        <w:rPr>
          <w:rFonts w:ascii="Arial"/>
          <w:b/>
          <w:i/>
          <w:color w:val="545456"/>
          <w:sz w:val="14"/>
          <w:lang w:eastAsia="ja-JP"/>
        </w:rPr>
        <w:t>(unit)</w:t>
      </w:r>
      <w:r w:rsidR="002264BD">
        <w:rPr>
          <w:rFonts w:ascii="Arial"/>
          <w:b/>
          <w:i/>
          <w:color w:val="545456"/>
          <w:sz w:val="14"/>
          <w:lang w:eastAsia="ja-JP"/>
        </w:rPr>
        <w:tab/>
      </w:r>
      <w:r w:rsidR="002264BD">
        <w:rPr>
          <w:rFonts w:ascii="Arial"/>
          <w:b/>
          <w:i/>
          <w:color w:val="545456"/>
          <w:spacing w:val="-2"/>
          <w:w w:val="95"/>
          <w:sz w:val="14"/>
          <w:lang w:eastAsia="ja-JP"/>
        </w:rPr>
        <w:t xml:space="preserve"> </w:t>
      </w:r>
      <w:r>
        <w:rPr>
          <w:rFonts w:ascii="Arial"/>
          <w:b/>
          <w:i/>
          <w:color w:val="545456"/>
          <w:spacing w:val="-2"/>
          <w:w w:val="95"/>
          <w:sz w:val="14"/>
          <w:lang w:eastAsia="ja-JP"/>
        </w:rPr>
        <w:t>[kg</w:t>
      </w:r>
      <w:r>
        <w:rPr>
          <w:rFonts w:ascii="Arial"/>
          <w:b/>
          <w:i/>
          <w:color w:val="545456"/>
          <w:spacing w:val="-9"/>
          <w:w w:val="95"/>
          <w:sz w:val="14"/>
          <w:lang w:eastAsia="ja-JP"/>
        </w:rPr>
        <w:t xml:space="preserve"> </w:t>
      </w:r>
      <w:r>
        <w:rPr>
          <w:rFonts w:ascii="Arial"/>
          <w:b/>
          <w:i/>
          <w:color w:val="545456"/>
          <w:spacing w:val="-2"/>
          <w:w w:val="95"/>
          <w:sz w:val="14"/>
          <w:lang w:eastAsia="ja-JP"/>
        </w:rPr>
        <w:t>GHG/unit]</w:t>
      </w:r>
      <w:r w:rsidR="002264BD">
        <w:rPr>
          <w:rFonts w:ascii="Arial"/>
          <w:b/>
          <w:i/>
          <w:color w:val="545456"/>
          <w:spacing w:val="-2"/>
          <w:w w:val="95"/>
          <w:sz w:val="14"/>
          <w:lang w:eastAsia="ja-JP"/>
        </w:rPr>
        <w:tab/>
      </w:r>
      <w:r>
        <w:rPr>
          <w:rFonts w:ascii="Arial"/>
          <w:b/>
          <w:i/>
          <w:color w:val="545456"/>
          <w:spacing w:val="-5"/>
          <w:w w:val="95"/>
          <w:sz w:val="14"/>
          <w:lang w:eastAsia="ja-JP"/>
        </w:rPr>
        <w:t>[kg</w:t>
      </w:r>
      <w:r>
        <w:rPr>
          <w:rFonts w:ascii="Arial"/>
          <w:b/>
          <w:i/>
          <w:color w:val="545456"/>
          <w:spacing w:val="-10"/>
          <w:w w:val="95"/>
          <w:sz w:val="14"/>
          <w:lang w:eastAsia="ja-JP"/>
        </w:rPr>
        <w:t xml:space="preserve"> </w:t>
      </w:r>
      <w:r>
        <w:rPr>
          <w:rFonts w:ascii="Arial"/>
          <w:b/>
          <w:i/>
          <w:color w:val="545456"/>
          <w:spacing w:val="-5"/>
          <w:w w:val="95"/>
          <w:sz w:val="14"/>
          <w:lang w:eastAsia="ja-JP"/>
        </w:rPr>
        <w:t>CO</w:t>
      </w:r>
      <w:r>
        <w:rPr>
          <w:rFonts w:ascii="Arial"/>
          <w:b/>
          <w:i/>
          <w:color w:val="545456"/>
          <w:spacing w:val="-5"/>
          <w:w w:val="95"/>
          <w:sz w:val="14"/>
          <w:vertAlign w:val="subscript"/>
          <w:lang w:eastAsia="ja-JP"/>
        </w:rPr>
        <w:t>2</w:t>
      </w:r>
      <w:r>
        <w:rPr>
          <w:rFonts w:ascii="Arial"/>
          <w:b/>
          <w:i/>
          <w:color w:val="545456"/>
          <w:spacing w:val="-5"/>
          <w:w w:val="95"/>
          <w:sz w:val="14"/>
          <w:lang w:eastAsia="ja-JP"/>
        </w:rPr>
        <w:t>e/kg</w:t>
      </w:r>
      <w:r>
        <w:rPr>
          <w:rFonts w:ascii="Arial"/>
          <w:b/>
          <w:i/>
          <w:color w:val="545456"/>
          <w:spacing w:val="-9"/>
          <w:w w:val="95"/>
          <w:sz w:val="14"/>
          <w:lang w:eastAsia="ja-JP"/>
        </w:rPr>
        <w:t xml:space="preserve"> </w:t>
      </w:r>
      <w:r>
        <w:rPr>
          <w:rFonts w:ascii="Arial"/>
          <w:b/>
          <w:i/>
          <w:color w:val="545456"/>
          <w:spacing w:val="-4"/>
          <w:w w:val="95"/>
          <w:sz w:val="14"/>
          <w:lang w:eastAsia="ja-JP"/>
        </w:rPr>
        <w:t>GHG]</w:t>
      </w:r>
    </w:p>
    <w:p w14:paraId="6ED683ED" w14:textId="77777777" w:rsidR="0055291C" w:rsidRDefault="00F23C61">
      <w:pPr>
        <w:spacing w:before="9"/>
        <w:rPr>
          <w:rFonts w:ascii="Arial"/>
          <w:b/>
          <w:i/>
          <w:sz w:val="17"/>
          <w:lang w:eastAsia="ja-JP"/>
        </w:rPr>
      </w:pPr>
      <w:r>
        <w:rPr>
          <w:lang w:eastAsia="ja-JP"/>
        </w:rPr>
        <w:br w:type="column"/>
      </w:r>
    </w:p>
    <w:p w14:paraId="368FFFA7" w14:textId="1D38436D" w:rsidR="0055291C" w:rsidRDefault="006C6B58" w:rsidP="006C6B58">
      <w:pPr>
        <w:pStyle w:val="a3"/>
        <w:spacing w:before="1" w:line="312" w:lineRule="auto"/>
        <w:ind w:left="251" w:right="1148" w:firstLineChars="100" w:firstLine="190"/>
        <w:rPr>
          <w:lang w:eastAsia="ja-JP"/>
        </w:rPr>
      </w:pPr>
      <w:r>
        <w:rPr>
          <w:rFonts w:ascii="ＭＳ ゴシック" w:eastAsia="ＭＳ ゴシック" w:hAnsi="ＭＳ ゴシック" w:cs="ＭＳ ゴシック" w:hint="eastAsia"/>
          <w:lang w:eastAsia="ja-JP"/>
        </w:rPr>
        <w:t>あるいは、企業は、</w:t>
      </w:r>
      <w:r>
        <w:rPr>
          <w:lang w:eastAsia="ja-JP"/>
        </w:rPr>
        <w:t>GWP</w:t>
      </w:r>
      <w:r>
        <w:rPr>
          <w:rFonts w:ascii="ＭＳ ゴシック" w:eastAsia="ＭＳ ゴシック" w:hAnsi="ＭＳ ゴシック" w:cs="ＭＳ ゴシック" w:hint="eastAsia"/>
          <w:lang w:eastAsia="ja-JP"/>
        </w:rPr>
        <w:t>を適用する前に、分析単位</w:t>
      </w:r>
      <w:r>
        <w:rPr>
          <w:lang w:eastAsia="ja-JP"/>
        </w:rPr>
        <w:t xml:space="preserve"> </w:t>
      </w:r>
      <w:r>
        <w:rPr>
          <w:rFonts w:ascii="ＭＳ ゴシック" w:eastAsia="ＭＳ ゴシック" w:hAnsi="ＭＳ ゴシック" w:cs="ＭＳ ゴシック" w:hint="eastAsia"/>
          <w:lang w:eastAsia="ja-JP"/>
        </w:rPr>
        <w:t>あたりの</w:t>
      </w:r>
      <w:r>
        <w:rPr>
          <w:lang w:eastAsia="ja-JP"/>
        </w:rPr>
        <w:t>GHG</w:t>
      </w:r>
      <w:r>
        <w:rPr>
          <w:rFonts w:ascii="ＭＳ ゴシック" w:eastAsia="ＭＳ ゴシック" w:hAnsi="ＭＳ ゴシック" w:cs="ＭＳ ゴシック" w:hint="eastAsia"/>
          <w:lang w:eastAsia="ja-JP"/>
        </w:rPr>
        <w:t>ごとの全ての排出と除去を合計することができます。この方法は、企業が</w:t>
      </w:r>
      <w:r>
        <w:rPr>
          <w:lang w:eastAsia="ja-JP"/>
        </w:rPr>
        <w:t>GHG</w:t>
      </w:r>
      <w:r>
        <w:rPr>
          <w:rFonts w:ascii="ＭＳ ゴシック" w:eastAsia="ＭＳ ゴシック" w:hAnsi="ＭＳ ゴシック" w:cs="ＭＳ ゴシック" w:hint="eastAsia"/>
          <w:lang w:eastAsia="ja-JP"/>
        </w:rPr>
        <w:t>別に結果を報告するオプションや、異なる</w:t>
      </w:r>
      <w:r>
        <w:rPr>
          <w:lang w:eastAsia="ja-JP"/>
        </w:rPr>
        <w:t>GWP</w:t>
      </w:r>
      <w:r>
        <w:rPr>
          <w:rFonts w:ascii="ＭＳ ゴシック" w:eastAsia="ＭＳ ゴシック" w:hAnsi="ＭＳ ゴシック" w:cs="ＭＳ ゴシック" w:hint="eastAsia"/>
          <w:lang w:eastAsia="ja-JP"/>
        </w:rPr>
        <w:t>値を使用するオプションを取り扱いたい場合に推奨されます。</w:t>
      </w:r>
    </w:p>
    <w:p w14:paraId="4D4F7A84" w14:textId="4C176D76" w:rsidR="0055291C" w:rsidRDefault="006C6B58" w:rsidP="006C6B58">
      <w:pPr>
        <w:pStyle w:val="a3"/>
        <w:spacing w:before="142" w:line="312" w:lineRule="auto"/>
        <w:ind w:left="251" w:right="1216" w:firstLineChars="100" w:firstLine="190"/>
        <w:rPr>
          <w:lang w:eastAsia="ja-JP"/>
        </w:rPr>
      </w:pPr>
      <w:r>
        <w:rPr>
          <w:rFonts w:ascii="ＭＳ ゴシック" w:eastAsia="ＭＳ ゴシック" w:hAnsi="ＭＳ ゴシック" w:cs="ＭＳ ゴシック" w:hint="eastAsia"/>
          <w:lang w:eastAsia="ja-JP"/>
        </w:rPr>
        <w:t>企業は、排出量と除去量を計算する際、特にライフ</w:t>
      </w:r>
      <w:r>
        <w:rPr>
          <w:lang w:eastAsia="ja-JP"/>
        </w:rPr>
        <w:t xml:space="preserve"> </w:t>
      </w:r>
      <w:r>
        <w:rPr>
          <w:rFonts w:ascii="ＭＳ ゴシック" w:eastAsia="ＭＳ ゴシック" w:hAnsi="ＭＳ ゴシック" w:cs="ＭＳ ゴシック" w:hint="eastAsia"/>
          <w:lang w:eastAsia="ja-JP"/>
        </w:rPr>
        <w:t>サイクルデータベースや活動量データを入力として与えると自動的に排出量を計算するソフトウェアプログラムからの排出係数を使う場合、有効数字や丸めのルールを認識しておく必要があります。排出量データの有効数字の数は、計算に使用する活動量データ</w:t>
      </w:r>
      <w:r>
        <w:rPr>
          <w:lang w:eastAsia="ja-JP"/>
        </w:rPr>
        <w:t xml:space="preserve"> </w:t>
      </w:r>
      <w:r>
        <w:rPr>
          <w:rFonts w:ascii="ＭＳ ゴシック" w:eastAsia="ＭＳ ゴシック" w:hAnsi="ＭＳ ゴシック" w:cs="ＭＳ ゴシック" w:hint="eastAsia"/>
          <w:lang w:eastAsia="ja-JP"/>
        </w:rPr>
        <w:t>や排出係数のうち、最も有効数字が小さいものの有効数字を超えるべきではありません。</w:t>
      </w:r>
    </w:p>
    <w:p w14:paraId="7D1BF36A"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971" w:space="40"/>
            <w:col w:w="6229"/>
          </w:cols>
        </w:sectPr>
      </w:pPr>
    </w:p>
    <w:p w14:paraId="34562511" w14:textId="0A777112" w:rsidR="0055291C" w:rsidRDefault="00F23C61">
      <w:pPr>
        <w:pStyle w:val="a3"/>
        <w:ind w:left="1133"/>
        <w:rPr>
          <w:sz w:val="20"/>
        </w:rPr>
      </w:pPr>
      <w:r>
        <w:rPr>
          <w:noProof/>
          <w:sz w:val="20"/>
        </w:rPr>
        <w:lastRenderedPageBreak/>
        <w:drawing>
          <wp:inline distT="0" distB="0" distL="0" distR="0" wp14:anchorId="7A15FE33" wp14:editId="632D9473">
            <wp:extent cx="6355427" cy="5047488"/>
            <wp:effectExtent l="0" t="0" r="0" b="0"/>
            <wp:docPr id="35"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99.jpeg"/>
                    <pic:cNvPicPr/>
                  </pic:nvPicPr>
                  <pic:blipFill>
                    <a:blip r:embed="rId278" cstate="print"/>
                    <a:stretch>
                      <a:fillRect/>
                    </a:stretch>
                  </pic:blipFill>
                  <pic:spPr>
                    <a:xfrm>
                      <a:off x="0" y="0"/>
                      <a:ext cx="6355427" cy="5047488"/>
                    </a:xfrm>
                    <a:prstGeom prst="rect">
                      <a:avLst/>
                    </a:prstGeom>
                  </pic:spPr>
                </pic:pic>
              </a:graphicData>
            </a:graphic>
          </wp:inline>
        </w:drawing>
      </w:r>
    </w:p>
    <w:p w14:paraId="67D8C4E1" w14:textId="77777777" w:rsidR="0055291C" w:rsidRDefault="0055291C">
      <w:pPr>
        <w:pStyle w:val="a3"/>
        <w:spacing w:before="10"/>
        <w:rPr>
          <w:sz w:val="28"/>
        </w:rPr>
      </w:pPr>
    </w:p>
    <w:p w14:paraId="0205E56D" w14:textId="77777777" w:rsidR="0055291C" w:rsidRDefault="0055291C">
      <w:pPr>
        <w:rPr>
          <w:sz w:val="28"/>
        </w:rPr>
        <w:sectPr w:rsidR="0055291C">
          <w:headerReference w:type="default" r:id="rId279"/>
          <w:pgSz w:w="12240" w:h="15840"/>
          <w:pgMar w:top="0" w:right="0" w:bottom="1040" w:left="0" w:header="0" w:footer="859" w:gutter="0"/>
          <w:cols w:space="720"/>
        </w:sectPr>
      </w:pPr>
    </w:p>
    <w:p w14:paraId="373F397A" w14:textId="34020EFF" w:rsidR="0055291C" w:rsidRDefault="006C6B58">
      <w:pPr>
        <w:pStyle w:val="a5"/>
        <w:numPr>
          <w:ilvl w:val="0"/>
          <w:numId w:val="35"/>
        </w:numPr>
        <w:tabs>
          <w:tab w:val="left" w:pos="1853"/>
          <w:tab w:val="left" w:pos="1854"/>
        </w:tabs>
        <w:spacing w:before="109" w:line="324" w:lineRule="auto"/>
        <w:ind w:right="290"/>
        <w:rPr>
          <w:rFonts w:ascii="Arial"/>
          <w:b/>
          <w:i/>
          <w:sz w:val="18"/>
        </w:rPr>
      </w:pPr>
      <w:r>
        <w:rPr>
          <w:rFonts w:ascii="ＭＳ ゴシック" w:eastAsia="ＭＳ ゴシック" w:hAnsi="ＭＳ ゴシック" w:cs="ＭＳ ゴシック" w:hint="eastAsia"/>
          <w:b/>
          <w:i/>
          <w:color w:val="7F3F98"/>
          <w:sz w:val="18"/>
          <w:lang w:eastAsia="ja-JP"/>
        </w:rPr>
        <w:t>総排出量の算出</w:t>
      </w:r>
      <w:r w:rsidR="00F23C61">
        <w:rPr>
          <w:rFonts w:ascii="Arial"/>
          <w:b/>
          <w:i/>
          <w:color w:val="7F3F98"/>
          <w:sz w:val="18"/>
        </w:rPr>
        <w:t>(CO</w:t>
      </w:r>
      <w:r w:rsidR="00F23C61">
        <w:rPr>
          <w:rFonts w:ascii="Arial"/>
          <w:b/>
          <w:i/>
          <w:color w:val="7F3F98"/>
          <w:sz w:val="18"/>
          <w:vertAlign w:val="subscript"/>
        </w:rPr>
        <w:t>2</w:t>
      </w:r>
      <w:r w:rsidR="00F23C61">
        <w:rPr>
          <w:rFonts w:ascii="Arial"/>
          <w:b/>
          <w:i/>
          <w:color w:val="7F3F98"/>
          <w:sz w:val="18"/>
        </w:rPr>
        <w:t>e/unit</w:t>
      </w:r>
      <w:r w:rsidR="00F23C61">
        <w:rPr>
          <w:rFonts w:ascii="Arial"/>
          <w:b/>
          <w:i/>
          <w:color w:val="7F3F98"/>
          <w:spacing w:val="8"/>
          <w:sz w:val="18"/>
        </w:rPr>
        <w:t xml:space="preserve"> </w:t>
      </w:r>
      <w:r w:rsidR="00F23C61">
        <w:rPr>
          <w:rFonts w:ascii="Arial"/>
          <w:b/>
          <w:i/>
          <w:color w:val="7F3F98"/>
          <w:sz w:val="18"/>
        </w:rPr>
        <w:t>of</w:t>
      </w:r>
      <w:r w:rsidR="00F23C61">
        <w:rPr>
          <w:rFonts w:ascii="Arial"/>
          <w:b/>
          <w:i/>
          <w:color w:val="7F3F98"/>
          <w:spacing w:val="8"/>
          <w:sz w:val="18"/>
        </w:rPr>
        <w:t xml:space="preserve"> </w:t>
      </w:r>
      <w:r w:rsidR="00F23C61">
        <w:rPr>
          <w:rFonts w:ascii="Arial"/>
          <w:b/>
          <w:i/>
          <w:color w:val="7F3F98"/>
          <w:sz w:val="18"/>
        </w:rPr>
        <w:t>analysis)</w:t>
      </w:r>
    </w:p>
    <w:p w14:paraId="078208CB" w14:textId="77777777" w:rsidR="0055318D" w:rsidRDefault="00AC5536" w:rsidP="0055318D">
      <w:pPr>
        <w:pStyle w:val="a3"/>
        <w:spacing w:line="312" w:lineRule="auto"/>
        <w:ind w:left="1133" w:right="26"/>
        <w:rPr>
          <w:lang w:eastAsia="ja-JP"/>
        </w:rPr>
      </w:pPr>
      <w:r>
        <w:rPr>
          <w:lang w:eastAsia="ja-JP"/>
        </w:rPr>
        <w:t>CO</w:t>
      </w:r>
      <w:r w:rsidRPr="00AC5536">
        <w:rPr>
          <w:vertAlign w:val="subscript"/>
          <w:lang w:eastAsia="ja-JP"/>
        </w:rPr>
        <w:t>2</w:t>
      </w:r>
      <w:r>
        <w:rPr>
          <w:lang w:eastAsia="ja-JP"/>
        </w:rPr>
        <w:t xml:space="preserve"> e</w:t>
      </w:r>
      <w:r>
        <w:rPr>
          <w:rFonts w:ascii="ＭＳ ゴシック" w:eastAsia="ＭＳ ゴシック" w:hAnsi="ＭＳ ゴシック" w:cs="ＭＳ ゴシック" w:hint="eastAsia"/>
          <w:lang w:eastAsia="ja-JP"/>
        </w:rPr>
        <w:t>による排出結果を算出した後、企業はすべての結果が同じ基準流量に基づいていることを確認する必要があります。例えば、調査対象製品の基準流量が</w:t>
      </w:r>
      <w:r>
        <w:rPr>
          <w:lang w:eastAsia="ja-JP"/>
        </w:rPr>
        <w:t>10kg</w:t>
      </w:r>
      <w:r>
        <w:rPr>
          <w:rFonts w:ascii="ＭＳ ゴシック" w:eastAsia="ＭＳ ゴシック" w:hAnsi="ＭＳ ゴシック" w:cs="ＭＳ ゴシック" w:hint="eastAsia"/>
          <w:lang w:eastAsia="ja-JP"/>
        </w:rPr>
        <w:t>で、算出結果が製品</w:t>
      </w:r>
      <w:r>
        <w:rPr>
          <w:lang w:eastAsia="ja-JP"/>
        </w:rPr>
        <w:t>1kg</w:t>
      </w:r>
      <w:r>
        <w:rPr>
          <w:rFonts w:ascii="ＭＳ ゴシック" w:eastAsia="ＭＳ ゴシック" w:hAnsi="ＭＳ ゴシック" w:cs="ＭＳ ゴシック" w:hint="eastAsia"/>
          <w:lang w:eastAsia="ja-JP"/>
        </w:rPr>
        <w:t>あたりのも</w:t>
      </w:r>
      <w:r>
        <w:rPr>
          <w:lang w:eastAsia="ja-JP"/>
        </w:rPr>
        <w:t xml:space="preserve"> </w:t>
      </w:r>
      <w:r>
        <w:rPr>
          <w:rFonts w:ascii="ＭＳ ゴシック" w:eastAsia="ＭＳ ゴシック" w:hAnsi="ＭＳ ゴシック" w:cs="ＭＳ ゴシック" w:hint="eastAsia"/>
          <w:lang w:eastAsia="ja-JP"/>
        </w:rPr>
        <w:t>のである場合、すべての算出結果に</w:t>
      </w:r>
      <w:r>
        <w:rPr>
          <w:lang w:eastAsia="ja-JP"/>
        </w:rPr>
        <w:t>10</w:t>
      </w:r>
      <w:r>
        <w:rPr>
          <w:rFonts w:ascii="ＭＳ ゴシック" w:eastAsia="ＭＳ ゴシック" w:hAnsi="ＭＳ ゴシック" w:cs="ＭＳ ゴシック" w:hint="eastAsia"/>
          <w:lang w:eastAsia="ja-JP"/>
        </w:rPr>
        <w:t>を乗じる必要があります。基準流量は、その分析単位を満たすために必要な製品の量を表している</w:t>
      </w:r>
      <w:r w:rsidR="0055318D">
        <w:rPr>
          <w:rFonts w:ascii="ＭＳ ゴシック" w:eastAsia="ＭＳ ゴシック" w:hAnsi="ＭＳ ゴシック" w:cs="ＭＳ ゴシック" w:hint="eastAsia"/>
          <w:lang w:eastAsia="ja-JP"/>
        </w:rPr>
        <w:t>ため</w:t>
      </w:r>
      <w:r>
        <w:rPr>
          <w:rFonts w:ascii="ＭＳ ゴシック" w:eastAsia="ＭＳ ゴシック" w:hAnsi="ＭＳ ゴシック" w:cs="ＭＳ ゴシック" w:hint="eastAsia"/>
          <w:lang w:eastAsia="ja-JP"/>
        </w:rPr>
        <w:t>、基準流量ベースの結果を合計し、合計</w:t>
      </w:r>
      <w:r>
        <w:rPr>
          <w:lang w:eastAsia="ja-JP"/>
        </w:rPr>
        <w:t>CO</w:t>
      </w:r>
      <w:r w:rsidRPr="0055318D">
        <w:rPr>
          <w:vertAlign w:val="subscript"/>
          <w:lang w:eastAsia="ja-JP"/>
        </w:rPr>
        <w:t>2</w:t>
      </w:r>
      <w:r>
        <w:rPr>
          <w:lang w:eastAsia="ja-JP"/>
        </w:rPr>
        <w:t xml:space="preserve"> e/</w:t>
      </w:r>
      <w:r>
        <w:rPr>
          <w:rFonts w:ascii="ＭＳ ゴシック" w:eastAsia="ＭＳ ゴシック" w:hAnsi="ＭＳ ゴシック" w:cs="ＭＳ ゴシック" w:hint="eastAsia"/>
          <w:lang w:eastAsia="ja-JP"/>
        </w:rPr>
        <w:t>分析単位を算出</w:t>
      </w:r>
      <w:r w:rsidR="0055318D">
        <w:rPr>
          <w:rFonts w:ascii="ＭＳ ゴシック" w:eastAsia="ＭＳ ゴシック" w:hAnsi="ＭＳ ゴシック" w:cs="ＭＳ ゴシック" w:hint="eastAsia"/>
          <w:lang w:eastAsia="ja-JP"/>
        </w:rPr>
        <w:t>します</w:t>
      </w:r>
      <w:r>
        <w:rPr>
          <w:rFonts w:ascii="ＭＳ ゴシック" w:eastAsia="ＭＳ ゴシック" w:hAnsi="ＭＳ ゴシック" w:cs="ＭＳ ゴシック" w:hint="eastAsia"/>
          <w:lang w:eastAsia="ja-JP"/>
        </w:rPr>
        <w:t>。</w:t>
      </w:r>
      <w:r w:rsidR="0055318D">
        <w:rPr>
          <w:rFonts w:ascii="ＭＳ ゴシック" w:eastAsia="ＭＳ ゴシック" w:hAnsi="ＭＳ ゴシック" w:cs="ＭＳ ゴシック" w:hint="eastAsia"/>
          <w:lang w:eastAsia="ja-JP"/>
        </w:rPr>
        <w:t>参照流量と分析単位に関するより詳細な情報は、第</w:t>
      </w:r>
      <w:r w:rsidR="0055318D">
        <w:rPr>
          <w:lang w:eastAsia="ja-JP"/>
        </w:rPr>
        <w:t>6</w:t>
      </w:r>
      <w:r w:rsidR="0055318D">
        <w:rPr>
          <w:rFonts w:ascii="ＭＳ ゴシック" w:eastAsia="ＭＳ ゴシック" w:hAnsi="ＭＳ ゴシック" w:cs="ＭＳ ゴシック" w:hint="eastAsia"/>
          <w:lang w:eastAsia="ja-JP"/>
        </w:rPr>
        <w:t>章に掲載されています。</w:t>
      </w:r>
      <w:r w:rsidR="0055318D">
        <w:rPr>
          <w:lang w:eastAsia="ja-JP"/>
        </w:rPr>
        <w:t xml:space="preserve"> </w:t>
      </w:r>
    </w:p>
    <w:p w14:paraId="7A812CA5" w14:textId="4D0E487D" w:rsidR="0055291C" w:rsidRDefault="0055318D" w:rsidP="0055318D">
      <w:pPr>
        <w:pStyle w:val="a3"/>
        <w:spacing w:line="312" w:lineRule="auto"/>
        <w:ind w:left="1133" w:right="26"/>
        <w:rPr>
          <w:lang w:eastAsia="ja-JP"/>
        </w:rPr>
      </w:pPr>
      <w:r>
        <w:rPr>
          <w:rFonts w:ascii="ＭＳ ゴシック" w:eastAsia="ＭＳ ゴシック" w:hAnsi="ＭＳ ゴシック" w:cs="ＭＳ ゴシック" w:hint="eastAsia"/>
          <w:lang w:eastAsia="ja-JP"/>
        </w:rPr>
        <w:t>排出量の集計結果は、以下の数式で構成されています。</w:t>
      </w:r>
    </w:p>
    <w:p w14:paraId="0B1A70DD" w14:textId="6E892EB3" w:rsidR="002707D0" w:rsidRDefault="00F23C61" w:rsidP="006D43DE">
      <w:pPr>
        <w:pStyle w:val="a3"/>
        <w:spacing w:before="102" w:line="312" w:lineRule="auto"/>
        <w:ind w:left="262" w:right="1418" w:firstLineChars="100" w:firstLine="190"/>
        <w:jc w:val="both"/>
        <w:rPr>
          <w:lang w:eastAsia="ja-JP"/>
        </w:rPr>
      </w:pPr>
      <w:r>
        <w:rPr>
          <w:lang w:eastAsia="ja-JP"/>
        </w:rPr>
        <w:br w:type="column"/>
      </w:r>
      <w:r w:rsidR="002707D0">
        <w:rPr>
          <w:rFonts w:ascii="ＭＳ ゴシック" w:eastAsia="ＭＳ ゴシック" w:hAnsi="ＭＳ ゴシック" w:cs="ＭＳ ゴシック" w:hint="eastAsia"/>
          <w:lang w:eastAsia="ja-JP"/>
        </w:rPr>
        <w:t>総</w:t>
      </w:r>
      <w:r w:rsidR="002707D0">
        <w:rPr>
          <w:lang w:eastAsia="ja-JP"/>
        </w:rPr>
        <w:t>CO</w:t>
      </w:r>
      <w:r w:rsidR="002707D0" w:rsidRPr="006D43DE">
        <w:rPr>
          <w:vertAlign w:val="subscript"/>
          <w:lang w:eastAsia="ja-JP"/>
        </w:rPr>
        <w:t>2</w:t>
      </w:r>
      <w:r w:rsidR="002707D0">
        <w:rPr>
          <w:lang w:eastAsia="ja-JP"/>
        </w:rPr>
        <w:t xml:space="preserve"> e/</w:t>
      </w:r>
      <w:r w:rsidR="002707D0">
        <w:rPr>
          <w:rFonts w:ascii="ＭＳ ゴシック" w:eastAsia="ＭＳ ゴシック" w:hAnsi="ＭＳ ゴシック" w:cs="ＭＳ ゴシック" w:hint="eastAsia"/>
          <w:lang w:eastAsia="ja-JP"/>
        </w:rPr>
        <w:t>分析単位は、製品の機能を満たすことにより</w:t>
      </w:r>
      <w:r w:rsidR="002707D0">
        <w:rPr>
          <w:lang w:eastAsia="ja-JP"/>
        </w:rPr>
        <w:t xml:space="preserve"> </w:t>
      </w:r>
      <w:r w:rsidR="002707D0">
        <w:rPr>
          <w:rFonts w:ascii="ＭＳ ゴシック" w:eastAsia="ＭＳ ゴシック" w:hAnsi="ＭＳ ゴシック" w:cs="ＭＳ ゴシック" w:hint="eastAsia"/>
          <w:lang w:eastAsia="ja-JP"/>
        </w:rPr>
        <w:t>大気中に放出される</w:t>
      </w:r>
      <w:r w:rsidR="002707D0">
        <w:rPr>
          <w:lang w:eastAsia="ja-JP"/>
        </w:rPr>
        <w:t>CO</w:t>
      </w:r>
      <w:r w:rsidR="002707D0" w:rsidRPr="006D43DE">
        <w:rPr>
          <w:vertAlign w:val="subscript"/>
          <w:lang w:eastAsia="ja-JP"/>
        </w:rPr>
        <w:t>2</w:t>
      </w:r>
      <w:r w:rsidR="002707D0">
        <w:rPr>
          <w:rFonts w:ascii="ＭＳ ゴシック" w:eastAsia="ＭＳ ゴシック" w:hAnsi="ＭＳ ゴシック" w:cs="ＭＳ ゴシック" w:hint="eastAsia"/>
          <w:lang w:eastAsia="ja-JP"/>
        </w:rPr>
        <w:t>相当の</w:t>
      </w:r>
      <w:r w:rsidR="002707D0">
        <w:rPr>
          <w:lang w:eastAsia="ja-JP"/>
        </w:rPr>
        <w:t>GHG</w:t>
      </w:r>
      <w:r w:rsidR="002707D0">
        <w:rPr>
          <w:rFonts w:ascii="ＭＳ ゴシック" w:eastAsia="ＭＳ ゴシック" w:hAnsi="ＭＳ ゴシック" w:cs="ＭＳ ゴシック" w:hint="eastAsia"/>
          <w:lang w:eastAsia="ja-JP"/>
        </w:rPr>
        <w:t>の量を表しています。したがって排出量は正の値、除去量は負の値として扱われます。</w:t>
      </w:r>
      <w:r w:rsidR="002707D0">
        <w:rPr>
          <w:lang w:eastAsia="ja-JP"/>
        </w:rPr>
        <w:t xml:space="preserve"> </w:t>
      </w:r>
    </w:p>
    <w:p w14:paraId="5A5028E3" w14:textId="17C85947" w:rsidR="0055291C" w:rsidRDefault="002707D0" w:rsidP="006D43DE">
      <w:pPr>
        <w:pStyle w:val="a3"/>
        <w:spacing w:before="102" w:line="312" w:lineRule="auto"/>
        <w:ind w:left="262" w:right="1418" w:firstLineChars="100" w:firstLine="190"/>
        <w:jc w:val="both"/>
        <w:rPr>
          <w:lang w:eastAsia="ja-JP"/>
        </w:rPr>
      </w:pPr>
      <w:r>
        <w:rPr>
          <w:rFonts w:ascii="ＭＳ ゴシック" w:eastAsia="ＭＳ ゴシック" w:hAnsi="ＭＳ ゴシック" w:cs="ＭＳ ゴシック" w:hint="eastAsia"/>
          <w:lang w:eastAsia="ja-JP"/>
        </w:rPr>
        <w:t>土地利用変化による影響は、調査対象製品に起因する場合、総</w:t>
      </w:r>
      <w:r w:rsidR="006D43DE">
        <w:rPr>
          <w:rFonts w:ascii="ＭＳ ゴシック" w:eastAsia="ＭＳ ゴシック" w:hAnsi="ＭＳ ゴシック" w:cs="ＭＳ ゴシック" w:hint="eastAsia"/>
          <w:lang w:eastAsia="ja-JP"/>
        </w:rPr>
        <w:t>排出</w:t>
      </w:r>
      <w:r>
        <w:rPr>
          <w:rFonts w:ascii="ＭＳ ゴシック" w:eastAsia="ＭＳ ゴシック" w:hAnsi="ＭＳ ゴシック" w:cs="ＭＳ ゴシック" w:hint="eastAsia"/>
          <w:lang w:eastAsia="ja-JP"/>
        </w:rPr>
        <w:t>結果に含まれ</w:t>
      </w:r>
      <w:r w:rsidR="006D43DE">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。土地利用変化の影響の計算に関するガイダンスは、付録</w:t>
      </w:r>
      <w:r>
        <w:rPr>
          <w:lang w:eastAsia="ja-JP"/>
        </w:rPr>
        <w:t>B</w:t>
      </w:r>
      <w:r>
        <w:rPr>
          <w:rFonts w:ascii="ＭＳ ゴシック" w:eastAsia="ＭＳ ゴシック" w:hAnsi="ＭＳ ゴシック" w:cs="ＭＳ ゴシック" w:hint="eastAsia"/>
          <w:lang w:eastAsia="ja-JP"/>
        </w:rPr>
        <w:t>に含まれてい</w:t>
      </w:r>
      <w:r w:rsidR="006D43DE">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。土地利用変化による影響がなく、製品のライフサイクルにおいて除去が行われない場合、総</w:t>
      </w:r>
      <w:r w:rsidR="006D43DE">
        <w:rPr>
          <w:rFonts w:ascii="ＭＳ ゴシック" w:eastAsia="ＭＳ ゴシック" w:hAnsi="ＭＳ ゴシック" w:cs="ＭＳ ゴシック" w:hint="eastAsia"/>
          <w:lang w:eastAsia="ja-JP"/>
        </w:rPr>
        <w:t>排出</w:t>
      </w:r>
      <w:r>
        <w:rPr>
          <w:rFonts w:ascii="ＭＳ ゴシック" w:eastAsia="ＭＳ ゴシック" w:hAnsi="ＭＳ ゴシック" w:cs="ＭＳ ゴシック" w:hint="eastAsia"/>
          <w:lang w:eastAsia="ja-JP"/>
        </w:rPr>
        <w:t>結果は、単純に基準流量あたりの排出量（</w:t>
      </w:r>
      <w:r>
        <w:rPr>
          <w:lang w:eastAsia="ja-JP"/>
        </w:rPr>
        <w:t>CO</w:t>
      </w:r>
      <w:r w:rsidRPr="006D43DE">
        <w:rPr>
          <w:vertAlign w:val="subscript"/>
          <w:lang w:eastAsia="ja-JP"/>
        </w:rPr>
        <w:t>2</w:t>
      </w:r>
      <w:r>
        <w:rPr>
          <w:lang w:eastAsia="ja-JP"/>
        </w:rPr>
        <w:t xml:space="preserve"> e</w:t>
      </w:r>
      <w:r>
        <w:rPr>
          <w:rFonts w:ascii="ＭＳ ゴシック" w:eastAsia="ＭＳ ゴシック" w:hAnsi="ＭＳ ゴシック" w:cs="ＭＳ ゴシック" w:hint="eastAsia"/>
          <w:lang w:eastAsia="ja-JP"/>
        </w:rPr>
        <w:t>）を合計したものとな</w:t>
      </w:r>
      <w:r w:rsidR="006D43DE">
        <w:rPr>
          <w:rFonts w:ascii="ＭＳ ゴシック" w:eastAsia="ＭＳ ゴシック" w:hAnsi="ＭＳ ゴシック" w:cs="ＭＳ ゴシック" w:hint="eastAsia"/>
          <w:lang w:eastAsia="ja-JP"/>
        </w:rPr>
        <w:t>ります</w:t>
      </w:r>
      <w:r>
        <w:rPr>
          <w:rFonts w:ascii="ＭＳ ゴシック" w:eastAsia="ＭＳ ゴシック" w:hAnsi="ＭＳ ゴシック" w:cs="ＭＳ ゴシック" w:hint="eastAsia"/>
          <w:lang w:eastAsia="ja-JP"/>
        </w:rPr>
        <w:t>。</w:t>
      </w:r>
    </w:p>
    <w:p w14:paraId="503D76CA"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960" w:space="40"/>
            <w:col w:w="6240"/>
          </w:cols>
        </w:sectPr>
      </w:pPr>
    </w:p>
    <w:p w14:paraId="6102F38E" w14:textId="77777777" w:rsidR="0055291C" w:rsidRDefault="0055291C">
      <w:pPr>
        <w:pStyle w:val="a3"/>
        <w:spacing w:before="5"/>
        <w:rPr>
          <w:sz w:val="17"/>
          <w:lang w:eastAsia="ja-JP"/>
        </w:rPr>
      </w:pPr>
    </w:p>
    <w:p w14:paraId="09DCDDAA" w14:textId="119DFD88" w:rsidR="0055291C" w:rsidRPr="00326D8D" w:rsidRDefault="002234B3">
      <w:pPr>
        <w:pStyle w:val="a5"/>
        <w:numPr>
          <w:ilvl w:val="0"/>
          <w:numId w:val="34"/>
        </w:numPr>
        <w:tabs>
          <w:tab w:val="left" w:pos="351"/>
        </w:tabs>
        <w:spacing w:before="70" w:line="196" w:lineRule="auto"/>
        <w:ind w:left="350" w:hanging="225"/>
        <w:rPr>
          <w:rFonts w:ascii="ＭＳ ゴシック" w:eastAsia="ＭＳ ゴシック" w:hAnsi="ＭＳ ゴシック" w:cs="ＭＳ ゴシック"/>
          <w:b/>
          <w:i/>
          <w:color w:val="545456"/>
          <w:spacing w:val="-1"/>
          <w:w w:val="90"/>
          <w:sz w:val="19"/>
          <w:lang w:eastAsia="ja-JP"/>
        </w:rPr>
        <w:sectPr w:rsidR="0055291C" w:rsidRPr="00326D8D">
          <w:type w:val="continuous"/>
          <w:pgSz w:w="12240" w:h="15840"/>
          <w:pgMar w:top="740" w:right="0" w:bottom="280" w:left="0" w:header="0" w:footer="859" w:gutter="0"/>
          <w:cols w:num="3" w:space="720" w:equalWidth="0">
            <w:col w:w="5467" w:space="40"/>
            <w:col w:w="2848" w:space="39"/>
            <w:col w:w="3846"/>
          </w:cols>
        </w:sectPr>
      </w:pPr>
      <w:r>
        <w:rPr>
          <w:rFonts w:ascii="Arial" w:hAnsi="Arial"/>
          <w:b/>
          <w:i/>
          <w:noProof/>
          <w:color w:val="545456"/>
          <w:spacing w:val="-10"/>
          <w:sz w:val="19"/>
        </w:rPr>
        <mc:AlternateContent>
          <mc:Choice Requires="wps">
            <w:drawing>
              <wp:anchor distT="0" distB="0" distL="114300" distR="114300" simplePos="0" relativeHeight="251505152" behindDoc="0" locked="0" layoutInCell="1" allowOverlap="1" wp14:anchorId="62A13B28" wp14:editId="322DCEFA">
                <wp:simplePos x="0" y="0"/>
                <wp:positionH relativeFrom="column">
                  <wp:posOffset>355600</wp:posOffset>
                </wp:positionH>
                <wp:positionV relativeFrom="paragraph">
                  <wp:posOffset>183515</wp:posOffset>
                </wp:positionV>
                <wp:extent cx="6540500" cy="1003300"/>
                <wp:effectExtent l="0" t="0" r="0" b="6350"/>
                <wp:wrapTopAndBottom/>
                <wp:docPr id="114" name="テキスト ボックス 114"/>
                <wp:cNvGraphicFramePr/>
                <a:graphic xmlns:a="http://schemas.openxmlformats.org/drawingml/2006/main">
                  <a:graphicData uri="http://schemas.microsoft.com/office/word/2010/wordprocessingShape">
                    <wps:wsp>
                      <wps:cNvSpPr txBox="1"/>
                      <wps:spPr>
                        <a:xfrm>
                          <a:off x="0" y="0"/>
                          <a:ext cx="6540500" cy="1003300"/>
                        </a:xfrm>
                        <a:prstGeom prst="rect">
                          <a:avLst/>
                        </a:prstGeom>
                        <a:noFill/>
                        <a:ln w="6350">
                          <a:noFill/>
                        </a:ln>
                      </wps:spPr>
                      <wps:txbx>
                        <w:txbxContent>
                          <w:p w14:paraId="0FC04E84" w14:textId="7E2EC871" w:rsidR="002234B3" w:rsidRPr="002234B3" w:rsidRDefault="00000000" w:rsidP="002234B3">
                            <w:pPr>
                              <w:rPr>
                                <w:rFonts w:asciiTheme="minorHAnsi" w:eastAsiaTheme="minorEastAsia" w:hAnsiTheme="minorHAnsi" w:cstheme="minorBidi"/>
                                <w:b/>
                                <w:bCs/>
                                <w:color w:val="00ACA1"/>
                                <w:sz w:val="19"/>
                                <w:szCs w:val="19"/>
                                <w:lang w:eastAsia="ja-JP"/>
                              </w:rPr>
                            </w:pPr>
                            <m:oMathPara>
                              <m:oMath>
                                <m:f>
                                  <m:fPr>
                                    <m:ctrlPr>
                                      <w:rPr>
                                        <w:rFonts w:ascii="Cambria Math" w:hAnsi="Cambria Math"/>
                                        <w:i/>
                                        <w:sz w:val="20"/>
                                        <w:szCs w:val="20"/>
                                      </w:rPr>
                                    </m:ctrlPr>
                                  </m:fPr>
                                  <m:num>
                                    <m:r>
                                      <w:rPr>
                                        <w:rFonts w:ascii="ＭＳ ゴシック" w:eastAsia="ＭＳ ゴシック" w:hAnsi="ＭＳ ゴシック" w:cs="ＭＳ ゴシック" w:hint="eastAsia"/>
                                        <w:sz w:val="20"/>
                                        <w:szCs w:val="20"/>
                                        <w:lang w:eastAsia="ja-JP"/>
                                      </w:rPr>
                                      <m:t>総</m:t>
                                    </m:r>
                                    <m:r>
                                      <w:rPr>
                                        <w:rFonts w:ascii="Cambria Math" w:eastAsia="ＭＳ ゴシック" w:hAnsi="ＭＳ ゴシック" w:cs="ＭＳ ゴシック"/>
                                        <w:sz w:val="20"/>
                                        <w:szCs w:val="20"/>
                                        <w:lang w:eastAsia="ja-JP"/>
                                      </w:rPr>
                                      <m:t>CO</m:t>
                                    </m:r>
                                    <m:r>
                                      <w:rPr>
                                        <w:rFonts w:ascii="Cambria Math" w:eastAsia="ＭＳ ゴシック" w:hAnsi="ＭＳ ゴシック" w:cs="ＭＳ ゴシック"/>
                                        <w:sz w:val="19"/>
                                        <w:szCs w:val="19"/>
                                        <w:lang w:eastAsia="ja-JP"/>
                                      </w:rPr>
                                      <m:t>2</m:t>
                                    </m:r>
                                    <m:r>
                                      <w:rPr>
                                        <w:rFonts w:ascii="Cambria Math" w:eastAsia="ＭＳ ゴシック" w:hAnsi="ＭＳ ゴシック" w:cs="ＭＳ ゴシック"/>
                                        <w:sz w:val="20"/>
                                        <w:szCs w:val="20"/>
                                        <w:lang w:eastAsia="ja-JP"/>
                                      </w:rPr>
                                      <m:t>e</m:t>
                                    </m:r>
                                  </m:num>
                                  <m:den>
                                    <m:r>
                                      <w:rPr>
                                        <w:rFonts w:ascii="ＭＳ ゴシック" w:eastAsia="ＭＳ ゴシック" w:hAnsi="ＭＳ ゴシック" w:cs="ＭＳ ゴシック" w:hint="eastAsia"/>
                                        <w:sz w:val="20"/>
                                        <w:szCs w:val="20"/>
                                        <w:lang w:eastAsia="ja-JP"/>
                                      </w:rPr>
                                      <m:t>分析単位</m:t>
                                    </m:r>
                                  </m:den>
                                </m:f>
                                <m:r>
                                  <m:rPr>
                                    <m:sty m:val="bi"/>
                                  </m:rPr>
                                  <w:rPr>
                                    <w:rFonts w:ascii="ＭＳ ゴシック" w:eastAsia="ＭＳ ゴシック" w:hAnsi="ＭＳ ゴシック" w:cs="ＭＳ ゴシック" w:hint="eastAsia"/>
                                    <w:color w:val="00ACA1"/>
                                    <w:sz w:val="20"/>
                                    <w:szCs w:val="20"/>
                                    <w:lang w:eastAsia="ja-JP"/>
                                  </w:rPr>
                                  <m:t xml:space="preserve">　</m:t>
                                </m:r>
                                <m:r>
                                  <m:rPr>
                                    <m:sty m:val="bi"/>
                                  </m:rPr>
                                  <w:rPr>
                                    <w:rFonts w:ascii="Cambria Math" w:hAnsi="Cambria Math"/>
                                    <w:color w:val="00ACA1"/>
                                    <w:sz w:val="20"/>
                                    <w:szCs w:val="20"/>
                                  </w:rPr>
                                  <m:t>=</m:t>
                                </m:r>
                                <m:r>
                                  <m:rPr>
                                    <m:sty m:val="bi"/>
                                  </m:rPr>
                                  <w:rPr>
                                    <w:rFonts w:ascii="ＭＳ ゴシック" w:eastAsia="ＭＳ ゴシック" w:hAnsi="ＭＳ ゴシック" w:cs="ＭＳ ゴシック" w:hint="eastAsia"/>
                                    <w:color w:val="00ACA1"/>
                                    <w:sz w:val="20"/>
                                    <w:szCs w:val="20"/>
                                    <w:lang w:eastAsia="ja-JP"/>
                                  </w:rPr>
                                  <m:t xml:space="preserve">　</m:t>
                                </m:r>
                                <m:f>
                                  <m:fPr>
                                    <m:ctrlPr>
                                      <w:rPr>
                                        <w:rFonts w:ascii="Cambria Math" w:hAnsi="Cambria Math"/>
                                        <w:i/>
                                        <w:sz w:val="20"/>
                                        <w:szCs w:val="20"/>
                                      </w:rPr>
                                    </m:ctrlPr>
                                  </m:fPr>
                                  <m:num>
                                    <m:r>
                                      <w:rPr>
                                        <w:rFonts w:ascii="Cambria Math" w:hAnsi="Cambria Math"/>
                                        <w:sz w:val="20"/>
                                        <w:szCs w:val="20"/>
                                      </w:rPr>
                                      <m:t>CO</m:t>
                                    </m:r>
                                    <m:r>
                                      <w:rPr>
                                        <w:rFonts w:ascii="Cambria Math" w:hAnsi="Cambria Math"/>
                                        <w:sz w:val="19"/>
                                        <w:szCs w:val="19"/>
                                      </w:rPr>
                                      <m:t>2</m:t>
                                    </m:r>
                                    <m:r>
                                      <w:rPr>
                                        <w:rFonts w:ascii="Cambria Math" w:hAnsi="Cambria Math"/>
                                        <w:sz w:val="20"/>
                                        <w:szCs w:val="20"/>
                                      </w:rPr>
                                      <m:t>e</m:t>
                                    </m:r>
                                    <m:r>
                                      <w:rPr>
                                        <w:rFonts w:ascii="ＭＳ ゴシック" w:eastAsia="ＭＳ ゴシック" w:hAnsi="ＭＳ ゴシック" w:cs="ＭＳ ゴシック" w:hint="eastAsia"/>
                                        <w:sz w:val="20"/>
                                        <w:szCs w:val="20"/>
                                        <w:lang w:eastAsia="ja-JP"/>
                                      </w:rPr>
                                      <m:t>排出量</m:t>
                                    </m:r>
                                    <m:d>
                                      <m:dPr>
                                        <m:begChr m:val="（"/>
                                        <m:endChr m:val="）"/>
                                        <m:ctrlPr>
                                          <w:rPr>
                                            <w:rFonts w:ascii="Cambria Math" w:eastAsia="ＭＳ ゴシック" w:hAnsi="ＭＳ ゴシック" w:cs="ＭＳ ゴシック"/>
                                            <w:i/>
                                            <w:sz w:val="20"/>
                                            <w:szCs w:val="20"/>
                                            <w:lang w:eastAsia="ja-JP"/>
                                          </w:rPr>
                                        </m:ctrlPr>
                                      </m:dPr>
                                      <m:e>
                                        <m:r>
                                          <w:rPr>
                                            <w:rFonts w:ascii="Cambria Math" w:eastAsia="ＭＳ ゴシック" w:hAnsi="ＭＳ ゴシック" w:cs="ＭＳ ゴシック" w:hint="eastAsia"/>
                                            <w:sz w:val="20"/>
                                            <w:szCs w:val="20"/>
                                            <w:lang w:eastAsia="ja-JP"/>
                                          </w:rPr>
                                          <m:t>生物起源</m:t>
                                        </m:r>
                                      </m:e>
                                    </m:d>
                                  </m:num>
                                  <m:den>
                                    <m:r>
                                      <w:rPr>
                                        <w:rFonts w:ascii="ＭＳ ゴシック" w:eastAsia="ＭＳ ゴシック" w:hAnsi="ＭＳ ゴシック" w:cs="ＭＳ ゴシック" w:hint="eastAsia"/>
                                        <w:sz w:val="20"/>
                                        <w:szCs w:val="20"/>
                                        <w:lang w:eastAsia="ja-JP"/>
                                      </w:rPr>
                                      <m:t>基準流量</m:t>
                                    </m:r>
                                  </m:den>
                                </m:f>
                                <m:r>
                                  <m:rPr>
                                    <m:sty m:val="bi"/>
                                  </m:rPr>
                                  <w:rPr>
                                    <w:rFonts w:ascii="Cambria Math" w:eastAsia="ＭＳ ゴシック" w:hAnsi="Cambria Math" w:cs="ＭＳ ゴシック" w:hint="eastAsia"/>
                                    <w:color w:val="00ACA1"/>
                                    <w:sz w:val="20"/>
                                    <w:szCs w:val="20"/>
                                    <w:lang w:eastAsia="ja-JP"/>
                                  </w:rPr>
                                  <m:t xml:space="preserve">　ー　</m:t>
                                </m:r>
                                <m:f>
                                  <m:fPr>
                                    <m:ctrlPr>
                                      <w:rPr>
                                        <w:rFonts w:ascii="Cambria Math" w:hAnsi="Cambria Math"/>
                                        <w:i/>
                                        <w:sz w:val="20"/>
                                        <w:szCs w:val="20"/>
                                      </w:rPr>
                                    </m:ctrlPr>
                                  </m:fPr>
                                  <m:num>
                                    <m:r>
                                      <w:rPr>
                                        <w:rFonts w:ascii="Cambria Math" w:hAnsi="Cambria Math"/>
                                        <w:sz w:val="20"/>
                                        <w:szCs w:val="20"/>
                                      </w:rPr>
                                      <m:t>CO</m:t>
                                    </m:r>
                                    <m:r>
                                      <w:rPr>
                                        <w:rFonts w:ascii="Cambria Math" w:hAnsi="Cambria Math"/>
                                        <w:sz w:val="19"/>
                                        <w:szCs w:val="19"/>
                                      </w:rPr>
                                      <m:t>2</m:t>
                                    </m:r>
                                    <m:r>
                                      <w:rPr>
                                        <w:rFonts w:ascii="Cambria Math" w:hAnsi="Cambria Math"/>
                                        <w:sz w:val="20"/>
                                        <w:szCs w:val="20"/>
                                      </w:rPr>
                                      <m:t>e</m:t>
                                    </m:r>
                                    <m:r>
                                      <w:rPr>
                                        <w:rFonts w:ascii="Cambria Math" w:eastAsia="ＭＳ ゴシック" w:hAnsi="Cambria Math" w:cs="ＭＳ ゴシック" w:hint="eastAsia"/>
                                        <w:sz w:val="20"/>
                                        <w:szCs w:val="20"/>
                                        <w:lang w:eastAsia="ja-JP"/>
                                      </w:rPr>
                                      <m:t>除去量</m:t>
                                    </m:r>
                                    <m:d>
                                      <m:dPr>
                                        <m:begChr m:val="（"/>
                                        <m:endChr m:val="）"/>
                                        <m:ctrlPr>
                                          <w:rPr>
                                            <w:rFonts w:ascii="Cambria Math" w:eastAsia="ＭＳ ゴシック" w:hAnsi="ＭＳ ゴシック" w:cs="ＭＳ ゴシック"/>
                                            <w:i/>
                                            <w:sz w:val="20"/>
                                            <w:szCs w:val="20"/>
                                            <w:lang w:eastAsia="ja-JP"/>
                                          </w:rPr>
                                        </m:ctrlPr>
                                      </m:dPr>
                                      <m:e>
                                        <m:r>
                                          <w:rPr>
                                            <w:rFonts w:ascii="Cambria Math" w:eastAsia="ＭＳ ゴシック" w:hAnsi="ＭＳ ゴシック" w:cs="ＭＳ ゴシック" w:hint="eastAsia"/>
                                            <w:sz w:val="20"/>
                                            <w:szCs w:val="20"/>
                                            <w:lang w:eastAsia="ja-JP"/>
                                          </w:rPr>
                                          <m:t>生物起源</m:t>
                                        </m:r>
                                      </m:e>
                                    </m:d>
                                  </m:num>
                                  <m:den>
                                    <m:r>
                                      <w:rPr>
                                        <w:rFonts w:ascii="Cambria Math" w:eastAsia="ＭＳ ゴシック" w:hAnsi="Cambria Math" w:cs="ＭＳ ゴシック" w:hint="eastAsia"/>
                                        <w:sz w:val="20"/>
                                        <w:szCs w:val="20"/>
                                        <w:lang w:eastAsia="ja-JP"/>
                                      </w:rPr>
                                      <m:t>基準流量</m:t>
                                    </m:r>
                                  </m:den>
                                </m:f>
                              </m:oMath>
                            </m:oMathPara>
                          </w:p>
                          <w:p w14:paraId="58B7E50C" w14:textId="0F7DF761" w:rsidR="002234B3" w:rsidRPr="002234B3" w:rsidRDefault="002234B3" w:rsidP="002234B3">
                            <w:pPr>
                              <w:rPr>
                                <w:rFonts w:ascii="ＭＳ ゴシック" w:eastAsia="ＭＳ ゴシック" w:hAnsi="ＭＳ ゴシック" w:cs="ＭＳ ゴシック"/>
                                <w:i/>
                                <w:sz w:val="19"/>
                                <w:szCs w:val="19"/>
                                <w:lang w:eastAsia="ja-JP"/>
                              </w:rPr>
                            </w:pPr>
                            <m:oMathPara>
                              <m:oMath>
                                <m:r>
                                  <m:rPr>
                                    <m:sty m:val="bi"/>
                                  </m:rPr>
                                  <w:rPr>
                                    <w:rFonts w:ascii="Cambria Math" w:eastAsia="ＭＳ ゴシック" w:hAnsi="Cambria Math" w:cs="ＭＳ ゴシック" w:hint="eastAsia"/>
                                    <w:color w:val="00ACA1"/>
                                    <w:sz w:val="20"/>
                                    <w:szCs w:val="20"/>
                                    <w:lang w:eastAsia="ja-JP"/>
                                  </w:rPr>
                                  <m:t xml:space="preserve">＋　</m:t>
                                </m:r>
                                <m:f>
                                  <m:fPr>
                                    <m:ctrlPr>
                                      <w:rPr>
                                        <w:rFonts w:ascii="Cambria Math" w:hAnsi="Cambria Math"/>
                                        <w:i/>
                                        <w:sz w:val="20"/>
                                        <w:szCs w:val="20"/>
                                      </w:rPr>
                                    </m:ctrlPr>
                                  </m:fPr>
                                  <m:num>
                                    <m:r>
                                      <w:rPr>
                                        <w:rFonts w:ascii="Cambria Math" w:hAnsi="Cambria Math"/>
                                        <w:sz w:val="20"/>
                                        <w:szCs w:val="20"/>
                                      </w:rPr>
                                      <m:t>CO</m:t>
                                    </m:r>
                                    <m:r>
                                      <w:rPr>
                                        <w:rFonts w:ascii="Cambria Math" w:hAnsi="Cambria Math"/>
                                        <w:sz w:val="19"/>
                                        <w:szCs w:val="19"/>
                                      </w:rPr>
                                      <m:t>2</m:t>
                                    </m:r>
                                    <m:r>
                                      <w:rPr>
                                        <w:rFonts w:ascii="Cambria Math" w:hAnsi="Cambria Math"/>
                                        <w:sz w:val="20"/>
                                        <w:szCs w:val="20"/>
                                      </w:rPr>
                                      <m:t>e</m:t>
                                    </m:r>
                                    <m:r>
                                      <w:rPr>
                                        <w:rFonts w:ascii="Cambria Math" w:eastAsia="ＭＳ ゴシック" w:hAnsi="Cambria Math" w:cs="ＭＳ ゴシック" w:hint="eastAsia"/>
                                        <w:sz w:val="20"/>
                                        <w:szCs w:val="20"/>
                                        <w:lang w:eastAsia="ja-JP"/>
                                      </w:rPr>
                                      <m:t>排出量</m:t>
                                    </m:r>
                                    <m:r>
                                      <w:rPr>
                                        <w:rFonts w:ascii="Cambria Math" w:eastAsia="ＭＳ ゴシック" w:hAnsi="ＭＳ ゴシック" w:cs="ＭＳ ゴシック" w:hint="eastAsia"/>
                                        <w:sz w:val="20"/>
                                        <w:szCs w:val="20"/>
                                        <w:lang w:eastAsia="ja-JP"/>
                                      </w:rPr>
                                      <m:t>（非生物起源）</m:t>
                                    </m:r>
                                  </m:num>
                                  <m:den>
                                    <m:r>
                                      <w:rPr>
                                        <w:rFonts w:ascii="Cambria Math" w:eastAsia="ＭＳ ゴシック" w:hAnsi="Cambria Math" w:cs="ＭＳ ゴシック" w:hint="eastAsia"/>
                                        <w:sz w:val="20"/>
                                        <w:szCs w:val="20"/>
                                        <w:lang w:eastAsia="ja-JP"/>
                                      </w:rPr>
                                      <m:t>基準流量</m:t>
                                    </m:r>
                                  </m:den>
                                </m:f>
                                <m:r>
                                  <m:rPr>
                                    <m:sty m:val="bi"/>
                                  </m:rPr>
                                  <w:rPr>
                                    <w:rFonts w:ascii="Cambria Math" w:eastAsia="ＭＳ ゴシック" w:hAnsi="Cambria Math" w:cs="ＭＳ ゴシック" w:hint="eastAsia"/>
                                    <w:color w:val="00ACA1"/>
                                    <w:sz w:val="20"/>
                                    <w:szCs w:val="20"/>
                                    <w:lang w:eastAsia="ja-JP"/>
                                  </w:rPr>
                                  <m:t xml:space="preserve">　ー　</m:t>
                                </m:r>
                                <m:f>
                                  <m:fPr>
                                    <m:ctrlPr>
                                      <w:rPr>
                                        <w:rFonts w:ascii="Cambria Math" w:hAnsi="Cambria Math"/>
                                        <w:i/>
                                        <w:sz w:val="20"/>
                                        <w:szCs w:val="20"/>
                                      </w:rPr>
                                    </m:ctrlPr>
                                  </m:fPr>
                                  <m:num>
                                    <m:r>
                                      <w:rPr>
                                        <w:rFonts w:ascii="Cambria Math" w:hAnsi="Cambria Math"/>
                                        <w:sz w:val="20"/>
                                        <w:szCs w:val="20"/>
                                      </w:rPr>
                                      <m:t>CO</m:t>
                                    </m:r>
                                    <m:r>
                                      <w:rPr>
                                        <w:rFonts w:ascii="Cambria Math" w:hAnsi="Cambria Math"/>
                                        <w:sz w:val="19"/>
                                        <w:szCs w:val="19"/>
                                      </w:rPr>
                                      <m:t>2</m:t>
                                    </m:r>
                                    <m:r>
                                      <w:rPr>
                                        <w:rFonts w:ascii="Cambria Math" w:hAnsi="Cambria Math"/>
                                        <w:sz w:val="20"/>
                                        <w:szCs w:val="20"/>
                                      </w:rPr>
                                      <m:t>e</m:t>
                                    </m:r>
                                    <m:r>
                                      <w:rPr>
                                        <w:rFonts w:ascii="Cambria Math" w:eastAsia="ＭＳ ゴシック" w:hAnsi="Cambria Math" w:cs="ＭＳ ゴシック" w:hint="eastAsia"/>
                                        <w:sz w:val="20"/>
                                        <w:szCs w:val="20"/>
                                        <w:lang w:eastAsia="ja-JP"/>
                                      </w:rPr>
                                      <m:t>除去量</m:t>
                                    </m:r>
                                    <m:r>
                                      <w:rPr>
                                        <w:rFonts w:ascii="Cambria Math" w:eastAsia="ＭＳ ゴシック" w:hAnsi="ＭＳ ゴシック" w:cs="ＭＳ ゴシック" w:hint="eastAsia"/>
                                        <w:sz w:val="20"/>
                                        <w:szCs w:val="20"/>
                                        <w:lang w:eastAsia="ja-JP"/>
                                      </w:rPr>
                                      <m:t>（非生物起源）</m:t>
                                    </m:r>
                                  </m:num>
                                  <m:den>
                                    <m:r>
                                      <w:rPr>
                                        <w:rFonts w:ascii="Cambria Math" w:eastAsia="ＭＳ ゴシック" w:hAnsi="Cambria Math" w:cs="ＭＳ ゴシック" w:hint="eastAsia"/>
                                        <w:sz w:val="20"/>
                                        <w:szCs w:val="20"/>
                                        <w:lang w:eastAsia="ja-JP"/>
                                      </w:rPr>
                                      <m:t>基準流量</m:t>
                                    </m:r>
                                  </m:den>
                                </m:f>
                                <m:r>
                                  <m:rPr>
                                    <m:sty m:val="bi"/>
                                  </m:rPr>
                                  <w:rPr>
                                    <w:rFonts w:ascii="Cambria Math" w:eastAsia="ＭＳ ゴシック" w:hAnsi="Cambria Math" w:cs="ＭＳ ゴシック" w:hint="eastAsia"/>
                                    <w:color w:val="00ACA1"/>
                                    <w:sz w:val="20"/>
                                    <w:szCs w:val="20"/>
                                    <w:lang w:eastAsia="ja-JP"/>
                                  </w:rPr>
                                  <m:t xml:space="preserve">　＋　</m:t>
                                </m:r>
                                <m:f>
                                  <m:fPr>
                                    <m:ctrlPr>
                                      <w:rPr>
                                        <w:rFonts w:ascii="Cambria Math" w:hAnsi="Cambria Math"/>
                                        <w:i/>
                                        <w:sz w:val="20"/>
                                        <w:szCs w:val="20"/>
                                      </w:rPr>
                                    </m:ctrlPr>
                                  </m:fPr>
                                  <m:num>
                                    <m:r>
                                      <w:rPr>
                                        <w:rFonts w:ascii="Cambria Math" w:hAnsi="Cambria Math"/>
                                        <w:sz w:val="20"/>
                                        <w:szCs w:val="20"/>
                                      </w:rPr>
                                      <m:t>CO</m:t>
                                    </m:r>
                                    <m:r>
                                      <w:rPr>
                                        <w:rFonts w:ascii="Cambria Math" w:hAnsi="Cambria Math"/>
                                        <w:sz w:val="19"/>
                                        <w:szCs w:val="19"/>
                                      </w:rPr>
                                      <m:t>2</m:t>
                                    </m:r>
                                    <m:r>
                                      <w:rPr>
                                        <w:rFonts w:ascii="Cambria Math" w:hAnsi="Cambria Math"/>
                                        <w:sz w:val="20"/>
                                        <w:szCs w:val="20"/>
                                      </w:rPr>
                                      <m:t>e</m:t>
                                    </m:r>
                                    <m:r>
                                      <w:rPr>
                                        <w:rFonts w:ascii="Cambria Math" w:eastAsia="ＭＳ ゴシック" w:hAnsi="Cambria Math" w:cs="ＭＳ ゴシック" w:hint="eastAsia"/>
                                        <w:sz w:val="20"/>
                                        <w:szCs w:val="20"/>
                                        <w:lang w:eastAsia="ja-JP"/>
                                      </w:rPr>
                                      <m:t>土地利用変化の影響</m:t>
                                    </m:r>
                                  </m:num>
                                  <m:den>
                                    <m:r>
                                      <w:rPr>
                                        <w:rFonts w:ascii="Cambria Math" w:eastAsia="ＭＳ ゴシック" w:hAnsi="Cambria Math" w:cs="ＭＳ ゴシック" w:hint="eastAsia"/>
                                        <w:sz w:val="20"/>
                                        <w:szCs w:val="20"/>
                                        <w:lang w:eastAsia="ja-JP"/>
                                      </w:rPr>
                                      <m:t>基準流量</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13B28" id="テキスト ボックス 114" o:spid="_x0000_s1137" type="#_x0000_t202" style="position:absolute;left:0;text-align:left;margin-left:28pt;margin-top:14.45pt;width:515pt;height:79pt;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" filled="f" stroked="f" strokeweight=".5pt">
                <v:textbox>
                  <w:txbxContent>
                    <w:p w14:paraId="0FC04E84" w14:textId="7E2EC871" w:rsidR="002234B3" w:rsidRPr="002234B3" w:rsidRDefault="00000000" w:rsidP="002234B3">
                      <w:pPr>
                        <w:rPr>
                          <w:rFonts w:asciiTheme="minorHAnsi" w:eastAsiaTheme="minorEastAsia" w:hAnsiTheme="minorHAnsi" w:cstheme="minorBidi"/>
                          <w:b/>
                          <w:bCs/>
                          <w:color w:val="00ACA1"/>
                          <w:sz w:val="19"/>
                          <w:szCs w:val="19"/>
                          <w:lang w:eastAsia="ja-JP"/>
                        </w:rPr>
                      </w:pPr>
                      <m:oMathPara>
                        <m:oMath>
                          <m:f>
                            <m:fPr>
                              <m:ctrlPr>
                                <w:rPr>
                                  <w:rFonts w:ascii="Cambria Math" w:hAnsi="Cambria Math"/>
                                  <w:i/>
                                  <w:sz w:val="20"/>
                                  <w:szCs w:val="20"/>
                                </w:rPr>
                              </m:ctrlPr>
                            </m:fPr>
                            <m:num>
                              <m:r>
                                <w:rPr>
                                  <w:rFonts w:ascii="ＭＳ ゴシック" w:eastAsia="ＭＳ ゴシック" w:hAnsi="ＭＳ ゴシック" w:cs="ＭＳ ゴシック" w:hint="eastAsia"/>
                                  <w:sz w:val="20"/>
                                  <w:szCs w:val="20"/>
                                  <w:lang w:eastAsia="ja-JP"/>
                                </w:rPr>
                                <m:t>総</m:t>
                              </m:r>
                              <m:r>
                                <w:rPr>
                                  <w:rFonts w:ascii="Cambria Math" w:eastAsia="ＭＳ ゴシック" w:hAnsi="ＭＳ ゴシック" w:cs="ＭＳ ゴシック"/>
                                  <w:sz w:val="20"/>
                                  <w:szCs w:val="20"/>
                                  <w:lang w:eastAsia="ja-JP"/>
                                </w:rPr>
                                <m:t>CO</m:t>
                              </m:r>
                              <m:r>
                                <w:rPr>
                                  <w:rFonts w:ascii="Cambria Math" w:eastAsia="ＭＳ ゴシック" w:hAnsi="ＭＳ ゴシック" w:cs="ＭＳ ゴシック"/>
                                  <w:sz w:val="19"/>
                                  <w:szCs w:val="19"/>
                                  <w:lang w:eastAsia="ja-JP"/>
                                </w:rPr>
                                <m:t>2</m:t>
                              </m:r>
                              <m:r>
                                <w:rPr>
                                  <w:rFonts w:ascii="Cambria Math" w:eastAsia="ＭＳ ゴシック" w:hAnsi="ＭＳ ゴシック" w:cs="ＭＳ ゴシック"/>
                                  <w:sz w:val="20"/>
                                  <w:szCs w:val="20"/>
                                  <w:lang w:eastAsia="ja-JP"/>
                                </w:rPr>
                                <m:t>e</m:t>
                              </m:r>
                            </m:num>
                            <m:den>
                              <m:r>
                                <w:rPr>
                                  <w:rFonts w:ascii="ＭＳ ゴシック" w:eastAsia="ＭＳ ゴシック" w:hAnsi="ＭＳ ゴシック" w:cs="ＭＳ ゴシック" w:hint="eastAsia"/>
                                  <w:sz w:val="20"/>
                                  <w:szCs w:val="20"/>
                                  <w:lang w:eastAsia="ja-JP"/>
                                </w:rPr>
                                <m:t>分析単位</m:t>
                              </m:r>
                            </m:den>
                          </m:f>
                          <m:r>
                            <m:rPr>
                              <m:sty m:val="bi"/>
                            </m:rPr>
                            <w:rPr>
                              <w:rFonts w:ascii="ＭＳ ゴシック" w:eastAsia="ＭＳ ゴシック" w:hAnsi="ＭＳ ゴシック" w:cs="ＭＳ ゴシック" w:hint="eastAsia"/>
                              <w:color w:val="00ACA1"/>
                              <w:sz w:val="20"/>
                              <w:szCs w:val="20"/>
                              <w:lang w:eastAsia="ja-JP"/>
                            </w:rPr>
                            <m:t xml:space="preserve">　</m:t>
                          </m:r>
                          <m:r>
                            <m:rPr>
                              <m:sty m:val="bi"/>
                            </m:rPr>
                            <w:rPr>
                              <w:rFonts w:ascii="Cambria Math" w:hAnsi="Cambria Math"/>
                              <w:color w:val="00ACA1"/>
                              <w:sz w:val="20"/>
                              <w:szCs w:val="20"/>
                            </w:rPr>
                            <m:t>=</m:t>
                          </m:r>
                          <m:r>
                            <m:rPr>
                              <m:sty m:val="bi"/>
                            </m:rPr>
                            <w:rPr>
                              <w:rFonts w:ascii="ＭＳ ゴシック" w:eastAsia="ＭＳ ゴシック" w:hAnsi="ＭＳ ゴシック" w:cs="ＭＳ ゴシック" w:hint="eastAsia"/>
                              <w:color w:val="00ACA1"/>
                              <w:sz w:val="20"/>
                              <w:szCs w:val="20"/>
                              <w:lang w:eastAsia="ja-JP"/>
                            </w:rPr>
                            <m:t xml:space="preserve">　</m:t>
                          </m:r>
                          <m:f>
                            <m:fPr>
                              <m:ctrlPr>
                                <w:rPr>
                                  <w:rFonts w:ascii="Cambria Math" w:hAnsi="Cambria Math"/>
                                  <w:i/>
                                  <w:sz w:val="20"/>
                                  <w:szCs w:val="20"/>
                                </w:rPr>
                              </m:ctrlPr>
                            </m:fPr>
                            <m:num>
                              <m:r>
                                <w:rPr>
                                  <w:rFonts w:ascii="Cambria Math" w:hAnsi="Cambria Math"/>
                                  <w:sz w:val="20"/>
                                  <w:szCs w:val="20"/>
                                </w:rPr>
                                <m:t>CO</m:t>
                              </m:r>
                              <m:r>
                                <w:rPr>
                                  <w:rFonts w:ascii="Cambria Math" w:hAnsi="Cambria Math"/>
                                  <w:sz w:val="19"/>
                                  <w:szCs w:val="19"/>
                                </w:rPr>
                                <m:t>2</m:t>
                              </m:r>
                              <m:r>
                                <w:rPr>
                                  <w:rFonts w:ascii="Cambria Math" w:hAnsi="Cambria Math"/>
                                  <w:sz w:val="20"/>
                                  <w:szCs w:val="20"/>
                                </w:rPr>
                                <m:t>e</m:t>
                              </m:r>
                              <m:r>
                                <w:rPr>
                                  <w:rFonts w:ascii="ＭＳ ゴシック" w:eastAsia="ＭＳ ゴシック" w:hAnsi="ＭＳ ゴシック" w:cs="ＭＳ ゴシック" w:hint="eastAsia"/>
                                  <w:sz w:val="20"/>
                                  <w:szCs w:val="20"/>
                                  <w:lang w:eastAsia="ja-JP"/>
                                </w:rPr>
                                <m:t>排出量</m:t>
                              </m:r>
                              <m:d>
                                <m:dPr>
                                  <m:begChr m:val="（"/>
                                  <m:endChr m:val="）"/>
                                  <m:ctrlPr>
                                    <w:rPr>
                                      <w:rFonts w:ascii="Cambria Math" w:eastAsia="ＭＳ ゴシック" w:hAnsi="ＭＳ ゴシック" w:cs="ＭＳ ゴシック"/>
                                      <w:i/>
                                      <w:sz w:val="20"/>
                                      <w:szCs w:val="20"/>
                                      <w:lang w:eastAsia="ja-JP"/>
                                    </w:rPr>
                                  </m:ctrlPr>
                                </m:dPr>
                                <m:e>
                                  <m:r>
                                    <w:rPr>
                                      <w:rFonts w:ascii="Cambria Math" w:eastAsia="ＭＳ ゴシック" w:hAnsi="ＭＳ ゴシック" w:cs="ＭＳ ゴシック" w:hint="eastAsia"/>
                                      <w:sz w:val="20"/>
                                      <w:szCs w:val="20"/>
                                      <w:lang w:eastAsia="ja-JP"/>
                                    </w:rPr>
                                    <m:t>生物起源</m:t>
                                  </m:r>
                                </m:e>
                              </m:d>
                            </m:num>
                            <m:den>
                              <m:r>
                                <w:rPr>
                                  <w:rFonts w:ascii="ＭＳ ゴシック" w:eastAsia="ＭＳ ゴシック" w:hAnsi="ＭＳ ゴシック" w:cs="ＭＳ ゴシック" w:hint="eastAsia"/>
                                  <w:sz w:val="20"/>
                                  <w:szCs w:val="20"/>
                                  <w:lang w:eastAsia="ja-JP"/>
                                </w:rPr>
                                <m:t>基準流量</m:t>
                              </m:r>
                            </m:den>
                          </m:f>
                          <m:r>
                            <m:rPr>
                              <m:sty m:val="bi"/>
                            </m:rPr>
                            <w:rPr>
                              <w:rFonts w:ascii="Cambria Math" w:eastAsia="ＭＳ ゴシック" w:hAnsi="Cambria Math" w:cs="ＭＳ ゴシック" w:hint="eastAsia"/>
                              <w:color w:val="00ACA1"/>
                              <w:sz w:val="20"/>
                              <w:szCs w:val="20"/>
                              <w:lang w:eastAsia="ja-JP"/>
                            </w:rPr>
                            <m:t xml:space="preserve">　ー　</m:t>
                          </m:r>
                          <m:f>
                            <m:fPr>
                              <m:ctrlPr>
                                <w:rPr>
                                  <w:rFonts w:ascii="Cambria Math" w:hAnsi="Cambria Math"/>
                                  <w:i/>
                                  <w:sz w:val="20"/>
                                  <w:szCs w:val="20"/>
                                </w:rPr>
                              </m:ctrlPr>
                            </m:fPr>
                            <m:num>
                              <m:r>
                                <w:rPr>
                                  <w:rFonts w:ascii="Cambria Math" w:hAnsi="Cambria Math"/>
                                  <w:sz w:val="20"/>
                                  <w:szCs w:val="20"/>
                                </w:rPr>
                                <m:t>CO</m:t>
                              </m:r>
                              <m:r>
                                <w:rPr>
                                  <w:rFonts w:ascii="Cambria Math" w:hAnsi="Cambria Math"/>
                                  <w:sz w:val="19"/>
                                  <w:szCs w:val="19"/>
                                </w:rPr>
                                <m:t>2</m:t>
                              </m:r>
                              <m:r>
                                <w:rPr>
                                  <w:rFonts w:ascii="Cambria Math" w:hAnsi="Cambria Math"/>
                                  <w:sz w:val="20"/>
                                  <w:szCs w:val="20"/>
                                </w:rPr>
                                <m:t>e</m:t>
                              </m:r>
                              <m:r>
                                <w:rPr>
                                  <w:rFonts w:ascii="Cambria Math" w:eastAsia="ＭＳ ゴシック" w:hAnsi="Cambria Math" w:cs="ＭＳ ゴシック" w:hint="eastAsia"/>
                                  <w:sz w:val="20"/>
                                  <w:szCs w:val="20"/>
                                  <w:lang w:eastAsia="ja-JP"/>
                                </w:rPr>
                                <m:t>除去量</m:t>
                              </m:r>
                              <m:d>
                                <m:dPr>
                                  <m:begChr m:val="（"/>
                                  <m:endChr m:val="）"/>
                                  <m:ctrlPr>
                                    <w:rPr>
                                      <w:rFonts w:ascii="Cambria Math" w:eastAsia="ＭＳ ゴシック" w:hAnsi="ＭＳ ゴシック" w:cs="ＭＳ ゴシック"/>
                                      <w:i/>
                                      <w:sz w:val="20"/>
                                      <w:szCs w:val="20"/>
                                      <w:lang w:eastAsia="ja-JP"/>
                                    </w:rPr>
                                  </m:ctrlPr>
                                </m:dPr>
                                <m:e>
                                  <m:r>
                                    <w:rPr>
                                      <w:rFonts w:ascii="Cambria Math" w:eastAsia="ＭＳ ゴシック" w:hAnsi="ＭＳ ゴシック" w:cs="ＭＳ ゴシック" w:hint="eastAsia"/>
                                      <w:sz w:val="20"/>
                                      <w:szCs w:val="20"/>
                                      <w:lang w:eastAsia="ja-JP"/>
                                    </w:rPr>
                                    <m:t>生物起源</m:t>
                                  </m:r>
                                </m:e>
                              </m:d>
                            </m:num>
                            <m:den>
                              <m:r>
                                <w:rPr>
                                  <w:rFonts w:ascii="Cambria Math" w:eastAsia="ＭＳ ゴシック" w:hAnsi="Cambria Math" w:cs="ＭＳ ゴシック" w:hint="eastAsia"/>
                                  <w:sz w:val="20"/>
                                  <w:szCs w:val="20"/>
                                  <w:lang w:eastAsia="ja-JP"/>
                                </w:rPr>
                                <m:t>基準流量</m:t>
                              </m:r>
                            </m:den>
                          </m:f>
                        </m:oMath>
                      </m:oMathPara>
                    </w:p>
                    <w:p w14:paraId="58B7E50C" w14:textId="0F7DF761" w:rsidR="002234B3" w:rsidRPr="002234B3" w:rsidRDefault="002234B3" w:rsidP="002234B3">
                      <w:pPr>
                        <w:rPr>
                          <w:rFonts w:ascii="ＭＳ ゴシック" w:eastAsia="ＭＳ ゴシック" w:hAnsi="ＭＳ ゴシック" w:cs="ＭＳ ゴシック"/>
                          <w:i/>
                          <w:sz w:val="19"/>
                          <w:szCs w:val="19"/>
                          <w:lang w:eastAsia="ja-JP"/>
                        </w:rPr>
                      </w:pPr>
                      <m:oMathPara>
                        <m:oMath>
                          <m:r>
                            <m:rPr>
                              <m:sty m:val="bi"/>
                            </m:rPr>
                            <w:rPr>
                              <w:rFonts w:ascii="Cambria Math" w:eastAsia="ＭＳ ゴシック" w:hAnsi="Cambria Math" w:cs="ＭＳ ゴシック" w:hint="eastAsia"/>
                              <w:color w:val="00ACA1"/>
                              <w:sz w:val="20"/>
                              <w:szCs w:val="20"/>
                              <w:lang w:eastAsia="ja-JP"/>
                            </w:rPr>
                            <m:t xml:space="preserve">＋　</m:t>
                          </m:r>
                          <m:f>
                            <m:fPr>
                              <m:ctrlPr>
                                <w:rPr>
                                  <w:rFonts w:ascii="Cambria Math" w:hAnsi="Cambria Math"/>
                                  <w:i/>
                                  <w:sz w:val="20"/>
                                  <w:szCs w:val="20"/>
                                </w:rPr>
                              </m:ctrlPr>
                            </m:fPr>
                            <m:num>
                              <m:r>
                                <w:rPr>
                                  <w:rFonts w:ascii="Cambria Math" w:hAnsi="Cambria Math"/>
                                  <w:sz w:val="20"/>
                                  <w:szCs w:val="20"/>
                                </w:rPr>
                                <m:t>CO</m:t>
                              </m:r>
                              <m:r>
                                <w:rPr>
                                  <w:rFonts w:ascii="Cambria Math" w:hAnsi="Cambria Math"/>
                                  <w:sz w:val="19"/>
                                  <w:szCs w:val="19"/>
                                </w:rPr>
                                <m:t>2</m:t>
                              </m:r>
                              <m:r>
                                <w:rPr>
                                  <w:rFonts w:ascii="Cambria Math" w:hAnsi="Cambria Math"/>
                                  <w:sz w:val="20"/>
                                  <w:szCs w:val="20"/>
                                </w:rPr>
                                <m:t>e</m:t>
                              </m:r>
                              <m:r>
                                <w:rPr>
                                  <w:rFonts w:ascii="Cambria Math" w:eastAsia="ＭＳ ゴシック" w:hAnsi="Cambria Math" w:cs="ＭＳ ゴシック" w:hint="eastAsia"/>
                                  <w:sz w:val="20"/>
                                  <w:szCs w:val="20"/>
                                  <w:lang w:eastAsia="ja-JP"/>
                                </w:rPr>
                                <m:t>排出量</m:t>
                              </m:r>
                              <m:r>
                                <w:rPr>
                                  <w:rFonts w:ascii="Cambria Math" w:eastAsia="ＭＳ ゴシック" w:hAnsi="ＭＳ ゴシック" w:cs="ＭＳ ゴシック" w:hint="eastAsia"/>
                                  <w:sz w:val="20"/>
                                  <w:szCs w:val="20"/>
                                  <w:lang w:eastAsia="ja-JP"/>
                                </w:rPr>
                                <m:t>（非生物起源）</m:t>
                              </m:r>
                            </m:num>
                            <m:den>
                              <m:r>
                                <w:rPr>
                                  <w:rFonts w:ascii="Cambria Math" w:eastAsia="ＭＳ ゴシック" w:hAnsi="Cambria Math" w:cs="ＭＳ ゴシック" w:hint="eastAsia"/>
                                  <w:sz w:val="20"/>
                                  <w:szCs w:val="20"/>
                                  <w:lang w:eastAsia="ja-JP"/>
                                </w:rPr>
                                <m:t>基準流量</m:t>
                              </m:r>
                            </m:den>
                          </m:f>
                          <m:r>
                            <m:rPr>
                              <m:sty m:val="bi"/>
                            </m:rPr>
                            <w:rPr>
                              <w:rFonts w:ascii="Cambria Math" w:eastAsia="ＭＳ ゴシック" w:hAnsi="Cambria Math" w:cs="ＭＳ ゴシック" w:hint="eastAsia"/>
                              <w:color w:val="00ACA1"/>
                              <w:sz w:val="20"/>
                              <w:szCs w:val="20"/>
                              <w:lang w:eastAsia="ja-JP"/>
                            </w:rPr>
                            <m:t xml:space="preserve">　ー　</m:t>
                          </m:r>
                          <m:f>
                            <m:fPr>
                              <m:ctrlPr>
                                <w:rPr>
                                  <w:rFonts w:ascii="Cambria Math" w:hAnsi="Cambria Math"/>
                                  <w:i/>
                                  <w:sz w:val="20"/>
                                  <w:szCs w:val="20"/>
                                </w:rPr>
                              </m:ctrlPr>
                            </m:fPr>
                            <m:num>
                              <m:r>
                                <w:rPr>
                                  <w:rFonts w:ascii="Cambria Math" w:hAnsi="Cambria Math"/>
                                  <w:sz w:val="20"/>
                                  <w:szCs w:val="20"/>
                                </w:rPr>
                                <m:t>CO</m:t>
                              </m:r>
                              <m:r>
                                <w:rPr>
                                  <w:rFonts w:ascii="Cambria Math" w:hAnsi="Cambria Math"/>
                                  <w:sz w:val="19"/>
                                  <w:szCs w:val="19"/>
                                </w:rPr>
                                <m:t>2</m:t>
                              </m:r>
                              <m:r>
                                <w:rPr>
                                  <w:rFonts w:ascii="Cambria Math" w:hAnsi="Cambria Math"/>
                                  <w:sz w:val="20"/>
                                  <w:szCs w:val="20"/>
                                </w:rPr>
                                <m:t>e</m:t>
                              </m:r>
                              <m:r>
                                <w:rPr>
                                  <w:rFonts w:ascii="Cambria Math" w:eastAsia="ＭＳ ゴシック" w:hAnsi="Cambria Math" w:cs="ＭＳ ゴシック" w:hint="eastAsia"/>
                                  <w:sz w:val="20"/>
                                  <w:szCs w:val="20"/>
                                  <w:lang w:eastAsia="ja-JP"/>
                                </w:rPr>
                                <m:t>除去量</m:t>
                              </m:r>
                              <m:r>
                                <w:rPr>
                                  <w:rFonts w:ascii="Cambria Math" w:eastAsia="ＭＳ ゴシック" w:hAnsi="ＭＳ ゴシック" w:cs="ＭＳ ゴシック" w:hint="eastAsia"/>
                                  <w:sz w:val="20"/>
                                  <w:szCs w:val="20"/>
                                  <w:lang w:eastAsia="ja-JP"/>
                                </w:rPr>
                                <m:t>（非生物起源）</m:t>
                              </m:r>
                            </m:num>
                            <m:den>
                              <m:r>
                                <w:rPr>
                                  <w:rFonts w:ascii="Cambria Math" w:eastAsia="ＭＳ ゴシック" w:hAnsi="Cambria Math" w:cs="ＭＳ ゴシック" w:hint="eastAsia"/>
                                  <w:sz w:val="20"/>
                                  <w:szCs w:val="20"/>
                                  <w:lang w:eastAsia="ja-JP"/>
                                </w:rPr>
                                <m:t>基準流量</m:t>
                              </m:r>
                            </m:den>
                          </m:f>
                          <m:r>
                            <m:rPr>
                              <m:sty m:val="bi"/>
                            </m:rPr>
                            <w:rPr>
                              <w:rFonts w:ascii="Cambria Math" w:eastAsia="ＭＳ ゴシック" w:hAnsi="Cambria Math" w:cs="ＭＳ ゴシック" w:hint="eastAsia"/>
                              <w:color w:val="00ACA1"/>
                              <w:sz w:val="20"/>
                              <w:szCs w:val="20"/>
                              <w:lang w:eastAsia="ja-JP"/>
                            </w:rPr>
                            <m:t xml:space="preserve">　＋　</m:t>
                          </m:r>
                          <m:f>
                            <m:fPr>
                              <m:ctrlPr>
                                <w:rPr>
                                  <w:rFonts w:ascii="Cambria Math" w:hAnsi="Cambria Math"/>
                                  <w:i/>
                                  <w:sz w:val="20"/>
                                  <w:szCs w:val="20"/>
                                </w:rPr>
                              </m:ctrlPr>
                            </m:fPr>
                            <m:num>
                              <m:r>
                                <w:rPr>
                                  <w:rFonts w:ascii="Cambria Math" w:hAnsi="Cambria Math"/>
                                  <w:sz w:val="20"/>
                                  <w:szCs w:val="20"/>
                                </w:rPr>
                                <m:t>CO</m:t>
                              </m:r>
                              <m:r>
                                <w:rPr>
                                  <w:rFonts w:ascii="Cambria Math" w:hAnsi="Cambria Math"/>
                                  <w:sz w:val="19"/>
                                  <w:szCs w:val="19"/>
                                </w:rPr>
                                <m:t>2</m:t>
                              </m:r>
                              <m:r>
                                <w:rPr>
                                  <w:rFonts w:ascii="Cambria Math" w:hAnsi="Cambria Math"/>
                                  <w:sz w:val="20"/>
                                  <w:szCs w:val="20"/>
                                </w:rPr>
                                <m:t>e</m:t>
                              </m:r>
                              <m:r>
                                <w:rPr>
                                  <w:rFonts w:ascii="Cambria Math" w:eastAsia="ＭＳ ゴシック" w:hAnsi="Cambria Math" w:cs="ＭＳ ゴシック" w:hint="eastAsia"/>
                                  <w:sz w:val="20"/>
                                  <w:szCs w:val="20"/>
                                  <w:lang w:eastAsia="ja-JP"/>
                                </w:rPr>
                                <m:t>土地利用変化の影響</m:t>
                              </m:r>
                            </m:num>
                            <m:den>
                              <m:r>
                                <w:rPr>
                                  <w:rFonts w:ascii="Cambria Math" w:eastAsia="ＭＳ ゴシック" w:hAnsi="Cambria Math" w:cs="ＭＳ ゴシック" w:hint="eastAsia"/>
                                  <w:sz w:val="20"/>
                                  <w:szCs w:val="20"/>
                                  <w:lang w:eastAsia="ja-JP"/>
                                </w:rPr>
                                <m:t>基準流量</m:t>
                              </m:r>
                            </m:den>
                          </m:f>
                        </m:oMath>
                      </m:oMathPara>
                    </w:p>
                  </w:txbxContent>
                </v:textbox>
                <w10:wrap type="topAndBottom"/>
              </v:shape>
            </w:pict>
          </mc:Fallback>
        </mc:AlternateContent>
      </w:r>
      <w:r w:rsidR="00F23C61">
        <w:rPr>
          <w:rFonts w:ascii="Arial" w:hAnsi="Arial"/>
          <w:b/>
          <w:i/>
          <w:color w:val="545456"/>
          <w:spacing w:val="-10"/>
          <w:w w:val="89"/>
          <w:sz w:val="19"/>
          <w:lang w:eastAsia="ja-JP"/>
        </w:rPr>
        <w:br w:type="column"/>
      </w:r>
      <w:r w:rsidRPr="00E3408F">
        <w:rPr>
          <w:rFonts w:ascii="ＭＳ ゴシック" w:eastAsia="ＭＳ ゴシック" w:hAnsi="ＭＳ ゴシック" w:cs="ＭＳ ゴシック"/>
          <w:b/>
          <w:i/>
          <w:color w:val="545456"/>
          <w:spacing w:val="-1"/>
          <w:w w:val="90"/>
          <w:sz w:val="19"/>
          <w:lang w:eastAsia="ja-JP"/>
        </w:rPr>
        <w:t xml:space="preserve"> </w:t>
      </w:r>
    </w:p>
    <w:p w14:paraId="079FC9C5" w14:textId="77777777" w:rsidR="0055291C" w:rsidRDefault="0055291C">
      <w:pPr>
        <w:rPr>
          <w:rFonts w:ascii="Arial"/>
          <w:sz w:val="20"/>
          <w:lang w:eastAsia="ja-JP"/>
        </w:rPr>
        <w:sectPr w:rsidR="0055291C">
          <w:headerReference w:type="even" r:id="rId280"/>
          <w:footerReference w:type="even" r:id="rId281"/>
          <w:footerReference w:type="default" r:id="rId282"/>
          <w:pgSz w:w="12240" w:h="15840"/>
          <w:pgMar w:top="620" w:right="0" w:bottom="1040" w:left="0" w:header="0" w:footer="859" w:gutter="0"/>
          <w:pgNumType w:start="90"/>
          <w:cols w:space="720"/>
        </w:sectPr>
      </w:pPr>
    </w:p>
    <w:p w14:paraId="180C4D41" w14:textId="77777777" w:rsidR="0055291C" w:rsidRDefault="0055291C">
      <w:pPr>
        <w:pStyle w:val="a3"/>
        <w:spacing w:before="8"/>
        <w:rPr>
          <w:rFonts w:ascii="Arial"/>
          <w:b/>
          <w:i/>
          <w:sz w:val="21"/>
          <w:lang w:eastAsia="ja-JP"/>
        </w:rPr>
      </w:pPr>
    </w:p>
    <w:p w14:paraId="2AFC836B" w14:textId="01C5BE09" w:rsidR="0055291C" w:rsidRPr="006D43DE" w:rsidRDefault="006D43DE">
      <w:pPr>
        <w:pStyle w:val="a5"/>
        <w:numPr>
          <w:ilvl w:val="0"/>
          <w:numId w:val="35"/>
        </w:numPr>
        <w:tabs>
          <w:tab w:val="left" w:pos="1867"/>
          <w:tab w:val="left" w:pos="1869"/>
        </w:tabs>
        <w:spacing w:line="324" w:lineRule="auto"/>
        <w:ind w:right="705"/>
        <w:rPr>
          <w:rFonts w:ascii="Arial"/>
          <w:b/>
          <w:i/>
          <w:color w:val="7F3F98"/>
          <w:sz w:val="18"/>
          <w:lang w:eastAsia="ja-JP"/>
        </w:rPr>
      </w:pPr>
      <w:r w:rsidRPr="006D43DE">
        <w:rPr>
          <w:rFonts w:ascii="ＭＳ ゴシック" w:eastAsia="ＭＳ ゴシック" w:hAnsi="ＭＳ ゴシック" w:cs="ＭＳ ゴシック" w:hint="eastAsia"/>
          <w:b/>
          <w:i/>
          <w:color w:val="7F3F98"/>
          <w:sz w:val="18"/>
          <w:lang w:eastAsia="ja-JP"/>
        </w:rPr>
        <w:t>ライフサイクルステージ別の</w:t>
      </w:r>
      <w:r>
        <w:rPr>
          <w:rFonts w:ascii="ＭＳ ゴシック" w:eastAsia="ＭＳ ゴシック" w:hAnsi="ＭＳ ゴシック" w:cs="ＭＳ ゴシック" w:hint="eastAsia"/>
          <w:b/>
          <w:i/>
          <w:color w:val="7F3F98"/>
          <w:sz w:val="18"/>
          <w:lang w:eastAsia="ja-JP"/>
        </w:rPr>
        <w:t>排出</w:t>
      </w:r>
      <w:r w:rsidRPr="006D43DE">
        <w:rPr>
          <w:rFonts w:ascii="ＭＳ ゴシック" w:eastAsia="ＭＳ ゴシック" w:hAnsi="ＭＳ ゴシック" w:cs="ＭＳ ゴシック" w:hint="eastAsia"/>
          <w:b/>
          <w:i/>
          <w:color w:val="7F3F98"/>
          <w:sz w:val="18"/>
          <w:lang w:eastAsia="ja-JP"/>
        </w:rPr>
        <w:t>割合の算出</w:t>
      </w:r>
    </w:p>
    <w:p w14:paraId="5A5D8B73" w14:textId="77777777" w:rsidR="007D7017" w:rsidRDefault="006D43DE" w:rsidP="00326D8D">
      <w:pPr>
        <w:pStyle w:val="a3"/>
        <w:spacing w:before="138" w:line="312" w:lineRule="auto"/>
        <w:ind w:left="851" w:right="280" w:firstLineChars="100" w:firstLine="190"/>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ライフサイクルステージ</w:t>
      </w:r>
      <w:r w:rsidR="003F7602">
        <w:rPr>
          <w:rFonts w:ascii="ＭＳ ゴシック" w:eastAsia="ＭＳ ゴシック" w:hAnsi="ＭＳ ゴシック" w:cs="ＭＳ ゴシック" w:hint="eastAsia"/>
          <w:lang w:eastAsia="ja-JP"/>
        </w:rPr>
        <w:t>（LCS）</w:t>
      </w:r>
      <w:r>
        <w:rPr>
          <w:rFonts w:ascii="ＭＳ ゴシック" w:eastAsia="ＭＳ ゴシック" w:hAnsi="ＭＳ ゴシック" w:cs="ＭＳ ゴシック" w:hint="eastAsia"/>
          <w:lang w:eastAsia="ja-JP"/>
        </w:rPr>
        <w:t>ごとの算出結果は、</w:t>
      </w:r>
      <w:r>
        <w:rPr>
          <w:lang w:eastAsia="ja-JP"/>
        </w:rPr>
        <w:t xml:space="preserve"> </w:t>
      </w:r>
      <w:r>
        <w:rPr>
          <w:rFonts w:ascii="ＭＳ ゴシック" w:eastAsia="ＭＳ ゴシック" w:hAnsi="ＭＳ ゴシック" w:cs="ＭＳ ゴシック" w:hint="eastAsia"/>
          <w:lang w:eastAsia="ja-JP"/>
        </w:rPr>
        <w:t>上記ステップ</w:t>
      </w:r>
      <w:r>
        <w:rPr>
          <w:lang w:eastAsia="ja-JP"/>
        </w:rPr>
        <w:t>3</w:t>
      </w:r>
      <w:r>
        <w:rPr>
          <w:rFonts w:ascii="ＭＳ ゴシック" w:eastAsia="ＭＳ ゴシック" w:hAnsi="ＭＳ ゴシック" w:cs="ＭＳ ゴシック" w:hint="eastAsia"/>
          <w:lang w:eastAsia="ja-JP"/>
        </w:rPr>
        <w:t>で示したのと同じ式を用いて算出されます。土地利用変化による影響と除去は、報告企業の認識に応じて、通常、材料の取得と前処理または生産ステージに含まれます。</w:t>
      </w:r>
      <w:r>
        <w:rPr>
          <w:lang w:eastAsia="ja-JP"/>
        </w:rPr>
        <w:t xml:space="preserve"> </w:t>
      </w:r>
      <w:r>
        <w:rPr>
          <w:rFonts w:ascii="ＭＳ ゴシック" w:eastAsia="ＭＳ ゴシック" w:hAnsi="ＭＳ ゴシック" w:cs="ＭＳ ゴシック" w:hint="eastAsia"/>
          <w:lang w:eastAsia="ja-JP"/>
        </w:rPr>
        <w:t>場合によっては、使用段階で除去が発生することがあります（例えば、セメントによる</w:t>
      </w:r>
      <w:r>
        <w:rPr>
          <w:lang w:eastAsia="ja-JP"/>
        </w:rPr>
        <w:t>CO</w:t>
      </w:r>
      <w:r w:rsidRPr="006D43DE">
        <w:rPr>
          <w:vertAlign w:val="subscript"/>
          <w:lang w:eastAsia="ja-JP"/>
        </w:rPr>
        <w:t>2</w:t>
      </w:r>
      <w:r>
        <w:rPr>
          <w:rFonts w:ascii="ＭＳ ゴシック" w:eastAsia="ＭＳ ゴシック" w:hAnsi="ＭＳ ゴシック" w:cs="ＭＳ ゴシック" w:hint="eastAsia"/>
          <w:lang w:eastAsia="ja-JP"/>
        </w:rPr>
        <w:t>の吸収）。その除去がその段階での負の影響率を生じさせる程大きい場合、報告書に明確に記載</w:t>
      </w:r>
      <w:r w:rsidR="0004647D">
        <w:rPr>
          <w:rFonts w:ascii="ＭＳ ゴシック" w:eastAsia="ＭＳ ゴシック" w:hAnsi="ＭＳ ゴシック" w:cs="ＭＳ ゴシック" w:hint="eastAsia"/>
          <w:lang w:eastAsia="ja-JP"/>
        </w:rPr>
        <w:t>するべきでしょう</w:t>
      </w:r>
      <w:r>
        <w:rPr>
          <w:rFonts w:ascii="ＭＳ ゴシック" w:eastAsia="ＭＳ ゴシック" w:hAnsi="ＭＳ ゴシック" w:cs="ＭＳ ゴシック" w:hint="eastAsia"/>
          <w:lang w:eastAsia="ja-JP"/>
        </w:rPr>
        <w:t>。ライフサイクルステージ別の総在庫実績の割合は、以下の式で算出されます。</w:t>
      </w:r>
    </w:p>
    <w:p w14:paraId="6A1276CF" w14:textId="77777777" w:rsidR="007D7017" w:rsidRDefault="007D7017" w:rsidP="007D7017">
      <w:pPr>
        <w:pStyle w:val="a3"/>
        <w:spacing w:before="138" w:line="312" w:lineRule="auto"/>
        <w:ind w:left="851" w:right="463"/>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第</w:t>
      </w:r>
      <w:r>
        <w:rPr>
          <w:lang w:eastAsia="ja-JP"/>
        </w:rPr>
        <w:t>9</w:t>
      </w:r>
      <w:r>
        <w:rPr>
          <w:rFonts w:ascii="ＭＳ ゴシック" w:eastAsia="ＭＳ ゴシック" w:hAnsi="ＭＳ ゴシック" w:cs="ＭＳ ゴシック" w:hint="eastAsia"/>
          <w:lang w:eastAsia="ja-JP"/>
        </w:rPr>
        <w:t>章で要求されているように、使用済み段階での負の影響を避けるために、バージン材変位係数は、ライフサイクル段階ごとの算出結果とは別に報告されます。報告用テンプレート（</w:t>
      </w:r>
      <w:r>
        <w:rPr>
          <w:lang w:eastAsia="ja-JP"/>
        </w:rPr>
        <w:t xml:space="preserve"> www.ghgprotocol.org</w:t>
      </w:r>
      <w:r>
        <w:rPr>
          <w:rFonts w:ascii="ＭＳ ゴシック" w:eastAsia="ＭＳ ゴシック" w:hAnsi="ＭＳ ゴシック" w:cs="ＭＳ ゴシック" w:hint="eastAsia"/>
          <w:lang w:eastAsia="ja-JP"/>
        </w:rPr>
        <w:t>）で示されているように、バー</w:t>
      </w:r>
      <w:r>
        <w:rPr>
          <w:lang w:eastAsia="ja-JP"/>
        </w:rPr>
        <w:t xml:space="preserve"> </w:t>
      </w:r>
      <w:r>
        <w:rPr>
          <w:rFonts w:ascii="ＭＳ ゴシック" w:eastAsia="ＭＳ ゴシック" w:hAnsi="ＭＳ ゴシック" w:cs="ＭＳ ゴシック" w:hint="eastAsia"/>
          <w:lang w:eastAsia="ja-JP"/>
        </w:rPr>
        <w:t>ジン材置換の影響割合は、ライフサイクル終了段階の結果の隣に報告することができます。バージン材変位係数は、総排出結果の一部として含まれます。</w:t>
      </w:r>
    </w:p>
    <w:p w14:paraId="1B08613C" w14:textId="4B006AEA" w:rsidR="007D7017" w:rsidRDefault="007D7017" w:rsidP="007D7017">
      <w:pPr>
        <w:pStyle w:val="a3"/>
        <w:spacing w:before="138" w:line="312" w:lineRule="auto"/>
        <w:ind w:left="851" w:right="463"/>
        <w:rPr>
          <w:rFonts w:ascii="Arial"/>
          <w:b/>
          <w:i/>
          <w:sz w:val="18"/>
          <w:lang w:eastAsia="ja-JP"/>
        </w:rPr>
      </w:pPr>
      <w:r>
        <w:rPr>
          <w:rFonts w:ascii="Arial"/>
          <w:b/>
          <w:i/>
          <w:color w:val="7F3F98"/>
          <w:sz w:val="18"/>
          <w:lang w:eastAsia="ja-JP"/>
        </w:rPr>
        <w:t>5.</w:t>
      </w:r>
      <w:r>
        <w:rPr>
          <w:rFonts w:ascii="Arial"/>
          <w:b/>
          <w:i/>
          <w:color w:val="7F3F98"/>
          <w:sz w:val="18"/>
          <w:lang w:eastAsia="ja-JP"/>
        </w:rPr>
        <w:tab/>
      </w:r>
      <w:r w:rsidRPr="00AF6BE3">
        <w:rPr>
          <w:rFonts w:ascii="ＭＳ ゴシック" w:eastAsia="ＭＳ ゴシック" w:hAnsi="ＭＳ ゴシック" w:cs="ＭＳ ゴシック" w:hint="eastAsia"/>
          <w:b/>
          <w:i/>
          <w:color w:val="7F3F98"/>
          <w:sz w:val="18"/>
          <w:lang w:eastAsia="ja-JP"/>
        </w:rPr>
        <w:t>生物起源、非生物起源の排出と除去、及び土地利用変化の影響を分割した報告</w:t>
      </w:r>
    </w:p>
    <w:p w14:paraId="2B86F2FF" w14:textId="77777777" w:rsidR="007D7017" w:rsidRDefault="007D7017" w:rsidP="007D7017">
      <w:pPr>
        <w:pStyle w:val="a3"/>
        <w:spacing w:before="3" w:line="312" w:lineRule="auto"/>
        <w:ind w:left="851" w:right="463" w:firstLineChars="256" w:firstLine="507"/>
        <w:rPr>
          <w:rFonts w:ascii="ＭＳ ゴシック" w:eastAsia="ＭＳ ゴシック" w:hAnsi="ＭＳ ゴシック" w:cs="ＭＳ ゴシック"/>
          <w:color w:val="545456"/>
          <w:spacing w:val="-1"/>
          <w:w w:val="105"/>
          <w:lang w:eastAsia="ja-JP"/>
        </w:rPr>
      </w:pPr>
      <w:r w:rsidRPr="00967535">
        <w:rPr>
          <w:rFonts w:ascii="ＭＳ ゴシック" w:eastAsia="ＭＳ ゴシック" w:hAnsi="ＭＳ ゴシック" w:cs="ＭＳ ゴシック" w:hint="eastAsia"/>
          <w:color w:val="545456"/>
          <w:spacing w:val="-1"/>
          <w:w w:val="105"/>
          <w:lang w:eastAsia="ja-JP"/>
        </w:rPr>
        <w:t>排出量の総計を個別に報告することで、報告企業とステークホルダーに透明性を提供します。</w:t>
      </w:r>
    </w:p>
    <w:p w14:paraId="7324DCF4" w14:textId="77777777" w:rsidR="007D7017" w:rsidRPr="00967535" w:rsidRDefault="007D7017" w:rsidP="007D7017">
      <w:pPr>
        <w:pStyle w:val="a3"/>
        <w:spacing w:before="3" w:line="312" w:lineRule="auto"/>
        <w:ind w:left="851" w:right="463" w:firstLineChars="256" w:firstLine="507"/>
        <w:rPr>
          <w:color w:val="545456"/>
          <w:spacing w:val="-1"/>
          <w:w w:val="105"/>
          <w:lang w:eastAsia="ja-JP"/>
        </w:rPr>
      </w:pPr>
    </w:p>
    <w:p w14:paraId="683D5EF2" w14:textId="77777777" w:rsidR="007D7017" w:rsidRPr="00967535" w:rsidRDefault="007D7017" w:rsidP="00BB3C93">
      <w:pPr>
        <w:pStyle w:val="a3"/>
        <w:spacing w:before="3" w:line="312" w:lineRule="auto"/>
        <w:ind w:left="851" w:right="463" w:firstLineChars="214" w:firstLine="424"/>
        <w:rPr>
          <w:color w:val="545456"/>
          <w:spacing w:val="-1"/>
          <w:w w:val="105"/>
          <w:lang w:eastAsia="ja-JP"/>
        </w:rPr>
      </w:pPr>
      <w:r w:rsidRPr="00967535">
        <w:rPr>
          <w:rFonts w:ascii="ＭＳ ゴシック" w:eastAsia="ＭＳ ゴシック" w:hAnsi="ＭＳ ゴシック" w:cs="ＭＳ ゴシック" w:hint="eastAsia"/>
          <w:color w:val="545456"/>
          <w:spacing w:val="-1"/>
          <w:w w:val="105"/>
          <w:lang w:eastAsia="ja-JP"/>
        </w:rPr>
        <w:t>生物起源排出物には、生物起源物質の燃焼や分解、廃水処理の結果として発生する土壌や水中のさまざまな生物由来の</w:t>
      </w:r>
      <w:r w:rsidRPr="00967535">
        <w:rPr>
          <w:color w:val="545456"/>
          <w:spacing w:val="-1"/>
          <w:w w:val="105"/>
          <w:lang w:eastAsia="ja-JP"/>
        </w:rPr>
        <w:t>CO</w:t>
      </w:r>
      <w:r w:rsidRPr="00967535">
        <w:rPr>
          <w:color w:val="545456"/>
          <w:spacing w:val="-1"/>
          <w:w w:val="105"/>
          <w:vertAlign w:val="subscript"/>
          <w:lang w:eastAsia="ja-JP"/>
        </w:rPr>
        <w:t>2</w:t>
      </w:r>
      <w:r w:rsidRPr="00967535">
        <w:rPr>
          <w:rFonts w:ascii="ＭＳ ゴシック" w:eastAsia="ＭＳ ゴシック" w:hAnsi="ＭＳ ゴシック" w:cs="ＭＳ ゴシック" w:hint="eastAsia"/>
          <w:color w:val="545456"/>
          <w:spacing w:val="-1"/>
          <w:w w:val="105"/>
          <w:lang w:eastAsia="ja-JP"/>
        </w:rPr>
        <w:t>、</w:t>
      </w:r>
      <w:r w:rsidRPr="00967535">
        <w:rPr>
          <w:color w:val="545456"/>
          <w:spacing w:val="-1"/>
          <w:w w:val="105"/>
          <w:lang w:eastAsia="ja-JP"/>
        </w:rPr>
        <w:t>CH</w:t>
      </w:r>
      <w:r w:rsidRPr="00967535">
        <w:rPr>
          <w:color w:val="545456"/>
          <w:spacing w:val="-1"/>
          <w:w w:val="105"/>
          <w:vertAlign w:val="subscript"/>
          <w:lang w:eastAsia="ja-JP"/>
        </w:rPr>
        <w:t>4</w:t>
      </w:r>
      <w:r w:rsidRPr="00967535">
        <w:rPr>
          <w:rFonts w:ascii="ＭＳ ゴシック" w:eastAsia="ＭＳ ゴシック" w:hAnsi="ＭＳ ゴシック" w:cs="ＭＳ ゴシック" w:hint="eastAsia"/>
          <w:color w:val="545456"/>
          <w:spacing w:val="-1"/>
          <w:w w:val="105"/>
          <w:lang w:eastAsia="ja-JP"/>
        </w:rPr>
        <w:t>、</w:t>
      </w:r>
      <w:r w:rsidRPr="00967535">
        <w:rPr>
          <w:color w:val="545456"/>
          <w:spacing w:val="-1"/>
          <w:w w:val="105"/>
          <w:lang w:eastAsia="ja-JP"/>
        </w:rPr>
        <w:t>N</w:t>
      </w:r>
      <w:r w:rsidRPr="00967535">
        <w:rPr>
          <w:color w:val="545456"/>
          <w:spacing w:val="-1"/>
          <w:w w:val="105"/>
          <w:vertAlign w:val="subscript"/>
          <w:lang w:eastAsia="ja-JP"/>
        </w:rPr>
        <w:t>2</w:t>
      </w:r>
      <w:r w:rsidRPr="00967535">
        <w:rPr>
          <w:color w:val="545456"/>
          <w:spacing w:val="-1"/>
          <w:w w:val="105"/>
          <w:lang w:eastAsia="ja-JP"/>
        </w:rPr>
        <w:t>O</w:t>
      </w:r>
      <w:r w:rsidRPr="00967535">
        <w:rPr>
          <w:rFonts w:ascii="ＭＳ ゴシック" w:eastAsia="ＭＳ ゴシック" w:hAnsi="ＭＳ ゴシック" w:cs="ＭＳ ゴシック" w:hint="eastAsia"/>
          <w:color w:val="545456"/>
          <w:spacing w:val="-1"/>
          <w:w w:val="105"/>
          <w:lang w:eastAsia="ja-JP"/>
        </w:rPr>
        <w:t>が含まれます。</w:t>
      </w:r>
    </w:p>
    <w:p w14:paraId="7DD28731" w14:textId="79533255" w:rsidR="0055291C" w:rsidRDefault="007D7017" w:rsidP="00BB3C93">
      <w:pPr>
        <w:pStyle w:val="a3"/>
        <w:spacing w:before="3" w:line="312" w:lineRule="auto"/>
        <w:ind w:left="851" w:rightChars="210" w:right="462"/>
        <w:rPr>
          <w:sz w:val="21"/>
          <w:lang w:eastAsia="ja-JP"/>
        </w:rPr>
      </w:pPr>
      <w:r w:rsidRPr="00967535">
        <w:rPr>
          <w:rFonts w:ascii="ＭＳ ゴシック" w:eastAsia="ＭＳ ゴシック" w:hAnsi="ＭＳ ゴシック" w:cs="ＭＳ ゴシック" w:hint="eastAsia"/>
          <w:color w:val="545456"/>
          <w:spacing w:val="-1"/>
          <w:w w:val="105"/>
          <w:lang w:eastAsia="ja-JP"/>
        </w:rPr>
        <w:t>例えば、紙が埋立地で分解される場合、排出される</w:t>
      </w:r>
      <w:r w:rsidRPr="00967535">
        <w:rPr>
          <w:color w:val="545456"/>
          <w:spacing w:val="-1"/>
          <w:w w:val="105"/>
          <w:lang w:eastAsia="ja-JP"/>
        </w:rPr>
        <w:t>CO</w:t>
      </w:r>
      <w:r w:rsidRPr="00967535">
        <w:rPr>
          <w:color w:val="545456"/>
          <w:spacing w:val="-1"/>
          <w:w w:val="105"/>
          <w:vertAlign w:val="subscript"/>
          <w:lang w:eastAsia="ja-JP"/>
        </w:rPr>
        <w:t>2</w:t>
      </w:r>
      <w:r w:rsidRPr="00967535">
        <w:rPr>
          <w:rFonts w:ascii="ＭＳ ゴシック" w:eastAsia="ＭＳ ゴシック" w:hAnsi="ＭＳ ゴシック" w:cs="ＭＳ ゴシック" w:hint="eastAsia"/>
          <w:color w:val="545456"/>
          <w:spacing w:val="-1"/>
          <w:w w:val="105"/>
          <w:lang w:eastAsia="ja-JP"/>
        </w:rPr>
        <w:t>と</w:t>
      </w:r>
      <w:r w:rsidRPr="00967535">
        <w:rPr>
          <w:color w:val="545456"/>
          <w:spacing w:val="-1"/>
          <w:w w:val="105"/>
          <w:lang w:eastAsia="ja-JP"/>
        </w:rPr>
        <w:t>CH</w:t>
      </w:r>
      <w:r w:rsidRPr="00967535">
        <w:rPr>
          <w:color w:val="545456"/>
          <w:spacing w:val="-1"/>
          <w:w w:val="105"/>
          <w:vertAlign w:val="subscript"/>
          <w:lang w:eastAsia="ja-JP"/>
        </w:rPr>
        <w:t>4</w:t>
      </w:r>
      <w:r w:rsidRPr="00967535">
        <w:rPr>
          <w:rFonts w:ascii="ＭＳ ゴシック" w:eastAsia="ＭＳ ゴシック" w:hAnsi="ＭＳ ゴシック" w:cs="ＭＳ ゴシック" w:hint="eastAsia"/>
          <w:color w:val="545456"/>
          <w:spacing w:val="-1"/>
          <w:w w:val="105"/>
          <w:lang w:eastAsia="ja-JP"/>
        </w:rPr>
        <w:t>は生物起源排出に分類され</w:t>
      </w:r>
      <w:r>
        <w:rPr>
          <w:rFonts w:ascii="ＭＳ ゴシック" w:eastAsia="ＭＳ ゴシック" w:hAnsi="ＭＳ ゴシック" w:cs="ＭＳ ゴシック" w:hint="eastAsia"/>
          <w:color w:val="545456"/>
          <w:spacing w:val="-1"/>
          <w:w w:val="105"/>
          <w:lang w:eastAsia="ja-JP"/>
        </w:rPr>
        <w:t>ます</w:t>
      </w:r>
      <w:r w:rsidRPr="00967535">
        <w:rPr>
          <w:rFonts w:ascii="ＭＳ ゴシック" w:eastAsia="ＭＳ ゴシック" w:hAnsi="ＭＳ ゴシック" w:cs="ＭＳ ゴシック" w:hint="eastAsia"/>
          <w:color w:val="545456"/>
          <w:spacing w:val="-1"/>
          <w:w w:val="105"/>
          <w:lang w:eastAsia="ja-JP"/>
        </w:rPr>
        <w:t>。非生物起源排出物には、非生物起源（例えば、化石起源）の物質から排出される全ての</w:t>
      </w:r>
      <w:r w:rsidRPr="00967535">
        <w:rPr>
          <w:color w:val="545456"/>
          <w:spacing w:val="-1"/>
          <w:w w:val="105"/>
          <w:lang w:eastAsia="ja-JP"/>
        </w:rPr>
        <w:t>GHG</w:t>
      </w:r>
      <w:r w:rsidRPr="00967535">
        <w:rPr>
          <w:rFonts w:ascii="ＭＳ ゴシック" w:eastAsia="ＭＳ ゴシック" w:hAnsi="ＭＳ ゴシック" w:cs="ＭＳ ゴシック" w:hint="eastAsia"/>
          <w:color w:val="545456"/>
          <w:spacing w:val="-1"/>
          <w:w w:val="105"/>
          <w:lang w:eastAsia="ja-JP"/>
        </w:rPr>
        <w:t>が含まれ</w:t>
      </w:r>
      <w:r>
        <w:rPr>
          <w:rFonts w:ascii="ＭＳ ゴシック" w:eastAsia="ＭＳ ゴシック" w:hAnsi="ＭＳ ゴシック" w:cs="ＭＳ ゴシック" w:hint="eastAsia"/>
          <w:color w:val="545456"/>
          <w:spacing w:val="-1"/>
          <w:w w:val="105"/>
          <w:lang w:eastAsia="ja-JP"/>
        </w:rPr>
        <w:t>ます</w:t>
      </w:r>
      <w:r w:rsidRPr="00967535">
        <w:rPr>
          <w:rFonts w:ascii="ＭＳ ゴシック" w:eastAsia="ＭＳ ゴシック" w:hAnsi="ＭＳ ゴシック" w:cs="ＭＳ ゴシック" w:hint="eastAsia"/>
          <w:color w:val="545456"/>
          <w:spacing w:val="-1"/>
          <w:w w:val="105"/>
          <w:lang w:eastAsia="ja-JP"/>
        </w:rPr>
        <w:t>。生物起源の除去は、光合成の際に生物起源の物質が</w:t>
      </w:r>
      <w:r w:rsidRPr="00967535">
        <w:rPr>
          <w:color w:val="545456"/>
          <w:spacing w:val="-1"/>
          <w:w w:val="105"/>
          <w:lang w:eastAsia="ja-JP"/>
        </w:rPr>
        <w:t>CO</w:t>
      </w:r>
      <w:r w:rsidRPr="00967535">
        <w:rPr>
          <w:color w:val="545456"/>
          <w:spacing w:val="-1"/>
          <w:w w:val="105"/>
          <w:vertAlign w:val="subscript"/>
          <w:lang w:eastAsia="ja-JP"/>
        </w:rPr>
        <w:t>2</w:t>
      </w:r>
      <w:r w:rsidRPr="00967535">
        <w:rPr>
          <w:rFonts w:ascii="ＭＳ ゴシック" w:eastAsia="ＭＳ ゴシック" w:hAnsi="ＭＳ ゴシック" w:cs="ＭＳ ゴシック" w:hint="eastAsia"/>
          <w:color w:val="545456"/>
          <w:spacing w:val="-1"/>
          <w:w w:val="105"/>
          <w:lang w:eastAsia="ja-JP"/>
        </w:rPr>
        <w:t>を吸収することに起因するものであり、非生物起源の排出は、非生物起源の製品が生産または使用段階で大気から</w:t>
      </w:r>
      <w:r w:rsidRPr="00967535">
        <w:rPr>
          <w:color w:val="545456"/>
          <w:spacing w:val="-1"/>
          <w:w w:val="105"/>
          <w:lang w:eastAsia="ja-JP"/>
        </w:rPr>
        <w:t>CO</w:t>
      </w:r>
      <w:r w:rsidRPr="00967535">
        <w:rPr>
          <w:color w:val="545456"/>
          <w:spacing w:val="-1"/>
          <w:w w:val="105"/>
          <w:vertAlign w:val="subscript"/>
          <w:lang w:eastAsia="ja-JP"/>
        </w:rPr>
        <w:t>2</w:t>
      </w:r>
      <w:r w:rsidRPr="00967535">
        <w:rPr>
          <w:color w:val="545456"/>
          <w:spacing w:val="-1"/>
          <w:w w:val="105"/>
          <w:lang w:eastAsia="ja-JP"/>
        </w:rPr>
        <w:t xml:space="preserve"> </w:t>
      </w:r>
      <w:r w:rsidRPr="00967535">
        <w:rPr>
          <w:rFonts w:ascii="ＭＳ ゴシック" w:eastAsia="ＭＳ ゴシック" w:hAnsi="ＭＳ ゴシック" w:cs="ＭＳ ゴシック" w:hint="eastAsia"/>
          <w:color w:val="545456"/>
          <w:spacing w:val="-1"/>
          <w:w w:val="105"/>
          <w:lang w:eastAsia="ja-JP"/>
        </w:rPr>
        <w:t>を除去した場合のみ発生</w:t>
      </w:r>
      <w:r>
        <w:rPr>
          <w:rFonts w:ascii="ＭＳ ゴシック" w:eastAsia="ＭＳ ゴシック" w:hAnsi="ＭＳ ゴシック" w:cs="ＭＳ ゴシック" w:hint="eastAsia"/>
          <w:color w:val="545456"/>
          <w:spacing w:val="-1"/>
          <w:w w:val="105"/>
          <w:lang w:eastAsia="ja-JP"/>
        </w:rPr>
        <w:t>します</w:t>
      </w:r>
      <w:r w:rsidRPr="00967535">
        <w:rPr>
          <w:rFonts w:ascii="ＭＳ ゴシック" w:eastAsia="ＭＳ ゴシック" w:hAnsi="ＭＳ ゴシック" w:cs="ＭＳ ゴシック" w:hint="eastAsia"/>
          <w:color w:val="545456"/>
          <w:spacing w:val="-1"/>
          <w:w w:val="105"/>
          <w:lang w:eastAsia="ja-JP"/>
        </w:rPr>
        <w:t>。付録</w:t>
      </w:r>
      <w:r w:rsidRPr="00967535">
        <w:rPr>
          <w:color w:val="545456"/>
          <w:spacing w:val="-1"/>
          <w:w w:val="105"/>
          <w:lang w:eastAsia="ja-JP"/>
        </w:rPr>
        <w:t>B</w:t>
      </w:r>
      <w:r w:rsidRPr="00967535">
        <w:rPr>
          <w:rFonts w:ascii="ＭＳ ゴシック" w:eastAsia="ＭＳ ゴシック" w:hAnsi="ＭＳ ゴシック" w:cs="ＭＳ ゴシック" w:hint="eastAsia"/>
          <w:color w:val="545456"/>
          <w:spacing w:val="-1"/>
          <w:w w:val="105"/>
          <w:lang w:eastAsia="ja-JP"/>
        </w:rPr>
        <w:t>は、土地利用変化による影響の計算に関するガイダンスで</w:t>
      </w:r>
      <w:r>
        <w:rPr>
          <w:rFonts w:ascii="ＭＳ ゴシック" w:eastAsia="ＭＳ ゴシック" w:hAnsi="ＭＳ ゴシック" w:cs="ＭＳ ゴシック" w:hint="eastAsia"/>
          <w:color w:val="545456"/>
          <w:spacing w:val="-1"/>
          <w:w w:val="105"/>
          <w:lang w:eastAsia="ja-JP"/>
        </w:rPr>
        <w:t>す</w:t>
      </w:r>
      <w:r w:rsidRPr="00967535">
        <w:rPr>
          <w:rFonts w:ascii="ＭＳ ゴシック" w:eastAsia="ＭＳ ゴシック" w:hAnsi="ＭＳ ゴシック" w:cs="ＭＳ ゴシック" w:hint="eastAsia"/>
          <w:color w:val="545456"/>
          <w:spacing w:val="-1"/>
          <w:w w:val="105"/>
          <w:lang w:eastAsia="ja-JP"/>
        </w:rPr>
        <w:t>。</w:t>
      </w:r>
    </w:p>
    <w:p w14:paraId="5215F273" w14:textId="77777777" w:rsidR="00BB3C93" w:rsidRDefault="00326D8D" w:rsidP="00BB3C93">
      <w:pPr>
        <w:pStyle w:val="a3"/>
        <w:spacing w:before="1" w:line="312" w:lineRule="auto"/>
        <w:ind w:left="851" w:right="421" w:firstLineChars="100" w:firstLine="190"/>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もし、企業が生物起源の排出か非生物起源の排出かわからない場合は、非生物起源の排出として計上すべきでしょう。場合によっては、製品に生物起源の排出、</w:t>
      </w:r>
    </w:p>
    <w:p w14:paraId="109966AE" w14:textId="7FD96573" w:rsidR="0055291C" w:rsidRDefault="00326D8D" w:rsidP="00BB3C93">
      <w:pPr>
        <w:pStyle w:val="a3"/>
        <w:spacing w:before="1" w:line="312" w:lineRule="auto"/>
        <w:ind w:left="426" w:right="1005"/>
        <w:rPr>
          <w:lang w:eastAsia="ja-JP"/>
        </w:rPr>
      </w:pPr>
      <w:r>
        <w:rPr>
          <w:rFonts w:ascii="ＭＳ ゴシック" w:eastAsia="ＭＳ ゴシック" w:hAnsi="ＭＳ ゴシック" w:cs="ＭＳ ゴシック" w:hint="eastAsia"/>
          <w:lang w:eastAsia="ja-JP"/>
        </w:rPr>
        <w:t>生物起源と非生物起源の除去、あるいは土地利用変化による影響がないこともありえます。排出過程において非生物起源の排出のみが発生する場合、企業は排出量の合計結果のみを報告し、報告書にその旨を記載することができ</w:t>
      </w:r>
      <w:r>
        <w:rPr>
          <w:lang w:eastAsia="ja-JP"/>
        </w:rPr>
        <w:t xml:space="preserve"> </w:t>
      </w:r>
      <w:r>
        <w:rPr>
          <w:rFonts w:ascii="ＭＳ ゴシック" w:eastAsia="ＭＳ ゴシック" w:hAnsi="ＭＳ ゴシック" w:cs="ＭＳ ゴシック" w:hint="eastAsia"/>
          <w:lang w:eastAsia="ja-JP"/>
        </w:rPr>
        <w:t>ます。</w:t>
      </w:r>
    </w:p>
    <w:p w14:paraId="63D42326" w14:textId="5C556329" w:rsidR="007D7017" w:rsidRPr="007D7017" w:rsidRDefault="00326D8D">
      <w:pPr>
        <w:pStyle w:val="a5"/>
        <w:numPr>
          <w:ilvl w:val="0"/>
          <w:numId w:val="35"/>
        </w:numPr>
        <w:tabs>
          <w:tab w:val="left" w:pos="567"/>
        </w:tabs>
        <w:spacing w:before="149" w:line="324" w:lineRule="auto"/>
        <w:ind w:left="993" w:right="863" w:hanging="709"/>
        <w:rPr>
          <w:rFonts w:ascii="ＭＳ ゴシック" w:eastAsia="ＭＳ ゴシック" w:hAnsi="ＭＳ ゴシック" w:cs="ＭＳ ゴシック"/>
          <w:b/>
          <w:i/>
          <w:color w:val="7F3F98"/>
          <w:sz w:val="18"/>
          <w:lang w:eastAsia="ja-JP"/>
        </w:rPr>
      </w:pPr>
      <w:r w:rsidRPr="007D7017">
        <w:rPr>
          <w:rFonts w:ascii="ＭＳ ゴシック" w:eastAsia="ＭＳ ゴシック" w:hAnsi="ＭＳ ゴシック" w:cs="ＭＳ ゴシック" w:hint="eastAsia"/>
          <w:b/>
          <w:i/>
          <w:color w:val="7F3F98"/>
          <w:sz w:val="18"/>
          <w:lang w:eastAsia="ja-JP"/>
        </w:rPr>
        <w:t>「ゆりかごから墓場まで」の排出量と「生産から出荷まで」の排出量の個別の</w:t>
      </w:r>
      <w:r w:rsidR="0066774C" w:rsidRPr="007D7017">
        <w:rPr>
          <w:rFonts w:ascii="ＭＳ ゴシック" w:eastAsia="ＭＳ ゴシック" w:hAnsi="ＭＳ ゴシック" w:cs="ＭＳ ゴシック" w:hint="eastAsia"/>
          <w:b/>
          <w:i/>
          <w:color w:val="7F3F98"/>
          <w:sz w:val="18"/>
          <w:lang w:eastAsia="ja-JP"/>
        </w:rPr>
        <w:t>報告</w:t>
      </w:r>
    </w:p>
    <w:p w14:paraId="0546823A" w14:textId="63BA7821" w:rsidR="000F68D7" w:rsidRDefault="007D7017" w:rsidP="00BB3C93">
      <w:pPr>
        <w:tabs>
          <w:tab w:val="left" w:pos="1006"/>
        </w:tabs>
        <w:spacing w:before="149" w:line="324" w:lineRule="auto"/>
        <w:ind w:leftChars="129" w:left="284" w:right="1005" w:firstLineChars="100" w:firstLine="189"/>
        <w:rPr>
          <w:rFonts w:ascii="ＭＳ ゴシック" w:eastAsia="ＭＳ ゴシック" w:hAnsi="ＭＳ ゴシック" w:cs="ＭＳ ゴシック"/>
          <w:color w:val="545456"/>
          <w:spacing w:val="-1"/>
          <w:sz w:val="19"/>
          <w:szCs w:val="19"/>
          <w:lang w:eastAsia="ja-JP"/>
        </w:rPr>
      </w:pPr>
      <w:r w:rsidRPr="007D7017">
        <w:rPr>
          <w:rFonts w:ascii="ＭＳ ゴシック" w:eastAsia="ＭＳ ゴシック" w:hAnsi="ＭＳ ゴシック" w:cs="ＭＳ ゴシック" w:hint="eastAsia"/>
          <w:color w:val="545456"/>
          <w:spacing w:val="-1"/>
          <w:sz w:val="19"/>
          <w:szCs w:val="19"/>
          <w:lang w:eastAsia="ja-JP"/>
        </w:rPr>
        <w:t>算出結果の構成要素を分けて報告することに加え、「ゆりかごからゲートまで」と「ゲートからゲートまで」という区分で算出結果を報告することにより、報告企業の管理下でどのような排出と除去が行われているかを知ることができます。しかし、「ゲートからゲートまで」の算出結果を報告することは、報告企業の機密保持を危うくする可能性があることが認識されています。このような場合、会社は、これらの結果を個別に報告する際の制限事項として、この点を明記することができます。生産から出荷までの報告書では、総排出結果は生産から出荷までの結果であり、ここで繰り返す必要はありません。</w:t>
      </w:r>
    </w:p>
    <w:p w14:paraId="7CFE8E95" w14:textId="6A148627" w:rsidR="000F68D7" w:rsidRDefault="00506F20">
      <w:pPr>
        <w:pStyle w:val="7"/>
        <w:numPr>
          <w:ilvl w:val="7"/>
          <w:numId w:val="40"/>
        </w:numPr>
        <w:tabs>
          <w:tab w:val="left" w:pos="965"/>
        </w:tabs>
        <w:spacing w:before="128"/>
        <w:ind w:left="964" w:hanging="721"/>
        <w:jc w:val="left"/>
        <w:rPr>
          <w:lang w:eastAsia="ja-JP"/>
        </w:rPr>
      </w:pPr>
      <w:r>
        <w:rPr>
          <w:rFonts w:ascii="ＭＳ 明朝" w:eastAsia="ＭＳ 明朝" w:hAnsi="ＭＳ 明朝" w:cs="ＭＳ 明朝" w:hint="eastAsia"/>
          <w:color w:val="00B8B1"/>
          <w:w w:val="95"/>
          <w:lang w:eastAsia="ja-JP"/>
        </w:rPr>
        <w:t>オフセットと回避排出量</w:t>
      </w:r>
    </w:p>
    <w:p w14:paraId="4CB0EE14" w14:textId="314E8788" w:rsidR="000F68D7" w:rsidRDefault="00506F20" w:rsidP="00FE5064">
      <w:pPr>
        <w:pStyle w:val="a3"/>
        <w:spacing w:before="62" w:line="312" w:lineRule="auto"/>
        <w:ind w:left="244" w:right="863" w:firstLineChars="100" w:firstLine="190"/>
        <w:rPr>
          <w:lang w:eastAsia="ja-JP"/>
        </w:rPr>
      </w:pPr>
      <w:r>
        <w:rPr>
          <w:rFonts w:ascii="ＭＳ ゴシック" w:eastAsia="ＭＳ ゴシック" w:hAnsi="ＭＳ ゴシック" w:cs="ＭＳ ゴシック" w:hint="eastAsia"/>
          <w:lang w:eastAsia="ja-JP"/>
        </w:rPr>
        <w:t>前述の通り、オフセットとは、調査対象製品の排出による影響を相殺するために企業が購入する排出権</w:t>
      </w:r>
      <w:r>
        <w:rPr>
          <w:lang w:eastAsia="ja-JP"/>
        </w:rPr>
        <w:t xml:space="preserve"> </w:t>
      </w:r>
      <w:r>
        <w:rPr>
          <w:rFonts w:ascii="ＭＳ ゴシック" w:eastAsia="ＭＳ ゴシック" w:hAnsi="ＭＳ ゴシック" w:cs="ＭＳ ゴシック" w:hint="eastAsia"/>
          <w:lang w:eastAsia="ja-JP"/>
        </w:rPr>
        <w:t>（排出権取引や排出削減プロジェクトへの資金提供と</w:t>
      </w:r>
      <w:r>
        <w:rPr>
          <w:lang w:eastAsia="ja-JP"/>
        </w:rPr>
        <w:t xml:space="preserve"> </w:t>
      </w:r>
      <w:r>
        <w:rPr>
          <w:rFonts w:ascii="ＭＳ ゴシック" w:eastAsia="ＭＳ ゴシック" w:hAnsi="ＭＳ ゴシック" w:cs="ＭＳ ゴシック" w:hint="eastAsia"/>
          <w:lang w:eastAsia="ja-JP"/>
        </w:rPr>
        <w:t>いう形で）のことです。通常、企業がオフセットを購入する理由は</w:t>
      </w:r>
      <w:r>
        <w:rPr>
          <w:lang w:eastAsia="ja-JP"/>
        </w:rPr>
        <w:t>2</w:t>
      </w:r>
      <w:r>
        <w:rPr>
          <w:rFonts w:ascii="ＭＳ ゴシック" w:eastAsia="ＭＳ ゴシック" w:hAnsi="ＭＳ ゴシック" w:cs="ＭＳ ゴシック" w:hint="eastAsia"/>
          <w:lang w:eastAsia="ja-JP"/>
        </w:rPr>
        <w:t>つあります。ひとつは削減だけでは達成できない削減目標を達成するため、もうひとつは製品をカーボンニュートラルと主張するためです。企業は、削減目標を設定し、絶対的な削減量でこれを達成することが推奨されます。しかし、企業が報告書のためにオフセットを購入したい場合、この基準では、</w:t>
      </w:r>
      <w:r>
        <w:rPr>
          <w:lang w:eastAsia="ja-JP"/>
        </w:rPr>
        <w:t xml:space="preserve"> </w:t>
      </w:r>
      <w:r>
        <w:rPr>
          <w:rFonts w:ascii="ＭＳ ゴシック" w:eastAsia="ＭＳ ゴシック" w:hAnsi="ＭＳ ゴシック" w:cs="ＭＳ ゴシック" w:hint="eastAsia"/>
          <w:lang w:eastAsia="ja-JP"/>
        </w:rPr>
        <w:t>算出結果とは別にオフセットを報告することを認めています。オフセットが報告書で個別に報告されるためには、企業は以下を</w:t>
      </w:r>
      <w:r w:rsidR="00665263">
        <w:rPr>
          <w:rFonts w:ascii="ＭＳ ゴシック" w:eastAsia="ＭＳ ゴシック" w:hAnsi="ＭＳ ゴシック" w:cs="ＭＳ ゴシック" w:hint="eastAsia"/>
          <w:lang w:eastAsia="ja-JP"/>
        </w:rPr>
        <w:t>満たす</w:t>
      </w:r>
      <w:r>
        <w:rPr>
          <w:rFonts w:ascii="ＭＳ ゴシック" w:eastAsia="ＭＳ ゴシック" w:hAnsi="ＭＳ ゴシック" w:cs="ＭＳ ゴシック" w:hint="eastAsia"/>
          <w:lang w:eastAsia="ja-JP"/>
        </w:rPr>
        <w:t>必要があります。</w:t>
      </w:r>
    </w:p>
    <w:p w14:paraId="3AAA4A29" w14:textId="692C70CB" w:rsidR="000F68D7" w:rsidRDefault="00506F20">
      <w:pPr>
        <w:pStyle w:val="a5"/>
        <w:numPr>
          <w:ilvl w:val="0"/>
          <w:numId w:val="57"/>
        </w:numPr>
        <w:tabs>
          <w:tab w:val="left" w:pos="505"/>
        </w:tabs>
        <w:spacing w:before="133" w:line="309" w:lineRule="auto"/>
        <w:ind w:left="244" w:right="863"/>
        <w:rPr>
          <w:sz w:val="19"/>
          <w:lang w:eastAsia="ja-JP"/>
        </w:rPr>
      </w:pPr>
      <w:r w:rsidRPr="00506F20">
        <w:rPr>
          <w:rFonts w:ascii="ＭＳ ゴシック" w:eastAsia="ＭＳ ゴシック" w:hAnsi="ＭＳ ゴシック" w:cs="ＭＳ ゴシック" w:hint="eastAsia"/>
          <w:sz w:val="19"/>
          <w:szCs w:val="19"/>
          <w:lang w:eastAsia="ja-JP"/>
        </w:rPr>
        <w:t>気候変動緩和プロジェクトの</w:t>
      </w:r>
      <w:r w:rsidRPr="00506F20">
        <w:rPr>
          <w:sz w:val="19"/>
          <w:szCs w:val="19"/>
          <w:lang w:eastAsia="ja-JP"/>
        </w:rPr>
        <w:t>GHG</w:t>
      </w:r>
      <w:r w:rsidR="00BB3C93">
        <w:rPr>
          <w:rFonts w:ascii="ＭＳ ゴシック" w:eastAsia="ＭＳ ゴシック" w:hAnsi="ＭＳ ゴシック" w:cs="ＭＳ ゴシック" w:hint="eastAsia"/>
          <w:sz w:val="19"/>
          <w:szCs w:val="19"/>
          <w:lang w:eastAsia="ja-JP"/>
        </w:rPr>
        <w:t>排出量</w:t>
      </w:r>
      <w:r w:rsidRPr="00506F20">
        <w:rPr>
          <w:rFonts w:ascii="ＭＳ ゴシック" w:eastAsia="ＭＳ ゴシック" w:hAnsi="ＭＳ ゴシック" w:cs="ＭＳ ゴシック" w:hint="eastAsia"/>
          <w:sz w:val="19"/>
          <w:szCs w:val="19"/>
          <w:lang w:eastAsia="ja-JP"/>
        </w:rPr>
        <w:t>を定量化するための</w:t>
      </w:r>
      <w:r w:rsidRPr="00506F20">
        <w:rPr>
          <w:sz w:val="19"/>
          <w:szCs w:val="19"/>
          <w:lang w:eastAsia="ja-JP"/>
        </w:rPr>
        <w:t>GHG</w:t>
      </w:r>
      <w:r w:rsidRPr="00506F20">
        <w:rPr>
          <w:rFonts w:ascii="ＭＳ ゴシック" w:eastAsia="ＭＳ ゴシック" w:hAnsi="ＭＳ ゴシック" w:cs="ＭＳ ゴシック" w:hint="eastAsia"/>
          <w:sz w:val="19"/>
          <w:szCs w:val="19"/>
          <w:lang w:eastAsia="ja-JP"/>
        </w:rPr>
        <w:t>プロトコル</w:t>
      </w:r>
      <w:r w:rsidR="00BB3C93">
        <w:rPr>
          <w:rFonts w:ascii="ＭＳ ゴシック" w:eastAsia="ＭＳ ゴシック" w:hAnsi="ＭＳ ゴシック" w:cs="ＭＳ ゴシック" w:hint="eastAsia"/>
          <w:sz w:val="19"/>
          <w:szCs w:val="19"/>
          <w:lang w:eastAsia="ja-JP"/>
        </w:rPr>
        <w:t>、</w:t>
      </w:r>
      <w:r w:rsidRPr="00506F20">
        <w:rPr>
          <w:rFonts w:ascii="ＭＳ ゴシック" w:eastAsia="ＭＳ ゴシック" w:hAnsi="ＭＳ ゴシック" w:cs="ＭＳ ゴシック" w:hint="eastAsia"/>
          <w:sz w:val="19"/>
          <w:szCs w:val="19"/>
          <w:lang w:eastAsia="ja-JP"/>
        </w:rPr>
        <w:t>または同様の国際的に認められた</w:t>
      </w:r>
      <w:r w:rsidRPr="00506F20">
        <w:rPr>
          <w:sz w:val="19"/>
          <w:szCs w:val="19"/>
          <w:lang w:eastAsia="ja-JP"/>
        </w:rPr>
        <w:t>GHG</w:t>
      </w:r>
      <w:r w:rsidRPr="00506F20">
        <w:rPr>
          <w:rFonts w:ascii="ＭＳ ゴシック" w:eastAsia="ＭＳ ゴシック" w:hAnsi="ＭＳ ゴシック" w:cs="ＭＳ ゴシック" w:hint="eastAsia"/>
          <w:sz w:val="19"/>
          <w:szCs w:val="19"/>
          <w:lang w:eastAsia="ja-JP"/>
        </w:rPr>
        <w:t>緩和プロジェクト</w:t>
      </w:r>
      <w:r w:rsidR="00364979">
        <w:rPr>
          <w:rFonts w:ascii="ＭＳ ゴシック" w:eastAsia="ＭＳ ゴシック" w:hAnsi="ＭＳ ゴシック" w:cs="ＭＳ ゴシック" w:hint="eastAsia"/>
          <w:sz w:val="19"/>
          <w:szCs w:val="19"/>
          <w:lang w:eastAsia="ja-JP"/>
        </w:rPr>
        <w:t>算出</w:t>
      </w:r>
      <w:r w:rsidRPr="00506F20">
        <w:rPr>
          <w:rFonts w:ascii="ＭＳ ゴシック" w:eastAsia="ＭＳ ゴシック" w:hAnsi="ＭＳ ゴシック" w:cs="ＭＳ ゴシック" w:hint="eastAsia"/>
          <w:sz w:val="19"/>
          <w:szCs w:val="19"/>
          <w:lang w:eastAsia="ja-JP"/>
        </w:rPr>
        <w:t>手法に基づくオフセット</w:t>
      </w:r>
      <w:r w:rsidR="00665263">
        <w:rPr>
          <w:rFonts w:ascii="ＭＳ ゴシック" w:eastAsia="ＭＳ ゴシック" w:hAnsi="ＭＳ ゴシック" w:cs="ＭＳ ゴシック" w:hint="eastAsia"/>
          <w:sz w:val="19"/>
          <w:szCs w:val="19"/>
          <w:lang w:eastAsia="ja-JP"/>
        </w:rPr>
        <w:t>を</w:t>
      </w:r>
      <w:r w:rsidRPr="00506F20">
        <w:rPr>
          <w:rFonts w:ascii="ＭＳ ゴシック" w:eastAsia="ＭＳ ゴシック" w:hAnsi="ＭＳ ゴシック" w:cs="ＭＳ ゴシック" w:hint="eastAsia"/>
          <w:sz w:val="19"/>
          <w:szCs w:val="19"/>
          <w:lang w:eastAsia="ja-JP"/>
        </w:rPr>
        <w:t>購入</w:t>
      </w:r>
      <w:r w:rsidR="00665263">
        <w:rPr>
          <w:rFonts w:ascii="ＭＳ ゴシック" w:eastAsia="ＭＳ ゴシック" w:hAnsi="ＭＳ ゴシック" w:cs="ＭＳ ゴシック" w:hint="eastAsia"/>
          <w:sz w:val="19"/>
          <w:szCs w:val="19"/>
          <w:lang w:eastAsia="ja-JP"/>
        </w:rPr>
        <w:t>すること、及び</w:t>
      </w:r>
    </w:p>
    <w:p w14:paraId="31EBD904" w14:textId="3D7445EF" w:rsidR="000F68D7" w:rsidRPr="00665263" w:rsidRDefault="00665263">
      <w:pPr>
        <w:pStyle w:val="a5"/>
        <w:numPr>
          <w:ilvl w:val="0"/>
          <w:numId w:val="57"/>
        </w:numPr>
        <w:tabs>
          <w:tab w:val="left" w:pos="505"/>
        </w:tabs>
        <w:spacing w:line="304" w:lineRule="auto"/>
        <w:ind w:left="244" w:right="863"/>
        <w:rPr>
          <w:sz w:val="19"/>
          <w:szCs w:val="19"/>
          <w:lang w:eastAsia="ja-JP"/>
        </w:rPr>
      </w:pPr>
      <w:r w:rsidRPr="00665263">
        <w:rPr>
          <w:rFonts w:ascii="ＭＳ ゴシック" w:eastAsia="ＭＳ ゴシック" w:hAnsi="ＭＳ ゴシック" w:cs="ＭＳ ゴシック" w:hint="eastAsia"/>
          <w:sz w:val="19"/>
          <w:szCs w:val="19"/>
          <w:lang w:eastAsia="ja-JP"/>
        </w:rPr>
        <w:t>企業レベルと製品レベルのオフセット購入を明確に分け、</w:t>
      </w:r>
      <w:r>
        <w:rPr>
          <w:rFonts w:ascii="ＭＳ ゴシック" w:eastAsia="ＭＳ ゴシック" w:hAnsi="ＭＳ ゴシック" w:cs="ＭＳ ゴシック" w:hint="eastAsia"/>
          <w:sz w:val="19"/>
          <w:szCs w:val="19"/>
          <w:lang w:eastAsia="ja-JP"/>
        </w:rPr>
        <w:t>二重計上を避けること</w:t>
      </w:r>
    </w:p>
    <w:p w14:paraId="2D27F9F4" w14:textId="7BA0881C" w:rsidR="00FE5064" w:rsidRDefault="00FE5064" w:rsidP="00FE5064">
      <w:pPr>
        <w:tabs>
          <w:tab w:val="left" w:pos="1006"/>
        </w:tabs>
        <w:spacing w:before="149" w:line="324" w:lineRule="auto"/>
        <w:ind w:leftChars="129" w:left="284" w:right="863" w:firstLineChars="100" w:firstLine="190"/>
        <w:rPr>
          <w:rFonts w:ascii="ＭＳ ゴシック" w:eastAsia="ＭＳ ゴシック" w:hAnsi="ＭＳ ゴシック" w:cs="ＭＳ ゴシック"/>
          <w:color w:val="545456"/>
          <w:sz w:val="19"/>
          <w:szCs w:val="19"/>
          <w:lang w:eastAsia="ja-JP"/>
        </w:rPr>
      </w:pPr>
      <w:r w:rsidRPr="00FE5064">
        <w:rPr>
          <w:rFonts w:ascii="ＭＳ ゴシック" w:eastAsia="ＭＳ ゴシック" w:hAnsi="ＭＳ ゴシック" w:cs="ＭＳ ゴシック" w:hint="eastAsia"/>
          <w:color w:val="545456"/>
          <w:sz w:val="19"/>
          <w:szCs w:val="19"/>
          <w:lang w:eastAsia="ja-JP"/>
        </w:rPr>
        <w:t>企業が削減目標を達成するためにオフセットを購入する場合、同じオフセットが報告書内で報告された場合に二重計上される可能性があります。</w:t>
      </w:r>
      <w:r w:rsidR="00F91DF9" w:rsidRPr="00F91DF9">
        <w:rPr>
          <w:rFonts w:ascii="ＭＳ ゴシック" w:eastAsia="ＭＳ ゴシック" w:hAnsi="ＭＳ ゴシック" w:cs="ＭＳ ゴシック" w:hint="eastAsia"/>
          <w:color w:val="545456"/>
          <w:sz w:val="19"/>
          <w:szCs w:val="19"/>
          <w:lang w:eastAsia="ja-JP"/>
        </w:rPr>
        <w:t>同様に、企業が境界内の</w:t>
      </w:r>
      <w:r w:rsidR="00F91DF9">
        <w:rPr>
          <w:rFonts w:ascii="ＭＳ ゴシック" w:eastAsia="ＭＳ ゴシック" w:hAnsi="ＭＳ ゴシック" w:cs="ＭＳ ゴシック" w:hint="eastAsia"/>
          <w:color w:val="545456"/>
          <w:sz w:val="19"/>
          <w:szCs w:val="19"/>
          <w:lang w:eastAsia="ja-JP"/>
        </w:rPr>
        <w:t>排</w:t>
      </w:r>
    </w:p>
    <w:p w14:paraId="45F34C8E" w14:textId="13548967" w:rsidR="00FE5064" w:rsidRPr="00FE5064" w:rsidRDefault="00FE5064" w:rsidP="00FE5064">
      <w:pPr>
        <w:tabs>
          <w:tab w:val="left" w:pos="1006"/>
        </w:tabs>
        <w:spacing w:before="149" w:line="324" w:lineRule="auto"/>
        <w:ind w:leftChars="129" w:left="284" w:right="1005" w:firstLineChars="100" w:firstLine="190"/>
        <w:rPr>
          <w:rFonts w:ascii="ＭＳ ゴシック" w:eastAsia="ＭＳ ゴシック" w:hAnsi="ＭＳ ゴシック" w:cs="ＭＳ ゴシック"/>
          <w:color w:val="545456"/>
          <w:sz w:val="19"/>
          <w:szCs w:val="19"/>
          <w:lang w:eastAsia="ja-JP"/>
        </w:rPr>
        <w:sectPr w:rsidR="00FE5064" w:rsidRPr="00FE5064">
          <w:type w:val="continuous"/>
          <w:pgSz w:w="12240" w:h="15840"/>
          <w:pgMar w:top="740" w:right="0" w:bottom="280" w:left="0" w:header="0" w:footer="859" w:gutter="0"/>
          <w:cols w:num="2" w:space="720" w:equalWidth="0">
            <w:col w:w="5950" w:space="40"/>
            <w:col w:w="6250"/>
          </w:cols>
        </w:sectPr>
      </w:pPr>
    </w:p>
    <w:p w14:paraId="73A96775" w14:textId="76C65D4F" w:rsidR="0055291C" w:rsidRPr="0066774C" w:rsidRDefault="0055291C" w:rsidP="0066774C">
      <w:pPr>
        <w:spacing w:before="143" w:line="199" w:lineRule="auto"/>
        <w:ind w:right="29"/>
        <w:rPr>
          <w:rFonts w:ascii="Arial" w:eastAsiaTheme="minorEastAsia"/>
          <w:b/>
          <w:i/>
          <w:sz w:val="19"/>
          <w:lang w:eastAsia="ja-JP"/>
        </w:rPr>
        <w:sectPr w:rsidR="0055291C" w:rsidRPr="0066774C">
          <w:type w:val="continuous"/>
          <w:pgSz w:w="12240" w:h="15840"/>
          <w:pgMar w:top="740" w:right="0" w:bottom="280" w:left="0" w:header="0" w:footer="859" w:gutter="0"/>
          <w:cols w:num="4" w:space="720" w:equalWidth="0">
            <w:col w:w="2394" w:space="40"/>
            <w:col w:w="2527" w:space="39"/>
            <w:col w:w="655" w:space="39"/>
            <w:col w:w="6546"/>
          </w:cols>
        </w:sectPr>
      </w:pPr>
    </w:p>
    <w:p w14:paraId="0FB1D310" w14:textId="7820AF98" w:rsidR="0055291C" w:rsidRPr="006E4028" w:rsidRDefault="00F23C61" w:rsidP="006E4028">
      <w:pPr>
        <w:pStyle w:val="a3"/>
        <w:spacing w:line="312" w:lineRule="auto"/>
        <w:ind w:left="244" w:right="1387" w:firstLineChars="100" w:firstLine="190"/>
        <w:rPr>
          <w:color w:val="545456"/>
          <w:spacing w:val="-1"/>
          <w:lang w:eastAsia="ja-JP"/>
        </w:rPr>
        <w:sectPr w:rsidR="0055291C" w:rsidRPr="006E4028">
          <w:type w:val="continuous"/>
          <w:pgSz w:w="12240" w:h="15840"/>
          <w:pgMar w:top="740" w:right="0" w:bottom="280" w:left="0" w:header="0" w:footer="859" w:gutter="0"/>
          <w:cols w:num="2" w:space="720" w:equalWidth="0">
            <w:col w:w="5992" w:space="40"/>
            <w:col w:w="6208"/>
          </w:cols>
        </w:sectPr>
      </w:pPr>
      <w:r>
        <w:rPr>
          <w:lang w:eastAsia="ja-JP"/>
        </w:rPr>
        <w:br w:type="column"/>
      </w:r>
    </w:p>
    <w:p w14:paraId="33FAB713" w14:textId="77777777" w:rsidR="0055291C" w:rsidRDefault="0055291C">
      <w:pPr>
        <w:pStyle w:val="a3"/>
        <w:rPr>
          <w:sz w:val="20"/>
          <w:lang w:eastAsia="ja-JP"/>
        </w:rPr>
      </w:pPr>
    </w:p>
    <w:p w14:paraId="344E1876" w14:textId="77777777" w:rsidR="0055291C" w:rsidRDefault="0055291C">
      <w:pPr>
        <w:pStyle w:val="a3"/>
        <w:rPr>
          <w:sz w:val="20"/>
          <w:lang w:eastAsia="ja-JP"/>
        </w:rPr>
      </w:pPr>
    </w:p>
    <w:p w14:paraId="330D486D" w14:textId="77777777" w:rsidR="0055291C" w:rsidRDefault="0055291C">
      <w:pPr>
        <w:pStyle w:val="a3"/>
        <w:rPr>
          <w:sz w:val="20"/>
          <w:lang w:eastAsia="ja-JP"/>
        </w:rPr>
      </w:pPr>
    </w:p>
    <w:p w14:paraId="1FA0441C" w14:textId="77777777" w:rsidR="0055291C" w:rsidRDefault="0055291C">
      <w:pPr>
        <w:pStyle w:val="a3"/>
        <w:spacing w:before="4"/>
        <w:rPr>
          <w:sz w:val="24"/>
          <w:lang w:eastAsia="ja-JP"/>
        </w:rPr>
      </w:pPr>
    </w:p>
    <w:p w14:paraId="626196B9" w14:textId="77777777" w:rsidR="0055291C" w:rsidRDefault="00000000">
      <w:pPr>
        <w:spacing w:before="1"/>
        <w:ind w:left="7341"/>
        <w:rPr>
          <w:rFonts w:ascii="Arial"/>
          <w:i/>
          <w:sz w:val="19"/>
          <w:lang w:eastAsia="ja-JP"/>
        </w:rPr>
      </w:pPr>
      <w:r>
        <w:pict w14:anchorId="3D2D6BC0">
          <v:shape id="docshape1354" o:spid="_x0000_s2489" style="position:absolute;left:0;text-align:left;margin-left:580.75pt;margin-top:-47.75pt;width:31.3pt;height:285.85pt;z-index:251633152;mso-position-horizontal-relative:page" coordorigin="11615,-955" coordsize="626,5717" path="m12240,-955r-625,l11615,4535r3,131l11643,4733r67,25l11842,4761r398,l12240,-955xe" fillcolor="#00aca1" stroked="f">
            <v:path arrowok="t"/>
            <w10:wrap anchorx="page"/>
          </v:shape>
        </w:pict>
      </w:r>
      <w:r>
        <w:pict w14:anchorId="128B7886">
          <v:shape id="docshape1355" o:spid="_x0000_s2488" type="#_x0000_t202" style="position:absolute;left:0;text-align:left;margin-left:585.65pt;margin-top:87.35pt;width:17.7pt;height:119.1pt;z-index:251634176;mso-position-horizontal-relative:page" filled="f" stroked="f">
            <v:textbox style="layout-flow:vertical;mso-layout-flow-alt:bottom-to-top;mso-next-textbox:#docshape1355" inset="0,0,0,0">
              <w:txbxContent>
                <w:p w14:paraId="25D8066C"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v:shape>
        </w:pict>
      </w:r>
      <w:r w:rsidR="00F23C61">
        <w:rPr>
          <w:rFonts w:ascii="Arial"/>
          <w:b/>
          <w:i/>
          <w:color w:val="7F3F98"/>
          <w:sz w:val="19"/>
          <w:lang w:eastAsia="ja-JP"/>
        </w:rPr>
        <w:t>CHAPTER</w:t>
      </w:r>
      <w:r w:rsidR="00F23C61">
        <w:rPr>
          <w:rFonts w:ascii="Arial"/>
          <w:b/>
          <w:i/>
          <w:color w:val="7F3F98"/>
          <w:spacing w:val="11"/>
          <w:sz w:val="19"/>
          <w:lang w:eastAsia="ja-JP"/>
        </w:rPr>
        <w:t xml:space="preserve"> </w:t>
      </w:r>
      <w:r w:rsidR="00F23C61">
        <w:rPr>
          <w:rFonts w:ascii="Arial"/>
          <w:b/>
          <w:i/>
          <w:color w:val="7F3F98"/>
          <w:sz w:val="19"/>
          <w:lang w:eastAsia="ja-JP"/>
        </w:rPr>
        <w:t>11</w:t>
      </w:r>
      <w:r w:rsidR="00F23C61">
        <w:rPr>
          <w:rFonts w:ascii="Arial"/>
          <w:b/>
          <w:i/>
          <w:color w:val="7F3F98"/>
          <w:spacing w:val="11"/>
          <w:sz w:val="19"/>
          <w:lang w:eastAsia="ja-JP"/>
        </w:rPr>
        <w:t xml:space="preserve"> </w:t>
      </w:r>
      <w:r w:rsidR="00F23C61">
        <w:rPr>
          <w:rFonts w:ascii="Arial"/>
          <w:i/>
          <w:color w:val="545456"/>
          <w:sz w:val="19"/>
          <w:lang w:eastAsia="ja-JP"/>
        </w:rPr>
        <w:t>Calculating</w:t>
      </w:r>
      <w:r w:rsidR="00F23C61">
        <w:rPr>
          <w:rFonts w:ascii="Arial"/>
          <w:i/>
          <w:color w:val="545456"/>
          <w:spacing w:val="10"/>
          <w:sz w:val="19"/>
          <w:lang w:eastAsia="ja-JP"/>
        </w:rPr>
        <w:t xml:space="preserve"> </w:t>
      </w:r>
      <w:r w:rsidR="00F23C61">
        <w:rPr>
          <w:rFonts w:ascii="Arial"/>
          <w:i/>
          <w:color w:val="545456"/>
          <w:sz w:val="19"/>
          <w:lang w:eastAsia="ja-JP"/>
        </w:rPr>
        <w:t>Inventory</w:t>
      </w:r>
      <w:r w:rsidR="00F23C61">
        <w:rPr>
          <w:rFonts w:ascii="Arial"/>
          <w:i/>
          <w:color w:val="545456"/>
          <w:spacing w:val="9"/>
          <w:sz w:val="19"/>
          <w:lang w:eastAsia="ja-JP"/>
        </w:rPr>
        <w:t xml:space="preserve"> </w:t>
      </w:r>
      <w:r w:rsidR="00F23C61">
        <w:rPr>
          <w:rFonts w:ascii="Arial"/>
          <w:i/>
          <w:color w:val="545456"/>
          <w:sz w:val="19"/>
          <w:lang w:eastAsia="ja-JP"/>
        </w:rPr>
        <w:t>Results</w:t>
      </w:r>
    </w:p>
    <w:p w14:paraId="54E02C05" w14:textId="77777777" w:rsidR="0055291C" w:rsidRDefault="0055291C">
      <w:pPr>
        <w:pStyle w:val="a3"/>
        <w:rPr>
          <w:rFonts w:ascii="Arial"/>
          <w:i/>
          <w:sz w:val="20"/>
          <w:lang w:eastAsia="ja-JP"/>
        </w:rPr>
      </w:pPr>
    </w:p>
    <w:p w14:paraId="37059C7A" w14:textId="77777777" w:rsidR="0055291C" w:rsidRDefault="0055291C">
      <w:pPr>
        <w:pStyle w:val="a3"/>
        <w:spacing w:before="5"/>
        <w:rPr>
          <w:rFonts w:ascii="Arial"/>
          <w:i/>
          <w:sz w:val="25"/>
          <w:lang w:eastAsia="ja-JP"/>
        </w:rPr>
      </w:pPr>
    </w:p>
    <w:p w14:paraId="6D50B3EF" w14:textId="77777777" w:rsidR="0055291C" w:rsidRDefault="0055291C">
      <w:pPr>
        <w:rPr>
          <w:rFonts w:ascii="Arial"/>
          <w:sz w:val="25"/>
          <w:lang w:eastAsia="ja-JP"/>
        </w:rPr>
        <w:sectPr w:rsidR="0055291C">
          <w:headerReference w:type="default" r:id="rId283"/>
          <w:pgSz w:w="12240" w:h="15840"/>
          <w:pgMar w:top="0" w:right="0" w:bottom="1040" w:left="0" w:header="0" w:footer="859" w:gutter="0"/>
          <w:cols w:space="720"/>
        </w:sectPr>
      </w:pPr>
    </w:p>
    <w:p w14:paraId="2BCCEA56" w14:textId="58929B1F" w:rsidR="0055291C" w:rsidRDefault="00F91DF9" w:rsidP="00F91DF9">
      <w:pPr>
        <w:pStyle w:val="a3"/>
        <w:spacing w:before="1" w:line="312" w:lineRule="auto"/>
        <w:ind w:left="851" w:right="167"/>
        <w:rPr>
          <w:lang w:eastAsia="ja-JP"/>
        </w:rPr>
      </w:pPr>
      <w:r>
        <w:rPr>
          <w:rFonts w:ascii="ＭＳ ゴシック" w:eastAsia="ＭＳ ゴシック" w:hAnsi="ＭＳ ゴシック" w:cs="ＭＳ ゴシック" w:hint="eastAsia"/>
          <w:lang w:eastAsia="ja-JP"/>
        </w:rPr>
        <w:t>出源で発生した削減量をオフセットとして販売する場合、これらの削減量は自社製品の削減目標を達成するためのパフォーマンス追跡には含めない方が良いでしょう。企業は、製品境界の一部である、自社が所有または管理する供給源から売却したオフセットを別途報告するべきです。</w:t>
      </w:r>
    </w:p>
    <w:p w14:paraId="03F8AA07" w14:textId="368B25AB" w:rsidR="0055291C" w:rsidRDefault="00F91DF9" w:rsidP="00F91DF9">
      <w:pPr>
        <w:pStyle w:val="a3"/>
        <w:spacing w:before="3" w:line="312" w:lineRule="auto"/>
        <w:ind w:left="851" w:right="167" w:firstLineChars="100" w:firstLine="190"/>
        <w:rPr>
          <w:lang w:eastAsia="ja-JP"/>
        </w:rPr>
      </w:pPr>
      <w:r>
        <w:rPr>
          <w:rFonts w:ascii="ＭＳ ゴシック" w:eastAsia="ＭＳ ゴシック" w:hAnsi="ＭＳ ゴシック" w:cs="ＭＳ ゴシック" w:hint="eastAsia"/>
          <w:lang w:eastAsia="ja-JP"/>
        </w:rPr>
        <w:t>本基準では、回避排出量は、調査対象製品または工程のライフサイクルにおいて発生する市場対応によって間接的に引き起こされる排出削減量として定量化されます。例えば、エネルギー効率の良い家電製品について</w:t>
      </w:r>
      <w:r>
        <w:rPr>
          <w:lang w:eastAsia="ja-JP"/>
        </w:rPr>
        <w:t>GHG</w:t>
      </w:r>
      <w:r>
        <w:rPr>
          <w:rFonts w:ascii="ＭＳ ゴシック" w:eastAsia="ＭＳ ゴシック" w:hAnsi="ＭＳ ゴシック" w:cs="ＭＳ ゴシック" w:hint="eastAsia"/>
          <w:lang w:eastAsia="ja-JP"/>
        </w:rPr>
        <w:t>算出を実施する場合、回避された排出量は、エネルギー効率の良い電化製品が非効率な家電製品に代替すると仮定することで計算できます。また、生産設備にはエネルギー効率の高い薪ボイラーを導入し、</w:t>
      </w:r>
      <w:r>
        <w:rPr>
          <w:lang w:eastAsia="ja-JP"/>
        </w:rPr>
        <w:t xml:space="preserve"> </w:t>
      </w:r>
      <w:r>
        <w:rPr>
          <w:rFonts w:ascii="ＭＳ ゴシック" w:eastAsia="ＭＳ ゴシック" w:hAnsi="ＭＳ ゴシック" w:cs="ＭＳ ゴシック" w:hint="eastAsia"/>
          <w:lang w:eastAsia="ja-JP"/>
        </w:rPr>
        <w:t>排出量の削減を図ってい</w:t>
      </w:r>
      <w:r w:rsidR="003160FB">
        <w:rPr>
          <w:rFonts w:ascii="ＭＳ ゴシック" w:eastAsia="ＭＳ ゴシック" w:hAnsi="ＭＳ ゴシック" w:cs="ＭＳ ゴシック" w:hint="eastAsia"/>
          <w:lang w:eastAsia="ja-JP"/>
        </w:rPr>
        <w:t>る場合、</w:t>
      </w:r>
      <w:r>
        <w:rPr>
          <w:rFonts w:ascii="ＭＳ ゴシック" w:eastAsia="ＭＳ ゴシック" w:hAnsi="ＭＳ ゴシック" w:cs="ＭＳ ゴシック" w:hint="eastAsia"/>
          <w:lang w:eastAsia="ja-JP"/>
        </w:rPr>
        <w:t>薪ボイラーの使用により、石炭火力発電の需要が減少すると仮定して、回避された排出量を計算することができます。</w:t>
      </w:r>
    </w:p>
    <w:p w14:paraId="0129A410" w14:textId="27BB7D4A" w:rsidR="0055291C" w:rsidRDefault="003160FB" w:rsidP="003160FB">
      <w:pPr>
        <w:pStyle w:val="a3"/>
        <w:spacing w:before="3" w:line="312" w:lineRule="auto"/>
        <w:ind w:left="851" w:right="167" w:firstLineChars="100" w:firstLine="190"/>
        <w:rPr>
          <w:lang w:eastAsia="ja-JP"/>
        </w:rPr>
      </w:pPr>
      <w:r>
        <w:rPr>
          <w:rFonts w:ascii="ＭＳ ゴシック" w:eastAsia="ＭＳ ゴシック" w:hAnsi="ＭＳ ゴシック" w:cs="ＭＳ ゴシック" w:hint="eastAsia"/>
          <w:lang w:eastAsia="ja-JP"/>
        </w:rPr>
        <w:t>本基準では、算出結果から回避排出量を差し引くことは認められていません。しかし、企業は、報告書内において、</w:t>
      </w:r>
      <w:r>
        <w:rPr>
          <w:lang w:eastAsia="ja-JP"/>
        </w:rPr>
        <w:t xml:space="preserve"> </w:t>
      </w:r>
      <w:r>
        <w:rPr>
          <w:rFonts w:ascii="ＭＳ ゴシック" w:eastAsia="ＭＳ ゴシック" w:hAnsi="ＭＳ ゴシック" w:cs="ＭＳ ゴシック" w:hint="eastAsia"/>
          <w:lang w:eastAsia="ja-JP"/>
        </w:rPr>
        <w:t>回避された排出量を個別に報告することができます。回避された排出量は</w:t>
      </w:r>
      <w:r>
        <w:rPr>
          <w:lang w:eastAsia="ja-JP"/>
        </w:rPr>
        <w:t xml:space="preserve"> </w:t>
      </w:r>
      <w:r>
        <w:rPr>
          <w:rFonts w:ascii="ＭＳ ゴシック" w:eastAsia="ＭＳ ゴシック" w:hAnsi="ＭＳ ゴシック" w:cs="ＭＳ ゴシック" w:hint="eastAsia"/>
          <w:lang w:eastAsia="ja-JP"/>
        </w:rPr>
        <w:t>、多くの場合、需要変化によ</w:t>
      </w:r>
      <w:r w:rsidR="00AC7CF6">
        <w:rPr>
          <w:rFonts w:ascii="ＭＳ ゴシック" w:eastAsia="ＭＳ ゴシック" w:hAnsi="ＭＳ ゴシック" w:cs="ＭＳ ゴシック" w:hint="eastAsia"/>
          <w:lang w:eastAsia="ja-JP"/>
        </w:rPr>
        <w:t>り</w:t>
      </w:r>
      <w:r>
        <w:rPr>
          <w:rFonts w:ascii="ＭＳ ゴシック" w:eastAsia="ＭＳ ゴシック" w:hAnsi="ＭＳ ゴシック" w:cs="ＭＳ ゴシック" w:hint="eastAsia"/>
          <w:lang w:eastAsia="ja-JP"/>
        </w:rPr>
        <w:t>排出量がどのように変化するかを考慮した結果論的手法で計算され</w:t>
      </w:r>
      <w:r w:rsidR="00AC7CF6">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（詳細は第</w:t>
      </w:r>
      <w:r>
        <w:rPr>
          <w:lang w:eastAsia="ja-JP"/>
        </w:rPr>
        <w:t>5</w:t>
      </w:r>
      <w:r>
        <w:rPr>
          <w:rFonts w:ascii="ＭＳ ゴシック" w:eastAsia="ＭＳ ゴシック" w:hAnsi="ＭＳ ゴシック" w:cs="ＭＳ ゴシック" w:hint="eastAsia"/>
          <w:lang w:eastAsia="ja-JP"/>
        </w:rPr>
        <w:t>章を参照）</w:t>
      </w:r>
      <w:r>
        <w:rPr>
          <w:lang w:eastAsia="ja-JP"/>
        </w:rPr>
        <w:t xml:space="preserve"> </w:t>
      </w:r>
      <w:r>
        <w:rPr>
          <w:rFonts w:ascii="ＭＳ ゴシック" w:eastAsia="ＭＳ ゴシック" w:hAnsi="ＭＳ ゴシック" w:cs="ＭＳ ゴシック" w:hint="eastAsia"/>
          <w:lang w:eastAsia="ja-JP"/>
        </w:rPr>
        <w:t>。回避された排出量を計算・報告する</w:t>
      </w:r>
      <w:r w:rsidR="00AC7CF6">
        <w:rPr>
          <w:rFonts w:ascii="ＭＳ ゴシック" w:eastAsia="ＭＳ ゴシック" w:hAnsi="ＭＳ ゴシック" w:cs="ＭＳ ゴシック" w:hint="eastAsia"/>
          <w:lang w:eastAsia="ja-JP"/>
        </w:rPr>
        <w:t>企業</w:t>
      </w:r>
      <w:r>
        <w:rPr>
          <w:rFonts w:ascii="ＭＳ ゴシック" w:eastAsia="ＭＳ ゴシック" w:hAnsi="ＭＳ ゴシック" w:cs="ＭＳ ゴシック" w:hint="eastAsia"/>
          <w:lang w:eastAsia="ja-JP"/>
        </w:rPr>
        <w:t>は、調査対象製品やそのライフ</w:t>
      </w:r>
      <w:r w:rsidR="00AC7CF6">
        <w:rPr>
          <w:rFonts w:ascii="ＭＳ ゴシック" w:eastAsia="ＭＳ ゴシック" w:hAnsi="ＭＳ ゴシック" w:cs="ＭＳ ゴシック" w:hint="eastAsia"/>
          <w:lang w:eastAsia="ja-JP"/>
        </w:rPr>
        <w:t>サ</w:t>
      </w:r>
      <w:r>
        <w:rPr>
          <w:rFonts w:ascii="ＭＳ ゴシック" w:eastAsia="ＭＳ ゴシック" w:hAnsi="ＭＳ ゴシック" w:cs="ＭＳ ゴシック" w:hint="eastAsia"/>
          <w:lang w:eastAsia="ja-JP"/>
        </w:rPr>
        <w:t>イクルに対する市場の反応によって生じた間接排出も考慮する必要があ</w:t>
      </w:r>
      <w:r w:rsidR="00AC7CF6">
        <w:rPr>
          <w:rFonts w:ascii="ＭＳ ゴシック" w:eastAsia="ＭＳ ゴシック" w:hAnsi="ＭＳ ゴシック" w:cs="ＭＳ ゴシック" w:hint="eastAsia"/>
          <w:lang w:eastAsia="ja-JP"/>
        </w:rPr>
        <w:t>ります</w:t>
      </w:r>
      <w:r>
        <w:rPr>
          <w:rFonts w:ascii="ＭＳ ゴシック" w:eastAsia="ＭＳ ゴシック" w:hAnsi="ＭＳ ゴシック" w:cs="ＭＳ ゴシック" w:hint="eastAsia"/>
          <w:lang w:eastAsia="ja-JP"/>
        </w:rPr>
        <w:t>。例えば、間接的な土地利用変化による影響は、製品の</w:t>
      </w:r>
      <w:r>
        <w:rPr>
          <w:lang w:eastAsia="ja-JP"/>
        </w:rPr>
        <w:t>GHG</w:t>
      </w:r>
      <w:r w:rsidR="00AC7CF6">
        <w:rPr>
          <w:rFonts w:ascii="ＭＳ ゴシック" w:eastAsia="ＭＳ ゴシック" w:hAnsi="ＭＳ ゴシック" w:cs="ＭＳ ゴシック" w:hint="eastAsia"/>
          <w:lang w:eastAsia="ja-JP"/>
        </w:rPr>
        <w:t>排出量</w:t>
      </w:r>
      <w:r>
        <w:rPr>
          <w:rFonts w:ascii="ＭＳ ゴシック" w:eastAsia="ＭＳ ゴシック" w:hAnsi="ＭＳ ゴシック" w:cs="ＭＳ ゴシック" w:hint="eastAsia"/>
          <w:lang w:eastAsia="ja-JP"/>
        </w:rPr>
        <w:t>を増加させる可能性があり、他の回避排出を考慮する場合は、別途報告する</w:t>
      </w:r>
      <w:r w:rsidR="00AC7CF6">
        <w:rPr>
          <w:rFonts w:ascii="ＭＳ ゴシック" w:eastAsia="ＭＳ ゴシック" w:hAnsi="ＭＳ ゴシック" w:cs="ＭＳ ゴシック" w:hint="eastAsia"/>
          <w:lang w:eastAsia="ja-JP"/>
        </w:rPr>
        <w:t>べきです</w:t>
      </w:r>
      <w:r>
        <w:rPr>
          <w:rFonts w:ascii="ＭＳ ゴシック" w:eastAsia="ＭＳ ゴシック" w:hAnsi="ＭＳ ゴシック" w:cs="ＭＳ ゴシック" w:hint="eastAsia"/>
          <w:lang w:eastAsia="ja-JP"/>
        </w:rPr>
        <w:t>。間接的な影響に関連する排出削減量のみを考慮することは適切では</w:t>
      </w:r>
      <w:r w:rsidR="00AC7CF6">
        <w:rPr>
          <w:rFonts w:ascii="ＭＳ ゴシック" w:eastAsia="ＭＳ ゴシック" w:hAnsi="ＭＳ ゴシック" w:cs="ＭＳ ゴシック" w:hint="eastAsia"/>
          <w:lang w:eastAsia="ja-JP"/>
        </w:rPr>
        <w:t>ありません</w:t>
      </w:r>
      <w:r>
        <w:rPr>
          <w:rFonts w:ascii="ＭＳ ゴシック" w:eastAsia="ＭＳ ゴシック" w:hAnsi="ＭＳ ゴシック" w:cs="ＭＳ ゴシック" w:hint="eastAsia"/>
          <w:lang w:eastAsia="ja-JP"/>
        </w:rPr>
        <w:t>。</w:t>
      </w:r>
    </w:p>
    <w:p w14:paraId="3587BC93" w14:textId="24CF35E3" w:rsidR="0055291C" w:rsidRDefault="00AC7CF6" w:rsidP="00AC7CF6">
      <w:pPr>
        <w:pStyle w:val="a3"/>
        <w:spacing w:before="144" w:line="312" w:lineRule="auto"/>
        <w:ind w:left="851" w:right="167" w:firstLineChars="100" w:firstLine="190"/>
        <w:rPr>
          <w:lang w:eastAsia="ja-JP"/>
        </w:rPr>
      </w:pPr>
      <w:r>
        <w:rPr>
          <w:lang w:eastAsia="ja-JP"/>
        </w:rPr>
        <w:t>LCA</w:t>
      </w:r>
      <w:r>
        <w:rPr>
          <w:rFonts w:ascii="ＭＳ ゴシック" w:eastAsia="ＭＳ ゴシック" w:hAnsi="ＭＳ ゴシック" w:cs="ＭＳ ゴシック" w:hint="eastAsia"/>
          <w:lang w:eastAsia="ja-JP"/>
        </w:rPr>
        <w:t>では、システム拡張による配分や、製品境界内の削減事業による排出削減を回避排出量と呼ぶことがあります。これらのケースは、本基準で定義する回避排出量とはみなされないため、算出結果とは別に報告することは要求されません。しかし、このような場合にも、割り当て（第</w:t>
      </w:r>
      <w:r>
        <w:rPr>
          <w:lang w:eastAsia="ja-JP"/>
        </w:rPr>
        <w:t>9</w:t>
      </w:r>
      <w:r>
        <w:rPr>
          <w:rFonts w:ascii="ＭＳ ゴシック" w:eastAsia="ＭＳ ゴシック" w:hAnsi="ＭＳ ゴシック" w:cs="ＭＳ ゴシック" w:hint="eastAsia"/>
          <w:lang w:eastAsia="ja-JP"/>
        </w:rPr>
        <w:t>章）</w:t>
      </w:r>
      <w:r>
        <w:rPr>
          <w:lang w:eastAsia="ja-JP"/>
        </w:rPr>
        <w:t xml:space="preserve"> </w:t>
      </w:r>
      <w:r>
        <w:rPr>
          <w:rFonts w:ascii="ＭＳ ゴシック" w:eastAsia="ＭＳ ゴシック" w:hAnsi="ＭＳ ゴシック" w:cs="ＭＳ ゴシック" w:hint="eastAsia"/>
          <w:lang w:eastAsia="ja-JP"/>
        </w:rPr>
        <w:t>とパフォーマンスの追跡（第</w:t>
      </w:r>
      <w:r>
        <w:rPr>
          <w:lang w:eastAsia="ja-JP"/>
        </w:rPr>
        <w:t xml:space="preserve"> 14</w:t>
      </w:r>
      <w:r>
        <w:rPr>
          <w:rFonts w:ascii="ＭＳ ゴシック" w:eastAsia="ＭＳ ゴシック" w:hAnsi="ＭＳ ゴシック" w:cs="ＭＳ ゴシック" w:hint="eastAsia"/>
          <w:lang w:eastAsia="ja-JP"/>
        </w:rPr>
        <w:t>章）の要求事項が適用されます。</w:t>
      </w:r>
    </w:p>
    <w:p w14:paraId="335A272D" w14:textId="77777777" w:rsidR="0055291C" w:rsidRDefault="00F23C61">
      <w:pPr>
        <w:spacing w:before="9" w:after="24"/>
        <w:rPr>
          <w:sz w:val="5"/>
          <w:lang w:eastAsia="ja-JP"/>
        </w:rPr>
      </w:pPr>
      <w:r>
        <w:rPr>
          <w:lang w:eastAsia="ja-JP"/>
        </w:rPr>
        <w:br w:type="column"/>
      </w:r>
    </w:p>
    <w:p w14:paraId="249DAB23" w14:textId="54517F97" w:rsidR="0055291C" w:rsidRDefault="00000000">
      <w:pPr>
        <w:pStyle w:val="a3"/>
        <w:ind w:left="134"/>
        <w:rPr>
          <w:sz w:val="20"/>
        </w:rPr>
      </w:pPr>
      <w:r>
        <w:rPr>
          <w:sz w:val="20"/>
        </w:rPr>
      </w:r>
      <w:r>
        <w:rPr>
          <w:sz w:val="20"/>
        </w:rPr>
        <w:pict w14:anchorId="6331EB49">
          <v:group id="docshapegroup1356" o:spid="_x0000_s2483" style="width:246.15pt;height:373.8pt;mso-position-horizontal-relative:char;mso-position-vertical-relative:line" coordsize="4923,7009">
            <v:shape id="docshape1357" o:spid="_x0000_s2487" style="position:absolute;left:76;top:473;width:4847;height:6536" coordorigin="77,473" coordsize="4847,6536" path="m4923,473l77,473r,6319l80,6917r25,65l172,7005r131,4l4696,7009r131,-4l4894,6982r25,-65l4923,6792r,-6319xe" fillcolor="#f3f4f4" stroked="f">
              <v:path arrowok="t"/>
            </v:shape>
            <v:shape id="docshape1358" o:spid="_x0000_s2486" style="position:absolute;left:76;width:4847;height:545" coordorigin="77" coordsize="4847,545" path="m4696,l303,,172,4,105,28,80,96,77,227r,317l4923,544r,-317l4919,96,4894,28,4827,4,4696,xe" fillcolor="#00aca1" stroked="f">
              <v:path arrowok="t"/>
            </v:shape>
            <v:line id="_x0000_s2485" style="position:absolute" from="0,560" to="4923,560" strokecolor="white" strokeweight="3pt"/>
            <v:shape id="docshape1359" o:spid="_x0000_s2484" type="#_x0000_t202" style="position:absolute;width:4923;height:7009" filled="f" stroked="f">
              <v:textbox style="mso-next-textbox:#docshape1359" inset="0,0,0,0">
                <w:txbxContent>
                  <w:p w14:paraId="6FF9F136" w14:textId="5A829FFF" w:rsidR="0055291C" w:rsidRDefault="00AC7CF6">
                    <w:pPr>
                      <w:spacing w:before="131"/>
                      <w:ind w:left="286"/>
                      <w:rPr>
                        <w:rFonts w:ascii="Arial"/>
                        <w:b/>
                        <w:i/>
                        <w:sz w:val="14"/>
                        <w:lang w:eastAsia="ja-JP"/>
                      </w:rPr>
                    </w:pPr>
                    <w:r>
                      <w:rPr>
                        <w:rFonts w:ascii="ＭＳ ゴシック" w:eastAsia="ＭＳ ゴシック" w:hAnsi="ＭＳ ゴシック" w:cs="ＭＳ ゴシック" w:hint="eastAsia"/>
                        <w:b/>
                        <w:i/>
                        <w:color w:val="F3F4F4"/>
                        <w:sz w:val="24"/>
                        <w:lang w:eastAsia="ja-JP"/>
                      </w:rPr>
                      <w:t>デュポン</w:t>
                    </w:r>
                    <w:r w:rsidR="00F23C61">
                      <w:rPr>
                        <w:rFonts w:ascii="Arial"/>
                        <w:b/>
                        <w:i/>
                        <w:color w:val="F3F4F4"/>
                        <w:position w:val="8"/>
                        <w:sz w:val="14"/>
                        <w:lang w:eastAsia="ja-JP"/>
                      </w:rPr>
                      <w:t>TM</w:t>
                    </w:r>
                  </w:p>
                  <w:p w14:paraId="62A797A1" w14:textId="77777777" w:rsidR="0055291C" w:rsidRDefault="0055291C">
                    <w:pPr>
                      <w:spacing w:before="3"/>
                      <w:rPr>
                        <w:rFonts w:ascii="Arial"/>
                        <w:b/>
                        <w:i/>
                        <w:sz w:val="27"/>
                        <w:lang w:eastAsia="ja-JP"/>
                      </w:rPr>
                    </w:pPr>
                  </w:p>
                  <w:p w14:paraId="171CC9E9" w14:textId="20F2380C" w:rsidR="0055291C" w:rsidRDefault="00AC7CF6" w:rsidP="00121924">
                    <w:pPr>
                      <w:spacing w:before="1" w:line="328" w:lineRule="auto"/>
                      <w:ind w:left="303" w:right="240"/>
                      <w:rPr>
                        <w:sz w:val="18"/>
                        <w:lang w:eastAsia="ja-JP"/>
                      </w:rPr>
                    </w:pPr>
                    <w:r>
                      <w:rPr>
                        <w:rFonts w:ascii="ＭＳ ゴシック" w:eastAsia="ＭＳ ゴシック" w:hAnsi="ＭＳ ゴシック" w:cs="ＭＳ ゴシック" w:hint="eastAsia"/>
                        <w:color w:val="545456"/>
                        <w:sz w:val="18"/>
                        <w:lang w:eastAsia="ja-JP"/>
                      </w:rPr>
                      <w:t>デュポン</w:t>
                    </w:r>
                    <w:r w:rsidR="00F23C61">
                      <w:rPr>
                        <w:color w:val="545456"/>
                        <w:position w:val="6"/>
                        <w:sz w:val="10"/>
                        <w:lang w:eastAsia="ja-JP"/>
                      </w:rPr>
                      <w:t xml:space="preserve">TM </w:t>
                    </w:r>
                    <w:r>
                      <w:rPr>
                        <w:rFonts w:ascii="ＭＳ ゴシック" w:eastAsia="ＭＳ ゴシック" w:hAnsi="ＭＳ ゴシック" w:cs="ＭＳ ゴシック" w:hint="eastAsia"/>
                        <w:color w:val="545456"/>
                        <w:sz w:val="18"/>
                        <w:lang w:eastAsia="ja-JP"/>
                      </w:rPr>
                      <w:t>ソロナ</w:t>
                    </w:r>
                    <w:r w:rsidR="00F23C61">
                      <w:rPr>
                        <w:color w:val="545456"/>
                        <w:sz w:val="18"/>
                        <w:lang w:eastAsia="ja-JP"/>
                      </w:rPr>
                      <w:t xml:space="preserve">® </w:t>
                    </w:r>
                    <w:r w:rsidR="00121924" w:rsidRPr="00121924">
                      <w:rPr>
                        <w:rFonts w:ascii="ＭＳ ゴシック" w:eastAsia="ＭＳ ゴシック" w:hAnsi="ＭＳ ゴシック" w:cs="ＭＳ ゴシック" w:hint="eastAsia"/>
                        <w:sz w:val="19"/>
                        <w:szCs w:val="19"/>
                        <w:lang w:eastAsia="ja-JP"/>
                      </w:rPr>
                      <w:t>は、再生可能資源（生物由来成分など）を重量比</w:t>
                    </w:r>
                    <w:r w:rsidR="00121924" w:rsidRPr="00121924">
                      <w:rPr>
                        <w:sz w:val="19"/>
                        <w:szCs w:val="19"/>
                        <w:lang w:eastAsia="ja-JP"/>
                      </w:rPr>
                      <w:t>37</w:t>
                    </w:r>
                    <w:r w:rsidR="00121924" w:rsidRPr="00121924">
                      <w:rPr>
                        <w:rFonts w:ascii="ＭＳ ゴシック" w:eastAsia="ＭＳ ゴシック" w:hAnsi="ＭＳ ゴシック" w:cs="ＭＳ ゴシック" w:hint="eastAsia"/>
                        <w:sz w:val="19"/>
                        <w:szCs w:val="19"/>
                        <w:lang w:eastAsia="ja-JP"/>
                      </w:rPr>
                      <w:t>％含む先端ポリマーで、従来の石油化学ポリマーの代わりに繊維、織物、フィラメント、エンジニアリング樹脂などの幅広い分野で使用することができます。</w:t>
                    </w:r>
                    <w:r w:rsidR="00121924">
                      <w:rPr>
                        <w:rFonts w:ascii="ＭＳ ゴシック" w:eastAsia="ＭＳ ゴシック" w:hAnsi="ＭＳ ゴシック" w:cs="ＭＳ ゴシック" w:hint="eastAsia"/>
                        <w:sz w:val="19"/>
                        <w:szCs w:val="19"/>
                        <w:lang w:eastAsia="ja-JP"/>
                      </w:rPr>
                      <w:t>ソロナ</w:t>
                    </w:r>
                    <w:r w:rsidR="00121924" w:rsidRPr="00121924">
                      <w:rPr>
                        <w:sz w:val="19"/>
                        <w:szCs w:val="19"/>
                        <w:lang w:eastAsia="ja-JP"/>
                      </w:rPr>
                      <w:t>®</w:t>
                    </w:r>
                    <w:r w:rsidR="00121924" w:rsidRPr="00121924">
                      <w:rPr>
                        <w:rFonts w:ascii="ＭＳ ゴシック" w:eastAsia="ＭＳ ゴシック" w:hAnsi="ＭＳ ゴシック" w:cs="ＭＳ ゴシック" w:hint="eastAsia"/>
                        <w:sz w:val="19"/>
                        <w:szCs w:val="19"/>
                        <w:lang w:eastAsia="ja-JP"/>
                      </w:rPr>
                      <w:t>は様々な機能と製品に使用できるため、デュポン</w:t>
                    </w:r>
                    <w:r w:rsidR="00121924">
                      <w:rPr>
                        <w:rFonts w:ascii="ＭＳ ゴシック" w:eastAsia="ＭＳ ゴシック" w:hAnsi="ＭＳ ゴシック" w:cs="ＭＳ ゴシック" w:hint="eastAsia"/>
                        <w:sz w:val="19"/>
                        <w:szCs w:val="19"/>
                        <w:lang w:eastAsia="ja-JP"/>
                      </w:rPr>
                      <w:t>社</w:t>
                    </w:r>
                    <w:r w:rsidR="00121924" w:rsidRPr="00121924">
                      <w:rPr>
                        <w:rFonts w:ascii="ＭＳ ゴシック" w:eastAsia="ＭＳ ゴシック" w:hAnsi="ＭＳ ゴシック" w:cs="ＭＳ ゴシック" w:hint="eastAsia"/>
                        <w:sz w:val="19"/>
                        <w:szCs w:val="19"/>
                        <w:lang w:eastAsia="ja-JP"/>
                      </w:rPr>
                      <w:t>は</w:t>
                    </w:r>
                    <w:r w:rsidR="00121924">
                      <w:rPr>
                        <w:rFonts w:ascii="ＭＳ ゴシック" w:eastAsia="ＭＳ ゴシック" w:hAnsi="ＭＳ ゴシック" w:cs="ＭＳ ゴシック" w:hint="eastAsia"/>
                        <w:sz w:val="19"/>
                        <w:szCs w:val="19"/>
                        <w:lang w:eastAsia="ja-JP"/>
                      </w:rPr>
                      <w:t>生産から出荷</w:t>
                    </w:r>
                    <w:r w:rsidR="00121924" w:rsidRPr="00121924">
                      <w:rPr>
                        <w:rFonts w:ascii="ＭＳ ゴシック" w:eastAsia="ＭＳ ゴシック" w:hAnsi="ＭＳ ゴシック" w:cs="ＭＳ ゴシック" w:hint="eastAsia"/>
                        <w:sz w:val="19"/>
                        <w:szCs w:val="19"/>
                        <w:lang w:eastAsia="ja-JP"/>
                      </w:rPr>
                      <w:t>までの</w:t>
                    </w:r>
                    <w:r w:rsidR="00121924">
                      <w:rPr>
                        <w:rFonts w:ascii="ＭＳ ゴシック" w:eastAsia="ＭＳ ゴシック" w:hAnsi="ＭＳ ゴシック" w:cs="ＭＳ ゴシック" w:hint="eastAsia"/>
                        <w:sz w:val="19"/>
                        <w:szCs w:val="19"/>
                        <w:lang w:eastAsia="ja-JP"/>
                      </w:rPr>
                      <w:t>排出量算出</w:t>
                    </w:r>
                    <w:r w:rsidR="00121924" w:rsidRPr="00121924">
                      <w:rPr>
                        <w:rFonts w:ascii="ＭＳ ゴシック" w:eastAsia="ＭＳ ゴシック" w:hAnsi="ＭＳ ゴシック" w:cs="ＭＳ ゴシック" w:hint="eastAsia"/>
                        <w:sz w:val="19"/>
                        <w:szCs w:val="19"/>
                        <w:lang w:eastAsia="ja-JP"/>
                      </w:rPr>
                      <w:t>を実施しました。しかし、</w:t>
                    </w:r>
                    <w:r w:rsidR="00121924">
                      <w:rPr>
                        <w:rFonts w:ascii="ＭＳ ゴシック" w:eastAsia="ＭＳ ゴシック" w:hAnsi="ＭＳ ゴシック" w:cs="ＭＳ ゴシック" w:hint="eastAsia"/>
                        <w:sz w:val="19"/>
                        <w:szCs w:val="19"/>
                        <w:lang w:eastAsia="ja-JP"/>
                      </w:rPr>
                      <w:t>ソロナ</w:t>
                    </w:r>
                    <w:r w:rsidR="00121924" w:rsidRPr="00121924">
                      <w:rPr>
                        <w:sz w:val="19"/>
                        <w:szCs w:val="19"/>
                        <w:lang w:eastAsia="ja-JP"/>
                      </w:rPr>
                      <w:t>®</w:t>
                    </w:r>
                    <w:r w:rsidR="00121924" w:rsidRPr="00121924">
                      <w:rPr>
                        <w:rFonts w:ascii="ＭＳ ゴシック" w:eastAsia="ＭＳ ゴシック" w:hAnsi="ＭＳ ゴシック" w:cs="ＭＳ ゴシック" w:hint="eastAsia"/>
                        <w:sz w:val="19"/>
                        <w:szCs w:val="19"/>
                        <w:lang w:eastAsia="ja-JP"/>
                      </w:rPr>
                      <w:t>を原料として使用する場合、分子内の炭素の</w:t>
                    </w:r>
                    <w:r w:rsidR="00121924">
                      <w:rPr>
                        <w:rFonts w:ascii="ＭＳ ゴシック" w:eastAsia="ＭＳ ゴシック" w:hAnsi="ＭＳ ゴシック" w:cs="ＭＳ ゴシック" w:hint="eastAsia"/>
                        <w:sz w:val="19"/>
                        <w:szCs w:val="19"/>
                        <w:lang w:eastAsia="ja-JP"/>
                      </w:rPr>
                      <w:t>行方</w:t>
                    </w:r>
                    <w:r w:rsidR="00121924" w:rsidRPr="00121924">
                      <w:rPr>
                        <w:rFonts w:ascii="ＭＳ ゴシック" w:eastAsia="ＭＳ ゴシック" w:hAnsi="ＭＳ ゴシック" w:cs="ＭＳ ゴシック" w:hint="eastAsia"/>
                        <w:sz w:val="19"/>
                        <w:szCs w:val="19"/>
                        <w:lang w:eastAsia="ja-JP"/>
                      </w:rPr>
                      <w:t>は、</w:t>
                    </w:r>
                    <w:r w:rsidR="00121924">
                      <w:rPr>
                        <w:rFonts w:ascii="ＭＳ ゴシック" w:eastAsia="ＭＳ ゴシック" w:hAnsi="ＭＳ ゴシック" w:cs="ＭＳ ゴシック" w:hint="eastAsia"/>
                        <w:sz w:val="19"/>
                        <w:szCs w:val="19"/>
                        <w:lang w:eastAsia="ja-JP"/>
                      </w:rPr>
                      <w:t>「</w:t>
                    </w:r>
                    <w:r w:rsidR="00121924" w:rsidRPr="00121924">
                      <w:rPr>
                        <w:rFonts w:ascii="ＭＳ ゴシック" w:eastAsia="ＭＳ ゴシック" w:hAnsi="ＭＳ ゴシック" w:cs="ＭＳ ゴシック" w:hint="eastAsia"/>
                        <w:sz w:val="19"/>
                        <w:szCs w:val="19"/>
                        <w:lang w:eastAsia="ja-JP"/>
                      </w:rPr>
                      <w:t>ゆりかごから墓場まで</w:t>
                    </w:r>
                    <w:r w:rsidR="00121924">
                      <w:rPr>
                        <w:rFonts w:ascii="ＭＳ ゴシック" w:eastAsia="ＭＳ ゴシック" w:hAnsi="ＭＳ ゴシック" w:cs="ＭＳ ゴシック" w:hint="eastAsia"/>
                        <w:sz w:val="19"/>
                        <w:szCs w:val="19"/>
                        <w:lang w:eastAsia="ja-JP"/>
                      </w:rPr>
                      <w:t>」</w:t>
                    </w:r>
                    <w:r w:rsidR="00121924" w:rsidRPr="00121924">
                      <w:rPr>
                        <w:rFonts w:ascii="ＭＳ ゴシック" w:eastAsia="ＭＳ ゴシック" w:hAnsi="ＭＳ ゴシック" w:cs="ＭＳ ゴシック" w:hint="eastAsia"/>
                        <w:sz w:val="19"/>
                        <w:szCs w:val="19"/>
                        <w:lang w:eastAsia="ja-JP"/>
                      </w:rPr>
                      <w:t>の</w:t>
                    </w:r>
                    <w:r w:rsidR="00121924">
                      <w:rPr>
                        <w:rFonts w:ascii="ＭＳ ゴシック" w:eastAsia="ＭＳ ゴシック" w:hAnsi="ＭＳ ゴシック" w:cs="ＭＳ ゴシック" w:hint="eastAsia"/>
                        <w:sz w:val="19"/>
                        <w:szCs w:val="19"/>
                        <w:lang w:eastAsia="ja-JP"/>
                      </w:rPr>
                      <w:t>排出量算出</w:t>
                    </w:r>
                    <w:r w:rsidR="00121924" w:rsidRPr="00121924">
                      <w:rPr>
                        <w:rFonts w:ascii="ＭＳ ゴシック" w:eastAsia="ＭＳ ゴシック" w:hAnsi="ＭＳ ゴシック" w:cs="ＭＳ ゴシック" w:hint="eastAsia"/>
                        <w:sz w:val="19"/>
                        <w:szCs w:val="19"/>
                        <w:lang w:eastAsia="ja-JP"/>
                      </w:rPr>
                      <w:t>において重要な評価となります。川下</w:t>
                    </w:r>
                    <w:r w:rsidR="00121924">
                      <w:rPr>
                        <w:rFonts w:ascii="ＭＳ ゴシック" w:eastAsia="ＭＳ ゴシック" w:hAnsi="ＭＳ ゴシック" w:cs="ＭＳ ゴシック" w:hint="eastAsia"/>
                        <w:sz w:val="19"/>
                        <w:szCs w:val="19"/>
                        <w:lang w:eastAsia="ja-JP"/>
                      </w:rPr>
                      <w:t>の</w:t>
                    </w:r>
                    <w:r w:rsidR="00121924" w:rsidRPr="00121924">
                      <w:rPr>
                        <w:rFonts w:ascii="ＭＳ ゴシック" w:eastAsia="ＭＳ ゴシック" w:hAnsi="ＭＳ ゴシック" w:cs="ＭＳ ゴシック" w:hint="eastAsia"/>
                        <w:sz w:val="19"/>
                        <w:szCs w:val="19"/>
                        <w:lang w:eastAsia="ja-JP"/>
                      </w:rPr>
                      <w:t>顧客が</w:t>
                    </w:r>
                    <w:r w:rsidR="00121924">
                      <w:rPr>
                        <w:rFonts w:ascii="ＭＳ ゴシック" w:eastAsia="ＭＳ ゴシック" w:hAnsi="ＭＳ ゴシック" w:cs="ＭＳ ゴシック" w:hint="eastAsia"/>
                        <w:sz w:val="19"/>
                        <w:szCs w:val="19"/>
                        <w:lang w:eastAsia="ja-JP"/>
                      </w:rPr>
                      <w:t>「</w:t>
                    </w:r>
                    <w:r w:rsidR="00121924" w:rsidRPr="00121924">
                      <w:rPr>
                        <w:rFonts w:ascii="ＭＳ ゴシック" w:eastAsia="ＭＳ ゴシック" w:hAnsi="ＭＳ ゴシック" w:cs="ＭＳ ゴシック" w:hint="eastAsia"/>
                        <w:sz w:val="19"/>
                        <w:szCs w:val="19"/>
                        <w:lang w:eastAsia="ja-JP"/>
                      </w:rPr>
                      <w:t>ゆりかごから墓場まで</w:t>
                    </w:r>
                    <w:r w:rsidR="00121924">
                      <w:rPr>
                        <w:rFonts w:ascii="ＭＳ ゴシック" w:eastAsia="ＭＳ ゴシック" w:hAnsi="ＭＳ ゴシック" w:cs="ＭＳ ゴシック" w:hint="eastAsia"/>
                        <w:sz w:val="19"/>
                        <w:szCs w:val="19"/>
                        <w:lang w:eastAsia="ja-JP"/>
                      </w:rPr>
                      <w:t>」</w:t>
                    </w:r>
                    <w:r w:rsidR="00121924" w:rsidRPr="00121924">
                      <w:rPr>
                        <w:rFonts w:ascii="ＭＳ ゴシック" w:eastAsia="ＭＳ ゴシック" w:hAnsi="ＭＳ ゴシック" w:cs="ＭＳ ゴシック" w:hint="eastAsia"/>
                        <w:sz w:val="19"/>
                        <w:szCs w:val="19"/>
                        <w:lang w:eastAsia="ja-JP"/>
                      </w:rPr>
                      <w:t>の評価を行うために必要なすべての情報を入手できるよう、</w:t>
                    </w:r>
                    <w:r w:rsidR="00444937">
                      <w:rPr>
                        <w:rFonts w:ascii="ＭＳ ゴシック" w:eastAsia="ＭＳ ゴシック" w:hAnsi="ＭＳ ゴシック" w:cs="ＭＳ ゴシック" w:hint="eastAsia"/>
                        <w:sz w:val="19"/>
                        <w:szCs w:val="19"/>
                        <w:lang w:eastAsia="ja-JP"/>
                      </w:rPr>
                      <w:t>デュポン社は、工場を出て</w:t>
                    </w:r>
                    <w:r w:rsidR="00121924" w:rsidRPr="00121924">
                      <w:rPr>
                        <w:rFonts w:ascii="ＭＳ ゴシック" w:eastAsia="ＭＳ ゴシック" w:hAnsi="ＭＳ ゴシック" w:cs="ＭＳ ゴシック" w:hint="eastAsia"/>
                        <w:sz w:val="19"/>
                        <w:szCs w:val="19"/>
                        <w:lang w:eastAsia="ja-JP"/>
                      </w:rPr>
                      <w:t>境界を離れる際に製品に含まれる炭素量（化石起源および生物起源）を</w:t>
                    </w:r>
                    <w:r w:rsidR="00444937">
                      <w:rPr>
                        <w:rFonts w:ascii="ＭＳ ゴシック" w:eastAsia="ＭＳ ゴシック" w:hAnsi="ＭＳ ゴシック" w:cs="ＭＳ ゴシック" w:hint="eastAsia"/>
                        <w:sz w:val="19"/>
                        <w:szCs w:val="19"/>
                        <w:lang w:eastAsia="ja-JP"/>
                      </w:rPr>
                      <w:t>報告書</w:t>
                    </w:r>
                    <w:r w:rsidR="00121924" w:rsidRPr="00121924">
                      <w:rPr>
                        <w:rFonts w:ascii="ＭＳ ゴシック" w:eastAsia="ＭＳ ゴシック" w:hAnsi="ＭＳ ゴシック" w:cs="ＭＳ ゴシック" w:hint="eastAsia"/>
                        <w:sz w:val="19"/>
                        <w:szCs w:val="19"/>
                        <w:lang w:eastAsia="ja-JP"/>
                      </w:rPr>
                      <w:t>に</w:t>
                    </w:r>
                    <w:r w:rsidR="00444937">
                      <w:rPr>
                        <w:rFonts w:ascii="ＭＳ ゴシック" w:eastAsia="ＭＳ ゴシック" w:hAnsi="ＭＳ ゴシック" w:cs="ＭＳ ゴシック" w:hint="eastAsia"/>
                        <w:sz w:val="19"/>
                        <w:szCs w:val="19"/>
                        <w:lang w:eastAsia="ja-JP"/>
                      </w:rPr>
                      <w:t>記載しています</w:t>
                    </w:r>
                    <w:r w:rsidR="00121924" w:rsidRPr="00121924">
                      <w:rPr>
                        <w:sz w:val="19"/>
                        <w:szCs w:val="19"/>
                        <w:lang w:eastAsia="ja-JP"/>
                      </w:rPr>
                      <w:t xml:space="preserve"> </w:t>
                    </w:r>
                    <w:r w:rsidR="00121924" w:rsidRPr="00121924">
                      <w:rPr>
                        <w:rFonts w:ascii="ＭＳ ゴシック" w:eastAsia="ＭＳ ゴシック" w:hAnsi="ＭＳ ゴシック" w:cs="ＭＳ ゴシック" w:hint="eastAsia"/>
                        <w:sz w:val="19"/>
                        <w:szCs w:val="19"/>
                        <w:lang w:eastAsia="ja-JP"/>
                      </w:rPr>
                      <w:t>。デュポン</w:t>
                    </w:r>
                    <w:r w:rsidR="00444937">
                      <w:rPr>
                        <w:rFonts w:ascii="ＭＳ ゴシック" w:eastAsia="ＭＳ ゴシック" w:hAnsi="ＭＳ ゴシック" w:cs="ＭＳ ゴシック" w:hint="eastAsia"/>
                        <w:sz w:val="19"/>
                        <w:szCs w:val="19"/>
                        <w:lang w:eastAsia="ja-JP"/>
                      </w:rPr>
                      <w:t>社</w:t>
                    </w:r>
                    <w:r w:rsidR="00121924" w:rsidRPr="00121924">
                      <w:rPr>
                        <w:rFonts w:ascii="ＭＳ ゴシック" w:eastAsia="ＭＳ ゴシック" w:hAnsi="ＭＳ ゴシック" w:cs="ＭＳ ゴシック" w:hint="eastAsia"/>
                        <w:sz w:val="19"/>
                        <w:szCs w:val="19"/>
                        <w:lang w:eastAsia="ja-JP"/>
                      </w:rPr>
                      <w:t>はまた、川下顧客が使用済み製品のプロファイルを定義するのに役立つオプション情報として、</w:t>
                    </w:r>
                    <w:r w:rsidR="00444937">
                      <w:rPr>
                        <w:rFonts w:ascii="ＭＳ ゴシック" w:eastAsia="ＭＳ ゴシック" w:hAnsi="ＭＳ ゴシック" w:cs="ＭＳ ゴシック" w:hint="eastAsia"/>
                        <w:sz w:val="19"/>
                        <w:szCs w:val="19"/>
                        <w:lang w:eastAsia="ja-JP"/>
                      </w:rPr>
                      <w:t>生産から出荷</w:t>
                    </w:r>
                    <w:r w:rsidR="00121924" w:rsidRPr="00444937">
                      <w:rPr>
                        <w:rFonts w:ascii="ＭＳ ゴシック" w:eastAsia="ＭＳ ゴシック" w:hAnsi="ＭＳ ゴシック" w:cs="ＭＳ ゴシック" w:hint="eastAsia"/>
                        <w:sz w:val="19"/>
                        <w:szCs w:val="19"/>
                        <w:lang w:eastAsia="ja-JP"/>
                      </w:rPr>
                      <w:t>までの</w:t>
                    </w:r>
                    <w:r w:rsidR="00444937">
                      <w:rPr>
                        <w:rFonts w:ascii="ＭＳ ゴシック" w:eastAsia="ＭＳ ゴシック" w:hAnsi="ＭＳ ゴシック" w:cs="ＭＳ ゴシック" w:hint="eastAsia"/>
                        <w:sz w:val="19"/>
                        <w:szCs w:val="19"/>
                        <w:lang w:eastAsia="ja-JP"/>
                      </w:rPr>
                      <w:t>算出</w:t>
                    </w:r>
                    <w:r w:rsidR="00121924" w:rsidRPr="00444937">
                      <w:rPr>
                        <w:rFonts w:ascii="ＭＳ ゴシック" w:eastAsia="ＭＳ ゴシック" w:hAnsi="ＭＳ ゴシック" w:cs="ＭＳ ゴシック" w:hint="eastAsia"/>
                        <w:sz w:val="19"/>
                        <w:szCs w:val="19"/>
                        <w:lang w:eastAsia="ja-JP"/>
                      </w:rPr>
                      <w:t>結果とは別に、さまざまな使用済み製品のシナリオにおける</w:t>
                    </w:r>
                    <w:r w:rsidR="00121924" w:rsidRPr="00444937">
                      <w:rPr>
                        <w:sz w:val="19"/>
                        <w:szCs w:val="19"/>
                        <w:lang w:eastAsia="ja-JP"/>
                      </w:rPr>
                      <w:t xml:space="preserve"> </w:t>
                    </w:r>
                    <w:r w:rsidR="00121924" w:rsidRPr="00444937">
                      <w:rPr>
                        <w:rFonts w:ascii="ＭＳ ゴシック" w:eastAsia="ＭＳ ゴシック" w:hAnsi="ＭＳ ゴシック" w:cs="ＭＳ ゴシック" w:hint="eastAsia"/>
                        <w:sz w:val="19"/>
                        <w:szCs w:val="19"/>
                        <w:lang w:eastAsia="ja-JP"/>
                      </w:rPr>
                      <w:t>含有炭素の運命に関する情報もインベントリレポー</w:t>
                    </w:r>
                    <w:r w:rsidR="00121924" w:rsidRPr="00444937">
                      <w:rPr>
                        <w:sz w:val="19"/>
                        <w:szCs w:val="19"/>
                        <w:lang w:eastAsia="ja-JP"/>
                      </w:rPr>
                      <w:t xml:space="preserve"> </w:t>
                    </w:r>
                    <w:r w:rsidR="00121924" w:rsidRPr="00444937">
                      <w:rPr>
                        <w:rFonts w:ascii="ＭＳ ゴシック" w:eastAsia="ＭＳ ゴシック" w:hAnsi="ＭＳ ゴシック" w:cs="ＭＳ ゴシック" w:hint="eastAsia"/>
                        <w:sz w:val="19"/>
                        <w:szCs w:val="19"/>
                        <w:lang w:eastAsia="ja-JP"/>
                      </w:rPr>
                      <w:t>トに含めています</w:t>
                    </w:r>
                    <w:r w:rsidR="00444937">
                      <w:rPr>
                        <w:rFonts w:ascii="ＭＳ ゴシック" w:eastAsia="ＭＳ ゴシック" w:hAnsi="ＭＳ ゴシック" w:cs="ＭＳ ゴシック" w:hint="eastAsia"/>
                        <w:sz w:val="19"/>
                        <w:szCs w:val="19"/>
                        <w:lang w:eastAsia="ja-JP"/>
                      </w:rPr>
                      <w:t>。</w:t>
                    </w:r>
                  </w:p>
                </w:txbxContent>
              </v:textbox>
            </v:shape>
            <w10:anchorlock/>
          </v:group>
        </w:pict>
      </w:r>
    </w:p>
    <w:p w14:paraId="4FBB239F" w14:textId="77777777" w:rsidR="0055291C" w:rsidRDefault="0055291C">
      <w:pPr>
        <w:pStyle w:val="a3"/>
        <w:rPr>
          <w:sz w:val="26"/>
        </w:rPr>
      </w:pPr>
    </w:p>
    <w:p w14:paraId="595276A8" w14:textId="77777777" w:rsidR="0055291C" w:rsidRDefault="00F23C61">
      <w:pPr>
        <w:pStyle w:val="3"/>
        <w:spacing w:before="193"/>
        <w:ind w:left="243"/>
      </w:pPr>
      <w:r>
        <w:rPr>
          <w:color w:val="00ACA1"/>
        </w:rPr>
        <w:t>Endnotes</w:t>
      </w:r>
    </w:p>
    <w:p w14:paraId="4B9EFA73" w14:textId="70F40F17" w:rsidR="0055291C" w:rsidRPr="00444937" w:rsidRDefault="00444937">
      <w:pPr>
        <w:pStyle w:val="a5"/>
        <w:numPr>
          <w:ilvl w:val="0"/>
          <w:numId w:val="85"/>
        </w:numPr>
        <w:spacing w:before="61" w:line="345" w:lineRule="auto"/>
        <w:ind w:right="1245"/>
        <w:rPr>
          <w:sz w:val="16"/>
          <w:lang w:eastAsia="ja-JP"/>
        </w:rPr>
      </w:pPr>
      <w:r w:rsidRPr="00444937">
        <w:rPr>
          <w:rFonts w:ascii="ＭＳ ゴシック" w:eastAsia="ＭＳ ゴシック" w:hAnsi="ＭＳ ゴシック" w:cs="ＭＳ ゴシック" w:hint="eastAsia"/>
          <w:sz w:val="19"/>
          <w:szCs w:val="19"/>
          <w:lang w:eastAsia="ja-JP"/>
        </w:rPr>
        <w:t>排出量の増加は、調査対象製品または調査対象製品のライフサイクルで発生するプロセスによって間接的に引き起こされることもあり、この場合も回避された排出量とともに別途報告するべきです。</w:t>
      </w:r>
    </w:p>
    <w:p w14:paraId="2CFAEB70" w14:textId="77777777" w:rsidR="0055291C" w:rsidRDefault="0055291C">
      <w:pPr>
        <w:spacing w:line="345" w:lineRule="auto"/>
        <w:rPr>
          <w:sz w:val="16"/>
          <w:lang w:eastAsia="ja-JP"/>
        </w:rPr>
        <w:sectPr w:rsidR="0055291C">
          <w:type w:val="continuous"/>
          <w:pgSz w:w="12240" w:h="15840"/>
          <w:pgMar w:top="740" w:right="0" w:bottom="280" w:left="0" w:header="0" w:footer="859" w:gutter="0"/>
          <w:cols w:num="2" w:space="720" w:equalWidth="0">
            <w:col w:w="5979" w:space="40"/>
            <w:col w:w="6221"/>
          </w:cols>
        </w:sectPr>
      </w:pPr>
    </w:p>
    <w:p w14:paraId="3127037A" w14:textId="56574A8F" w:rsidR="0055291C" w:rsidRDefault="00CA21D3">
      <w:pPr>
        <w:pStyle w:val="1"/>
        <w:numPr>
          <w:ilvl w:val="0"/>
          <w:numId w:val="3"/>
        </w:numPr>
        <w:tabs>
          <w:tab w:val="left" w:pos="2415"/>
          <w:tab w:val="left" w:pos="2416"/>
        </w:tabs>
      </w:pPr>
      <w:r>
        <w:rPr>
          <w:rFonts w:ascii="ＭＳ 明朝" w:eastAsia="ＭＳ 明朝" w:hAnsi="ＭＳ 明朝" w:cs="ＭＳ 明朝" w:hint="eastAsia"/>
          <w:color w:val="545456"/>
          <w:lang w:eastAsia="ja-JP"/>
        </w:rPr>
        <w:lastRenderedPageBreak/>
        <w:t>報告書の</w:t>
      </w:r>
      <w:r w:rsidR="00000000">
        <w:pict w14:anchorId="0D1C4C21">
          <v:group id="docshapegroup1360" o:spid="_x0000_s2479" style="position:absolute;left:0;text-align:left;margin-left:0;margin-top:0;width:612pt;height:791.8pt;z-index:-251553280;mso-position-horizontal-relative:page;mso-position-vertical-relative:page" coordsize="12240,15836">
            <v:shape id="docshape1361" o:spid="_x0000_s2482" type="#_x0000_t75" style="position:absolute;width:12240;height:15836">
              <v:imagedata r:id="rId284" o:title=""/>
            </v:shape>
            <v:rect id="docshape1362" o:spid="_x0000_s2481" style="position:absolute;width:12240;height:2015" fillcolor="#f3f4f4" stroked="f">
              <v:fill opacity="45875f"/>
            </v:rect>
            <v:shape id="docshape1363" o:spid="_x0000_s2480" style="position:absolute;width:2133;height:2015" coordsize="2133,2015" path="m2132,l,,,2014r1892,l2031,2011r71,-27l2129,1913r3,-139l2132,xe" fillcolor="#00aca1" stroked="f">
              <v:path arrowok="t"/>
            </v:shape>
            <w10:wrap anchorx="page" anchory="page"/>
          </v:group>
        </w:pict>
      </w:r>
      <w:bookmarkStart w:id="10" w:name="_TOC_250002"/>
      <w:bookmarkEnd w:id="10"/>
      <w:r w:rsidR="00444937">
        <w:rPr>
          <w:rFonts w:ascii="ＭＳ 明朝" w:eastAsia="ＭＳ 明朝" w:hAnsi="ＭＳ 明朝" w:cs="ＭＳ 明朝" w:hint="eastAsia"/>
          <w:color w:val="545456"/>
          <w:lang w:eastAsia="ja-JP"/>
        </w:rPr>
        <w:t>保証</w:t>
      </w:r>
    </w:p>
    <w:p w14:paraId="40BD265A" w14:textId="77777777" w:rsidR="0055291C" w:rsidRDefault="0055291C">
      <w:pPr>
        <w:sectPr w:rsidR="0055291C">
          <w:headerReference w:type="even" r:id="rId285"/>
          <w:footerReference w:type="even" r:id="rId286"/>
          <w:pgSz w:w="12240" w:h="15840"/>
          <w:pgMar w:top="1020" w:right="0" w:bottom="280" w:left="0" w:header="0" w:footer="0" w:gutter="0"/>
          <w:cols w:space="720"/>
        </w:sectPr>
      </w:pPr>
    </w:p>
    <w:p w14:paraId="33752C07" w14:textId="77777777" w:rsidR="0055291C" w:rsidRDefault="0055291C">
      <w:pPr>
        <w:pStyle w:val="a3"/>
        <w:rPr>
          <w:rFonts w:ascii="Arial"/>
          <w:b/>
          <w:i/>
          <w:sz w:val="20"/>
        </w:rPr>
      </w:pPr>
    </w:p>
    <w:p w14:paraId="3126E083" w14:textId="77777777" w:rsidR="0055291C" w:rsidRDefault="0055291C">
      <w:pPr>
        <w:pStyle w:val="a3"/>
        <w:rPr>
          <w:rFonts w:ascii="Arial"/>
          <w:b/>
          <w:i/>
          <w:sz w:val="20"/>
        </w:rPr>
      </w:pPr>
    </w:p>
    <w:p w14:paraId="3B7FBE82" w14:textId="77777777" w:rsidR="0055291C" w:rsidRDefault="0055291C">
      <w:pPr>
        <w:pStyle w:val="a3"/>
        <w:rPr>
          <w:rFonts w:ascii="Arial"/>
          <w:b/>
          <w:i/>
          <w:sz w:val="20"/>
        </w:rPr>
      </w:pPr>
    </w:p>
    <w:p w14:paraId="2EBC4E8E" w14:textId="77777777" w:rsidR="0055291C" w:rsidRDefault="0055291C">
      <w:pPr>
        <w:pStyle w:val="a3"/>
        <w:rPr>
          <w:rFonts w:ascii="Arial"/>
          <w:b/>
          <w:i/>
          <w:sz w:val="20"/>
        </w:rPr>
      </w:pPr>
    </w:p>
    <w:p w14:paraId="091E6273" w14:textId="77777777" w:rsidR="0055291C" w:rsidRDefault="0055291C">
      <w:pPr>
        <w:pStyle w:val="a3"/>
        <w:rPr>
          <w:rFonts w:ascii="Arial"/>
          <w:b/>
          <w:i/>
          <w:sz w:val="20"/>
        </w:rPr>
      </w:pPr>
    </w:p>
    <w:p w14:paraId="6DB3867A" w14:textId="77777777" w:rsidR="0055291C" w:rsidRDefault="0055291C">
      <w:pPr>
        <w:pStyle w:val="a3"/>
        <w:rPr>
          <w:rFonts w:ascii="Arial"/>
          <w:b/>
          <w:i/>
          <w:sz w:val="20"/>
        </w:rPr>
      </w:pPr>
    </w:p>
    <w:p w14:paraId="1B3AF913" w14:textId="77777777" w:rsidR="0055291C" w:rsidRDefault="0055291C">
      <w:pPr>
        <w:pStyle w:val="a3"/>
        <w:rPr>
          <w:rFonts w:ascii="Arial"/>
          <w:b/>
          <w:i/>
          <w:sz w:val="20"/>
        </w:rPr>
      </w:pPr>
    </w:p>
    <w:p w14:paraId="40720008" w14:textId="77777777" w:rsidR="0055291C" w:rsidRDefault="0055291C">
      <w:pPr>
        <w:pStyle w:val="a3"/>
        <w:rPr>
          <w:rFonts w:ascii="Arial"/>
          <w:b/>
          <w:i/>
          <w:sz w:val="20"/>
        </w:rPr>
      </w:pPr>
    </w:p>
    <w:p w14:paraId="7077FA3C" w14:textId="77777777" w:rsidR="0055291C" w:rsidRDefault="0055291C">
      <w:pPr>
        <w:pStyle w:val="a3"/>
        <w:rPr>
          <w:rFonts w:ascii="Arial"/>
          <w:b/>
          <w:i/>
          <w:sz w:val="20"/>
        </w:rPr>
      </w:pPr>
    </w:p>
    <w:p w14:paraId="45C7CD01" w14:textId="77777777" w:rsidR="0055291C" w:rsidRDefault="0055291C">
      <w:pPr>
        <w:pStyle w:val="a3"/>
        <w:rPr>
          <w:rFonts w:ascii="Arial"/>
          <w:b/>
          <w:i/>
          <w:sz w:val="20"/>
        </w:rPr>
      </w:pPr>
    </w:p>
    <w:p w14:paraId="1D1066EC" w14:textId="77777777" w:rsidR="0055291C" w:rsidRDefault="0055291C">
      <w:pPr>
        <w:pStyle w:val="a3"/>
        <w:rPr>
          <w:rFonts w:ascii="Arial"/>
          <w:b/>
          <w:i/>
          <w:sz w:val="20"/>
        </w:rPr>
      </w:pPr>
    </w:p>
    <w:p w14:paraId="1949311F" w14:textId="77777777" w:rsidR="0055291C" w:rsidRDefault="0055291C">
      <w:pPr>
        <w:pStyle w:val="a3"/>
        <w:rPr>
          <w:rFonts w:ascii="Arial"/>
          <w:b/>
          <w:i/>
          <w:sz w:val="20"/>
        </w:rPr>
      </w:pPr>
    </w:p>
    <w:p w14:paraId="27EE2D62" w14:textId="77777777" w:rsidR="0055291C" w:rsidRDefault="0055291C">
      <w:pPr>
        <w:pStyle w:val="a3"/>
        <w:rPr>
          <w:rFonts w:ascii="Arial"/>
          <w:b/>
          <w:i/>
          <w:sz w:val="20"/>
        </w:rPr>
      </w:pPr>
    </w:p>
    <w:p w14:paraId="774FC823" w14:textId="77777777" w:rsidR="0055291C" w:rsidRDefault="0055291C">
      <w:pPr>
        <w:pStyle w:val="a3"/>
        <w:rPr>
          <w:rFonts w:ascii="Arial"/>
          <w:b/>
          <w:i/>
          <w:sz w:val="20"/>
        </w:rPr>
      </w:pPr>
    </w:p>
    <w:p w14:paraId="4ABDE81E" w14:textId="77777777" w:rsidR="0055291C" w:rsidRDefault="0055291C">
      <w:pPr>
        <w:pStyle w:val="a3"/>
        <w:rPr>
          <w:rFonts w:ascii="Arial"/>
          <w:b/>
          <w:i/>
          <w:sz w:val="20"/>
        </w:rPr>
      </w:pPr>
    </w:p>
    <w:p w14:paraId="727E950C" w14:textId="77777777" w:rsidR="0055291C" w:rsidRDefault="0055291C">
      <w:pPr>
        <w:pStyle w:val="a3"/>
        <w:rPr>
          <w:rFonts w:ascii="Arial"/>
          <w:b/>
          <w:i/>
          <w:sz w:val="20"/>
        </w:rPr>
      </w:pPr>
    </w:p>
    <w:p w14:paraId="7D28D881" w14:textId="77777777" w:rsidR="0055291C" w:rsidRDefault="0055291C">
      <w:pPr>
        <w:pStyle w:val="a3"/>
        <w:rPr>
          <w:rFonts w:ascii="Arial"/>
          <w:b/>
          <w:i/>
          <w:sz w:val="20"/>
        </w:rPr>
      </w:pPr>
    </w:p>
    <w:p w14:paraId="2306C37A" w14:textId="77777777" w:rsidR="0055291C" w:rsidRDefault="0055291C">
      <w:pPr>
        <w:pStyle w:val="a3"/>
        <w:rPr>
          <w:rFonts w:ascii="Arial"/>
          <w:b/>
          <w:i/>
          <w:sz w:val="20"/>
        </w:rPr>
      </w:pPr>
    </w:p>
    <w:p w14:paraId="5585E77A" w14:textId="77777777" w:rsidR="0055291C" w:rsidRDefault="0055291C">
      <w:pPr>
        <w:pStyle w:val="a3"/>
        <w:rPr>
          <w:rFonts w:ascii="Arial"/>
          <w:b/>
          <w:i/>
          <w:sz w:val="20"/>
        </w:rPr>
      </w:pPr>
    </w:p>
    <w:p w14:paraId="0D0E0A17" w14:textId="77777777" w:rsidR="0055291C" w:rsidRDefault="0055291C">
      <w:pPr>
        <w:pStyle w:val="a3"/>
        <w:rPr>
          <w:rFonts w:ascii="Arial"/>
          <w:b/>
          <w:i/>
          <w:sz w:val="20"/>
        </w:rPr>
      </w:pPr>
    </w:p>
    <w:p w14:paraId="6EA5D4DE" w14:textId="77777777" w:rsidR="0055291C" w:rsidRDefault="0055291C">
      <w:pPr>
        <w:pStyle w:val="a3"/>
        <w:rPr>
          <w:rFonts w:ascii="Arial"/>
          <w:b/>
          <w:i/>
          <w:sz w:val="20"/>
        </w:rPr>
      </w:pPr>
    </w:p>
    <w:p w14:paraId="6AE4318C" w14:textId="77777777" w:rsidR="0055291C" w:rsidRDefault="0055291C">
      <w:pPr>
        <w:pStyle w:val="a3"/>
        <w:rPr>
          <w:rFonts w:ascii="Arial"/>
          <w:b/>
          <w:i/>
          <w:sz w:val="20"/>
        </w:rPr>
      </w:pPr>
    </w:p>
    <w:p w14:paraId="4F4DAD16" w14:textId="77777777" w:rsidR="0055291C" w:rsidRDefault="0055291C">
      <w:pPr>
        <w:pStyle w:val="a3"/>
        <w:rPr>
          <w:rFonts w:ascii="Arial"/>
          <w:b/>
          <w:i/>
          <w:sz w:val="20"/>
        </w:rPr>
      </w:pPr>
    </w:p>
    <w:p w14:paraId="71F60E1D" w14:textId="77777777" w:rsidR="0055291C" w:rsidRDefault="0055291C">
      <w:pPr>
        <w:pStyle w:val="a3"/>
        <w:rPr>
          <w:rFonts w:ascii="Arial"/>
          <w:b/>
          <w:i/>
          <w:sz w:val="20"/>
        </w:rPr>
      </w:pPr>
    </w:p>
    <w:p w14:paraId="078868AC" w14:textId="77777777" w:rsidR="0055291C" w:rsidRDefault="0055291C">
      <w:pPr>
        <w:pStyle w:val="a3"/>
        <w:spacing w:before="6"/>
        <w:rPr>
          <w:rFonts w:ascii="Arial"/>
          <w:b/>
          <w:i/>
          <w:sz w:val="16"/>
        </w:rPr>
      </w:pPr>
    </w:p>
    <w:p w14:paraId="172444F6" w14:textId="0BF41B22" w:rsidR="0055291C" w:rsidRDefault="00000000">
      <w:pPr>
        <w:pStyle w:val="a5"/>
        <w:numPr>
          <w:ilvl w:val="1"/>
          <w:numId w:val="3"/>
        </w:numPr>
        <w:tabs>
          <w:tab w:val="left" w:pos="1854"/>
        </w:tabs>
        <w:spacing w:before="99"/>
        <w:ind w:hanging="721"/>
        <w:jc w:val="both"/>
        <w:rPr>
          <w:rFonts w:ascii="Arial"/>
          <w:b/>
          <w:i/>
          <w:sz w:val="24"/>
        </w:rPr>
      </w:pPr>
      <w:r>
        <w:pict w14:anchorId="11A14417">
          <v:group id="docshapegroup1366" o:spid="_x0000_s2475" style="position:absolute;left:0;text-align:left;margin-left:253.7pt;margin-top:-285.75pt;width:358.55pt;height:382.95pt;z-index:-251552256;mso-position-horizontal-relative:page" coordorigin="5074,-5715" coordsize="7171,7659">
            <v:shape id="docshape1367" o:spid="_x0000_s2478" style="position:absolute;left:11614;top:-5710;width:626;height:5717" coordorigin="11615,-5710" coordsize="626,5717" path="m12240,-5710r-625,l11615,-220r3,131l11643,-22r67,25l11842,6r398,l12240,-5710xe" fillcolor="#00aca1" stroked="f">
              <v:path arrowok="t"/>
            </v:shape>
            <v:shape id="docshape1368" o:spid="_x0000_s2477" style="position:absolute;left:5079;top:-5710;width:7161;height:7649" coordorigin="5079,-5710" coordsize="7161,7649" o:spt="100" adj="0,,0" path="m6524,-5710r-36,32l6436,-5628r-51,49l5945,-5073r-301,460l5472,-4279r-55,128l8039,-4355r1645,189l10536,-3855r244,164l10738,-3755r-44,-64l10650,-3883r-46,-64l10558,-4010r-48,-64l10462,-4137r-50,-62l10362,-4261r-52,-62l10258,-4385r-52,-61l10152,-4507r-54,-60l10044,-4627r-55,-59l9933,-4745r-56,-58l9821,-4861r-56,-57l9708,-4975r-57,-56l9595,-5086r-57,-55l8910,-5703r-9,-7m8810,-5710r1022,862l10860,-3566r380,816l11295,-2464r16,-75l11327,-2614r14,-76l11354,-2767r13,-78l11378,-2923r11,-78l11398,-3080r9,-79l11415,-3239r8,-80l11429,-3399r6,-80l11440,-3560r4,-80l11448,-3720r3,-81l11453,-3881r1,-80l11456,-4041r,-79l11456,-4199r-1,-79l11454,-4357r-42,-835l11360,-5710t-49,l11452,-3944r-191,1625l10946,-1477r-166,241l10845,-1278r65,-43l10975,-1365r64,-45l11103,-1456r64,-47l11231,-1551r63,-49l11358,-1650r62,-50l11483,-1752r62,-52l11606,-1857r61,-53l11728,-1964r60,-54l11847,-2073r59,-55l11965,-2183r58,-56l12080,-2295r56,-56l12192,-2407r48,-49m12240,-2509r-289,334l10653,-1159r-826,375l9538,-729r75,16l9690,-698r77,14l9845,-671r78,12l10002,-647r80,10l10162,-627r80,9l10323,-610r81,7l10485,-597r81,6l10647,-586r81,4l10810,-578r81,3l10972,-573r81,1l11134,-570r81,l11295,-570r80,-1l11454,-572r786,-38m11244,1605r81,-34l11405,1535r78,-36l11560,1461r75,-39l11708,1383r73,-41l11851,1301r70,-43l11988,1215r67,-44l12120,1126r63,-45l12240,1038t,-1707l11038,-575,9392,-764r-852,-311l8296,-1239r42,65l8382,-1110r44,63l8472,-983r46,64l8566,-856r49,63l8664,-731r51,62l8766,-607r52,62l8871,-484r53,61l8978,-363r55,60l9088,-244r55,59l9199,-126r56,57l9312,-11r56,56l9425,101r57,55l9539,211r627,562l10712,1214r386,288l11244,1605t-3411,-2l7915,1636r81,31l8078,1695r81,27l8239,1748r80,23l8399,1793r80,20l8558,1831r79,17l8715,1863r78,14l8870,1889r76,11l9022,1909r76,8l9173,1924r74,5l9321,1933r72,3l9466,1938r71,1l10211,1888r541,-115l11113,1657r131,-52l9243,-82,8215,-1365r-380,-815l7781,-2466r-17,75l7749,-2316r-14,77l7721,-2162r-12,77l7697,-2007r-10,78l7677,-1850r-9,80l7660,-1691r-7,80l7646,-1531r-5,80l7636,-1370r-5,80l7628,-1210r-3,81l7622,-1049r-1,80l7620,-889r-1,79l7619,-730r1,79l7621,-573r42,836l7735,956r68,472l7833,1603m5418,-780r34,81l5488,-621r37,77l5563,-468r39,74l5642,-321r42,71l5726,-181r43,69l5813,-46r44,66l5903,84r46,62l5996,207r47,60l6091,326r48,57l6188,438r49,55l6286,546r50,52l6386,648r513,434l7364,1379r338,170l7833,1603,7626,-986r190,-1625l8132,-3454r165,-240l8232,-3652r-65,42l8103,-3566r-65,46l7974,-3474r-64,47l7846,-3379r-63,49l7720,-3280r-63,50l7595,-3178r-62,52l7472,-3073r-61,53l7350,-2966r-60,54l7230,-2857r-59,55l7113,-2747r-58,56l6998,-2635r-57,56l6885,-2523r-55,56l6261,-1846r-447,540l5522,-924r-104,144m5417,-4151r-33,81l5353,-3989r-29,80l5297,-3829r-25,80l5248,-3670r-22,79l5206,-3512r-18,78l5171,-3356r-16,77l5142,-3202r-13,77l5119,-3050r-10,76l5101,-2900r-7,74l5089,-2752r-4,72l5082,-2608r-2,72l5079,-2466r52,666l5247,-1265r117,356l5418,-780,7125,-2755,8424,-3771r826,-376l9539,-4201r-76,-16l9387,-4232r-78,-14l9232,-4259r-79,-12l9074,-4283r-79,-10l8915,-4303r-81,-9l8754,-4319r-81,-8l8592,-4333r-81,-6l8429,-4344r-81,-4l8267,-4351r-82,-3l8104,-4357r-81,-1l7942,-4359r-80,-1l7781,-4360r-79,1l7622,-4358r-846,41l6074,-4246r-479,66l5417,-4151e" filled="f" strokecolor="#d9dadc" strokeweight=".5pt">
              <v:stroke joinstyle="round"/>
              <v:formulas/>
              <v:path arrowok="t" o:connecttype="segments"/>
            </v:shape>
            <v:shape id="docshape1369" o:spid="_x0000_s2476" style="position:absolute;left:11614;top:-5710;width:626;height:5717" coordorigin="11615,-5710" coordsize="626,5717" path="m12240,-5710r-625,l11615,-220r3,131l11643,-22r67,25l11842,6r398,l12240,-5710xe" fillcolor="#7f3f98" stroked="f">
              <v:path arrowok="t"/>
            </v:shape>
            <w10:wrap anchorx="page"/>
          </v:group>
        </w:pict>
      </w:r>
      <w:r>
        <w:pict w14:anchorId="72BDDF60">
          <v:shape id="docshape1370" o:spid="_x0000_s2474" type="#_x0000_t202" style="position:absolute;left:0;text-align:left;margin-left:585.65pt;margin-top:-211.85pt;width:17.7pt;height:180.55pt;z-index:251635200;mso-position-horizontal-relative:page" filled="f" stroked="f">
            <v:textbox style="layout-flow:vertical;mso-layout-flow-alt:bottom-to-top;mso-next-textbox:#docshape1370" inset="0,0,0,0">
              <w:txbxContent>
                <w:p w14:paraId="68A89B41" w14:textId="77777777" w:rsidR="0055291C" w:rsidRDefault="00F23C61">
                  <w:pPr>
                    <w:spacing w:before="18"/>
                    <w:ind w:left="20"/>
                    <w:rPr>
                      <w:rFonts w:ascii="Arial"/>
                      <w:b/>
                      <w:i/>
                      <w:sz w:val="28"/>
                    </w:rPr>
                  </w:pPr>
                  <w:r>
                    <w:rPr>
                      <w:rFonts w:ascii="Arial"/>
                      <w:b/>
                      <w:i/>
                      <w:color w:val="F3F4F4"/>
                      <w:spacing w:val="-159"/>
                      <w:w w:val="92"/>
                      <w:sz w:val="28"/>
                    </w:rPr>
                    <w:t>g</w:t>
                  </w:r>
                  <w:r>
                    <w:rPr>
                      <w:rFonts w:ascii="Arial"/>
                      <w:b/>
                      <w:i/>
                      <w:color w:val="F3F4F4"/>
                      <w:w w:val="109"/>
                      <w:sz w:val="28"/>
                    </w:rPr>
                    <w:t>r</w:t>
                  </w:r>
                  <w:r>
                    <w:rPr>
                      <w:rFonts w:ascii="Arial"/>
                      <w:b/>
                      <w:i/>
                      <w:color w:val="F3F4F4"/>
                      <w:sz w:val="28"/>
                    </w:rPr>
                    <w:t xml:space="preserve"> </w:t>
                  </w:r>
                  <w:r>
                    <w:rPr>
                      <w:rFonts w:ascii="Arial"/>
                      <w:b/>
                      <w:i/>
                      <w:color w:val="F3F4F4"/>
                      <w:spacing w:val="6"/>
                      <w:sz w:val="28"/>
                    </w:rPr>
                    <w:t xml:space="preserve"> </w:t>
                  </w:r>
                  <w:proofErr w:type="spellStart"/>
                  <w:r>
                    <w:rPr>
                      <w:rFonts w:ascii="Arial"/>
                      <w:b/>
                      <w:i/>
                      <w:color w:val="F3F4F4"/>
                      <w:spacing w:val="-104"/>
                      <w:w w:val="95"/>
                      <w:sz w:val="28"/>
                    </w:rPr>
                    <w:t>e</w:t>
                  </w:r>
                  <w:r>
                    <w:rPr>
                      <w:rFonts w:ascii="Arial"/>
                      <w:b/>
                      <w:i/>
                      <w:color w:val="F3F4F4"/>
                      <w:w w:val="95"/>
                      <w:sz w:val="28"/>
                    </w:rPr>
                    <w:t>u</w:t>
                  </w:r>
                  <w:proofErr w:type="spellEnd"/>
                  <w:r>
                    <w:rPr>
                      <w:rFonts w:ascii="Arial"/>
                      <w:b/>
                      <w:i/>
                      <w:color w:val="F3F4F4"/>
                      <w:spacing w:val="30"/>
                      <w:sz w:val="28"/>
                    </w:rPr>
                    <w:t xml:space="preserve"> </w:t>
                  </w:r>
                  <w:r>
                    <w:rPr>
                      <w:rFonts w:ascii="Arial"/>
                      <w:b/>
                      <w:i/>
                      <w:color w:val="F3F4F4"/>
                      <w:spacing w:val="-102"/>
                      <w:w w:val="93"/>
                      <w:sz w:val="28"/>
                    </w:rPr>
                    <w:t>q</w:t>
                  </w:r>
                  <w:r>
                    <w:rPr>
                      <w:rFonts w:ascii="Arial"/>
                      <w:b/>
                      <w:i/>
                      <w:color w:val="F3F4F4"/>
                      <w:w w:val="101"/>
                      <w:sz w:val="28"/>
                    </w:rPr>
                    <w:t>i</w:t>
                  </w:r>
                  <w:r>
                    <w:rPr>
                      <w:rFonts w:ascii="Arial"/>
                      <w:b/>
                      <w:i/>
                      <w:color w:val="F3F4F4"/>
                      <w:sz w:val="28"/>
                    </w:rPr>
                    <w:t xml:space="preserve"> </w:t>
                  </w:r>
                  <w:r>
                    <w:rPr>
                      <w:rFonts w:ascii="Arial"/>
                      <w:b/>
                      <w:i/>
                      <w:color w:val="F3F4F4"/>
                      <w:spacing w:val="12"/>
                      <w:sz w:val="28"/>
                    </w:rPr>
                    <w:t xml:space="preserve"> </w:t>
                  </w:r>
                  <w:r>
                    <w:rPr>
                      <w:rFonts w:ascii="Arial"/>
                      <w:b/>
                      <w:i/>
                      <w:color w:val="F3F4F4"/>
                      <w:spacing w:val="-144"/>
                      <w:w w:val="96"/>
                      <w:sz w:val="28"/>
                    </w:rPr>
                    <w:t>d</w:t>
                  </w:r>
                  <w:r>
                    <w:rPr>
                      <w:rFonts w:ascii="Arial"/>
                      <w:b/>
                      <w:i/>
                      <w:color w:val="F3F4F4"/>
                      <w:w w:val="95"/>
                      <w:sz w:val="28"/>
                    </w:rPr>
                    <w:t>u</w:t>
                  </w:r>
                  <w:r>
                    <w:rPr>
                      <w:rFonts w:ascii="Arial"/>
                      <w:b/>
                      <w:i/>
                      <w:color w:val="F3F4F4"/>
                      <w:sz w:val="28"/>
                    </w:rPr>
                    <w:t xml:space="preserve"> </w:t>
                  </w:r>
                  <w:r>
                    <w:rPr>
                      <w:rFonts w:ascii="Arial"/>
                      <w:b/>
                      <w:i/>
                      <w:color w:val="F3F4F4"/>
                      <w:spacing w:val="-7"/>
                      <w:sz w:val="28"/>
                    </w:rPr>
                    <w:t xml:space="preserve"> </w:t>
                  </w:r>
                  <w:r>
                    <w:rPr>
                      <w:rFonts w:ascii="Arial"/>
                      <w:b/>
                      <w:i/>
                      <w:color w:val="F3F4F4"/>
                      <w:spacing w:val="-146"/>
                      <w:w w:val="105"/>
                      <w:sz w:val="28"/>
                    </w:rPr>
                    <w:t>a</w:t>
                  </w:r>
                  <w:r>
                    <w:rPr>
                      <w:rFonts w:ascii="Arial"/>
                      <w:b/>
                      <w:i/>
                      <w:color w:val="F3F4F4"/>
                      <w:w w:val="101"/>
                      <w:sz w:val="28"/>
                    </w:rPr>
                    <w:t>i</w:t>
                  </w:r>
                  <w:r>
                    <w:rPr>
                      <w:rFonts w:ascii="Arial"/>
                      <w:b/>
                      <w:i/>
                      <w:color w:val="F3F4F4"/>
                      <w:sz w:val="28"/>
                    </w:rPr>
                    <w:t xml:space="preserve"> </w:t>
                  </w:r>
                  <w:r>
                    <w:rPr>
                      <w:rFonts w:ascii="Arial"/>
                      <w:b/>
                      <w:i/>
                      <w:color w:val="F3F4F4"/>
                      <w:spacing w:val="12"/>
                      <w:sz w:val="28"/>
                    </w:rPr>
                    <w:t xml:space="preserve"> </w:t>
                  </w:r>
                  <w:proofErr w:type="spellStart"/>
                  <w:r>
                    <w:rPr>
                      <w:rFonts w:ascii="Arial"/>
                      <w:b/>
                      <w:i/>
                      <w:color w:val="F3F4F4"/>
                      <w:spacing w:val="-54"/>
                      <w:w w:val="109"/>
                      <w:sz w:val="28"/>
                    </w:rPr>
                    <w:t>r</w:t>
                  </w:r>
                  <w:r>
                    <w:rPr>
                      <w:rFonts w:ascii="Arial"/>
                      <w:b/>
                      <w:i/>
                      <w:color w:val="F3F4F4"/>
                      <w:w w:val="92"/>
                      <w:sz w:val="28"/>
                    </w:rPr>
                    <w:t>n</w:t>
                  </w:r>
                  <w:proofErr w:type="spellEnd"/>
                  <w:r>
                    <w:rPr>
                      <w:rFonts w:ascii="Arial"/>
                      <w:b/>
                      <w:i/>
                      <w:color w:val="F3F4F4"/>
                      <w:spacing w:val="-21"/>
                      <w:sz w:val="28"/>
                    </w:rPr>
                    <w:t xml:space="preserve"> </w:t>
                  </w:r>
                  <w:proofErr w:type="spellStart"/>
                  <w:r>
                    <w:rPr>
                      <w:rFonts w:ascii="Arial"/>
                      <w:b/>
                      <w:i/>
                      <w:color w:val="F3F4F4"/>
                      <w:spacing w:val="-38"/>
                      <w:w w:val="95"/>
                      <w:sz w:val="28"/>
                    </w:rPr>
                    <w:t>e</w:t>
                  </w:r>
                  <w:r>
                    <w:rPr>
                      <w:rFonts w:ascii="Arial"/>
                      <w:b/>
                      <w:i/>
                      <w:color w:val="F3F4F4"/>
                      <w:w w:val="86"/>
                      <w:sz w:val="28"/>
                    </w:rPr>
                    <w:t>c</w:t>
                  </w:r>
                  <w:proofErr w:type="spellEnd"/>
                  <w:r>
                    <w:rPr>
                      <w:rFonts w:ascii="Arial"/>
                      <w:b/>
                      <w:i/>
                      <w:color w:val="F3F4F4"/>
                      <w:spacing w:val="-7"/>
                      <w:sz w:val="28"/>
                    </w:rPr>
                    <w:t xml:space="preserve"> </w:t>
                  </w:r>
                  <w:r>
                    <w:rPr>
                      <w:rFonts w:ascii="Arial"/>
                      <w:b/>
                      <w:i/>
                      <w:color w:val="F3F4F4"/>
                      <w:spacing w:val="-147"/>
                      <w:w w:val="95"/>
                      <w:sz w:val="28"/>
                    </w:rPr>
                    <w:t>m</w:t>
                  </w:r>
                  <w:r>
                    <w:rPr>
                      <w:rFonts w:ascii="Arial"/>
                      <w:b/>
                      <w:i/>
                      <w:color w:val="F3F4F4"/>
                      <w:w w:val="95"/>
                      <w:sz w:val="28"/>
                    </w:rPr>
                    <w:t>e</w:t>
                  </w:r>
                  <w:r>
                    <w:rPr>
                      <w:rFonts w:ascii="Arial"/>
                      <w:b/>
                      <w:i/>
                      <w:color w:val="F3F4F4"/>
                      <w:sz w:val="28"/>
                    </w:rPr>
                    <w:t xml:space="preserve"> </w:t>
                  </w:r>
                  <w:r>
                    <w:rPr>
                      <w:rFonts w:ascii="Arial"/>
                      <w:b/>
                      <w:i/>
                      <w:color w:val="F3F4F4"/>
                      <w:spacing w:val="10"/>
                      <w:sz w:val="28"/>
                    </w:rPr>
                    <w:t xml:space="preserve"> </w:t>
                  </w:r>
                  <w:r>
                    <w:rPr>
                      <w:rFonts w:ascii="Arial"/>
                      <w:b/>
                      <w:i/>
                      <w:color w:val="F3F4F4"/>
                      <w:w w:val="95"/>
                      <w:sz w:val="28"/>
                    </w:rPr>
                    <w:t>e</w:t>
                  </w:r>
                  <w:r>
                    <w:rPr>
                      <w:rFonts w:ascii="Arial"/>
                      <w:b/>
                      <w:i/>
                      <w:color w:val="F3F4F4"/>
                      <w:sz w:val="28"/>
                    </w:rPr>
                    <w:t xml:space="preserve"> </w:t>
                  </w:r>
                  <w:r>
                    <w:rPr>
                      <w:rFonts w:ascii="Arial"/>
                      <w:b/>
                      <w:i/>
                      <w:color w:val="F3F4F4"/>
                      <w:spacing w:val="12"/>
                      <w:sz w:val="28"/>
                    </w:rPr>
                    <w:t xml:space="preserve"> </w:t>
                  </w:r>
                  <w:r>
                    <w:rPr>
                      <w:rFonts w:ascii="Arial"/>
                      <w:b/>
                      <w:i/>
                      <w:color w:val="F3F4F4"/>
                      <w:w w:val="92"/>
                      <w:sz w:val="28"/>
                    </w:rPr>
                    <w:t>n</w:t>
                  </w:r>
                  <w:r>
                    <w:rPr>
                      <w:rFonts w:ascii="Arial"/>
                      <w:b/>
                      <w:i/>
                      <w:color w:val="F3F4F4"/>
                      <w:sz w:val="28"/>
                    </w:rPr>
                    <w:t xml:space="preserve"> </w:t>
                  </w:r>
                  <w:r>
                    <w:rPr>
                      <w:rFonts w:ascii="Arial"/>
                      <w:b/>
                      <w:i/>
                      <w:color w:val="F3F4F4"/>
                      <w:spacing w:val="12"/>
                      <w:sz w:val="28"/>
                    </w:rPr>
                    <w:t xml:space="preserve"> </w:t>
                  </w:r>
                  <w:r>
                    <w:rPr>
                      <w:rFonts w:ascii="Arial"/>
                      <w:b/>
                      <w:i/>
                      <w:color w:val="F3F4F4"/>
                      <w:w w:val="124"/>
                      <w:sz w:val="28"/>
                    </w:rPr>
                    <w:t>t</w:t>
                  </w:r>
                  <w:r>
                    <w:rPr>
                      <w:rFonts w:ascii="Arial"/>
                      <w:b/>
                      <w:i/>
                      <w:color w:val="F3F4F4"/>
                      <w:sz w:val="28"/>
                    </w:rPr>
                    <w:t xml:space="preserve"> </w:t>
                  </w:r>
                  <w:r>
                    <w:rPr>
                      <w:rFonts w:ascii="Arial"/>
                      <w:b/>
                      <w:i/>
                      <w:color w:val="F3F4F4"/>
                      <w:spacing w:val="12"/>
                      <w:sz w:val="28"/>
                    </w:rPr>
                    <w:t xml:space="preserve"> </w:t>
                  </w:r>
                  <w:r>
                    <w:rPr>
                      <w:rFonts w:ascii="Arial"/>
                      <w:b/>
                      <w:i/>
                      <w:color w:val="F3F4F4"/>
                      <w:w w:val="86"/>
                      <w:sz w:val="28"/>
                    </w:rPr>
                    <w:t>s</w:t>
                  </w:r>
                </w:p>
              </w:txbxContent>
            </v:textbox>
            <w10:wrap anchorx="page"/>
          </v:shape>
        </w:pict>
      </w:r>
      <w:r>
        <w:pict w14:anchorId="792F487A">
          <v:shape id="docshape1371" o:spid="_x0000_s2473" type="#_x0000_t202" style="position:absolute;left:0;text-align:left;margin-left:56.2pt;margin-top:11.55pt;width:47.65pt;height:81.4pt;z-index:-251551232;mso-position-horizontal-relative:page" filled="f" stroked="f">
            <v:textbox style="mso-next-textbox:#docshape1371" inset="0,0,0,0">
              <w:txbxContent>
                <w:p w14:paraId="18DB5E53" w14:textId="77777777" w:rsidR="0055291C" w:rsidRDefault="00F23C61">
                  <w:pPr>
                    <w:spacing w:line="1628" w:lineRule="exact"/>
                    <w:rPr>
                      <w:rFonts w:ascii="Arial"/>
                      <w:b/>
                      <w:i/>
                      <w:sz w:val="145"/>
                    </w:rPr>
                  </w:pPr>
                  <w:r>
                    <w:rPr>
                      <w:rFonts w:ascii="Arial"/>
                      <w:b/>
                      <w:i/>
                      <w:color w:val="00ACA1"/>
                      <w:w w:val="90"/>
                      <w:sz w:val="145"/>
                    </w:rPr>
                    <w:t>A</w:t>
                  </w:r>
                </w:p>
              </w:txbxContent>
            </v:textbox>
            <w10:wrap anchorx="page"/>
          </v:shape>
        </w:pict>
      </w:r>
      <w:r w:rsidR="00CA21D3">
        <w:rPr>
          <w:rFonts w:ascii="ＭＳ ゴシック" w:eastAsia="ＭＳ ゴシック" w:hAnsi="ＭＳ ゴシック" w:cs="ＭＳ ゴシック" w:hint="eastAsia"/>
          <w:b/>
          <w:i/>
          <w:color w:val="00ACA1"/>
          <w:sz w:val="24"/>
          <w:lang w:eastAsia="ja-JP"/>
        </w:rPr>
        <w:t>はじめに</w:t>
      </w:r>
    </w:p>
    <w:p w14:paraId="058980A7" w14:textId="4038EAFE" w:rsidR="0055291C" w:rsidRPr="00CA21D3" w:rsidRDefault="00CA21D3" w:rsidP="00CA21D3">
      <w:pPr>
        <w:spacing w:before="1" w:line="364" w:lineRule="auto"/>
        <w:ind w:left="1133" w:right="1132" w:firstLineChars="100" w:firstLine="220"/>
        <w:jc w:val="both"/>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保証とは、算出結果と報告書が完全で、正確で、一貫性があり、透明性があり、適切で、重大な虚偽表示がないという確信の度合いを示すものです</w:t>
      </w:r>
      <w:r>
        <w:rPr>
          <w:lang w:eastAsia="ja-JP"/>
        </w:rPr>
        <w:t xml:space="preserve"> </w:t>
      </w:r>
      <w:r>
        <w:rPr>
          <w:rFonts w:ascii="ＭＳ ゴシック" w:eastAsia="ＭＳ ゴシック" w:hAnsi="ＭＳ ゴシック" w:cs="ＭＳ ゴシック" w:hint="eastAsia"/>
          <w:lang w:eastAsia="ja-JP"/>
        </w:rPr>
        <w:t>。</w:t>
      </w:r>
      <w:r w:rsidRPr="00CA21D3">
        <w:rPr>
          <w:vertAlign w:val="superscript"/>
          <w:lang w:eastAsia="ja-JP"/>
        </w:rPr>
        <w:t>1</w:t>
      </w:r>
      <w:r>
        <w:rPr>
          <w:rFonts w:ascii="ＭＳ ゴシック" w:eastAsia="ＭＳ ゴシック" w:hAnsi="ＭＳ ゴシック" w:cs="ＭＳ ゴシック" w:hint="eastAsia"/>
          <w:lang w:eastAsia="ja-JP"/>
        </w:rPr>
        <w:t>報告書に関する保証を得ることは、報告書の結果を使用して意思決定を行う際</w:t>
      </w:r>
      <w:r>
        <w:rPr>
          <w:lang w:eastAsia="ja-JP"/>
        </w:rPr>
        <w:t xml:space="preserve"> </w:t>
      </w:r>
      <w:r>
        <w:rPr>
          <w:rFonts w:ascii="ＭＳ ゴシック" w:eastAsia="ＭＳ ゴシック" w:hAnsi="ＭＳ ゴシック" w:cs="ＭＳ ゴシック" w:hint="eastAsia"/>
          <w:lang w:eastAsia="ja-JP"/>
        </w:rPr>
        <w:t>に、報告企業やその他の利害関係者にとって有用です。</w:t>
      </w:r>
      <w:r>
        <w:rPr>
          <w:lang w:eastAsia="ja-JP"/>
        </w:rPr>
        <w:t xml:space="preserve"> </w:t>
      </w:r>
      <w:r>
        <w:rPr>
          <w:rFonts w:ascii="ＭＳ ゴシック" w:eastAsia="ＭＳ ゴシック" w:hAnsi="ＭＳ ゴシック" w:cs="ＭＳ ゴシック" w:hint="eastAsia"/>
          <w:lang w:eastAsia="ja-JP"/>
        </w:rPr>
        <w:t>データ管理計画に算出過程を丁寧かつ包括的に文書化することは、保証のための準備として重要なステップです。</w:t>
      </w:r>
    </w:p>
    <w:p w14:paraId="07193D85" w14:textId="365DF22F" w:rsidR="0055291C" w:rsidRDefault="0055291C">
      <w:pPr>
        <w:pStyle w:val="a3"/>
        <w:spacing w:before="8"/>
        <w:rPr>
          <w:rFonts w:ascii="Arial"/>
          <w:b/>
          <w:i/>
          <w:sz w:val="36"/>
          <w:lang w:eastAsia="ja-JP"/>
        </w:rPr>
      </w:pPr>
    </w:p>
    <w:p w14:paraId="6E59C94B" w14:textId="5F66EFAC" w:rsidR="0055291C" w:rsidRDefault="00CA21D3">
      <w:pPr>
        <w:pStyle w:val="a5"/>
        <w:numPr>
          <w:ilvl w:val="1"/>
          <w:numId w:val="3"/>
        </w:numPr>
        <w:tabs>
          <w:tab w:val="left" w:pos="1854"/>
        </w:tabs>
        <w:ind w:hanging="721"/>
        <w:jc w:val="both"/>
        <w:rPr>
          <w:rFonts w:ascii="Arial"/>
          <w:b/>
          <w:i/>
          <w:sz w:val="24"/>
        </w:rPr>
      </w:pPr>
      <w:r>
        <w:rPr>
          <w:rFonts w:ascii="ＭＳ ゴシック" w:eastAsia="ＭＳ ゴシック" w:hAnsi="ＭＳ ゴシック" w:cs="ＭＳ ゴシック" w:hint="eastAsia"/>
          <w:b/>
          <w:i/>
          <w:color w:val="00ACA1"/>
          <w:sz w:val="24"/>
          <w:lang w:eastAsia="ja-JP"/>
        </w:rPr>
        <w:t>要求事項</w:t>
      </w:r>
    </w:p>
    <w:p w14:paraId="058C2202" w14:textId="629BF6E6" w:rsidR="0055291C" w:rsidRDefault="00CA21D3">
      <w:pPr>
        <w:pStyle w:val="a3"/>
        <w:spacing w:before="2"/>
        <w:rPr>
          <w:rFonts w:ascii="Arial"/>
          <w:b/>
          <w:i/>
          <w:sz w:val="20"/>
        </w:rPr>
      </w:pPr>
      <w:r>
        <w:rPr>
          <w:rFonts w:ascii="Arial"/>
          <w:b/>
          <w:i/>
          <w:noProof/>
          <w:sz w:val="20"/>
        </w:rPr>
        <mc:AlternateContent>
          <mc:Choice Requires="wps">
            <w:drawing>
              <wp:anchor distT="0" distB="0" distL="114300" distR="114300" simplePos="0" relativeHeight="251506176" behindDoc="0" locked="0" layoutInCell="1" allowOverlap="1" wp14:anchorId="1DA6FDB8" wp14:editId="226A204B">
                <wp:simplePos x="0" y="0"/>
                <wp:positionH relativeFrom="column">
                  <wp:posOffset>368300</wp:posOffset>
                </wp:positionH>
                <wp:positionV relativeFrom="paragraph">
                  <wp:posOffset>21590</wp:posOffset>
                </wp:positionV>
                <wp:extent cx="2933700" cy="641350"/>
                <wp:effectExtent l="0" t="0" r="0" b="6350"/>
                <wp:wrapNone/>
                <wp:docPr id="113" name="四角形: 角を丸くする 113"/>
                <wp:cNvGraphicFramePr/>
                <a:graphic xmlns:a="http://schemas.openxmlformats.org/drawingml/2006/main">
                  <a:graphicData uri="http://schemas.microsoft.com/office/word/2010/wordprocessingShape">
                    <wps:wsp>
                      <wps:cNvSpPr/>
                      <wps:spPr>
                        <a:xfrm>
                          <a:off x="0" y="0"/>
                          <a:ext cx="2933700" cy="641350"/>
                        </a:xfrm>
                        <a:prstGeom prst="roundRect">
                          <a:avLst/>
                        </a:prstGeom>
                        <a:solidFill>
                          <a:srgbClr val="70029C">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5F96C0" w14:textId="254FFA6B" w:rsidR="007F6CDC" w:rsidRPr="004A680E" w:rsidRDefault="007F6CDC" w:rsidP="007F6CDC">
                            <w:pPr>
                              <w:jc w:val="center"/>
                              <w:rPr>
                                <w:b/>
                                <w:i/>
                                <w:iCs/>
                                <w:color w:val="000000" w:themeColor="text1"/>
                                <w:sz w:val="19"/>
                                <w:szCs w:val="19"/>
                                <w:lang w:eastAsia="ja-JP"/>
                              </w:rPr>
                            </w:pPr>
                            <w:r w:rsidRPr="004A680E">
                              <w:rPr>
                                <w:rFonts w:ascii="ＭＳ ゴシック" w:eastAsia="ＭＳ ゴシック" w:hAnsi="ＭＳ ゴシック" w:cs="ＭＳ ゴシック" w:hint="eastAsia"/>
                                <w:b/>
                                <w:i/>
                                <w:iCs/>
                                <w:color w:val="000000" w:themeColor="text1"/>
                                <w:sz w:val="19"/>
                                <w:szCs w:val="19"/>
                                <w:lang w:eastAsia="ja-JP"/>
                              </w:rPr>
                              <w:t>製品の</w:t>
                            </w:r>
                            <w:r w:rsidRPr="004A680E">
                              <w:rPr>
                                <w:rFonts w:ascii="Arial"/>
                                <w:b/>
                                <w:i/>
                                <w:iCs/>
                                <w:color w:val="000000" w:themeColor="text1"/>
                                <w:sz w:val="19"/>
                                <w:szCs w:val="19"/>
                                <w:lang w:eastAsia="ja-JP"/>
                              </w:rPr>
                              <w:t>GHG</w:t>
                            </w:r>
                            <w:r w:rsidRPr="004A680E">
                              <w:rPr>
                                <w:rFonts w:ascii="ＭＳ ゴシック" w:eastAsia="ＭＳ ゴシック" w:hAnsi="ＭＳ ゴシック" w:cs="ＭＳ ゴシック" w:hint="eastAsia"/>
                                <w:b/>
                                <w:i/>
                                <w:iCs/>
                                <w:color w:val="000000" w:themeColor="text1"/>
                                <w:sz w:val="19"/>
                                <w:szCs w:val="19"/>
                                <w:lang w:eastAsia="ja-JP"/>
                              </w:rPr>
                              <w:t>収支表は、企業または第三者によって保証されなければならない。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DA6FDB8" id="四角形: 角を丸くする 113" o:spid="_x0000_s1138" style="position:absolute;margin-left:29pt;margin-top:1.7pt;width:231pt;height:50.5pt;z-index:2515061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" fillcolor="#70029c" stroked="f" strokeweight="2pt">
                <v:fill opacity="16448f"/>
                <v:textbox>
                  <w:txbxContent>
                    <w:p w14:paraId="3F5F96C0" w14:textId="254FFA6B" w:rsidR="007F6CDC" w:rsidRPr="004A680E" w:rsidRDefault="007F6CDC" w:rsidP="007F6CDC">
                      <w:pPr>
                        <w:jc w:val="center"/>
                        <w:rPr>
                          <w:b/>
                          <w:i/>
                          <w:iCs/>
                          <w:color w:val="000000" w:themeColor="text1"/>
                          <w:sz w:val="19"/>
                          <w:szCs w:val="19"/>
                          <w:lang w:eastAsia="ja-JP"/>
                        </w:rPr>
                      </w:pPr>
                      <w:r w:rsidRPr="004A680E">
                        <w:rPr>
                          <w:rFonts w:ascii="ＭＳ ゴシック" w:eastAsia="ＭＳ ゴシック" w:hAnsi="ＭＳ ゴシック" w:cs="ＭＳ ゴシック" w:hint="eastAsia"/>
                          <w:b/>
                          <w:i/>
                          <w:iCs/>
                          <w:color w:val="000000" w:themeColor="text1"/>
                          <w:sz w:val="19"/>
                          <w:szCs w:val="19"/>
                          <w:lang w:eastAsia="ja-JP"/>
                        </w:rPr>
                        <w:t>製品の</w:t>
                      </w:r>
                      <w:r w:rsidRPr="004A680E">
                        <w:rPr>
                          <w:rFonts w:ascii="Arial"/>
                          <w:b/>
                          <w:i/>
                          <w:iCs/>
                          <w:color w:val="000000" w:themeColor="text1"/>
                          <w:sz w:val="19"/>
                          <w:szCs w:val="19"/>
                          <w:lang w:eastAsia="ja-JP"/>
                        </w:rPr>
                        <w:t>GHG</w:t>
                      </w:r>
                      <w:r w:rsidRPr="004A680E">
                        <w:rPr>
                          <w:rFonts w:ascii="ＭＳ ゴシック" w:eastAsia="ＭＳ ゴシック" w:hAnsi="ＭＳ ゴシック" w:cs="ＭＳ ゴシック" w:hint="eastAsia"/>
                          <w:b/>
                          <w:i/>
                          <w:iCs/>
                          <w:color w:val="000000" w:themeColor="text1"/>
                          <w:sz w:val="19"/>
                          <w:szCs w:val="19"/>
                          <w:lang w:eastAsia="ja-JP"/>
                        </w:rPr>
                        <w:t>収支表は、企業または第三者によって保証されなければならない。</w:t>
                      </w:r>
                    </w:p>
                  </w:txbxContent>
                </v:textbox>
              </v:roundrect>
            </w:pict>
          </mc:Fallback>
        </mc:AlternateContent>
      </w:r>
    </w:p>
    <w:p w14:paraId="6C015F98" w14:textId="77777777" w:rsidR="0055291C" w:rsidRDefault="0055291C">
      <w:pPr>
        <w:rPr>
          <w:rFonts w:ascii="Arial"/>
          <w:sz w:val="20"/>
          <w:lang w:eastAsia="ja-JP"/>
        </w:rPr>
        <w:sectPr w:rsidR="0055291C">
          <w:headerReference w:type="default" r:id="rId287"/>
          <w:footerReference w:type="even" r:id="rId288"/>
          <w:footerReference w:type="default" r:id="rId289"/>
          <w:pgSz w:w="12240" w:h="15840"/>
          <w:pgMar w:top="0" w:right="0" w:bottom="1040" w:left="0" w:header="0" w:footer="859" w:gutter="0"/>
          <w:pgNumType w:start="93"/>
          <w:cols w:space="720"/>
        </w:sectPr>
      </w:pPr>
    </w:p>
    <w:p w14:paraId="0BBD4541" w14:textId="77777777" w:rsidR="0055291C" w:rsidRDefault="0055291C">
      <w:pPr>
        <w:pStyle w:val="a3"/>
        <w:rPr>
          <w:rFonts w:ascii="Arial"/>
          <w:b/>
          <w:i/>
          <w:sz w:val="20"/>
          <w:lang w:eastAsia="ja-JP"/>
        </w:rPr>
      </w:pPr>
    </w:p>
    <w:p w14:paraId="77168BFA" w14:textId="77777777" w:rsidR="0055291C" w:rsidRDefault="0055291C">
      <w:pPr>
        <w:pStyle w:val="a3"/>
        <w:rPr>
          <w:rFonts w:ascii="Arial"/>
          <w:b/>
          <w:i/>
          <w:sz w:val="20"/>
          <w:lang w:eastAsia="ja-JP"/>
        </w:rPr>
      </w:pPr>
    </w:p>
    <w:p w14:paraId="3704ECF5" w14:textId="77777777" w:rsidR="0055291C" w:rsidRDefault="0055291C">
      <w:pPr>
        <w:pStyle w:val="a3"/>
        <w:rPr>
          <w:rFonts w:ascii="Arial"/>
          <w:b/>
          <w:i/>
          <w:sz w:val="20"/>
          <w:lang w:eastAsia="ja-JP"/>
        </w:rPr>
      </w:pPr>
    </w:p>
    <w:p w14:paraId="530345A6" w14:textId="77777777" w:rsidR="0055291C" w:rsidRDefault="0055291C">
      <w:pPr>
        <w:pStyle w:val="a3"/>
        <w:spacing w:before="10"/>
        <w:rPr>
          <w:rFonts w:ascii="Arial"/>
          <w:b/>
          <w:i/>
          <w:sz w:val="21"/>
          <w:lang w:eastAsia="ja-JP"/>
        </w:rPr>
      </w:pPr>
    </w:p>
    <w:p w14:paraId="3F93D88E" w14:textId="6EFEC8D8" w:rsidR="0055291C" w:rsidRPr="007F6CDC" w:rsidRDefault="007F6CDC" w:rsidP="002B7279">
      <w:pPr>
        <w:pStyle w:val="a3"/>
        <w:spacing w:before="1"/>
        <w:ind w:left="426" w:rightChars="248" w:right="546" w:firstLineChars="178" w:firstLine="320"/>
        <w:rPr>
          <w:rFonts w:ascii="ＭＳ ゴシック" w:eastAsia="ＭＳ ゴシック" w:hAnsi="ＭＳ ゴシック"/>
          <w:lang w:eastAsia="ja-JP"/>
        </w:rPr>
      </w:pPr>
      <w:r w:rsidRPr="007F6CDC">
        <w:rPr>
          <w:rFonts w:ascii="ＭＳ ゴシック" w:eastAsia="ＭＳ ゴシック" w:hAnsi="ＭＳ ゴシック" w:cs="ＭＳ ゴシック" w:hint="eastAsia"/>
          <w:color w:val="545456"/>
          <w:w w:val="95"/>
          <w:lang w:eastAsia="ja-JP"/>
        </w:rPr>
        <w:t>保証の過程には、３つの重要な関係者が関与しています。</w:t>
      </w:r>
    </w:p>
    <w:p w14:paraId="25E7A4F7" w14:textId="77777777" w:rsidR="0055291C" w:rsidRPr="007F6CDC" w:rsidRDefault="0055291C" w:rsidP="007F6CDC">
      <w:pPr>
        <w:pStyle w:val="a3"/>
        <w:ind w:left="426" w:rightChars="248" w:right="546" w:firstLineChars="78" w:firstLine="133"/>
        <w:rPr>
          <w:rFonts w:ascii="ＭＳ ゴシック" w:eastAsia="ＭＳ ゴシック" w:hAnsi="ＭＳ ゴシック"/>
          <w:sz w:val="17"/>
          <w:lang w:eastAsia="ja-JP"/>
        </w:rPr>
      </w:pPr>
    </w:p>
    <w:p w14:paraId="42B0685A" w14:textId="7673EF62" w:rsidR="0055291C" w:rsidRPr="007F6CDC" w:rsidRDefault="007F6CDC">
      <w:pPr>
        <w:pStyle w:val="a5"/>
        <w:numPr>
          <w:ilvl w:val="0"/>
          <w:numId w:val="33"/>
        </w:numPr>
        <w:tabs>
          <w:tab w:val="left" w:pos="993"/>
        </w:tabs>
        <w:ind w:left="426" w:rightChars="248" w:right="546" w:firstLineChars="78" w:firstLine="140"/>
        <w:rPr>
          <w:rFonts w:ascii="ＭＳ ゴシック" w:eastAsia="ＭＳ ゴシック" w:hAnsi="ＭＳ ゴシック"/>
          <w:sz w:val="19"/>
        </w:rPr>
      </w:pPr>
      <w:r w:rsidRPr="007F6CDC">
        <w:rPr>
          <w:rFonts w:ascii="ＭＳ ゴシック" w:eastAsia="ＭＳ ゴシック" w:hAnsi="ＭＳ ゴシック" w:cs="ＭＳ ゴシック" w:hint="eastAsia"/>
          <w:color w:val="545456"/>
          <w:w w:val="95"/>
          <w:sz w:val="19"/>
          <w:lang w:eastAsia="ja-JP"/>
        </w:rPr>
        <w:t>保証を求める企業</w:t>
      </w:r>
    </w:p>
    <w:p w14:paraId="04A02F9F" w14:textId="55EB5386" w:rsidR="0055291C" w:rsidRPr="007F6CDC" w:rsidRDefault="007F6CDC">
      <w:pPr>
        <w:pStyle w:val="a5"/>
        <w:numPr>
          <w:ilvl w:val="0"/>
          <w:numId w:val="33"/>
        </w:numPr>
        <w:tabs>
          <w:tab w:val="left" w:pos="993"/>
        </w:tabs>
        <w:spacing w:before="190"/>
        <w:ind w:left="426" w:rightChars="248" w:right="546" w:firstLineChars="78" w:firstLine="148"/>
        <w:rPr>
          <w:rFonts w:ascii="ＭＳ ゴシック" w:eastAsia="ＭＳ ゴシック" w:hAnsi="ＭＳ ゴシック"/>
          <w:sz w:val="19"/>
          <w:lang w:eastAsia="ja-JP"/>
        </w:rPr>
      </w:pPr>
      <w:r w:rsidRPr="007F6CDC">
        <w:rPr>
          <w:rFonts w:ascii="ＭＳ ゴシック" w:eastAsia="ＭＳ ゴシック" w:hAnsi="ＭＳ ゴシック" w:cs="ＭＳ ゴシック" w:hint="eastAsia"/>
          <w:color w:val="545456"/>
          <w:sz w:val="19"/>
          <w:lang w:eastAsia="ja-JP"/>
        </w:rPr>
        <w:t>報告書を利用する利害関係者</w:t>
      </w:r>
    </w:p>
    <w:p w14:paraId="104FA1F5" w14:textId="78F562B7" w:rsidR="0055291C" w:rsidRDefault="007F6CDC">
      <w:pPr>
        <w:pStyle w:val="a5"/>
        <w:numPr>
          <w:ilvl w:val="0"/>
          <w:numId w:val="33"/>
        </w:numPr>
        <w:tabs>
          <w:tab w:val="left" w:pos="993"/>
        </w:tabs>
        <w:spacing w:before="190"/>
        <w:ind w:left="426" w:rightChars="248" w:right="546" w:firstLineChars="78" w:firstLine="139"/>
        <w:rPr>
          <w:sz w:val="19"/>
        </w:rPr>
      </w:pPr>
      <w:r>
        <w:rPr>
          <w:rFonts w:ascii="ＭＳ ゴシック" w:eastAsia="ＭＳ ゴシック" w:hAnsi="ＭＳ ゴシック" w:cs="ＭＳ ゴシック" w:hint="eastAsia"/>
          <w:color w:val="545456"/>
          <w:spacing w:val="-1"/>
          <w:w w:val="95"/>
          <w:sz w:val="19"/>
          <w:lang w:eastAsia="ja-JP"/>
        </w:rPr>
        <w:t>保証人（複数でも可）</w:t>
      </w:r>
    </w:p>
    <w:p w14:paraId="5A04FA83" w14:textId="77777777" w:rsidR="0055291C" w:rsidRDefault="0055291C" w:rsidP="007F6CDC">
      <w:pPr>
        <w:pStyle w:val="a3"/>
        <w:spacing w:before="10"/>
        <w:ind w:left="426" w:rightChars="248" w:right="546" w:firstLineChars="78" w:firstLine="133"/>
        <w:rPr>
          <w:sz w:val="17"/>
        </w:rPr>
      </w:pPr>
    </w:p>
    <w:p w14:paraId="0C0B4A83" w14:textId="178ECD0C" w:rsidR="0055291C" w:rsidRDefault="007F6CDC" w:rsidP="007F6CDC">
      <w:pPr>
        <w:pStyle w:val="a3"/>
        <w:spacing w:line="312" w:lineRule="auto"/>
        <w:ind w:left="426" w:rightChars="248" w:right="546" w:firstLineChars="78" w:firstLine="148"/>
        <w:rPr>
          <w:lang w:eastAsia="ja-JP"/>
        </w:rPr>
      </w:pPr>
      <w:r>
        <w:rPr>
          <w:rFonts w:ascii="ＭＳ ゴシック" w:eastAsia="ＭＳ ゴシック" w:hAnsi="ＭＳ ゴシック" w:cs="ＭＳ ゴシック" w:hint="eastAsia"/>
          <w:color w:val="545456"/>
          <w:lang w:eastAsia="ja-JP"/>
        </w:rPr>
        <w:t>報告企業が保証を行う場合を「第一者</w:t>
      </w:r>
      <w:r w:rsidR="00DC15FC">
        <w:rPr>
          <w:rFonts w:ascii="ＭＳ ゴシック" w:eastAsia="ＭＳ ゴシック" w:hAnsi="ＭＳ ゴシック" w:cs="ＭＳ ゴシック" w:hint="eastAsia"/>
          <w:color w:val="545456"/>
          <w:lang w:eastAsia="ja-JP"/>
        </w:rPr>
        <w:t>保証</w:t>
      </w:r>
      <w:r>
        <w:rPr>
          <w:rFonts w:ascii="ＭＳ ゴシック" w:eastAsia="ＭＳ ゴシック" w:hAnsi="ＭＳ ゴシック" w:cs="ＭＳ ゴシック" w:hint="eastAsia"/>
          <w:color w:val="545456"/>
          <w:lang w:eastAsia="ja-JP"/>
        </w:rPr>
        <w:t>」と呼びま</w:t>
      </w:r>
    </w:p>
    <w:p w14:paraId="28362BAE" w14:textId="59ED0E76" w:rsidR="0055291C" w:rsidRDefault="00F23C61" w:rsidP="007F6CDC">
      <w:pPr>
        <w:pStyle w:val="a3"/>
        <w:spacing w:before="102" w:line="312" w:lineRule="auto"/>
        <w:ind w:left="851" w:right="738"/>
        <w:rPr>
          <w:lang w:eastAsia="ja-JP"/>
        </w:rPr>
      </w:pPr>
      <w:r>
        <w:rPr>
          <w:lang w:eastAsia="ja-JP"/>
        </w:rPr>
        <w:br w:type="column"/>
      </w:r>
      <w:r w:rsidR="002B7279">
        <w:rPr>
          <w:rFonts w:ascii="ＭＳ ゴシック" w:eastAsia="ＭＳ ゴシック" w:hAnsi="ＭＳ ゴシック" w:cs="ＭＳ ゴシック" w:hint="eastAsia"/>
          <w:lang w:eastAsia="ja-JP"/>
        </w:rPr>
        <w:t>す。報告企業以外の第三者が保証を行う場合、これを「第三者保証」と呼びます。表</w:t>
      </w:r>
      <w:r w:rsidR="002B7279">
        <w:rPr>
          <w:lang w:eastAsia="ja-JP"/>
        </w:rPr>
        <w:t>12.1</w:t>
      </w:r>
      <w:r w:rsidR="002B7279">
        <w:rPr>
          <w:rFonts w:ascii="ＭＳ ゴシック" w:eastAsia="ＭＳ ゴシック" w:hAnsi="ＭＳ ゴシック" w:cs="ＭＳ ゴシック" w:hint="eastAsia"/>
          <w:lang w:eastAsia="ja-JP"/>
        </w:rPr>
        <w:t>は、第一者保証と第三者保証の違いの説明です。</w:t>
      </w:r>
    </w:p>
    <w:p w14:paraId="41366C81" w14:textId="73B29F46" w:rsidR="0055291C" w:rsidRDefault="002B7279" w:rsidP="002B7279">
      <w:pPr>
        <w:pStyle w:val="a3"/>
        <w:spacing w:before="142" w:line="312" w:lineRule="auto"/>
        <w:ind w:left="851" w:right="738" w:firstLineChars="100" w:firstLine="190"/>
        <w:rPr>
          <w:lang w:eastAsia="ja-JP"/>
        </w:rPr>
      </w:pPr>
      <w:r>
        <w:rPr>
          <w:rFonts w:ascii="ＭＳ ゴシック" w:eastAsia="ＭＳ ゴシック" w:hAnsi="ＭＳ ゴシック" w:cs="ＭＳ ゴシック" w:hint="eastAsia"/>
          <w:lang w:eastAsia="ja-JP"/>
        </w:rPr>
        <w:t>第一者保証と第三者保証の両方が、同様の手順とプロ</w:t>
      </w:r>
      <w:r>
        <w:rPr>
          <w:lang w:eastAsia="ja-JP"/>
        </w:rPr>
        <w:t xml:space="preserve"> </w:t>
      </w:r>
      <w:r>
        <w:rPr>
          <w:rFonts w:ascii="ＭＳ ゴシック" w:eastAsia="ＭＳ ゴシック" w:hAnsi="ＭＳ ゴシック" w:cs="ＭＳ ゴシック" w:hint="eastAsia"/>
          <w:lang w:eastAsia="ja-JP"/>
        </w:rPr>
        <w:t>セスに従うべきです。外部の利害関係者にとって、</w:t>
      </w:r>
      <w:r>
        <w:rPr>
          <w:lang w:eastAsia="ja-JP"/>
        </w:rPr>
        <w:t xml:space="preserve"> </w:t>
      </w:r>
      <w:r>
        <w:rPr>
          <w:rFonts w:ascii="ＭＳ ゴシック" w:eastAsia="ＭＳ ゴシック" w:hAnsi="ＭＳ ゴシック" w:cs="ＭＳ ゴシック" w:hint="eastAsia"/>
          <w:lang w:eastAsia="ja-JP"/>
        </w:rPr>
        <w:t>第三者による保証は、報告書の信頼性を高める可能性が高くなります。しかし、第一者保証は、報告書の信頼性を高め、第三者保証を委託する前に企業にとって価値ある学習経験となりえるでしょう。</w:t>
      </w:r>
    </w:p>
    <w:p w14:paraId="5FED76D7"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792" w:space="40"/>
            <w:col w:w="6408"/>
          </w:cols>
        </w:sectPr>
      </w:pPr>
    </w:p>
    <w:p w14:paraId="33F4F81D" w14:textId="77777777" w:rsidR="0055291C" w:rsidRDefault="0055291C">
      <w:pPr>
        <w:pStyle w:val="a3"/>
        <w:rPr>
          <w:sz w:val="20"/>
          <w:lang w:eastAsia="ja-JP"/>
        </w:rPr>
      </w:pPr>
    </w:p>
    <w:p w14:paraId="57DF3A7D" w14:textId="77777777" w:rsidR="0055291C" w:rsidRDefault="0055291C">
      <w:pPr>
        <w:pStyle w:val="a3"/>
        <w:rPr>
          <w:sz w:val="20"/>
          <w:lang w:eastAsia="ja-JP"/>
        </w:rPr>
      </w:pPr>
    </w:p>
    <w:p w14:paraId="29D3B1F7" w14:textId="77777777" w:rsidR="0055291C" w:rsidRDefault="0055291C">
      <w:pPr>
        <w:pStyle w:val="a3"/>
        <w:rPr>
          <w:sz w:val="20"/>
          <w:lang w:eastAsia="ja-JP"/>
        </w:rPr>
      </w:pPr>
    </w:p>
    <w:p w14:paraId="395F216E" w14:textId="77777777" w:rsidR="0055291C" w:rsidRDefault="0055291C">
      <w:pPr>
        <w:pStyle w:val="a3"/>
        <w:rPr>
          <w:sz w:val="20"/>
          <w:lang w:eastAsia="ja-JP"/>
        </w:rPr>
      </w:pPr>
    </w:p>
    <w:p w14:paraId="1192447E" w14:textId="77777777" w:rsidR="0055291C" w:rsidRDefault="0055291C">
      <w:pPr>
        <w:pStyle w:val="a3"/>
        <w:spacing w:before="7"/>
        <w:rPr>
          <w:sz w:val="21"/>
          <w:lang w:eastAsia="ja-JP"/>
        </w:rPr>
      </w:pPr>
    </w:p>
    <w:p w14:paraId="335A4CD9" w14:textId="01B83F36" w:rsidR="0055291C" w:rsidRDefault="004A680E">
      <w:pPr>
        <w:pStyle w:val="6"/>
        <w:spacing w:before="1"/>
        <w:ind w:left="1160"/>
        <w:rPr>
          <w:lang w:eastAsia="ja-JP"/>
        </w:rPr>
      </w:pPr>
      <w:r>
        <w:rPr>
          <w:rFonts w:ascii="ＭＳ 明朝" w:eastAsia="ＭＳ 明朝" w:hAnsi="ＭＳ 明朝" w:cs="ＭＳ 明朝" w:hint="eastAsia"/>
          <w:color w:val="00ACA1"/>
          <w:w w:val="95"/>
          <w:lang w:eastAsia="ja-JP"/>
        </w:rPr>
        <w:t>表</w:t>
      </w:r>
      <w:r w:rsidR="00F23C61">
        <w:rPr>
          <w:color w:val="00ACA1"/>
          <w:w w:val="95"/>
          <w:lang w:eastAsia="ja-JP"/>
        </w:rPr>
        <w:t xml:space="preserve"> [12.1]</w:t>
      </w:r>
      <w:r w:rsidR="00F23C61">
        <w:rPr>
          <w:color w:val="00ACA1"/>
          <w:spacing w:val="1"/>
          <w:w w:val="95"/>
          <w:lang w:eastAsia="ja-JP"/>
        </w:rPr>
        <w:t xml:space="preserve"> </w:t>
      </w:r>
      <w:r w:rsidR="00DC15FC">
        <w:rPr>
          <w:rFonts w:ascii="ＭＳ 明朝" w:eastAsia="ＭＳ 明朝" w:hAnsi="ＭＳ 明朝" w:cs="ＭＳ 明朝" w:hint="eastAsia"/>
          <w:color w:val="545456"/>
          <w:w w:val="95"/>
          <w:lang w:eastAsia="ja-JP"/>
        </w:rPr>
        <w:t>保証の種類</w:t>
      </w:r>
    </w:p>
    <w:p w14:paraId="2A42E7B7" w14:textId="77777777" w:rsidR="0055291C" w:rsidRDefault="00000000">
      <w:pPr>
        <w:pStyle w:val="a3"/>
        <w:spacing w:before="6"/>
        <w:rPr>
          <w:rFonts w:ascii="Arial"/>
          <w:b/>
          <w:lang w:eastAsia="ja-JP"/>
        </w:rPr>
      </w:pPr>
      <w:r>
        <w:pict w14:anchorId="60AF13D7">
          <v:group id="docshapegroup1377" o:spid="_x0000_s2453" style="position:absolute;margin-left:54pt;margin-top:12.45pt;width:513pt;height:147.75pt;z-index:-251469312;mso-wrap-distance-left:0;mso-wrap-distance-right:0;mso-position-horizontal-relative:page" coordorigin="1080,249" coordsize="10260,2955">
            <v:shape id="docshape1378" o:spid="_x0000_s2469" style="position:absolute;left:1133;top:248;width:2262;height:496" coordorigin="1134,249" coordsize="2262,496" path="m3225,249r-1921,l1206,252r-51,18l1137,321r-3,98l1134,744r2261,l3395,419r-2,-98l3374,270r-51,-18l3225,249xe" fillcolor="#00aca1" stroked="f">
              <v:path arrowok="t"/>
            </v:shape>
            <v:shape id="docshape1379" o:spid="_x0000_s2468" style="position:absolute;left:1133;top:806;width:2262;height:2398" coordorigin="1134,807" coordsize="2262,2398" path="m3395,807r-2261,l1134,3034r3,98l1155,3182r51,19l1304,3204r1921,l3323,3201r51,-19l3393,3132r2,-98l3395,807xe" fillcolor="#f3f4f4" stroked="f">
              <v:path arrowok="t"/>
            </v:shape>
            <v:shape id="docshape1380" o:spid="_x0000_s2467" style="position:absolute;left:3692;top:248;width:3563;height:496" coordorigin="3693,249" coordsize="3563,496" path="m7085,249r-3222,l3765,252r-51,18l3695,321r-2,98l3693,744r3562,l7255,419r-2,-98l7234,270r-50,-18l7085,249xe" fillcolor="#00aca1" stroked="f">
              <v:path arrowok="t"/>
            </v:shape>
            <v:shape id="docshape1381" o:spid="_x0000_s2466" style="position:absolute;left:3692;top:806;width:3563;height:2398" coordorigin="3693,807" coordsize="3563,2398" path="m7255,807r-3562,l3693,3034r2,98l3714,3182r51,19l3863,3204r3222,l7184,3201r50,-19l7253,3132r2,-98l7255,807xe" fillcolor="#f3f4f4" stroked="f">
              <v:path arrowok="t"/>
            </v:shape>
            <v:shape id="docshape1382" o:spid="_x0000_s2465" style="position:absolute;left:7538;top:248;width:3563;height:496" coordorigin="7539,249" coordsize="3563,496" path="m10931,249r-3222,l7610,252r-50,18l7541,321r-2,98l7539,744r3562,l11101,419r-2,-98l11080,270r-51,-18l10931,249xe" fillcolor="#00aca1" stroked="f">
              <v:path arrowok="t"/>
            </v:shape>
            <v:shape id="docshape1383" o:spid="_x0000_s2464" style="position:absolute;left:7538;top:806;width:3563;height:2398" coordorigin="7539,807" coordsize="3563,2398" path="m11101,807r-3562,l7539,3034r2,98l7560,3182r50,19l7709,3204r3222,l11029,3201r51,-19l11099,3132r2,-98l11101,807xe" fillcolor="#f3f4f4" stroked="f">
              <v:path arrowok="t"/>
            </v:shape>
            <v:line id="_x0000_s2463" style="position:absolute" from="1080,1924" to="11340,1924" strokecolor="white" strokeweight="2pt"/>
            <v:shape id="docshape1384" o:spid="_x0000_s2462" type="#_x0000_t202" style="position:absolute;left:1242;top:369;width:1858;height:247" filled="f" stroked="f">
              <v:textbox style="mso-next-textbox:#docshape1384" inset="0,0,0,0">
                <w:txbxContent>
                  <w:p w14:paraId="4D878CDE" w14:textId="0579B46F" w:rsidR="0055291C" w:rsidRDefault="00DC15FC">
                    <w:pPr>
                      <w:spacing w:line="247" w:lineRule="exact"/>
                      <w:rPr>
                        <w:rFonts w:ascii="Arial"/>
                        <w:b/>
                        <w:i/>
                      </w:rPr>
                    </w:pPr>
                    <w:r>
                      <w:rPr>
                        <w:rFonts w:ascii="ＭＳ ゴシック" w:eastAsia="ＭＳ ゴシック" w:hAnsi="ＭＳ ゴシック" w:cs="ＭＳ ゴシック" w:hint="eastAsia"/>
                        <w:b/>
                        <w:i/>
                        <w:color w:val="F1F1F2"/>
                        <w:w w:val="95"/>
                        <w:lang w:eastAsia="ja-JP"/>
                      </w:rPr>
                      <w:t>保証の種類</w:t>
                    </w:r>
                  </w:p>
                </w:txbxContent>
              </v:textbox>
            </v:shape>
            <v:shape id="docshape1385" o:spid="_x0000_s2461" type="#_x0000_t202" style="position:absolute;left:3855;top:369;width:1192;height:247" filled="f" stroked="f">
              <v:textbox style="mso-next-textbox:#docshape1385" inset="0,0,0,0">
                <w:txbxContent>
                  <w:p w14:paraId="3C001DD9" w14:textId="579F04EB" w:rsidR="0055291C" w:rsidRDefault="00DC15FC">
                    <w:pPr>
                      <w:spacing w:line="247" w:lineRule="exact"/>
                      <w:rPr>
                        <w:rFonts w:ascii="Arial"/>
                        <w:b/>
                        <w:i/>
                      </w:rPr>
                    </w:pPr>
                    <w:r>
                      <w:rPr>
                        <w:rFonts w:ascii="ＭＳ ゴシック" w:eastAsia="ＭＳ ゴシック" w:hAnsi="ＭＳ ゴシック" w:cs="ＭＳ ゴシック" w:hint="eastAsia"/>
                        <w:b/>
                        <w:i/>
                        <w:color w:val="F1F1F2"/>
                        <w:w w:val="95"/>
                        <w:lang w:eastAsia="ja-JP"/>
                      </w:rPr>
                      <w:t>説明</w:t>
                    </w:r>
                  </w:p>
                </w:txbxContent>
              </v:textbox>
            </v:shape>
            <v:shape id="docshape1386" o:spid="_x0000_s2460" type="#_x0000_t202" style="position:absolute;left:7707;top:369;width:2611;height:247" filled="f" stroked="f">
              <v:textbox style="mso-next-textbox:#docshape1386" inset="0,0,0,0">
                <w:txbxContent>
                  <w:p w14:paraId="07864C28" w14:textId="1D675189" w:rsidR="0055291C" w:rsidRDefault="00E51373">
                    <w:pPr>
                      <w:spacing w:line="247" w:lineRule="exact"/>
                      <w:rPr>
                        <w:rFonts w:ascii="Arial"/>
                        <w:b/>
                        <w:i/>
                      </w:rPr>
                    </w:pPr>
                    <w:r>
                      <w:rPr>
                        <w:rFonts w:ascii="ＭＳ ゴシック" w:eastAsia="ＭＳ ゴシック" w:hAnsi="ＭＳ ゴシック" w:cs="ＭＳ ゴシック" w:hint="eastAsia"/>
                        <w:b/>
                        <w:i/>
                        <w:color w:val="F1F1F2"/>
                        <w:spacing w:val="-1"/>
                        <w:w w:val="95"/>
                        <w:lang w:eastAsia="ja-JP"/>
                      </w:rPr>
                      <w:t>独立性のメカニズム</w:t>
                    </w:r>
                  </w:p>
                </w:txbxContent>
              </v:textbox>
            </v:shape>
            <v:shape id="docshape1387" o:spid="_x0000_s2459" type="#_x0000_t202" style="position:absolute;left:1242;top:870;width:1920;height:213" filled="f" stroked="f">
              <v:textbox style="mso-next-textbox:#docshape1387" inset="0,0,0,0">
                <w:txbxContent>
                  <w:p w14:paraId="7A10B18D" w14:textId="1A03F2DB" w:rsidR="0055291C" w:rsidRDefault="00DC15FC">
                    <w:pPr>
                      <w:spacing w:line="213" w:lineRule="exact"/>
                      <w:rPr>
                        <w:rFonts w:ascii="Arial"/>
                        <w:b/>
                        <w:sz w:val="19"/>
                      </w:rPr>
                    </w:pPr>
                    <w:r>
                      <w:rPr>
                        <w:rFonts w:ascii="ＭＳ ゴシック" w:eastAsia="ＭＳ ゴシック" w:hAnsi="ＭＳ ゴシック" w:cs="ＭＳ ゴシック" w:hint="eastAsia"/>
                        <w:b/>
                        <w:color w:val="545456"/>
                        <w:sz w:val="19"/>
                        <w:lang w:eastAsia="ja-JP"/>
                      </w:rPr>
                      <w:t>第一者保証</w:t>
                    </w:r>
                  </w:p>
                </w:txbxContent>
              </v:textbox>
            </v:shape>
            <v:shape id="docshape1388" o:spid="_x0000_s2458" type="#_x0000_t202" style="position:absolute;left:3855;top:870;width:3200;height:933" filled="f" stroked="f">
              <v:textbox style="mso-next-textbox:#docshape1388" inset="0,0,0,0">
                <w:txbxContent>
                  <w:p w14:paraId="02702E66" w14:textId="1B21A8A5" w:rsidR="0055291C" w:rsidRPr="00DC15FC" w:rsidRDefault="00DC15FC">
                    <w:pPr>
                      <w:spacing w:line="209" w:lineRule="exact"/>
                      <w:rPr>
                        <w:sz w:val="19"/>
                        <w:szCs w:val="19"/>
                        <w:lang w:eastAsia="ja-JP"/>
                      </w:rPr>
                    </w:pPr>
                    <w:r w:rsidRPr="00DC15FC">
                      <w:rPr>
                        <w:sz w:val="19"/>
                        <w:szCs w:val="19"/>
                        <w:lang w:eastAsia="ja-JP"/>
                      </w:rPr>
                      <w:t>GHG</w:t>
                    </w:r>
                    <w:r w:rsidRPr="00DC15FC">
                      <w:rPr>
                        <w:rFonts w:ascii="ＭＳ ゴシック" w:eastAsia="ＭＳ ゴシック" w:hAnsi="ＭＳ ゴシック" w:cs="ＭＳ ゴシック" w:hint="eastAsia"/>
                        <w:sz w:val="19"/>
                        <w:szCs w:val="19"/>
                        <w:lang w:eastAsia="ja-JP"/>
                      </w:rPr>
                      <w:t>排出量の決定プロセスから独立した報告企業内の担当者が内部保証</w:t>
                    </w:r>
                    <w:r w:rsidRPr="00DC15FC">
                      <w:rPr>
                        <w:sz w:val="19"/>
                        <w:szCs w:val="19"/>
                        <w:lang w:eastAsia="ja-JP"/>
                      </w:rPr>
                      <w:t xml:space="preserve"> </w:t>
                    </w:r>
                    <w:r w:rsidRPr="00DC15FC">
                      <w:rPr>
                        <w:rFonts w:ascii="ＭＳ ゴシック" w:eastAsia="ＭＳ ゴシック" w:hAnsi="ＭＳ ゴシック" w:cs="ＭＳ ゴシック" w:hint="eastAsia"/>
                        <w:sz w:val="19"/>
                        <w:szCs w:val="19"/>
                        <w:lang w:eastAsia="ja-JP"/>
                      </w:rPr>
                      <w:t>を実施する。</w:t>
                    </w:r>
                  </w:p>
                </w:txbxContent>
              </v:textbox>
            </v:shape>
            <v:shape id="docshape1389" o:spid="_x0000_s2457" type="#_x0000_t202" style="position:absolute;left:7707;top:870;width:2279;height:213" filled="f" stroked="f">
              <v:textbox style="mso-next-textbox:#docshape1389" inset="0,0,0,0">
                <w:txbxContent>
                  <w:p w14:paraId="292583F0" w14:textId="1579AA1F" w:rsidR="0055291C" w:rsidRDefault="00E51373">
                    <w:pPr>
                      <w:spacing w:before="2" w:line="211" w:lineRule="exact"/>
                      <w:rPr>
                        <w:sz w:val="19"/>
                      </w:rPr>
                    </w:pPr>
                    <w:r>
                      <w:rPr>
                        <w:rFonts w:ascii="ＭＳ ゴシック" w:eastAsia="ＭＳ ゴシック" w:hAnsi="ＭＳ ゴシック" w:cs="ＭＳ ゴシック" w:hint="eastAsia"/>
                        <w:color w:val="545456"/>
                        <w:w w:val="105"/>
                        <w:sz w:val="19"/>
                        <w:lang w:eastAsia="ja-JP"/>
                      </w:rPr>
                      <w:t>異なる指揮系統</w:t>
                    </w:r>
                  </w:p>
                </w:txbxContent>
              </v:textbox>
            </v:shape>
            <v:shape id="docshape1390" o:spid="_x0000_s2456" type="#_x0000_t202" style="position:absolute;left:1242;top:2053;width:1976;height:213" filled="f" stroked="f">
              <v:textbox style="mso-next-textbox:#docshape1390" inset="0,0,0,0">
                <w:txbxContent>
                  <w:p w14:paraId="73D8D5CE" w14:textId="184725C3" w:rsidR="0055291C" w:rsidRDefault="00DC15FC">
                    <w:pPr>
                      <w:spacing w:line="213" w:lineRule="exact"/>
                      <w:rPr>
                        <w:rFonts w:ascii="Arial"/>
                        <w:b/>
                        <w:sz w:val="19"/>
                      </w:rPr>
                    </w:pPr>
                    <w:r>
                      <w:rPr>
                        <w:rFonts w:ascii="ＭＳ ゴシック" w:eastAsia="ＭＳ ゴシック" w:hAnsi="ＭＳ ゴシック" w:cs="ＭＳ ゴシック" w:hint="eastAsia"/>
                        <w:b/>
                        <w:color w:val="545456"/>
                        <w:spacing w:val="-1"/>
                        <w:sz w:val="19"/>
                        <w:lang w:eastAsia="ja-JP"/>
                      </w:rPr>
                      <w:t>第三者保証</w:t>
                    </w:r>
                  </w:p>
                </w:txbxContent>
              </v:textbox>
            </v:shape>
            <v:shape id="docshape1391" o:spid="_x0000_s2455" type="#_x0000_t202" style="position:absolute;left:3855;top:2053;width:2774;height:933" filled="f" stroked="f">
              <v:textbox style="mso-next-textbox:#docshape1391" inset="0,0,0,0">
                <w:txbxContent>
                  <w:p w14:paraId="6A64557E" w14:textId="6E166F9E" w:rsidR="0055291C" w:rsidRPr="00DC15FC" w:rsidRDefault="00DC15FC">
                    <w:pPr>
                      <w:spacing w:line="209" w:lineRule="exact"/>
                      <w:rPr>
                        <w:sz w:val="19"/>
                        <w:szCs w:val="19"/>
                        <w:lang w:eastAsia="ja-JP"/>
                      </w:rPr>
                    </w:pPr>
                    <w:r w:rsidRPr="00DC15FC">
                      <w:rPr>
                        <w:sz w:val="19"/>
                        <w:szCs w:val="19"/>
                        <w:lang w:eastAsia="ja-JP"/>
                      </w:rPr>
                      <w:t>GHG</w:t>
                    </w:r>
                    <w:r>
                      <w:rPr>
                        <w:rFonts w:ascii="ＭＳ ゴシック" w:eastAsia="ＭＳ ゴシック" w:hAnsi="ＭＳ ゴシック" w:cs="ＭＳ ゴシック" w:hint="eastAsia"/>
                        <w:sz w:val="19"/>
                        <w:szCs w:val="19"/>
                        <w:lang w:eastAsia="ja-JP"/>
                      </w:rPr>
                      <w:t>排出量の</w:t>
                    </w:r>
                    <w:r w:rsidRPr="00DC15FC">
                      <w:rPr>
                        <w:rFonts w:ascii="ＭＳ ゴシック" w:eastAsia="ＭＳ ゴシック" w:hAnsi="ＭＳ ゴシック" w:cs="ＭＳ ゴシック" w:hint="eastAsia"/>
                        <w:sz w:val="19"/>
                        <w:szCs w:val="19"/>
                        <w:lang w:eastAsia="ja-JP"/>
                      </w:rPr>
                      <w:t>決定プロセスから独立した組織の者が、</w:t>
                    </w:r>
                    <w:r>
                      <w:rPr>
                        <w:rFonts w:ascii="ＭＳ ゴシック" w:eastAsia="ＭＳ ゴシック" w:hAnsi="ＭＳ ゴシック" w:cs="ＭＳ ゴシック" w:hint="eastAsia"/>
                        <w:sz w:val="19"/>
                        <w:szCs w:val="19"/>
                        <w:lang w:eastAsia="ja-JP"/>
                      </w:rPr>
                      <w:t>保証</w:t>
                    </w:r>
                    <w:r w:rsidRPr="00DC15FC">
                      <w:rPr>
                        <w:rFonts w:ascii="ＭＳ ゴシック" w:eastAsia="ＭＳ ゴシック" w:hAnsi="ＭＳ ゴシック" w:cs="ＭＳ ゴシック" w:hint="eastAsia"/>
                        <w:sz w:val="19"/>
                        <w:szCs w:val="19"/>
                        <w:lang w:eastAsia="ja-JP"/>
                      </w:rPr>
                      <w:t>を</w:t>
                    </w:r>
                    <w:r w:rsidR="00E51373">
                      <w:rPr>
                        <w:rFonts w:ascii="ＭＳ ゴシック" w:eastAsia="ＭＳ ゴシック" w:hAnsi="ＭＳ ゴシック" w:cs="ＭＳ ゴシック" w:hint="eastAsia"/>
                        <w:sz w:val="19"/>
                        <w:szCs w:val="19"/>
                        <w:lang w:eastAsia="ja-JP"/>
                      </w:rPr>
                      <w:t>実施する</w:t>
                    </w:r>
                    <w:r w:rsidRPr="00DC15FC">
                      <w:rPr>
                        <w:rFonts w:ascii="ＭＳ ゴシック" w:eastAsia="ＭＳ ゴシック" w:hAnsi="ＭＳ ゴシック" w:cs="ＭＳ ゴシック" w:hint="eastAsia"/>
                        <w:sz w:val="19"/>
                        <w:szCs w:val="19"/>
                        <w:lang w:eastAsia="ja-JP"/>
                      </w:rPr>
                      <w:t>。</w:t>
                    </w:r>
                  </w:p>
                </w:txbxContent>
              </v:textbox>
            </v:shape>
            <v:shape id="docshape1392" o:spid="_x0000_s2454" type="#_x0000_t202" style="position:absolute;left:7707;top:2053;width:2862;height:453" filled="f" stroked="f">
              <v:textbox style="mso-next-textbox:#docshape1392" inset="0,0,0,0">
                <w:txbxContent>
                  <w:p w14:paraId="7A2A22A5" w14:textId="28FC9362" w:rsidR="0055291C" w:rsidRDefault="00E51373">
                    <w:pPr>
                      <w:spacing w:before="25" w:line="211" w:lineRule="exact"/>
                      <w:rPr>
                        <w:sz w:val="19"/>
                        <w:lang w:eastAsia="ja-JP"/>
                      </w:rPr>
                    </w:pPr>
                    <w:r>
                      <w:rPr>
                        <w:rFonts w:ascii="ＭＳ ゴシック" w:eastAsia="ＭＳ ゴシック" w:hAnsi="ＭＳ ゴシック" w:cs="ＭＳ ゴシック" w:hint="eastAsia"/>
                        <w:color w:val="545456"/>
                        <w:spacing w:val="-1"/>
                        <w:w w:val="105"/>
                        <w:sz w:val="19"/>
                        <w:lang w:eastAsia="ja-JP"/>
                      </w:rPr>
                      <w:t>報告企業と異なる</w:t>
                    </w:r>
                    <w:r>
                      <w:rPr>
                        <w:rFonts w:ascii="ＭＳ ゴシック" w:eastAsia="ＭＳ ゴシック" w:hAnsi="ＭＳ ゴシック" w:cs="ＭＳ ゴシック" w:hint="eastAsia"/>
                        <w:color w:val="545456"/>
                        <w:sz w:val="19"/>
                        <w:lang w:eastAsia="ja-JP"/>
                      </w:rPr>
                      <w:t>事業体</w:t>
                    </w:r>
                  </w:p>
                </w:txbxContent>
              </v:textbox>
            </v:shape>
            <w10:wrap type="topAndBottom" anchorx="page"/>
          </v:group>
        </w:pict>
      </w:r>
    </w:p>
    <w:p w14:paraId="63C02AE0" w14:textId="77777777" w:rsidR="0055291C" w:rsidRDefault="0055291C">
      <w:pPr>
        <w:pStyle w:val="a3"/>
        <w:rPr>
          <w:rFonts w:ascii="Arial"/>
          <w:b/>
          <w:sz w:val="20"/>
          <w:lang w:eastAsia="ja-JP"/>
        </w:rPr>
      </w:pPr>
    </w:p>
    <w:p w14:paraId="5E39B395" w14:textId="77777777" w:rsidR="0055291C" w:rsidRDefault="0055291C">
      <w:pPr>
        <w:pStyle w:val="a3"/>
        <w:spacing w:before="7"/>
        <w:rPr>
          <w:rFonts w:ascii="Arial"/>
          <w:b/>
          <w:sz w:val="26"/>
          <w:lang w:eastAsia="ja-JP"/>
        </w:rPr>
      </w:pPr>
    </w:p>
    <w:p w14:paraId="66AB3DA8" w14:textId="77777777" w:rsidR="0055291C" w:rsidRDefault="0055291C">
      <w:pPr>
        <w:rPr>
          <w:rFonts w:ascii="Arial"/>
          <w:sz w:val="26"/>
          <w:lang w:eastAsia="ja-JP"/>
        </w:rPr>
        <w:sectPr w:rsidR="0055291C">
          <w:headerReference w:type="even" r:id="rId290"/>
          <w:pgSz w:w="12240" w:h="15840"/>
          <w:pgMar w:top="620" w:right="0" w:bottom="1040" w:left="0" w:header="0" w:footer="859" w:gutter="0"/>
          <w:cols w:space="720"/>
        </w:sectPr>
      </w:pPr>
    </w:p>
    <w:p w14:paraId="526950C3" w14:textId="5A7FED94" w:rsidR="0055291C" w:rsidRDefault="0055291C">
      <w:pPr>
        <w:pStyle w:val="a3"/>
        <w:rPr>
          <w:rFonts w:ascii="Arial"/>
          <w:b/>
          <w:sz w:val="20"/>
          <w:lang w:eastAsia="ja-JP"/>
        </w:rPr>
      </w:pPr>
    </w:p>
    <w:p w14:paraId="2D4C36E9" w14:textId="05B7048C" w:rsidR="0055291C" w:rsidRDefault="0055291C">
      <w:pPr>
        <w:pStyle w:val="a3"/>
        <w:rPr>
          <w:rFonts w:ascii="Arial"/>
          <w:b/>
          <w:sz w:val="20"/>
          <w:lang w:eastAsia="ja-JP"/>
        </w:rPr>
      </w:pPr>
    </w:p>
    <w:p w14:paraId="5FE35BF7" w14:textId="78CA3E93" w:rsidR="0055291C" w:rsidRDefault="004A680E">
      <w:pPr>
        <w:pStyle w:val="a3"/>
        <w:rPr>
          <w:rFonts w:ascii="Arial"/>
          <w:b/>
          <w:sz w:val="20"/>
          <w:lang w:eastAsia="ja-JP"/>
        </w:rPr>
      </w:pPr>
      <w:r>
        <w:rPr>
          <w:rFonts w:ascii="Arial"/>
          <w:b/>
          <w:i/>
          <w:noProof/>
          <w:sz w:val="20"/>
        </w:rPr>
        <mc:AlternateContent>
          <mc:Choice Requires="wps">
            <w:drawing>
              <wp:anchor distT="0" distB="0" distL="114300" distR="114300" simplePos="0" relativeHeight="251507200" behindDoc="0" locked="0" layoutInCell="1" allowOverlap="1" wp14:anchorId="3E44D248" wp14:editId="5C659E0F">
                <wp:simplePos x="0" y="0"/>
                <wp:positionH relativeFrom="column">
                  <wp:posOffset>414317</wp:posOffset>
                </wp:positionH>
                <wp:positionV relativeFrom="paragraph">
                  <wp:posOffset>49340</wp:posOffset>
                </wp:positionV>
                <wp:extent cx="2933700" cy="679450"/>
                <wp:effectExtent l="0" t="0" r="0" b="6350"/>
                <wp:wrapNone/>
                <wp:docPr id="115" name="四角形: 角を丸くする 115"/>
                <wp:cNvGraphicFramePr/>
                <a:graphic xmlns:a="http://schemas.openxmlformats.org/drawingml/2006/main">
                  <a:graphicData uri="http://schemas.microsoft.com/office/word/2010/wordprocessingShape">
                    <wps:wsp>
                      <wps:cNvSpPr/>
                      <wps:spPr>
                        <a:xfrm>
                          <a:off x="0" y="0"/>
                          <a:ext cx="2933700" cy="679450"/>
                        </a:xfrm>
                        <a:prstGeom prst="roundRect">
                          <a:avLst/>
                        </a:prstGeom>
                        <a:solidFill>
                          <a:srgbClr val="70029C">
                            <a:alpha val="25098"/>
                          </a:srgbClr>
                        </a:solidFill>
                        <a:ln w="25400" cap="flat" cmpd="sng" algn="ctr">
                          <a:noFill/>
                          <a:prstDash val="solid"/>
                        </a:ln>
                        <a:effectLst/>
                      </wps:spPr>
                      <wps:txbx>
                        <w:txbxContent>
                          <w:p w14:paraId="1DFE543C" w14:textId="2E9B703D" w:rsidR="004A680E" w:rsidRPr="004A680E" w:rsidRDefault="004A680E" w:rsidP="004A680E">
                            <w:pPr>
                              <w:rPr>
                                <w:b/>
                                <w:i/>
                                <w:iCs/>
                                <w:color w:val="000000" w:themeColor="text1"/>
                                <w:sz w:val="19"/>
                                <w:szCs w:val="19"/>
                                <w:lang w:eastAsia="ja-JP"/>
                              </w:rPr>
                            </w:pPr>
                            <w:r w:rsidRPr="004A680E">
                              <w:rPr>
                                <w:rFonts w:ascii="ＭＳ ゴシック" w:eastAsia="ＭＳ ゴシック" w:hAnsi="ＭＳ ゴシック" w:cs="ＭＳ ゴシック" w:hint="eastAsia"/>
                                <w:b/>
                                <w:i/>
                                <w:iCs/>
                                <w:color w:val="000000" w:themeColor="text1"/>
                                <w:sz w:val="19"/>
                                <w:szCs w:val="19"/>
                                <w:lang w:eastAsia="ja-JP"/>
                              </w:rPr>
                              <w:t>会社は、排出量算出の手順から独立した、利害関係のない保証者を選択しなければならない。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E44D248" id="四角形: 角を丸くする 115" o:spid="_x0000_s1139" style="position:absolute;margin-left:32.6pt;margin-top:3.9pt;width:231pt;height:53.5pt;z-index:251507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" fillcolor="#70029c" stroked="f" strokeweight="2pt">
                <v:fill opacity="16448f"/>
                <v:textbox>
                  <w:txbxContent>
                    <w:p w14:paraId="1DFE543C" w14:textId="2E9B703D" w:rsidR="004A680E" w:rsidRPr="004A680E" w:rsidRDefault="004A680E" w:rsidP="004A680E">
                      <w:pPr>
                        <w:rPr>
                          <w:b/>
                          <w:i/>
                          <w:iCs/>
                          <w:color w:val="000000" w:themeColor="text1"/>
                          <w:sz w:val="19"/>
                          <w:szCs w:val="19"/>
                          <w:lang w:eastAsia="ja-JP"/>
                        </w:rPr>
                      </w:pPr>
                      <w:r w:rsidRPr="004A680E">
                        <w:rPr>
                          <w:rFonts w:ascii="ＭＳ ゴシック" w:eastAsia="ＭＳ ゴシック" w:hAnsi="ＭＳ ゴシック" w:cs="ＭＳ ゴシック" w:hint="eastAsia"/>
                          <w:b/>
                          <w:i/>
                          <w:iCs/>
                          <w:color w:val="000000" w:themeColor="text1"/>
                          <w:sz w:val="19"/>
                          <w:szCs w:val="19"/>
                          <w:lang w:eastAsia="ja-JP"/>
                        </w:rPr>
                        <w:t>会社は、排出量算出の手順から独立した、利害関係のない保証者を選択しなければならない。</w:t>
                      </w:r>
                    </w:p>
                  </w:txbxContent>
                </v:textbox>
              </v:roundrect>
            </w:pict>
          </mc:Fallback>
        </mc:AlternateContent>
      </w:r>
    </w:p>
    <w:p w14:paraId="304BEBF9" w14:textId="30AAB19B" w:rsidR="0055291C" w:rsidRDefault="0055291C">
      <w:pPr>
        <w:pStyle w:val="a3"/>
        <w:rPr>
          <w:rFonts w:ascii="Arial"/>
          <w:b/>
          <w:sz w:val="20"/>
          <w:lang w:eastAsia="ja-JP"/>
        </w:rPr>
      </w:pPr>
    </w:p>
    <w:p w14:paraId="6BA86FBE" w14:textId="35BD1DDF" w:rsidR="0055291C" w:rsidRDefault="0055291C">
      <w:pPr>
        <w:pStyle w:val="a3"/>
        <w:rPr>
          <w:rFonts w:ascii="Arial"/>
          <w:b/>
          <w:sz w:val="20"/>
          <w:lang w:eastAsia="ja-JP"/>
        </w:rPr>
      </w:pPr>
    </w:p>
    <w:p w14:paraId="37D3C662" w14:textId="50801E2E" w:rsidR="0055291C" w:rsidRDefault="0055291C">
      <w:pPr>
        <w:pStyle w:val="a3"/>
        <w:rPr>
          <w:rFonts w:ascii="Arial"/>
          <w:b/>
          <w:sz w:val="20"/>
          <w:lang w:eastAsia="ja-JP"/>
        </w:rPr>
      </w:pPr>
    </w:p>
    <w:p w14:paraId="526E68E7" w14:textId="04664D4D" w:rsidR="0055291C" w:rsidRDefault="0055291C">
      <w:pPr>
        <w:pStyle w:val="a3"/>
        <w:rPr>
          <w:rFonts w:ascii="Arial"/>
          <w:b/>
          <w:sz w:val="20"/>
          <w:lang w:eastAsia="ja-JP"/>
        </w:rPr>
      </w:pPr>
    </w:p>
    <w:p w14:paraId="70BB54CF" w14:textId="60BD49D3" w:rsidR="0055291C" w:rsidRDefault="0055291C">
      <w:pPr>
        <w:pStyle w:val="a3"/>
        <w:rPr>
          <w:rFonts w:ascii="Arial"/>
          <w:b/>
          <w:sz w:val="20"/>
          <w:lang w:eastAsia="ja-JP"/>
        </w:rPr>
      </w:pPr>
    </w:p>
    <w:p w14:paraId="5DB182CE" w14:textId="1A4D8584" w:rsidR="0055291C" w:rsidRDefault="0055291C">
      <w:pPr>
        <w:pStyle w:val="a3"/>
        <w:spacing w:before="4"/>
        <w:rPr>
          <w:rFonts w:ascii="Arial"/>
          <w:b/>
          <w:lang w:eastAsia="ja-JP"/>
        </w:rPr>
      </w:pPr>
    </w:p>
    <w:p w14:paraId="7DF4118B" w14:textId="115BE229" w:rsidR="0055291C" w:rsidRDefault="00241590" w:rsidP="004A680E">
      <w:pPr>
        <w:pStyle w:val="a3"/>
        <w:spacing w:line="312" w:lineRule="auto"/>
        <w:ind w:left="567" w:rightChars="163" w:right="359" w:firstLineChars="100" w:firstLine="201"/>
        <w:rPr>
          <w:lang w:eastAsia="ja-JP"/>
        </w:rPr>
      </w:pPr>
      <w:r>
        <w:rPr>
          <w:rFonts w:ascii="Arial"/>
          <w:b/>
          <w:i/>
          <w:noProof/>
          <w:sz w:val="20"/>
        </w:rPr>
        <mc:AlternateContent>
          <mc:Choice Requires="wps">
            <w:drawing>
              <wp:anchor distT="0" distB="0" distL="114300" distR="114300" simplePos="0" relativeHeight="251508224" behindDoc="0" locked="0" layoutInCell="1" allowOverlap="1" wp14:anchorId="0FC8140D" wp14:editId="416D83DC">
                <wp:simplePos x="0" y="0"/>
                <wp:positionH relativeFrom="column">
                  <wp:posOffset>4038600</wp:posOffset>
                </wp:positionH>
                <wp:positionV relativeFrom="paragraph">
                  <wp:posOffset>677545</wp:posOffset>
                </wp:positionV>
                <wp:extent cx="2933700" cy="2324100"/>
                <wp:effectExtent l="0" t="0" r="0" b="0"/>
                <wp:wrapNone/>
                <wp:docPr id="116" name="四角形: 角を丸くする 116"/>
                <wp:cNvGraphicFramePr/>
                <a:graphic xmlns:a="http://schemas.openxmlformats.org/drawingml/2006/main">
                  <a:graphicData uri="http://schemas.microsoft.com/office/word/2010/wordprocessingShape">
                    <wps:wsp>
                      <wps:cNvSpPr/>
                      <wps:spPr>
                        <a:xfrm>
                          <a:off x="0" y="0"/>
                          <a:ext cx="2933700" cy="2324100"/>
                        </a:xfrm>
                        <a:prstGeom prst="roundRect">
                          <a:avLst>
                            <a:gd name="adj" fmla="val 6096"/>
                          </a:avLst>
                        </a:prstGeom>
                        <a:solidFill>
                          <a:srgbClr val="70029C">
                            <a:alpha val="25098"/>
                          </a:srgbClr>
                        </a:solidFill>
                        <a:ln w="25400" cap="flat" cmpd="sng" algn="ctr">
                          <a:noFill/>
                          <a:prstDash val="solid"/>
                        </a:ln>
                        <a:effectLst/>
                      </wps:spPr>
                      <wps:txbx>
                        <w:txbxContent>
                          <w:p w14:paraId="1301DFD6" w14:textId="0D49A6DF" w:rsidR="00241590" w:rsidRDefault="00241590" w:rsidP="00BC5597">
                            <w:pPr>
                              <w:rPr>
                                <w:rFonts w:ascii="ＭＳ ゴシック" w:eastAsia="ＭＳ ゴシック" w:hAnsi="ＭＳ ゴシック" w:cs="ＭＳ ゴシック"/>
                                <w:b/>
                                <w:i/>
                                <w:iCs/>
                                <w:color w:val="000000" w:themeColor="text1"/>
                                <w:sz w:val="19"/>
                                <w:szCs w:val="19"/>
                                <w:lang w:eastAsia="ja-JP"/>
                              </w:rPr>
                            </w:pPr>
                            <w:r w:rsidRPr="00241590">
                              <w:rPr>
                                <w:rFonts w:ascii="ＭＳ ゴシック" w:eastAsia="ＭＳ ゴシック" w:hAnsi="ＭＳ ゴシック" w:cs="ＭＳ ゴシック" w:hint="eastAsia"/>
                                <w:b/>
                                <w:i/>
                                <w:iCs/>
                                <w:color w:val="000000" w:themeColor="text1"/>
                                <w:sz w:val="19"/>
                                <w:szCs w:val="19"/>
                                <w:lang w:eastAsia="ja-JP"/>
                              </w:rPr>
                              <w:t>会社は、報告書において、保証のための声明を報告しなければならない。その声明には、以下を含まなくてはならない。</w:t>
                            </w:r>
                          </w:p>
                          <w:p w14:paraId="5D9373D4" w14:textId="77777777" w:rsidR="00BC5597" w:rsidRPr="00241590" w:rsidRDefault="00BC5597" w:rsidP="00BC5597">
                            <w:pPr>
                              <w:rPr>
                                <w:b/>
                                <w:i/>
                                <w:iCs/>
                                <w:color w:val="000000" w:themeColor="text1"/>
                                <w:sz w:val="19"/>
                                <w:szCs w:val="19"/>
                                <w:lang w:eastAsia="ja-JP"/>
                              </w:rPr>
                            </w:pPr>
                          </w:p>
                          <w:p w14:paraId="49F4D7E1" w14:textId="413B96DA" w:rsidR="00241590" w:rsidRPr="00241590" w:rsidRDefault="00241590">
                            <w:pPr>
                              <w:pStyle w:val="a5"/>
                              <w:numPr>
                                <w:ilvl w:val="0"/>
                                <w:numId w:val="86"/>
                              </w:numPr>
                              <w:ind w:left="280" w:hangingChars="147" w:hanging="280"/>
                              <w:rPr>
                                <w:b/>
                                <w:i/>
                                <w:iCs/>
                                <w:color w:val="000000" w:themeColor="text1"/>
                                <w:sz w:val="19"/>
                                <w:szCs w:val="19"/>
                                <w:lang w:eastAsia="ja-JP"/>
                              </w:rPr>
                            </w:pPr>
                            <w:r w:rsidRPr="00241590">
                              <w:rPr>
                                <w:rFonts w:ascii="ＭＳ ゴシック" w:eastAsia="ＭＳ ゴシック" w:hAnsi="ＭＳ ゴシック" w:cs="ＭＳ ゴシック" w:hint="eastAsia"/>
                                <w:b/>
                                <w:i/>
                                <w:iCs/>
                                <w:color w:val="000000" w:themeColor="text1"/>
                                <w:sz w:val="19"/>
                                <w:szCs w:val="19"/>
                                <w:lang w:eastAsia="ja-JP"/>
                              </w:rPr>
                              <w:t>保証する意見または重要なレビューを含む、達成された保証のレベル（限定的または合理的）</w:t>
                            </w:r>
                          </w:p>
                          <w:p w14:paraId="510AA2FC" w14:textId="4D7E248B" w:rsidR="00241590" w:rsidRPr="00241590" w:rsidRDefault="00241590">
                            <w:pPr>
                              <w:pStyle w:val="a5"/>
                              <w:numPr>
                                <w:ilvl w:val="0"/>
                                <w:numId w:val="86"/>
                              </w:numPr>
                              <w:ind w:left="280" w:hangingChars="147" w:hanging="280"/>
                              <w:rPr>
                                <w:b/>
                                <w:i/>
                                <w:iCs/>
                                <w:color w:val="000000" w:themeColor="text1"/>
                                <w:sz w:val="19"/>
                                <w:szCs w:val="19"/>
                                <w:lang w:eastAsia="ja-JP"/>
                              </w:rPr>
                            </w:pPr>
                            <w:r w:rsidRPr="00241590">
                              <w:rPr>
                                <w:rFonts w:ascii="ＭＳ ゴシック" w:eastAsia="ＭＳ ゴシック" w:hAnsi="ＭＳ ゴシック" w:cs="ＭＳ ゴシック" w:hint="eastAsia"/>
                                <w:b/>
                                <w:i/>
                                <w:iCs/>
                                <w:color w:val="000000" w:themeColor="text1"/>
                                <w:sz w:val="19"/>
                                <w:szCs w:val="19"/>
                                <w:lang w:eastAsia="ja-JP"/>
                              </w:rPr>
                              <w:t>保証が第一者又は第三者のいずれによって行われたのか</w:t>
                            </w:r>
                          </w:p>
                          <w:p w14:paraId="201B8BFE" w14:textId="2947F316" w:rsidR="00241590" w:rsidRPr="00241590" w:rsidRDefault="00241590">
                            <w:pPr>
                              <w:pStyle w:val="a5"/>
                              <w:numPr>
                                <w:ilvl w:val="0"/>
                                <w:numId w:val="86"/>
                              </w:numPr>
                              <w:ind w:left="280" w:hangingChars="147" w:hanging="280"/>
                              <w:rPr>
                                <w:b/>
                                <w:i/>
                                <w:iCs/>
                                <w:color w:val="000000" w:themeColor="text1"/>
                                <w:sz w:val="19"/>
                                <w:szCs w:val="19"/>
                                <w:lang w:eastAsia="ja-JP"/>
                              </w:rPr>
                            </w:pPr>
                            <w:r w:rsidRPr="00241590">
                              <w:rPr>
                                <w:rFonts w:ascii="ＭＳ ゴシック" w:eastAsia="ＭＳ ゴシック" w:hAnsi="ＭＳ ゴシック" w:cs="ＭＳ ゴシック" w:hint="eastAsia"/>
                                <w:b/>
                                <w:i/>
                                <w:iCs/>
                                <w:color w:val="000000" w:themeColor="text1"/>
                                <w:sz w:val="19"/>
                                <w:szCs w:val="19"/>
                                <w:lang w:eastAsia="ja-JP"/>
                              </w:rPr>
                              <w:t>保証プロセスの概要</w:t>
                            </w:r>
                          </w:p>
                          <w:p w14:paraId="5BD65F12" w14:textId="7CC15602" w:rsidR="00241590" w:rsidRPr="00241590" w:rsidRDefault="00241590">
                            <w:pPr>
                              <w:pStyle w:val="a5"/>
                              <w:numPr>
                                <w:ilvl w:val="0"/>
                                <w:numId w:val="86"/>
                              </w:numPr>
                              <w:ind w:left="280" w:hangingChars="147" w:hanging="280"/>
                              <w:rPr>
                                <w:b/>
                                <w:i/>
                                <w:iCs/>
                                <w:color w:val="000000" w:themeColor="text1"/>
                                <w:sz w:val="19"/>
                                <w:szCs w:val="19"/>
                                <w:lang w:eastAsia="ja-JP"/>
                              </w:rPr>
                            </w:pPr>
                            <w:r w:rsidRPr="00241590">
                              <w:rPr>
                                <w:rFonts w:ascii="ＭＳ ゴシック" w:eastAsia="ＭＳ ゴシック" w:hAnsi="ＭＳ ゴシック" w:cs="ＭＳ ゴシック" w:hint="eastAsia"/>
                                <w:b/>
                                <w:i/>
                                <w:iCs/>
                                <w:color w:val="000000" w:themeColor="text1"/>
                                <w:sz w:val="19"/>
                                <w:szCs w:val="19"/>
                                <w:lang w:eastAsia="ja-JP"/>
                              </w:rPr>
                              <w:t>保証の提供者の保証能力</w:t>
                            </w:r>
                          </w:p>
                          <w:p w14:paraId="7C85818B" w14:textId="5108A6A0" w:rsidR="00241590" w:rsidRPr="00241590" w:rsidRDefault="00241590">
                            <w:pPr>
                              <w:pStyle w:val="a5"/>
                              <w:numPr>
                                <w:ilvl w:val="0"/>
                                <w:numId w:val="86"/>
                              </w:numPr>
                              <w:ind w:left="280" w:hangingChars="147" w:hanging="280"/>
                              <w:rPr>
                                <w:b/>
                                <w:i/>
                                <w:iCs/>
                                <w:color w:val="000000" w:themeColor="text1"/>
                                <w:sz w:val="19"/>
                                <w:szCs w:val="19"/>
                                <w:lang w:eastAsia="ja-JP"/>
                              </w:rPr>
                            </w:pPr>
                            <w:r w:rsidRPr="00241590">
                              <w:rPr>
                                <w:rFonts w:ascii="ＭＳ ゴシック" w:eastAsia="ＭＳ ゴシック" w:hAnsi="ＭＳ ゴシック" w:cs="ＭＳ ゴシック" w:hint="eastAsia"/>
                                <w:b/>
                                <w:i/>
                                <w:iCs/>
                                <w:color w:val="000000" w:themeColor="text1"/>
                                <w:sz w:val="19"/>
                                <w:szCs w:val="19"/>
                                <w:lang w:eastAsia="ja-JP"/>
                              </w:rPr>
                              <w:t>第一者保証の場合、潜在的な利益相反がどのように回避されたか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FC8140D" id="四角形: 角を丸くする 116" o:spid="_x0000_s1140" style="position:absolute;left:0;text-align:left;margin-left:318pt;margin-top:53.35pt;width:231pt;height:183pt;z-index:251508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99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" fillcolor="#70029c" stroked="f" strokeweight="2pt">
                <v:fill opacity="16448f"/>
                <v:textbox>
                  <w:txbxContent>
                    <w:p w14:paraId="1301DFD6" w14:textId="0D49A6DF" w:rsidR="00241590" w:rsidRDefault="00241590" w:rsidP="00BC5597">
                      <w:pPr>
                        <w:rPr>
                          <w:rFonts w:ascii="ＭＳ ゴシック" w:eastAsia="ＭＳ ゴシック" w:hAnsi="ＭＳ ゴシック" w:cs="ＭＳ ゴシック"/>
                          <w:b/>
                          <w:i/>
                          <w:iCs/>
                          <w:color w:val="000000" w:themeColor="text1"/>
                          <w:sz w:val="19"/>
                          <w:szCs w:val="19"/>
                          <w:lang w:eastAsia="ja-JP"/>
                        </w:rPr>
                      </w:pPr>
                      <w:r w:rsidRPr="00241590">
                        <w:rPr>
                          <w:rFonts w:ascii="ＭＳ ゴシック" w:eastAsia="ＭＳ ゴシック" w:hAnsi="ＭＳ ゴシック" w:cs="ＭＳ ゴシック" w:hint="eastAsia"/>
                          <w:b/>
                          <w:i/>
                          <w:iCs/>
                          <w:color w:val="000000" w:themeColor="text1"/>
                          <w:sz w:val="19"/>
                          <w:szCs w:val="19"/>
                          <w:lang w:eastAsia="ja-JP"/>
                        </w:rPr>
                        <w:t>会社は、報告書において、保証のための声明を報告しなければならない。その声明には、以下を含まなくてはならない。</w:t>
                      </w:r>
                    </w:p>
                    <w:p w14:paraId="5D9373D4" w14:textId="77777777" w:rsidR="00BC5597" w:rsidRPr="00241590" w:rsidRDefault="00BC5597" w:rsidP="00BC5597">
                      <w:pPr>
                        <w:rPr>
                          <w:b/>
                          <w:i/>
                          <w:iCs/>
                          <w:color w:val="000000" w:themeColor="text1"/>
                          <w:sz w:val="19"/>
                          <w:szCs w:val="19"/>
                          <w:lang w:eastAsia="ja-JP"/>
                        </w:rPr>
                      </w:pPr>
                    </w:p>
                    <w:p w14:paraId="49F4D7E1" w14:textId="413B96DA" w:rsidR="00241590" w:rsidRPr="00241590" w:rsidRDefault="00241590">
                      <w:pPr>
                        <w:pStyle w:val="a5"/>
                        <w:numPr>
                          <w:ilvl w:val="0"/>
                          <w:numId w:val="86"/>
                        </w:numPr>
                        <w:ind w:left="280" w:hangingChars="147" w:hanging="280"/>
                        <w:rPr>
                          <w:b/>
                          <w:i/>
                          <w:iCs/>
                          <w:color w:val="000000" w:themeColor="text1"/>
                          <w:sz w:val="19"/>
                          <w:szCs w:val="19"/>
                          <w:lang w:eastAsia="ja-JP"/>
                        </w:rPr>
                      </w:pPr>
                      <w:r w:rsidRPr="00241590">
                        <w:rPr>
                          <w:rFonts w:ascii="ＭＳ ゴシック" w:eastAsia="ＭＳ ゴシック" w:hAnsi="ＭＳ ゴシック" w:cs="ＭＳ ゴシック" w:hint="eastAsia"/>
                          <w:b/>
                          <w:i/>
                          <w:iCs/>
                          <w:color w:val="000000" w:themeColor="text1"/>
                          <w:sz w:val="19"/>
                          <w:szCs w:val="19"/>
                          <w:lang w:eastAsia="ja-JP"/>
                        </w:rPr>
                        <w:t>保証する意見または重要なレビューを含む、達成された保証のレベル（限定的または合理的）</w:t>
                      </w:r>
                    </w:p>
                    <w:p w14:paraId="510AA2FC" w14:textId="4D7E248B" w:rsidR="00241590" w:rsidRPr="00241590" w:rsidRDefault="00241590">
                      <w:pPr>
                        <w:pStyle w:val="a5"/>
                        <w:numPr>
                          <w:ilvl w:val="0"/>
                          <w:numId w:val="86"/>
                        </w:numPr>
                        <w:ind w:left="280" w:hangingChars="147" w:hanging="280"/>
                        <w:rPr>
                          <w:b/>
                          <w:i/>
                          <w:iCs/>
                          <w:color w:val="000000" w:themeColor="text1"/>
                          <w:sz w:val="19"/>
                          <w:szCs w:val="19"/>
                          <w:lang w:eastAsia="ja-JP"/>
                        </w:rPr>
                      </w:pPr>
                      <w:r w:rsidRPr="00241590">
                        <w:rPr>
                          <w:rFonts w:ascii="ＭＳ ゴシック" w:eastAsia="ＭＳ ゴシック" w:hAnsi="ＭＳ ゴシック" w:cs="ＭＳ ゴシック" w:hint="eastAsia"/>
                          <w:b/>
                          <w:i/>
                          <w:iCs/>
                          <w:color w:val="000000" w:themeColor="text1"/>
                          <w:sz w:val="19"/>
                          <w:szCs w:val="19"/>
                          <w:lang w:eastAsia="ja-JP"/>
                        </w:rPr>
                        <w:t>保証が第一者又は第三者のいずれによって行われたのか</w:t>
                      </w:r>
                    </w:p>
                    <w:p w14:paraId="201B8BFE" w14:textId="2947F316" w:rsidR="00241590" w:rsidRPr="00241590" w:rsidRDefault="00241590">
                      <w:pPr>
                        <w:pStyle w:val="a5"/>
                        <w:numPr>
                          <w:ilvl w:val="0"/>
                          <w:numId w:val="86"/>
                        </w:numPr>
                        <w:ind w:left="280" w:hangingChars="147" w:hanging="280"/>
                        <w:rPr>
                          <w:b/>
                          <w:i/>
                          <w:iCs/>
                          <w:color w:val="000000" w:themeColor="text1"/>
                          <w:sz w:val="19"/>
                          <w:szCs w:val="19"/>
                          <w:lang w:eastAsia="ja-JP"/>
                        </w:rPr>
                      </w:pPr>
                      <w:r w:rsidRPr="00241590">
                        <w:rPr>
                          <w:rFonts w:ascii="ＭＳ ゴシック" w:eastAsia="ＭＳ ゴシック" w:hAnsi="ＭＳ ゴシック" w:cs="ＭＳ ゴシック" w:hint="eastAsia"/>
                          <w:b/>
                          <w:i/>
                          <w:iCs/>
                          <w:color w:val="000000" w:themeColor="text1"/>
                          <w:sz w:val="19"/>
                          <w:szCs w:val="19"/>
                          <w:lang w:eastAsia="ja-JP"/>
                        </w:rPr>
                        <w:t>保証プロセスの概要</w:t>
                      </w:r>
                    </w:p>
                    <w:p w14:paraId="5BD65F12" w14:textId="7CC15602" w:rsidR="00241590" w:rsidRPr="00241590" w:rsidRDefault="00241590">
                      <w:pPr>
                        <w:pStyle w:val="a5"/>
                        <w:numPr>
                          <w:ilvl w:val="0"/>
                          <w:numId w:val="86"/>
                        </w:numPr>
                        <w:ind w:left="280" w:hangingChars="147" w:hanging="280"/>
                        <w:rPr>
                          <w:b/>
                          <w:i/>
                          <w:iCs/>
                          <w:color w:val="000000" w:themeColor="text1"/>
                          <w:sz w:val="19"/>
                          <w:szCs w:val="19"/>
                          <w:lang w:eastAsia="ja-JP"/>
                        </w:rPr>
                      </w:pPr>
                      <w:r w:rsidRPr="00241590">
                        <w:rPr>
                          <w:rFonts w:ascii="ＭＳ ゴシック" w:eastAsia="ＭＳ ゴシック" w:hAnsi="ＭＳ ゴシック" w:cs="ＭＳ ゴシック" w:hint="eastAsia"/>
                          <w:b/>
                          <w:i/>
                          <w:iCs/>
                          <w:color w:val="000000" w:themeColor="text1"/>
                          <w:sz w:val="19"/>
                          <w:szCs w:val="19"/>
                          <w:lang w:eastAsia="ja-JP"/>
                        </w:rPr>
                        <w:t>保証の提供者の保証能力</w:t>
                      </w:r>
                    </w:p>
                    <w:p w14:paraId="7C85818B" w14:textId="5108A6A0" w:rsidR="00241590" w:rsidRPr="00241590" w:rsidRDefault="00241590">
                      <w:pPr>
                        <w:pStyle w:val="a5"/>
                        <w:numPr>
                          <w:ilvl w:val="0"/>
                          <w:numId w:val="86"/>
                        </w:numPr>
                        <w:ind w:left="280" w:hangingChars="147" w:hanging="280"/>
                        <w:rPr>
                          <w:b/>
                          <w:i/>
                          <w:iCs/>
                          <w:color w:val="000000" w:themeColor="text1"/>
                          <w:sz w:val="19"/>
                          <w:szCs w:val="19"/>
                          <w:lang w:eastAsia="ja-JP"/>
                        </w:rPr>
                      </w:pPr>
                      <w:r w:rsidRPr="00241590">
                        <w:rPr>
                          <w:rFonts w:ascii="ＭＳ ゴシック" w:eastAsia="ＭＳ ゴシック" w:hAnsi="ＭＳ ゴシック" w:cs="ＭＳ ゴシック" w:hint="eastAsia"/>
                          <w:b/>
                          <w:i/>
                          <w:iCs/>
                          <w:color w:val="000000" w:themeColor="text1"/>
                          <w:sz w:val="19"/>
                          <w:szCs w:val="19"/>
                          <w:lang w:eastAsia="ja-JP"/>
                        </w:rPr>
                        <w:t>第一者保証の場合、潜在的な利益相反がどのように回避されたか</w:t>
                      </w:r>
                    </w:p>
                  </w:txbxContent>
                </v:textbox>
              </v:roundrect>
            </w:pict>
          </mc:Fallback>
        </mc:AlternateContent>
      </w:r>
      <w:r w:rsidR="004A680E">
        <w:rPr>
          <w:rFonts w:ascii="ＭＳ ゴシック" w:eastAsia="ＭＳ ゴシック" w:hAnsi="ＭＳ ゴシック" w:cs="ＭＳ ゴシック" w:hint="eastAsia"/>
          <w:lang w:eastAsia="ja-JP"/>
        </w:rPr>
        <w:t>保証人とは、報告書に保証を提供する者と定義され、製品</w:t>
      </w:r>
      <w:r>
        <w:rPr>
          <w:rFonts w:ascii="ＭＳ ゴシック" w:eastAsia="ＭＳ ゴシック" w:hAnsi="ＭＳ ゴシック" w:cs="ＭＳ ゴシック" w:hint="eastAsia"/>
          <w:lang w:eastAsia="ja-JP"/>
        </w:rPr>
        <w:t>排出量</w:t>
      </w:r>
      <w:r w:rsidR="004A680E">
        <w:rPr>
          <w:rFonts w:ascii="ＭＳ ゴシック" w:eastAsia="ＭＳ ゴシック" w:hAnsi="ＭＳ ゴシック" w:cs="ＭＳ ゴシック" w:hint="eastAsia"/>
          <w:lang w:eastAsia="ja-JP"/>
        </w:rPr>
        <w:t>の決定または宣言の作成に一切関与しないものと</w:t>
      </w:r>
      <w:r>
        <w:rPr>
          <w:rFonts w:ascii="ＭＳ ゴシック" w:eastAsia="ＭＳ ゴシック" w:hAnsi="ＭＳ ゴシック" w:cs="ＭＳ ゴシック" w:hint="eastAsia"/>
          <w:lang w:eastAsia="ja-JP"/>
        </w:rPr>
        <w:t>します</w:t>
      </w:r>
      <w:r w:rsidR="004A680E">
        <w:rPr>
          <w:rFonts w:ascii="ＭＳ ゴシック" w:eastAsia="ＭＳ ゴシック" w:hAnsi="ＭＳ ゴシック" w:cs="ＭＳ ゴシック" w:hint="eastAsia"/>
          <w:lang w:eastAsia="ja-JP"/>
        </w:rPr>
        <w:t>。また、客観的かつ公平な判断を行うことができるよう、利害の衝突が</w:t>
      </w:r>
      <w:r>
        <w:rPr>
          <w:rFonts w:ascii="ＭＳ ゴシック" w:eastAsia="ＭＳ ゴシック" w:hAnsi="ＭＳ ゴシック" w:cs="ＭＳ ゴシック" w:hint="eastAsia"/>
          <w:lang w:eastAsia="ja-JP"/>
        </w:rPr>
        <w:t>あってはいけません</w:t>
      </w:r>
      <w:r w:rsidR="004A680E">
        <w:rPr>
          <w:rFonts w:ascii="ＭＳ ゴシック" w:eastAsia="ＭＳ ゴシック" w:hAnsi="ＭＳ ゴシック" w:cs="ＭＳ ゴシック" w:hint="eastAsia"/>
          <w:lang w:eastAsia="ja-JP"/>
        </w:rPr>
        <w:t>。</w:t>
      </w:r>
    </w:p>
    <w:p w14:paraId="1751F33D" w14:textId="3F7F4A8D" w:rsidR="0055291C" w:rsidRDefault="00F23C61" w:rsidP="00241590">
      <w:pPr>
        <w:pStyle w:val="a3"/>
        <w:spacing w:before="102" w:line="312" w:lineRule="auto"/>
        <w:ind w:right="1563"/>
        <w:rPr>
          <w:lang w:eastAsia="ja-JP"/>
        </w:rPr>
      </w:pPr>
      <w:r>
        <w:rPr>
          <w:lang w:eastAsia="ja-JP"/>
        </w:rPr>
        <w:br w:type="column"/>
      </w:r>
    </w:p>
    <w:p w14:paraId="3DED3ACF" w14:textId="46B79F3B" w:rsidR="0055291C" w:rsidRDefault="00241590" w:rsidP="00241590">
      <w:pPr>
        <w:pStyle w:val="a3"/>
        <w:spacing w:before="1" w:line="312" w:lineRule="auto"/>
        <w:ind w:left="475" w:right="1263" w:firstLineChars="100" w:firstLine="190"/>
        <w:rPr>
          <w:lang w:eastAsia="ja-JP"/>
        </w:rPr>
      </w:pPr>
      <w:r>
        <w:rPr>
          <w:rFonts w:ascii="ＭＳ ゴシック" w:eastAsia="ＭＳ ゴシック" w:hAnsi="ＭＳ ゴシック" w:cs="ＭＳ ゴシック" w:hint="eastAsia"/>
          <w:lang w:eastAsia="ja-JP"/>
        </w:rPr>
        <w:t>本来、第三者による保証は、より高度な客観性と独</w:t>
      </w:r>
      <w:r>
        <w:rPr>
          <w:lang w:eastAsia="ja-JP"/>
        </w:rPr>
        <w:t xml:space="preserve"> </w:t>
      </w:r>
      <w:r>
        <w:rPr>
          <w:rFonts w:ascii="ＭＳ ゴシック" w:eastAsia="ＭＳ ゴシック" w:hAnsi="ＭＳ ゴシック" w:cs="ＭＳ ゴシック" w:hint="eastAsia"/>
          <w:lang w:eastAsia="ja-JP"/>
        </w:rPr>
        <w:t>立性を備えています。</w:t>
      </w:r>
      <w:r>
        <w:rPr>
          <w:lang w:eastAsia="ja-JP"/>
        </w:rPr>
        <w:t xml:space="preserve"> </w:t>
      </w:r>
      <w:r>
        <w:rPr>
          <w:rFonts w:ascii="ＭＳ ゴシック" w:eastAsia="ＭＳ ゴシック" w:hAnsi="ＭＳ ゴシック" w:cs="ＭＳ ゴシック" w:hint="eastAsia"/>
          <w:lang w:eastAsia="ja-JP"/>
        </w:rPr>
        <w:t>第一者保証を受ける会社は、保証の過程で潜在的な利益相反がどのように回避されたかを報告することが求められています（詳細は、下記の保証書報告要件をご覧ください）。独立性に対する典型的な脅威としては</w:t>
      </w:r>
      <w:r>
        <w:rPr>
          <w:lang w:eastAsia="ja-JP"/>
        </w:rPr>
        <w:t xml:space="preserve"> </w:t>
      </w:r>
      <w:r>
        <w:rPr>
          <w:rFonts w:ascii="ＭＳ ゴシック" w:eastAsia="ＭＳ ゴシック" w:hAnsi="ＭＳ ゴシック" w:cs="ＭＳ ゴシック" w:hint="eastAsia"/>
          <w:lang w:eastAsia="ja-JP"/>
        </w:rPr>
        <w:t>、報告企業と保証人の間の金銭的な利害の対立などが考えられます。これらの脅威は、保証のプロセス全体を通じて評価する必要があります。</w:t>
      </w:r>
    </w:p>
    <w:p w14:paraId="50F5F442"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747" w:space="40"/>
            <w:col w:w="6453"/>
          </w:cols>
        </w:sectPr>
      </w:pPr>
    </w:p>
    <w:p w14:paraId="06A878BF" w14:textId="77777777" w:rsidR="0055291C" w:rsidRDefault="0055291C">
      <w:pPr>
        <w:pStyle w:val="a3"/>
        <w:rPr>
          <w:sz w:val="20"/>
          <w:lang w:eastAsia="ja-JP"/>
        </w:rPr>
      </w:pPr>
    </w:p>
    <w:p w14:paraId="082CF907" w14:textId="77777777" w:rsidR="0055291C" w:rsidRDefault="0055291C">
      <w:pPr>
        <w:pStyle w:val="a3"/>
        <w:rPr>
          <w:sz w:val="20"/>
          <w:lang w:eastAsia="ja-JP"/>
        </w:rPr>
      </w:pPr>
    </w:p>
    <w:p w14:paraId="405A3984" w14:textId="77777777" w:rsidR="0055291C" w:rsidRDefault="0055291C">
      <w:pPr>
        <w:pStyle w:val="a3"/>
        <w:rPr>
          <w:sz w:val="20"/>
          <w:lang w:eastAsia="ja-JP"/>
        </w:rPr>
      </w:pPr>
    </w:p>
    <w:p w14:paraId="605D4ABA" w14:textId="77777777" w:rsidR="0055291C" w:rsidRDefault="0055291C">
      <w:pPr>
        <w:pStyle w:val="a3"/>
        <w:spacing w:before="4"/>
        <w:rPr>
          <w:sz w:val="24"/>
          <w:lang w:eastAsia="ja-JP"/>
        </w:rPr>
      </w:pPr>
    </w:p>
    <w:p w14:paraId="7608B03D" w14:textId="77777777" w:rsidR="0055291C" w:rsidRDefault="00000000">
      <w:pPr>
        <w:spacing w:before="1"/>
        <w:ind w:right="1126"/>
        <w:jc w:val="right"/>
        <w:rPr>
          <w:rFonts w:ascii="Arial"/>
          <w:i/>
          <w:sz w:val="19"/>
          <w:lang w:eastAsia="ja-JP"/>
        </w:rPr>
      </w:pPr>
      <w:r>
        <w:pict w14:anchorId="204F39AE">
          <v:shape id="docshape1399" o:spid="_x0000_s2446" style="position:absolute;left:0;text-align:left;margin-left:580.75pt;margin-top:-47.75pt;width:31.3pt;height:285.85pt;z-index:251636224;mso-position-horizontal-relative:page" coordorigin="11615,-955" coordsize="626,5717" path="m12240,-955r-625,l11615,4535r3,131l11643,4733r67,25l11842,4761r398,l12240,-955xe" fillcolor="#7f3f98" stroked="f">
            <v:path arrowok="t"/>
            <w10:wrap anchorx="page"/>
          </v:shape>
        </w:pict>
      </w:r>
      <w:r w:rsidR="00F23C61">
        <w:rPr>
          <w:rFonts w:ascii="Arial"/>
          <w:b/>
          <w:i/>
          <w:color w:val="7F3F98"/>
          <w:w w:val="95"/>
          <w:sz w:val="19"/>
          <w:lang w:eastAsia="ja-JP"/>
        </w:rPr>
        <w:t>CHAPTER</w:t>
      </w:r>
      <w:r w:rsidR="00F23C61">
        <w:rPr>
          <w:rFonts w:ascii="Arial"/>
          <w:b/>
          <w:i/>
          <w:color w:val="7F3F98"/>
          <w:spacing w:val="22"/>
          <w:w w:val="95"/>
          <w:sz w:val="19"/>
          <w:lang w:eastAsia="ja-JP"/>
        </w:rPr>
        <w:t xml:space="preserve"> </w:t>
      </w:r>
      <w:r w:rsidR="00F23C61">
        <w:rPr>
          <w:rFonts w:ascii="Arial"/>
          <w:b/>
          <w:i/>
          <w:color w:val="7F3F98"/>
          <w:w w:val="95"/>
          <w:sz w:val="19"/>
          <w:lang w:eastAsia="ja-JP"/>
        </w:rPr>
        <w:t>12</w:t>
      </w:r>
      <w:r w:rsidR="00F23C61">
        <w:rPr>
          <w:rFonts w:ascii="Arial"/>
          <w:b/>
          <w:i/>
          <w:color w:val="7F3F98"/>
          <w:spacing w:val="22"/>
          <w:w w:val="95"/>
          <w:sz w:val="19"/>
          <w:lang w:eastAsia="ja-JP"/>
        </w:rPr>
        <w:t xml:space="preserve"> </w:t>
      </w:r>
      <w:r w:rsidR="00F23C61">
        <w:rPr>
          <w:rFonts w:ascii="Arial"/>
          <w:i/>
          <w:color w:val="545456"/>
          <w:w w:val="95"/>
          <w:sz w:val="19"/>
          <w:lang w:eastAsia="ja-JP"/>
        </w:rPr>
        <w:t>Assurance</w:t>
      </w:r>
    </w:p>
    <w:p w14:paraId="465DF8DD" w14:textId="77777777" w:rsidR="0055291C" w:rsidRDefault="0055291C">
      <w:pPr>
        <w:pStyle w:val="a3"/>
        <w:rPr>
          <w:rFonts w:ascii="Arial"/>
          <w:i/>
          <w:sz w:val="20"/>
          <w:lang w:eastAsia="ja-JP"/>
        </w:rPr>
      </w:pPr>
    </w:p>
    <w:p w14:paraId="1E2114EC" w14:textId="77777777" w:rsidR="0055291C" w:rsidRDefault="0055291C">
      <w:pPr>
        <w:pStyle w:val="a3"/>
        <w:spacing w:before="7"/>
        <w:rPr>
          <w:rFonts w:ascii="Arial"/>
          <w:i/>
          <w:sz w:val="24"/>
          <w:lang w:eastAsia="ja-JP"/>
        </w:rPr>
      </w:pPr>
    </w:p>
    <w:p w14:paraId="762C6504" w14:textId="77777777" w:rsidR="0055291C" w:rsidRDefault="0055291C">
      <w:pPr>
        <w:rPr>
          <w:rFonts w:ascii="Arial"/>
          <w:sz w:val="24"/>
          <w:lang w:eastAsia="ja-JP"/>
        </w:rPr>
        <w:sectPr w:rsidR="0055291C">
          <w:headerReference w:type="default" r:id="rId291"/>
          <w:pgSz w:w="12240" w:h="15840"/>
          <w:pgMar w:top="0" w:right="0" w:bottom="1040" w:left="0" w:header="0" w:footer="859" w:gutter="0"/>
          <w:cols w:space="720"/>
        </w:sectPr>
      </w:pPr>
    </w:p>
    <w:p w14:paraId="202C4F01" w14:textId="564DC7C5" w:rsidR="0055291C" w:rsidRDefault="00BC5597" w:rsidP="009829B8">
      <w:pPr>
        <w:pStyle w:val="7"/>
        <w:spacing w:before="99"/>
        <w:ind w:leftChars="386" w:left="849" w:firstLineChars="73" w:firstLine="139"/>
        <w:rPr>
          <w:lang w:eastAsia="ja-JP"/>
        </w:rPr>
      </w:pPr>
      <w:r>
        <w:rPr>
          <w:rFonts w:ascii="ＭＳ 明朝" w:eastAsia="ＭＳ 明朝" w:hAnsi="ＭＳ 明朝" w:cs="ＭＳ 明朝" w:hint="eastAsia"/>
          <w:color w:val="00B8B1"/>
          <w:w w:val="95"/>
          <w:lang w:eastAsia="ja-JP"/>
        </w:rPr>
        <w:t>保証人の保証能力</w:t>
      </w:r>
    </w:p>
    <w:p w14:paraId="5EDF9947" w14:textId="6BBCC5D3" w:rsidR="0055291C" w:rsidRDefault="00BC5597" w:rsidP="009829B8">
      <w:pPr>
        <w:pStyle w:val="a3"/>
        <w:spacing w:before="62" w:line="312" w:lineRule="auto"/>
        <w:ind w:leftChars="386" w:left="849" w:right="-3" w:firstLineChars="73" w:firstLine="139"/>
        <w:rPr>
          <w:lang w:eastAsia="ja-JP"/>
        </w:rPr>
      </w:pPr>
      <w:r>
        <w:rPr>
          <w:rFonts w:ascii="ＭＳ ゴシック" w:eastAsia="ＭＳ ゴシック" w:hAnsi="ＭＳ ゴシック" w:cs="ＭＳ ゴシック" w:hint="eastAsia"/>
          <w:lang w:eastAsia="ja-JP"/>
        </w:rPr>
        <w:t>信用できる保証人（保証の提供者ともいう）を選ぶことは、保証の結果が報告企業のビジネス目標やステークホルダーのニーズをサポートするために必要な信頼性を持つために重要となります。</w:t>
      </w:r>
    </w:p>
    <w:p w14:paraId="4308104F" w14:textId="4B4227BE" w:rsidR="0055291C" w:rsidRDefault="00BC5597" w:rsidP="009829B8">
      <w:pPr>
        <w:pStyle w:val="a3"/>
        <w:spacing w:before="142"/>
        <w:ind w:leftChars="386" w:left="849" w:firstLineChars="73" w:firstLine="131"/>
        <w:rPr>
          <w:lang w:eastAsia="ja-JP"/>
        </w:rPr>
      </w:pPr>
      <w:r>
        <w:rPr>
          <w:rFonts w:ascii="ＭＳ ゴシック" w:eastAsia="ＭＳ ゴシック" w:hAnsi="ＭＳ ゴシック" w:cs="ＭＳ ゴシック" w:hint="eastAsia"/>
          <w:color w:val="545456"/>
          <w:w w:val="95"/>
          <w:lang w:eastAsia="ja-JP"/>
        </w:rPr>
        <w:t>信用できる保証人の</w:t>
      </w:r>
      <w:r w:rsidR="009829B8">
        <w:rPr>
          <w:rFonts w:ascii="ＭＳ ゴシック" w:eastAsia="ＭＳ ゴシック" w:hAnsi="ＭＳ ゴシック" w:cs="ＭＳ ゴシック" w:hint="eastAsia"/>
          <w:color w:val="545456"/>
          <w:w w:val="95"/>
          <w:lang w:eastAsia="ja-JP"/>
        </w:rPr>
        <w:t>要件としては、以下のようなものがあります。</w:t>
      </w:r>
    </w:p>
    <w:p w14:paraId="27668689" w14:textId="77777777" w:rsidR="0055291C" w:rsidRDefault="0055291C" w:rsidP="009829B8">
      <w:pPr>
        <w:pStyle w:val="a3"/>
        <w:ind w:leftChars="386" w:left="849" w:firstLineChars="73" w:firstLine="124"/>
        <w:rPr>
          <w:sz w:val="17"/>
          <w:lang w:eastAsia="ja-JP"/>
        </w:rPr>
      </w:pPr>
    </w:p>
    <w:p w14:paraId="7C4883B3" w14:textId="1BCAA5A8" w:rsidR="009829B8" w:rsidRPr="009829B8" w:rsidRDefault="009829B8">
      <w:pPr>
        <w:pStyle w:val="a5"/>
        <w:numPr>
          <w:ilvl w:val="0"/>
          <w:numId w:val="79"/>
        </w:numPr>
        <w:ind w:leftChars="322" w:left="849" w:hanging="141"/>
        <w:rPr>
          <w:sz w:val="19"/>
          <w:szCs w:val="19"/>
          <w:lang w:eastAsia="ja-JP"/>
        </w:rPr>
      </w:pPr>
      <w:r w:rsidRPr="009829B8">
        <w:rPr>
          <w:rFonts w:ascii="ＭＳ ゴシック" w:eastAsia="ＭＳ ゴシック" w:hAnsi="ＭＳ ゴシック" w:cs="ＭＳ ゴシック" w:hint="eastAsia"/>
          <w:sz w:val="19"/>
          <w:szCs w:val="19"/>
          <w:lang w:eastAsia="ja-JP"/>
        </w:rPr>
        <w:t>保証に関する専門知識と保証フレームワークを使用</w:t>
      </w:r>
      <w:r w:rsidRPr="009829B8">
        <w:rPr>
          <w:sz w:val="19"/>
          <w:szCs w:val="19"/>
          <w:lang w:eastAsia="ja-JP"/>
        </w:rPr>
        <w:t xml:space="preserve"> </w:t>
      </w:r>
      <w:r w:rsidRPr="009829B8">
        <w:rPr>
          <w:rFonts w:ascii="ＭＳ ゴシック" w:eastAsia="ＭＳ ゴシック" w:hAnsi="ＭＳ ゴシック" w:cs="ＭＳ ゴシック" w:hint="eastAsia"/>
          <w:sz w:val="19"/>
          <w:szCs w:val="19"/>
          <w:lang w:eastAsia="ja-JP"/>
        </w:rPr>
        <w:t>した経験</w:t>
      </w:r>
      <w:r>
        <w:rPr>
          <w:rFonts w:ascii="ＭＳ ゴシック" w:eastAsia="ＭＳ ゴシック" w:hAnsi="ＭＳ ゴシック" w:cs="ＭＳ ゴシック" w:hint="eastAsia"/>
          <w:sz w:val="19"/>
          <w:szCs w:val="19"/>
          <w:lang w:eastAsia="ja-JP"/>
        </w:rPr>
        <w:t>があること</w:t>
      </w:r>
    </w:p>
    <w:p w14:paraId="2DE66F64" w14:textId="0B8C60B5" w:rsidR="009829B8" w:rsidRPr="009829B8" w:rsidRDefault="009829B8">
      <w:pPr>
        <w:pStyle w:val="a5"/>
        <w:numPr>
          <w:ilvl w:val="0"/>
          <w:numId w:val="79"/>
        </w:numPr>
        <w:ind w:leftChars="322" w:left="849" w:hanging="141"/>
        <w:rPr>
          <w:sz w:val="19"/>
          <w:szCs w:val="19"/>
          <w:lang w:eastAsia="ja-JP"/>
        </w:rPr>
      </w:pPr>
      <w:r>
        <w:rPr>
          <w:rFonts w:ascii="ＭＳ ゴシック" w:eastAsia="ＭＳ ゴシック" w:hAnsi="ＭＳ ゴシック" w:cs="ＭＳ ゴシック" w:hint="eastAsia"/>
          <w:sz w:val="19"/>
          <w:szCs w:val="19"/>
          <w:lang w:eastAsia="ja-JP"/>
        </w:rPr>
        <w:t>LCA</w:t>
      </w:r>
      <w:r w:rsidRPr="009829B8">
        <w:rPr>
          <w:rFonts w:ascii="ＭＳ ゴシック" w:eastAsia="ＭＳ ゴシック" w:hAnsi="ＭＳ ゴシック" w:cs="ＭＳ ゴシック" w:hint="eastAsia"/>
          <w:sz w:val="19"/>
          <w:szCs w:val="19"/>
          <w:lang w:eastAsia="ja-JP"/>
        </w:rPr>
        <w:t>および</w:t>
      </w:r>
      <w:r w:rsidR="00DA47C0">
        <w:rPr>
          <w:rFonts w:ascii="ＭＳ ゴシック" w:eastAsia="ＭＳ ゴシック" w:hAnsi="ＭＳ ゴシック" w:cs="ＭＳ ゴシック" w:hint="eastAsia"/>
          <w:sz w:val="19"/>
          <w:szCs w:val="19"/>
          <w:lang w:eastAsia="ja-JP"/>
        </w:rPr>
        <w:t>企業の</w:t>
      </w:r>
      <w:r w:rsidRPr="009829B8">
        <w:rPr>
          <w:sz w:val="19"/>
          <w:szCs w:val="19"/>
          <w:lang w:eastAsia="ja-JP"/>
        </w:rPr>
        <w:t>GHG</w:t>
      </w:r>
      <w:r w:rsidR="00DA47C0">
        <w:rPr>
          <w:rFonts w:ascii="ＭＳ ゴシック" w:eastAsia="ＭＳ ゴシック" w:hAnsi="ＭＳ ゴシック" w:cs="ＭＳ ゴシック" w:hint="eastAsia"/>
          <w:sz w:val="19"/>
          <w:szCs w:val="19"/>
          <w:lang w:eastAsia="ja-JP"/>
        </w:rPr>
        <w:t>算出</w:t>
      </w:r>
      <w:r w:rsidRPr="009829B8">
        <w:rPr>
          <w:rFonts w:ascii="ＭＳ ゴシック" w:eastAsia="ＭＳ ゴシック" w:hAnsi="ＭＳ ゴシック" w:cs="ＭＳ ゴシック" w:hint="eastAsia"/>
          <w:sz w:val="19"/>
          <w:szCs w:val="19"/>
          <w:lang w:eastAsia="ja-JP"/>
        </w:rPr>
        <w:t>に関する知識と経験、ならびに</w:t>
      </w:r>
      <w:r>
        <w:rPr>
          <w:rFonts w:ascii="ＭＳ ゴシック" w:eastAsia="ＭＳ ゴシック" w:hAnsi="ＭＳ ゴシック" w:cs="ＭＳ ゴシック" w:hint="eastAsia"/>
          <w:sz w:val="19"/>
          <w:szCs w:val="19"/>
          <w:lang w:eastAsia="ja-JP"/>
        </w:rPr>
        <w:t>GHG算出プロセス</w:t>
      </w:r>
      <w:r w:rsidRPr="009829B8">
        <w:rPr>
          <w:rFonts w:ascii="ＭＳ ゴシック" w:eastAsia="ＭＳ ゴシック" w:hAnsi="ＭＳ ゴシック" w:cs="ＭＳ ゴシック" w:hint="eastAsia"/>
          <w:sz w:val="19"/>
          <w:szCs w:val="19"/>
          <w:lang w:eastAsia="ja-JP"/>
        </w:rPr>
        <w:t>の主要なステップに精通していること</w:t>
      </w:r>
    </w:p>
    <w:p w14:paraId="71BB3342" w14:textId="1B700C8B" w:rsidR="009829B8" w:rsidRPr="009829B8" w:rsidRDefault="009829B8">
      <w:pPr>
        <w:pStyle w:val="a5"/>
        <w:numPr>
          <w:ilvl w:val="0"/>
          <w:numId w:val="79"/>
        </w:numPr>
        <w:ind w:leftChars="322" w:left="849" w:hanging="141"/>
        <w:rPr>
          <w:sz w:val="19"/>
          <w:szCs w:val="19"/>
          <w:lang w:eastAsia="ja-JP"/>
        </w:rPr>
      </w:pPr>
      <w:r>
        <w:rPr>
          <w:rFonts w:ascii="ＭＳ ゴシック" w:eastAsia="ＭＳ ゴシック" w:hAnsi="ＭＳ ゴシック" w:cs="ＭＳ ゴシック" w:hint="eastAsia"/>
          <w:sz w:val="19"/>
          <w:szCs w:val="19"/>
          <w:lang w:eastAsia="ja-JP"/>
        </w:rPr>
        <w:t>企業</w:t>
      </w:r>
      <w:r w:rsidRPr="009829B8">
        <w:rPr>
          <w:rFonts w:ascii="ＭＳ ゴシック" w:eastAsia="ＭＳ ゴシック" w:hAnsi="ＭＳ ゴシック" w:cs="ＭＳ ゴシック" w:hint="eastAsia"/>
          <w:sz w:val="19"/>
          <w:szCs w:val="19"/>
          <w:lang w:eastAsia="ja-JP"/>
        </w:rPr>
        <w:t>の活動や産業分野についての知識</w:t>
      </w:r>
      <w:r>
        <w:rPr>
          <w:rFonts w:ascii="ＭＳ ゴシック" w:eastAsia="ＭＳ ゴシック" w:hAnsi="ＭＳ ゴシック" w:cs="ＭＳ ゴシック" w:hint="eastAsia"/>
          <w:sz w:val="19"/>
          <w:szCs w:val="19"/>
          <w:lang w:eastAsia="ja-JP"/>
        </w:rPr>
        <w:t>があること</w:t>
      </w:r>
    </w:p>
    <w:p w14:paraId="3712F1E2" w14:textId="0C0A20F6" w:rsidR="009829B8" w:rsidRPr="009829B8" w:rsidRDefault="009829B8">
      <w:pPr>
        <w:pStyle w:val="a5"/>
        <w:numPr>
          <w:ilvl w:val="0"/>
          <w:numId w:val="79"/>
        </w:numPr>
        <w:ind w:leftChars="322" w:left="849" w:hanging="141"/>
        <w:rPr>
          <w:sz w:val="19"/>
          <w:szCs w:val="19"/>
          <w:lang w:eastAsia="ja-JP"/>
        </w:rPr>
      </w:pPr>
      <w:r w:rsidRPr="009829B8">
        <w:rPr>
          <w:rFonts w:ascii="ＭＳ ゴシック" w:eastAsia="ＭＳ ゴシック" w:hAnsi="ＭＳ ゴシック" w:cs="ＭＳ ゴシック" w:hint="eastAsia"/>
          <w:sz w:val="19"/>
          <w:szCs w:val="19"/>
          <w:lang w:eastAsia="ja-JP"/>
        </w:rPr>
        <w:t>潜在的な誤り、欠落、</w:t>
      </w:r>
      <w:r w:rsidR="00D8733B">
        <w:rPr>
          <w:rFonts w:ascii="ＭＳ ゴシック" w:eastAsia="ＭＳ ゴシック" w:hAnsi="ＭＳ ゴシック" w:cs="ＭＳ ゴシック" w:hint="eastAsia"/>
          <w:sz w:val="19"/>
          <w:szCs w:val="19"/>
          <w:lang w:eastAsia="ja-JP"/>
        </w:rPr>
        <w:t>虚偽</w:t>
      </w:r>
      <w:r w:rsidRPr="009829B8">
        <w:rPr>
          <w:rFonts w:ascii="ＭＳ ゴシック" w:eastAsia="ＭＳ ゴシック" w:hAnsi="ＭＳ ゴシック" w:cs="ＭＳ ゴシック" w:hint="eastAsia"/>
          <w:sz w:val="19"/>
          <w:szCs w:val="19"/>
          <w:lang w:eastAsia="ja-JP"/>
        </w:rPr>
        <w:t>表示の大きさ</w:t>
      </w:r>
      <w:r w:rsidR="00D8733B">
        <w:rPr>
          <w:rFonts w:ascii="ＭＳ ゴシック" w:eastAsia="ＭＳ ゴシック" w:hAnsi="ＭＳ ゴシック" w:cs="ＭＳ ゴシック" w:hint="eastAsia"/>
          <w:sz w:val="19"/>
          <w:szCs w:val="19"/>
          <w:lang w:eastAsia="ja-JP"/>
        </w:rPr>
        <w:t>や発生源</w:t>
      </w:r>
      <w:r w:rsidRPr="009829B8">
        <w:rPr>
          <w:rFonts w:ascii="ＭＳ ゴシック" w:eastAsia="ＭＳ ゴシック" w:hAnsi="ＭＳ ゴシック" w:cs="ＭＳ ゴシック" w:hint="eastAsia"/>
          <w:sz w:val="19"/>
          <w:szCs w:val="19"/>
          <w:lang w:eastAsia="ja-JP"/>
        </w:rPr>
        <w:t>を評価する能力</w:t>
      </w:r>
      <w:r w:rsidRPr="009829B8">
        <w:rPr>
          <w:sz w:val="19"/>
          <w:szCs w:val="19"/>
          <w:lang w:eastAsia="ja-JP"/>
        </w:rPr>
        <w:t xml:space="preserve"> </w:t>
      </w:r>
    </w:p>
    <w:p w14:paraId="60C48708" w14:textId="7B9F2BAC" w:rsidR="009829B8" w:rsidRPr="00D8733B" w:rsidRDefault="009829B8">
      <w:pPr>
        <w:pStyle w:val="a5"/>
        <w:numPr>
          <w:ilvl w:val="0"/>
          <w:numId w:val="79"/>
        </w:numPr>
        <w:ind w:leftChars="322" w:left="849" w:hanging="141"/>
        <w:rPr>
          <w:sz w:val="19"/>
          <w:szCs w:val="19"/>
          <w:lang w:eastAsia="ja-JP"/>
        </w:rPr>
      </w:pPr>
      <w:r w:rsidRPr="009829B8">
        <w:rPr>
          <w:rFonts w:ascii="ＭＳ ゴシック" w:eastAsia="ＭＳ ゴシック" w:hAnsi="ＭＳ ゴシック" w:cs="ＭＳ ゴシック" w:hint="eastAsia"/>
          <w:sz w:val="19"/>
          <w:szCs w:val="19"/>
          <w:lang w:eastAsia="ja-JP"/>
        </w:rPr>
        <w:t>データ・情報に挑戦する信頼性、独立性、専門的懐疑心</w:t>
      </w:r>
    </w:p>
    <w:p w14:paraId="245B600F" w14:textId="77777777" w:rsidR="00D8733B" w:rsidRPr="009829B8" w:rsidRDefault="00D8733B" w:rsidP="00D8733B">
      <w:pPr>
        <w:pStyle w:val="a5"/>
        <w:ind w:left="849" w:firstLine="0"/>
        <w:rPr>
          <w:sz w:val="19"/>
          <w:szCs w:val="19"/>
          <w:lang w:eastAsia="ja-JP"/>
        </w:rPr>
      </w:pPr>
    </w:p>
    <w:p w14:paraId="48C7F9FA" w14:textId="784F4D12" w:rsidR="009829B8" w:rsidRPr="00F61560" w:rsidRDefault="009829B8" w:rsidP="00F61560">
      <w:pPr>
        <w:ind w:leftChars="386" w:left="849" w:firstLineChars="73" w:firstLine="150"/>
        <w:rPr>
          <w:rFonts w:ascii="ＭＳ ゴシック" w:eastAsia="ＭＳ ゴシック" w:hAnsi="ＭＳ ゴシック" w:cs="ＭＳ ゴシック"/>
          <w:i/>
          <w:iCs/>
          <w:color w:val="00B8B1"/>
          <w:spacing w:val="-2"/>
          <w:w w:val="95"/>
          <w:lang w:eastAsia="ja-JP"/>
        </w:rPr>
      </w:pPr>
      <w:r w:rsidRPr="00F61560">
        <w:rPr>
          <w:rFonts w:ascii="ＭＳ ゴシック" w:eastAsia="ＭＳ ゴシック" w:hAnsi="ＭＳ ゴシック" w:cs="ＭＳ ゴシック" w:hint="eastAsia"/>
          <w:i/>
          <w:iCs/>
          <w:color w:val="00B8B1"/>
          <w:spacing w:val="-2"/>
          <w:w w:val="95"/>
          <w:lang w:eastAsia="ja-JP"/>
        </w:rPr>
        <w:t>保証プロセス</w:t>
      </w:r>
    </w:p>
    <w:p w14:paraId="3816BD38" w14:textId="006170A9" w:rsidR="0055291C" w:rsidRDefault="00D8733B" w:rsidP="009829B8">
      <w:pPr>
        <w:pStyle w:val="a3"/>
        <w:spacing w:before="141" w:line="312" w:lineRule="auto"/>
        <w:ind w:leftChars="386" w:left="849" w:right="448" w:firstLineChars="73" w:firstLine="139"/>
        <w:rPr>
          <w:lang w:eastAsia="ja-JP"/>
        </w:rPr>
      </w:pPr>
      <w:r>
        <w:rPr>
          <w:rFonts w:ascii="ＭＳ ゴシック" w:eastAsia="ＭＳ ゴシック" w:hAnsi="ＭＳ ゴシック" w:cs="ＭＳ ゴシック" w:hint="eastAsia"/>
          <w:lang w:eastAsia="ja-JP"/>
        </w:rPr>
        <w:t>算出の結果に対する保証を得るには、検証および批評的評価の</w:t>
      </w:r>
      <w:r>
        <w:rPr>
          <w:lang w:eastAsia="ja-JP"/>
        </w:rPr>
        <w:t>2</w:t>
      </w:r>
      <w:r>
        <w:rPr>
          <w:rFonts w:ascii="ＭＳ ゴシック" w:eastAsia="ＭＳ ゴシック" w:hAnsi="ＭＳ ゴシック" w:cs="ＭＳ ゴシック" w:hint="eastAsia"/>
          <w:lang w:eastAsia="ja-JP"/>
        </w:rPr>
        <w:t>つの方法があります。</w:t>
      </w:r>
      <w:r>
        <w:rPr>
          <w:lang w:eastAsia="ja-JP"/>
        </w:rPr>
        <w:t xml:space="preserve"> </w:t>
      </w:r>
      <w:r>
        <w:rPr>
          <w:rFonts w:ascii="ＭＳ ゴシック" w:eastAsia="ＭＳ ゴシック" w:hAnsi="ＭＳ ゴシック" w:cs="ＭＳ ゴシック" w:hint="eastAsia"/>
          <w:lang w:eastAsia="ja-JP"/>
        </w:rPr>
        <w:t>検証とは、報告書の信頼性を独立した立場で評価することです。</w:t>
      </w:r>
      <w:r w:rsidRPr="00D8733B">
        <w:rPr>
          <w:vertAlign w:val="superscript"/>
          <w:lang w:eastAsia="ja-JP"/>
        </w:rPr>
        <w:t>2</w:t>
      </w:r>
      <w:r>
        <w:rPr>
          <w:rFonts w:ascii="ＭＳ ゴシック" w:eastAsia="ＭＳ ゴシック" w:hAnsi="ＭＳ ゴシック" w:cs="ＭＳ ゴシック" w:hint="eastAsia"/>
          <w:lang w:eastAsia="ja-JP"/>
        </w:rPr>
        <w:t>検証業務は、第一者または</w:t>
      </w:r>
      <w:r>
        <w:rPr>
          <w:lang w:eastAsia="ja-JP"/>
        </w:rPr>
        <w:t xml:space="preserve"> </w:t>
      </w:r>
      <w:r>
        <w:rPr>
          <w:rFonts w:ascii="ＭＳ ゴシック" w:eastAsia="ＭＳ ゴシック" w:hAnsi="ＭＳ ゴシック" w:cs="ＭＳ ゴシック" w:hint="eastAsia"/>
          <w:lang w:eastAsia="ja-JP"/>
        </w:rPr>
        <w:t>第三者</w:t>
      </w:r>
      <w:r w:rsidR="00FC2354">
        <w:rPr>
          <w:rFonts w:ascii="ＭＳ ゴシック" w:eastAsia="ＭＳ ゴシック" w:hAnsi="ＭＳ ゴシック" w:cs="ＭＳ ゴシック" w:hint="eastAsia"/>
          <w:lang w:eastAsia="ja-JP"/>
        </w:rPr>
        <w:t>のどちらが</w:t>
      </w:r>
      <w:r>
        <w:rPr>
          <w:rFonts w:ascii="ＭＳ ゴシック" w:eastAsia="ＭＳ ゴシック" w:hAnsi="ＭＳ ゴシック" w:cs="ＭＳ ゴシック" w:hint="eastAsia"/>
          <w:lang w:eastAsia="ja-JP"/>
        </w:rPr>
        <w:t>行うかにかかわらず、以下のような共通の要素を持</w:t>
      </w:r>
      <w:r w:rsidR="00FC2354">
        <w:rPr>
          <w:rFonts w:ascii="ＭＳ ゴシック" w:eastAsia="ＭＳ ゴシック" w:hAnsi="ＭＳ ゴシック" w:cs="ＭＳ ゴシック" w:hint="eastAsia"/>
          <w:lang w:eastAsia="ja-JP"/>
        </w:rPr>
        <w:t>ちます</w:t>
      </w:r>
      <w:r>
        <w:rPr>
          <w:rFonts w:ascii="ＭＳ ゴシック" w:eastAsia="ＭＳ ゴシック" w:hAnsi="ＭＳ ゴシック" w:cs="ＭＳ ゴシック" w:hint="eastAsia"/>
          <w:lang w:eastAsia="ja-JP"/>
        </w:rPr>
        <w:t>。</w:t>
      </w:r>
    </w:p>
    <w:p w14:paraId="5B65E921" w14:textId="3451C764" w:rsidR="0055291C" w:rsidRDefault="00FC2354">
      <w:pPr>
        <w:pStyle w:val="a5"/>
        <w:numPr>
          <w:ilvl w:val="0"/>
          <w:numId w:val="32"/>
        </w:numPr>
        <w:tabs>
          <w:tab w:val="left" w:pos="1434"/>
        </w:tabs>
        <w:spacing w:before="130" w:line="304" w:lineRule="auto"/>
        <w:ind w:leftChars="386" w:left="849" w:right="637" w:firstLineChars="73" w:firstLine="138"/>
        <w:rPr>
          <w:sz w:val="19"/>
          <w:lang w:eastAsia="ja-JP"/>
        </w:rPr>
      </w:pPr>
      <w:r>
        <w:rPr>
          <w:rFonts w:ascii="ＭＳ ゴシック" w:eastAsia="ＭＳ ゴシック" w:hAnsi="ＭＳ ゴシック" w:cs="ＭＳ ゴシック" w:hint="eastAsia"/>
          <w:color w:val="545456"/>
          <w:spacing w:val="-1"/>
          <w:sz w:val="19"/>
          <w:lang w:eastAsia="ja-JP"/>
        </w:rPr>
        <w:t>企画と範囲決定（例：リスクと重要な虚偽表示の判断）</w:t>
      </w:r>
    </w:p>
    <w:p w14:paraId="6FAD8462" w14:textId="45B13863" w:rsidR="0055291C" w:rsidRDefault="00FC2354">
      <w:pPr>
        <w:pStyle w:val="a5"/>
        <w:numPr>
          <w:ilvl w:val="0"/>
          <w:numId w:val="32"/>
        </w:numPr>
        <w:tabs>
          <w:tab w:val="left" w:pos="1434"/>
        </w:tabs>
        <w:spacing w:before="134"/>
        <w:ind w:leftChars="386" w:left="849" w:firstLineChars="73" w:firstLine="139"/>
        <w:rPr>
          <w:sz w:val="19"/>
        </w:rPr>
      </w:pPr>
      <w:r>
        <w:rPr>
          <w:rFonts w:ascii="ＭＳ ゴシック" w:eastAsia="ＭＳ ゴシック" w:hAnsi="ＭＳ ゴシック" w:cs="ＭＳ ゴシック" w:hint="eastAsia"/>
          <w:sz w:val="19"/>
          <w:lang w:eastAsia="ja-JP"/>
        </w:rPr>
        <w:t>排出源の特定</w:t>
      </w:r>
    </w:p>
    <w:p w14:paraId="6EBC84EE" w14:textId="6A62BB6C" w:rsidR="0055291C" w:rsidRPr="00FC2354" w:rsidRDefault="00FC2354">
      <w:pPr>
        <w:pStyle w:val="a5"/>
        <w:numPr>
          <w:ilvl w:val="0"/>
          <w:numId w:val="32"/>
        </w:numPr>
        <w:tabs>
          <w:tab w:val="left" w:pos="1434"/>
        </w:tabs>
        <w:spacing w:before="190" w:line="304" w:lineRule="auto"/>
        <w:ind w:leftChars="386" w:left="849" w:right="405" w:firstLineChars="73" w:firstLine="139"/>
        <w:rPr>
          <w:sz w:val="19"/>
          <w:szCs w:val="19"/>
          <w:lang w:eastAsia="ja-JP"/>
        </w:rPr>
      </w:pPr>
      <w:r w:rsidRPr="00FC2354">
        <w:rPr>
          <w:rFonts w:ascii="ＭＳ ゴシック" w:eastAsia="ＭＳ ゴシック" w:hAnsi="ＭＳ ゴシック" w:cs="ＭＳ ゴシック" w:hint="eastAsia"/>
          <w:sz w:val="19"/>
          <w:szCs w:val="19"/>
          <w:lang w:eastAsia="ja-JP"/>
        </w:rPr>
        <w:t>保証プロセスの実行（例：</w:t>
      </w:r>
      <w:r>
        <w:rPr>
          <w:rFonts w:ascii="ＭＳ ゴシック" w:eastAsia="ＭＳ ゴシック" w:hAnsi="ＭＳ ゴシック" w:cs="ＭＳ ゴシック" w:hint="eastAsia"/>
          <w:sz w:val="19"/>
          <w:szCs w:val="19"/>
          <w:lang w:eastAsia="ja-JP"/>
        </w:rPr>
        <w:t>証拠</w:t>
      </w:r>
      <w:r w:rsidRPr="00FC2354">
        <w:rPr>
          <w:rFonts w:ascii="ＭＳ ゴシック" w:eastAsia="ＭＳ ゴシック" w:hAnsi="ＭＳ ゴシック" w:cs="ＭＳ ゴシック" w:hint="eastAsia"/>
          <w:sz w:val="19"/>
          <w:szCs w:val="19"/>
          <w:lang w:eastAsia="ja-JP"/>
        </w:rPr>
        <w:t>の収集、</w:t>
      </w:r>
      <w:r w:rsidRPr="00FC2354">
        <w:rPr>
          <w:sz w:val="19"/>
          <w:szCs w:val="19"/>
          <w:lang w:eastAsia="ja-JP"/>
        </w:rPr>
        <w:t xml:space="preserve"> </w:t>
      </w:r>
      <w:r w:rsidRPr="00FC2354">
        <w:rPr>
          <w:rFonts w:ascii="ＭＳ ゴシック" w:eastAsia="ＭＳ ゴシック" w:hAnsi="ＭＳ ゴシック" w:cs="ＭＳ ゴシック" w:hint="eastAsia"/>
          <w:sz w:val="19"/>
          <w:szCs w:val="19"/>
          <w:lang w:eastAsia="ja-JP"/>
        </w:rPr>
        <w:t>分析の実行など）</w:t>
      </w:r>
    </w:p>
    <w:p w14:paraId="51449CDD" w14:textId="0625B4B4" w:rsidR="0055291C" w:rsidRDefault="00FC2354">
      <w:pPr>
        <w:pStyle w:val="a5"/>
        <w:numPr>
          <w:ilvl w:val="0"/>
          <w:numId w:val="32"/>
        </w:numPr>
        <w:tabs>
          <w:tab w:val="left" w:pos="1434"/>
        </w:tabs>
        <w:spacing w:before="135"/>
        <w:ind w:leftChars="386" w:left="849" w:firstLineChars="73" w:firstLine="138"/>
        <w:rPr>
          <w:sz w:val="19"/>
        </w:rPr>
      </w:pPr>
      <w:r>
        <w:rPr>
          <w:rFonts w:ascii="ＭＳ ゴシック" w:eastAsia="ＭＳ ゴシック" w:hAnsi="ＭＳ ゴシック" w:cs="ＭＳ ゴシック" w:hint="eastAsia"/>
          <w:color w:val="545456"/>
          <w:spacing w:val="-1"/>
          <w:sz w:val="19"/>
          <w:lang w:eastAsia="ja-JP"/>
        </w:rPr>
        <w:t>成果の評価</w:t>
      </w:r>
    </w:p>
    <w:p w14:paraId="5042B49C" w14:textId="23FB65CC" w:rsidR="0055291C" w:rsidRDefault="00FC2354">
      <w:pPr>
        <w:pStyle w:val="a5"/>
        <w:numPr>
          <w:ilvl w:val="0"/>
          <w:numId w:val="32"/>
        </w:numPr>
        <w:tabs>
          <w:tab w:val="left" w:pos="1434"/>
        </w:tabs>
        <w:spacing w:before="190"/>
        <w:ind w:leftChars="386" w:left="849" w:firstLineChars="73" w:firstLine="139"/>
        <w:rPr>
          <w:sz w:val="19"/>
        </w:rPr>
      </w:pPr>
      <w:r>
        <w:rPr>
          <w:rFonts w:ascii="ＭＳ ゴシック" w:eastAsia="ＭＳ ゴシック" w:hAnsi="ＭＳ ゴシック" w:cs="ＭＳ ゴシック" w:hint="eastAsia"/>
          <w:color w:val="545456"/>
          <w:sz w:val="19"/>
          <w:lang w:eastAsia="ja-JP"/>
        </w:rPr>
        <w:t>結論と報告</w:t>
      </w:r>
    </w:p>
    <w:p w14:paraId="2A1794D9" w14:textId="77777777" w:rsidR="0055291C" w:rsidRDefault="0055291C" w:rsidP="009829B8">
      <w:pPr>
        <w:pStyle w:val="a3"/>
        <w:spacing w:before="10"/>
        <w:ind w:leftChars="386" w:left="849" w:firstLineChars="73" w:firstLine="124"/>
        <w:rPr>
          <w:sz w:val="17"/>
        </w:rPr>
      </w:pPr>
    </w:p>
    <w:p w14:paraId="65B609F1" w14:textId="729BF205" w:rsidR="0055291C" w:rsidRDefault="00FC2354" w:rsidP="009829B8">
      <w:pPr>
        <w:pStyle w:val="a3"/>
        <w:spacing w:line="312" w:lineRule="auto"/>
        <w:ind w:leftChars="386" w:left="849" w:firstLineChars="73" w:firstLine="139"/>
        <w:rPr>
          <w:lang w:eastAsia="ja-JP"/>
        </w:rPr>
      </w:pPr>
      <w:r>
        <w:rPr>
          <w:rFonts w:ascii="ＭＳ ゴシック" w:eastAsia="ＭＳ ゴシック" w:hAnsi="ＭＳ ゴシック" w:cs="ＭＳ ゴシック" w:hint="eastAsia"/>
          <w:lang w:eastAsia="ja-JP"/>
        </w:rPr>
        <w:t>検証手続きの性質および範囲は、検証業務が合理的保証を</w:t>
      </w:r>
      <w:r>
        <w:rPr>
          <w:lang w:eastAsia="ja-JP"/>
        </w:rPr>
        <w:t xml:space="preserve"> </w:t>
      </w:r>
      <w:r>
        <w:rPr>
          <w:rFonts w:ascii="ＭＳ ゴシック" w:eastAsia="ＭＳ ゴシック" w:hAnsi="ＭＳ ゴシック" w:cs="ＭＳ ゴシック" w:hint="eastAsia"/>
          <w:lang w:eastAsia="ja-JP"/>
        </w:rPr>
        <w:t>得るためのものか、限定的保証を得るためのものかによって異なります（後述）。算出データの検証は、例えば、現場でのチェック、計算の確認、マスバランス計算</w:t>
      </w:r>
      <w:r>
        <w:rPr>
          <w:lang w:eastAsia="ja-JP"/>
        </w:rPr>
        <w:t xml:space="preserve"> </w:t>
      </w:r>
      <w:r>
        <w:rPr>
          <w:rFonts w:ascii="ＭＳ ゴシック" w:eastAsia="ＭＳ ゴシック" w:hAnsi="ＭＳ ゴシック" w:cs="ＭＳ ゴシック" w:hint="eastAsia"/>
          <w:lang w:eastAsia="ja-JP"/>
        </w:rPr>
        <w:t>、他の情報源とのクロスチェックなど、いくつかの方法で行われることがあります。</w:t>
      </w:r>
    </w:p>
    <w:p w14:paraId="13A85CD6" w14:textId="77777777" w:rsidR="0055291C" w:rsidRDefault="00F23C61">
      <w:pPr>
        <w:rPr>
          <w:sz w:val="20"/>
          <w:lang w:eastAsia="ja-JP"/>
        </w:rPr>
      </w:pPr>
      <w:r>
        <w:rPr>
          <w:lang w:eastAsia="ja-JP"/>
        </w:rPr>
        <w:br w:type="column"/>
      </w:r>
    </w:p>
    <w:p w14:paraId="3CFE4201" w14:textId="1D06BB9E" w:rsidR="0055291C" w:rsidRDefault="00FC2354" w:rsidP="0015794B">
      <w:pPr>
        <w:pStyle w:val="a3"/>
        <w:spacing w:before="165" w:line="312" w:lineRule="auto"/>
        <w:ind w:left="284" w:right="977" w:firstLineChars="100" w:firstLine="190"/>
        <w:rPr>
          <w:lang w:eastAsia="ja-JP"/>
        </w:rPr>
      </w:pPr>
      <w:r>
        <w:rPr>
          <w:rFonts w:ascii="ＭＳ ゴシック" w:eastAsia="ＭＳ ゴシック" w:hAnsi="ＭＳ ゴシック" w:cs="ＭＳ ゴシック" w:hint="eastAsia"/>
          <w:lang w:eastAsia="ja-JP"/>
        </w:rPr>
        <w:t>批評的評価は、報告書と製品基準の原則および要求事項との間の整合性を確保することを目的としています。</w:t>
      </w:r>
      <w:r w:rsidRPr="00FC2354">
        <w:rPr>
          <w:vertAlign w:val="superscript"/>
          <w:lang w:eastAsia="ja-JP"/>
        </w:rPr>
        <w:t>3</w:t>
      </w:r>
      <w:r w:rsidR="005F66BB" w:rsidRPr="005F66BB">
        <w:rPr>
          <w:rFonts w:ascii="ＭＳ ゴシック" w:eastAsia="ＭＳ ゴシック" w:hAnsi="ＭＳ ゴシック" w:cs="ＭＳ ゴシック" w:hint="eastAsia"/>
          <w:lang w:eastAsia="ja-JP"/>
        </w:rPr>
        <w:t>この手法は</w:t>
      </w:r>
      <w:r>
        <w:rPr>
          <w:rFonts w:ascii="ＭＳ ゴシック" w:eastAsia="ＭＳ ゴシック" w:hAnsi="ＭＳ ゴシック" w:cs="ＭＳ ゴシック" w:hint="eastAsia"/>
          <w:lang w:eastAsia="ja-JP"/>
        </w:rPr>
        <w:t>ライフサイクルアセスメントにおいて確立された手法で</w:t>
      </w:r>
      <w:r w:rsidR="005F66BB">
        <w:rPr>
          <w:rFonts w:ascii="ＭＳ ゴシック" w:eastAsia="ＭＳ ゴシック" w:hAnsi="ＭＳ ゴシック" w:cs="ＭＳ ゴシック" w:hint="eastAsia"/>
          <w:lang w:eastAsia="ja-JP"/>
        </w:rPr>
        <w:t>す</w:t>
      </w:r>
      <w:r>
        <w:rPr>
          <w:rFonts w:ascii="ＭＳ ゴシック" w:eastAsia="ＭＳ ゴシック" w:hAnsi="ＭＳ ゴシック" w:cs="ＭＳ ゴシック" w:hint="eastAsia"/>
          <w:lang w:eastAsia="ja-JP"/>
        </w:rPr>
        <w:t>。</w:t>
      </w:r>
      <w:r w:rsidR="005F66BB">
        <w:rPr>
          <w:rFonts w:ascii="ＭＳ ゴシック" w:eastAsia="ＭＳ ゴシック" w:hAnsi="ＭＳ ゴシック" w:cs="ＭＳ ゴシック" w:hint="eastAsia"/>
          <w:lang w:eastAsia="ja-JP"/>
        </w:rPr>
        <w:t>批評的評価で</w:t>
      </w:r>
      <w:r>
        <w:rPr>
          <w:rFonts w:ascii="ＭＳ ゴシック" w:eastAsia="ＭＳ ゴシック" w:hAnsi="ＭＳ ゴシック" w:cs="ＭＳ ゴシック" w:hint="eastAsia"/>
          <w:lang w:eastAsia="ja-JP"/>
        </w:rPr>
        <w:t>は、以下を保証</w:t>
      </w:r>
      <w:r w:rsidR="005F66BB">
        <w:rPr>
          <w:rFonts w:ascii="ＭＳ ゴシック" w:eastAsia="ＭＳ ゴシック" w:hAnsi="ＭＳ ゴシック" w:cs="ＭＳ ゴシック" w:hint="eastAsia"/>
          <w:lang w:eastAsia="ja-JP"/>
        </w:rPr>
        <w:t>します</w:t>
      </w:r>
      <w:r>
        <w:rPr>
          <w:rFonts w:ascii="ＭＳ ゴシック" w:eastAsia="ＭＳ ゴシック" w:hAnsi="ＭＳ ゴシック" w:cs="ＭＳ ゴシック" w:hint="eastAsia"/>
          <w:lang w:eastAsia="ja-JP"/>
        </w:rPr>
        <w:t>。</w:t>
      </w:r>
    </w:p>
    <w:p w14:paraId="72B46599" w14:textId="6A5F4475" w:rsidR="005F66BB" w:rsidRPr="005F66BB" w:rsidRDefault="005F66BB">
      <w:pPr>
        <w:pStyle w:val="a5"/>
        <w:numPr>
          <w:ilvl w:val="0"/>
          <w:numId w:val="57"/>
        </w:numPr>
        <w:tabs>
          <w:tab w:val="left" w:pos="505"/>
        </w:tabs>
        <w:spacing w:line="225" w:lineRule="exact"/>
        <w:ind w:left="504" w:right="977" w:hanging="261"/>
        <w:rPr>
          <w:sz w:val="19"/>
          <w:szCs w:val="19"/>
          <w:lang w:eastAsia="ja-JP"/>
        </w:rPr>
      </w:pPr>
      <w:r w:rsidRPr="005F66BB">
        <w:rPr>
          <w:rFonts w:ascii="ＭＳ ゴシック" w:eastAsia="ＭＳ ゴシック" w:hAnsi="ＭＳ ゴシック" w:cs="ＭＳ ゴシック" w:hint="eastAsia"/>
          <w:sz w:val="19"/>
          <w:szCs w:val="19"/>
          <w:lang w:eastAsia="ja-JP"/>
        </w:rPr>
        <w:t>算出を実施するために使用される方法が製品規格と一致していること</w:t>
      </w:r>
    </w:p>
    <w:p w14:paraId="61DA41F6" w14:textId="63D22986" w:rsidR="005F66BB" w:rsidRPr="005F66BB" w:rsidRDefault="005F66BB">
      <w:pPr>
        <w:pStyle w:val="a5"/>
        <w:numPr>
          <w:ilvl w:val="0"/>
          <w:numId w:val="57"/>
        </w:numPr>
        <w:tabs>
          <w:tab w:val="left" w:pos="505"/>
        </w:tabs>
        <w:spacing w:line="225" w:lineRule="exact"/>
        <w:ind w:left="504" w:right="977" w:hanging="261"/>
        <w:rPr>
          <w:sz w:val="19"/>
          <w:szCs w:val="19"/>
          <w:lang w:eastAsia="ja-JP"/>
        </w:rPr>
      </w:pPr>
      <w:r w:rsidRPr="005F66BB">
        <w:rPr>
          <w:sz w:val="19"/>
          <w:szCs w:val="19"/>
          <w:lang w:eastAsia="ja-JP"/>
        </w:rPr>
        <w:t xml:space="preserve"> </w:t>
      </w:r>
      <w:r w:rsidRPr="005F66BB">
        <w:rPr>
          <w:rFonts w:ascii="ＭＳ ゴシック" w:eastAsia="ＭＳ ゴシック" w:hAnsi="ＭＳ ゴシック" w:cs="ＭＳ ゴシック" w:hint="eastAsia"/>
          <w:sz w:val="19"/>
          <w:szCs w:val="19"/>
          <w:lang w:eastAsia="ja-JP"/>
        </w:rPr>
        <w:t>算出の実施に使用される方法が科学的・技術的に有効であること</w:t>
      </w:r>
    </w:p>
    <w:p w14:paraId="52F023B1" w14:textId="17716756" w:rsidR="005F66BB" w:rsidRPr="005F66BB" w:rsidRDefault="005F66BB">
      <w:pPr>
        <w:pStyle w:val="a5"/>
        <w:numPr>
          <w:ilvl w:val="0"/>
          <w:numId w:val="57"/>
        </w:numPr>
        <w:tabs>
          <w:tab w:val="left" w:pos="505"/>
        </w:tabs>
        <w:spacing w:line="225" w:lineRule="exact"/>
        <w:ind w:left="504" w:right="977" w:hanging="261"/>
        <w:rPr>
          <w:sz w:val="19"/>
          <w:szCs w:val="19"/>
          <w:lang w:eastAsia="ja-JP"/>
        </w:rPr>
      </w:pPr>
      <w:r w:rsidRPr="005F66BB">
        <w:rPr>
          <w:sz w:val="19"/>
          <w:szCs w:val="19"/>
          <w:lang w:eastAsia="ja-JP"/>
        </w:rPr>
        <w:t xml:space="preserve"> </w:t>
      </w:r>
      <w:r w:rsidRPr="005F66BB">
        <w:rPr>
          <w:rFonts w:ascii="ＭＳ ゴシック" w:eastAsia="ＭＳ ゴシック" w:hAnsi="ＭＳ ゴシック" w:cs="ＭＳ ゴシック" w:hint="eastAsia"/>
          <w:sz w:val="19"/>
          <w:szCs w:val="19"/>
          <w:lang w:eastAsia="ja-JP"/>
        </w:rPr>
        <w:t>使用するデータは、公開報告として適切かつ合理的であること</w:t>
      </w:r>
    </w:p>
    <w:p w14:paraId="57C01DB4" w14:textId="1C200224" w:rsidR="005F66BB" w:rsidRPr="005F66BB" w:rsidRDefault="005F66BB">
      <w:pPr>
        <w:pStyle w:val="a5"/>
        <w:numPr>
          <w:ilvl w:val="0"/>
          <w:numId w:val="57"/>
        </w:numPr>
        <w:tabs>
          <w:tab w:val="left" w:pos="505"/>
        </w:tabs>
        <w:spacing w:line="225" w:lineRule="exact"/>
        <w:ind w:left="504" w:right="977" w:hanging="261"/>
        <w:rPr>
          <w:sz w:val="19"/>
          <w:szCs w:val="19"/>
          <w:lang w:eastAsia="ja-JP"/>
        </w:rPr>
      </w:pPr>
      <w:r w:rsidRPr="005F66BB">
        <w:rPr>
          <w:rFonts w:ascii="ＭＳ ゴシック" w:eastAsia="ＭＳ ゴシック" w:hAnsi="ＭＳ ゴシック" w:cs="ＭＳ ゴシック" w:hint="eastAsia"/>
          <w:sz w:val="19"/>
          <w:szCs w:val="19"/>
          <w:lang w:eastAsia="ja-JP"/>
        </w:rPr>
        <w:t>排出量算出およびその結果に基づく結論が</w:t>
      </w:r>
      <w:r w:rsidRPr="005F66BB">
        <w:rPr>
          <w:sz w:val="19"/>
          <w:szCs w:val="19"/>
          <w:lang w:eastAsia="ja-JP"/>
        </w:rPr>
        <w:t xml:space="preserve"> </w:t>
      </w:r>
      <w:r w:rsidRPr="005F66BB">
        <w:rPr>
          <w:rFonts w:ascii="ＭＳ ゴシック" w:eastAsia="ＭＳ ゴシック" w:hAnsi="ＭＳ ゴシック" w:cs="ＭＳ ゴシック" w:hint="eastAsia"/>
          <w:sz w:val="19"/>
          <w:szCs w:val="19"/>
          <w:lang w:eastAsia="ja-JP"/>
        </w:rPr>
        <w:t>、</w:t>
      </w:r>
      <w:r w:rsidRPr="005F66BB">
        <w:rPr>
          <w:sz w:val="19"/>
          <w:szCs w:val="19"/>
          <w:lang w:eastAsia="ja-JP"/>
        </w:rPr>
        <w:t>GHG</w:t>
      </w:r>
      <w:r w:rsidRPr="005F66BB">
        <w:rPr>
          <w:rFonts w:ascii="ＭＳ ゴシック" w:eastAsia="ＭＳ ゴシック" w:hAnsi="ＭＳ ゴシック" w:cs="ＭＳ ゴシック" w:hint="eastAsia"/>
          <w:sz w:val="19"/>
          <w:szCs w:val="19"/>
          <w:lang w:eastAsia="ja-JP"/>
        </w:rPr>
        <w:t>のみの報告に適切であること</w:t>
      </w:r>
    </w:p>
    <w:p w14:paraId="08186D0B" w14:textId="34BAF067" w:rsidR="0055291C" w:rsidRDefault="005F66BB">
      <w:pPr>
        <w:pStyle w:val="a5"/>
        <w:numPr>
          <w:ilvl w:val="0"/>
          <w:numId w:val="57"/>
        </w:numPr>
        <w:tabs>
          <w:tab w:val="left" w:pos="505"/>
        </w:tabs>
        <w:spacing w:line="225" w:lineRule="exact"/>
        <w:ind w:left="504" w:right="977" w:hanging="261"/>
        <w:rPr>
          <w:sz w:val="11"/>
          <w:lang w:eastAsia="ja-JP"/>
        </w:rPr>
      </w:pPr>
      <w:r w:rsidRPr="005F66BB">
        <w:rPr>
          <w:rFonts w:ascii="ＭＳ ゴシック" w:eastAsia="ＭＳ ゴシック" w:hAnsi="ＭＳ ゴシック" w:cs="ＭＳ ゴシック" w:hint="eastAsia"/>
          <w:sz w:val="19"/>
          <w:szCs w:val="19"/>
          <w:lang w:eastAsia="ja-JP"/>
        </w:rPr>
        <w:t>報告書に透明性と一貫性があること</w:t>
      </w:r>
      <w:r w:rsidRPr="005F66BB">
        <w:rPr>
          <w:color w:val="545456"/>
          <w:position w:val="6"/>
          <w:sz w:val="19"/>
          <w:szCs w:val="19"/>
          <w:lang w:eastAsia="ja-JP"/>
        </w:rPr>
        <w:t xml:space="preserve"> </w:t>
      </w:r>
      <w:r w:rsidR="00F23C61">
        <w:rPr>
          <w:color w:val="545456"/>
          <w:position w:val="6"/>
          <w:sz w:val="11"/>
          <w:lang w:eastAsia="ja-JP"/>
        </w:rPr>
        <w:t>4</w:t>
      </w:r>
    </w:p>
    <w:p w14:paraId="47F3F067" w14:textId="1149860C" w:rsidR="0055291C" w:rsidRDefault="005F66BB" w:rsidP="005F66BB">
      <w:pPr>
        <w:pStyle w:val="a3"/>
        <w:spacing w:before="141" w:line="312" w:lineRule="auto"/>
        <w:ind w:left="244" w:right="977" w:firstLineChars="100" w:firstLine="190"/>
        <w:rPr>
          <w:lang w:eastAsia="ja-JP"/>
        </w:rPr>
      </w:pPr>
      <w:r>
        <w:rPr>
          <w:rFonts w:ascii="ＭＳ ゴシック" w:eastAsia="ＭＳ ゴシック" w:hAnsi="ＭＳ ゴシック" w:cs="ＭＳ ゴシック" w:hint="eastAsia"/>
          <w:lang w:eastAsia="ja-JP"/>
        </w:rPr>
        <w:t>批評的評価には、社内外の専門家が行うものと、利害関係者によるレビューパネルが行われるものがあります。</w:t>
      </w:r>
      <w:r>
        <w:rPr>
          <w:lang w:eastAsia="ja-JP"/>
        </w:rPr>
        <w:t xml:space="preserve"> </w:t>
      </w:r>
      <w:r>
        <w:rPr>
          <w:rFonts w:ascii="ＭＳ ゴシック" w:eastAsia="ＭＳ ゴシック" w:hAnsi="ＭＳ ゴシック" w:cs="ＭＳ ゴシック" w:hint="eastAsia"/>
          <w:lang w:eastAsia="ja-JP"/>
        </w:rPr>
        <w:t>レビューパネルを実施する場</w:t>
      </w:r>
      <w:r>
        <w:rPr>
          <w:lang w:eastAsia="ja-JP"/>
        </w:rPr>
        <w:t xml:space="preserve"> </w:t>
      </w:r>
      <w:r>
        <w:rPr>
          <w:rFonts w:ascii="ＭＳ ゴシック" w:eastAsia="ＭＳ ゴシック" w:hAnsi="ＭＳ ゴシック" w:cs="ＭＳ ゴシック" w:hint="eastAsia"/>
          <w:lang w:eastAsia="ja-JP"/>
        </w:rPr>
        <w:t>合、パネルは少なくとも</w:t>
      </w:r>
      <w:r>
        <w:rPr>
          <w:lang w:eastAsia="ja-JP"/>
        </w:rPr>
        <w:t>3</w:t>
      </w:r>
      <w:r>
        <w:rPr>
          <w:rFonts w:ascii="ＭＳ ゴシック" w:eastAsia="ＭＳ ゴシック" w:hAnsi="ＭＳ ゴシック" w:cs="ＭＳ ゴシック" w:hint="eastAsia"/>
          <w:lang w:eastAsia="ja-JP"/>
        </w:rPr>
        <w:t>名のメンバーで構成される</w:t>
      </w:r>
      <w:r w:rsidR="0015794B">
        <w:rPr>
          <w:rFonts w:ascii="ＭＳ ゴシック" w:eastAsia="ＭＳ ゴシック" w:hAnsi="ＭＳ ゴシック" w:cs="ＭＳ ゴシック" w:hint="eastAsia"/>
          <w:lang w:eastAsia="ja-JP"/>
        </w:rPr>
        <w:t>べきでしょう</w:t>
      </w:r>
      <w:r>
        <w:rPr>
          <w:rFonts w:ascii="ＭＳ ゴシック" w:eastAsia="ＭＳ ゴシック" w:hAnsi="ＭＳ ゴシック" w:cs="ＭＳ ゴシック" w:hint="eastAsia"/>
          <w:lang w:eastAsia="ja-JP"/>
        </w:rPr>
        <w:t>。メンバーは、ライフサイクルアセスメントの専門家集団、政府機関、非政府組織、業界団体、お</w:t>
      </w:r>
      <w:r>
        <w:rPr>
          <w:lang w:eastAsia="ja-JP"/>
        </w:rPr>
        <w:t xml:space="preserve"> </w:t>
      </w:r>
      <w:r>
        <w:rPr>
          <w:rFonts w:ascii="ＭＳ ゴシック" w:eastAsia="ＭＳ ゴシック" w:hAnsi="ＭＳ ゴシック" w:cs="ＭＳ ゴシック" w:hint="eastAsia"/>
          <w:lang w:eastAsia="ja-JP"/>
        </w:rPr>
        <w:t>よび他の企業からなることができ</w:t>
      </w:r>
      <w:r w:rsidR="0015794B">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w:t>
      </w:r>
    </w:p>
    <w:p w14:paraId="745A6AA5" w14:textId="5C1E63D1" w:rsidR="0055291C" w:rsidRDefault="0015794B" w:rsidP="005F66BB">
      <w:pPr>
        <w:pStyle w:val="7"/>
        <w:ind w:left="244" w:right="977" w:firstLine="0"/>
        <w:rPr>
          <w:lang w:eastAsia="ja-JP"/>
        </w:rPr>
      </w:pPr>
      <w:r>
        <w:rPr>
          <w:rFonts w:ascii="ＭＳ 明朝" w:eastAsia="ＭＳ 明朝" w:hAnsi="ＭＳ 明朝" w:cs="ＭＳ 明朝" w:hint="eastAsia"/>
          <w:color w:val="00B8B1"/>
          <w:w w:val="95"/>
          <w:lang w:eastAsia="ja-JP"/>
        </w:rPr>
        <w:t>保証のレベル</w:t>
      </w:r>
    </w:p>
    <w:p w14:paraId="3EFED317" w14:textId="4D86171C" w:rsidR="0055291C" w:rsidRPr="00BC333F" w:rsidRDefault="0015794B" w:rsidP="0015794B">
      <w:pPr>
        <w:pStyle w:val="a3"/>
        <w:spacing w:before="3" w:line="312" w:lineRule="auto"/>
        <w:ind w:left="244" w:right="977" w:firstLineChars="100" w:firstLine="190"/>
        <w:rPr>
          <w:rFonts w:eastAsiaTheme="minorEastAsia"/>
          <w:lang w:eastAsia="ja-JP"/>
        </w:rPr>
      </w:pPr>
      <w:r>
        <w:rPr>
          <w:rFonts w:ascii="ＭＳ ゴシック" w:eastAsia="ＭＳ ゴシック" w:hAnsi="ＭＳ ゴシック" w:cs="ＭＳ ゴシック" w:hint="eastAsia"/>
          <w:lang w:eastAsia="ja-JP"/>
        </w:rPr>
        <w:t>検証において、保証のレベルとは、利害関係者が報告書の情報に対して持つことができる信頼の度合いを指します。保証のレベルには、限定的保証と合理的保証の</w:t>
      </w:r>
      <w:r>
        <w:rPr>
          <w:lang w:eastAsia="ja-JP"/>
        </w:rPr>
        <w:t>2</w:t>
      </w:r>
      <w:r>
        <w:rPr>
          <w:rFonts w:ascii="ＭＳ ゴシック" w:eastAsia="ＭＳ ゴシック" w:hAnsi="ＭＳ ゴシック" w:cs="ＭＳ ゴシック" w:hint="eastAsia"/>
          <w:lang w:eastAsia="ja-JP"/>
        </w:rPr>
        <w:t>つがあります。報告会社が要求する保証のレベルにより、検証プロ</w:t>
      </w:r>
      <w:r>
        <w:rPr>
          <w:lang w:eastAsia="ja-JP"/>
        </w:rPr>
        <w:t xml:space="preserve"> </w:t>
      </w:r>
      <w:r>
        <w:rPr>
          <w:rFonts w:ascii="ＭＳ ゴシック" w:eastAsia="ＭＳ ゴシック" w:hAnsi="ＭＳ ゴシック" w:cs="ＭＳ ゴシック" w:hint="eastAsia"/>
          <w:lang w:eastAsia="ja-JP"/>
        </w:rPr>
        <w:t>セスの厳密さと必要とされる証拠の量が決定されます。提供可能な最高レベルの保証は、合理的保証のほうです。</w:t>
      </w:r>
      <w:r w:rsidR="00BC333F">
        <w:rPr>
          <w:rFonts w:ascii="ＭＳ ゴシック" w:eastAsia="ＭＳ ゴシック" w:hAnsi="ＭＳ ゴシック" w:cs="ＭＳ ゴシック" w:hint="eastAsia"/>
          <w:lang w:eastAsia="ja-JP"/>
        </w:rPr>
        <w:t>報告書内で投入された材料</w:t>
      </w:r>
      <w:r>
        <w:rPr>
          <w:rFonts w:ascii="ＭＳ ゴシック" w:eastAsia="ＭＳ ゴシック" w:hAnsi="ＭＳ ゴシック" w:cs="ＭＳ ゴシック" w:hint="eastAsia"/>
          <w:lang w:eastAsia="ja-JP"/>
        </w:rPr>
        <w:t>は、実用性や実現可能性の制約から</w:t>
      </w:r>
      <w:r>
        <w:rPr>
          <w:lang w:eastAsia="ja-JP"/>
        </w:rPr>
        <w:t>100</w:t>
      </w:r>
      <w:r>
        <w:rPr>
          <w:rFonts w:ascii="ＭＳ ゴシック" w:eastAsia="ＭＳ ゴシック" w:hAnsi="ＭＳ ゴシック" w:cs="ＭＳ ゴシック" w:hint="eastAsia"/>
          <w:lang w:eastAsia="ja-JP"/>
        </w:rPr>
        <w:t>％</w:t>
      </w:r>
      <w:r w:rsidR="00BC333F">
        <w:rPr>
          <w:rFonts w:ascii="ＭＳ ゴシック" w:eastAsia="ＭＳ ゴシック" w:hAnsi="ＭＳ ゴシック" w:cs="ＭＳ ゴシック" w:hint="eastAsia"/>
          <w:lang w:eastAsia="ja-JP"/>
        </w:rPr>
        <w:t>は</w:t>
      </w:r>
      <w:r>
        <w:rPr>
          <w:rFonts w:ascii="ＭＳ ゴシック" w:eastAsia="ＭＳ ゴシック" w:hAnsi="ＭＳ ゴシック" w:cs="ＭＳ ゴシック" w:hint="eastAsia"/>
          <w:lang w:eastAsia="ja-JP"/>
        </w:rPr>
        <w:t>テスト</w:t>
      </w:r>
      <w:r w:rsidR="00BC333F">
        <w:rPr>
          <w:rFonts w:ascii="ＭＳ ゴシック" w:eastAsia="ＭＳ ゴシック" w:hAnsi="ＭＳ ゴシック" w:cs="ＭＳ ゴシック" w:hint="eastAsia"/>
          <w:lang w:eastAsia="ja-JP"/>
        </w:rPr>
        <w:t>でき</w:t>
      </w:r>
      <w:r>
        <w:rPr>
          <w:rFonts w:ascii="ＭＳ ゴシック" w:eastAsia="ＭＳ ゴシック" w:hAnsi="ＭＳ ゴシック" w:cs="ＭＳ ゴシック" w:hint="eastAsia"/>
          <w:lang w:eastAsia="ja-JP"/>
        </w:rPr>
        <w:t>ないため、</w:t>
      </w:r>
      <w:r>
        <w:rPr>
          <w:lang w:eastAsia="ja-JP"/>
        </w:rPr>
        <w:t xml:space="preserve"> </w:t>
      </w:r>
      <w:r>
        <w:rPr>
          <w:rFonts w:ascii="ＭＳ ゴシック" w:eastAsia="ＭＳ ゴシック" w:hAnsi="ＭＳ ゴシック" w:cs="ＭＳ ゴシック" w:hint="eastAsia"/>
          <w:lang w:eastAsia="ja-JP"/>
        </w:rPr>
        <w:t>絶対的な保証は提供され</w:t>
      </w:r>
      <w:r w:rsidR="00BC333F">
        <w:rPr>
          <w:rFonts w:ascii="ＭＳ ゴシック" w:eastAsia="ＭＳ ゴシック" w:hAnsi="ＭＳ ゴシック" w:cs="ＭＳ ゴシック" w:hint="eastAsia"/>
          <w:lang w:eastAsia="ja-JP"/>
        </w:rPr>
        <w:t>ません。</w:t>
      </w:r>
    </w:p>
    <w:p w14:paraId="50F4F238" w14:textId="33367070" w:rsidR="0055291C" w:rsidRDefault="00BC333F" w:rsidP="00BC333F">
      <w:pPr>
        <w:pStyle w:val="a3"/>
        <w:spacing w:before="141" w:line="312" w:lineRule="auto"/>
        <w:ind w:left="244" w:right="977" w:firstLineChars="100" w:firstLine="190"/>
        <w:rPr>
          <w:lang w:eastAsia="ja-JP"/>
        </w:rPr>
      </w:pPr>
      <w:r>
        <w:rPr>
          <w:rFonts w:ascii="ＭＳ ゴシック" w:eastAsia="ＭＳ ゴシック" w:hAnsi="ＭＳ ゴシック" w:cs="ＭＳ ゴシック" w:hint="eastAsia"/>
          <w:lang w:eastAsia="ja-JP"/>
        </w:rPr>
        <w:t>限定的保証では、保証の証拠を得るための徹底的な厳密</w:t>
      </w:r>
      <w:r>
        <w:rPr>
          <w:lang w:eastAsia="ja-JP"/>
        </w:rPr>
        <w:t xml:space="preserve"> </w:t>
      </w:r>
      <w:r>
        <w:rPr>
          <w:rFonts w:ascii="ＭＳ ゴシック" w:eastAsia="ＭＳ ゴシック" w:hAnsi="ＭＳ ゴシック" w:cs="ＭＳ ゴシック" w:hint="eastAsia"/>
          <w:lang w:eastAsia="ja-JP"/>
        </w:rPr>
        <w:t>性において劣ります。表</w:t>
      </w:r>
      <w:r>
        <w:rPr>
          <w:lang w:eastAsia="ja-JP"/>
        </w:rPr>
        <w:t>12.2</w:t>
      </w:r>
      <w:r>
        <w:rPr>
          <w:rFonts w:ascii="ＭＳ ゴシック" w:eastAsia="ＭＳ ゴシック" w:hAnsi="ＭＳ ゴシック" w:cs="ＭＳ ゴシック" w:hint="eastAsia"/>
          <w:lang w:eastAsia="ja-JP"/>
        </w:rPr>
        <w:t>に、排出量の主張に関する限定的保証意見と合理的保証意見の例を示します。</w:t>
      </w:r>
    </w:p>
    <w:p w14:paraId="5FFD3884"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978" w:space="40"/>
            <w:col w:w="6222"/>
          </w:cols>
        </w:sectPr>
      </w:pPr>
    </w:p>
    <w:p w14:paraId="106E088E" w14:textId="77777777" w:rsidR="0055291C" w:rsidRDefault="0055291C">
      <w:pPr>
        <w:pStyle w:val="a3"/>
        <w:rPr>
          <w:sz w:val="20"/>
          <w:lang w:eastAsia="ja-JP"/>
        </w:rPr>
      </w:pPr>
    </w:p>
    <w:p w14:paraId="684AF8F0" w14:textId="77777777" w:rsidR="0055291C" w:rsidRDefault="0055291C">
      <w:pPr>
        <w:pStyle w:val="a3"/>
        <w:rPr>
          <w:sz w:val="20"/>
          <w:lang w:eastAsia="ja-JP"/>
        </w:rPr>
      </w:pPr>
    </w:p>
    <w:p w14:paraId="1F3D08B9" w14:textId="77777777" w:rsidR="0055291C" w:rsidRDefault="0055291C">
      <w:pPr>
        <w:pStyle w:val="a3"/>
        <w:rPr>
          <w:sz w:val="20"/>
          <w:lang w:eastAsia="ja-JP"/>
        </w:rPr>
      </w:pPr>
    </w:p>
    <w:p w14:paraId="03846C84" w14:textId="77777777" w:rsidR="0055291C" w:rsidRDefault="0055291C">
      <w:pPr>
        <w:pStyle w:val="a3"/>
        <w:rPr>
          <w:sz w:val="20"/>
          <w:lang w:eastAsia="ja-JP"/>
        </w:rPr>
      </w:pPr>
    </w:p>
    <w:p w14:paraId="0A43A620" w14:textId="77777777" w:rsidR="0055291C" w:rsidRDefault="0055291C">
      <w:pPr>
        <w:rPr>
          <w:sz w:val="20"/>
          <w:lang w:eastAsia="ja-JP"/>
        </w:rPr>
        <w:sectPr w:rsidR="0055291C">
          <w:headerReference w:type="even" r:id="rId292"/>
          <w:footerReference w:type="even" r:id="rId293"/>
          <w:footerReference w:type="default" r:id="rId294"/>
          <w:pgSz w:w="12240" w:h="15840"/>
          <w:pgMar w:top="620" w:right="0" w:bottom="1040" w:left="0" w:header="0" w:footer="859" w:gutter="0"/>
          <w:pgNumType w:start="96"/>
          <w:cols w:space="720"/>
        </w:sectPr>
      </w:pPr>
    </w:p>
    <w:p w14:paraId="6048C681" w14:textId="77777777" w:rsidR="0055291C" w:rsidRDefault="0055291C">
      <w:pPr>
        <w:pStyle w:val="a3"/>
        <w:spacing w:before="7"/>
        <w:rPr>
          <w:sz w:val="21"/>
          <w:lang w:eastAsia="ja-JP"/>
        </w:rPr>
      </w:pPr>
    </w:p>
    <w:p w14:paraId="62F43B7F" w14:textId="1CCF2BD4" w:rsidR="0055291C" w:rsidRDefault="00BC333F" w:rsidP="007613FA">
      <w:pPr>
        <w:pStyle w:val="7"/>
        <w:spacing w:before="1"/>
        <w:ind w:left="567" w:rightChars="181" w:right="398" w:firstLine="0"/>
        <w:rPr>
          <w:lang w:eastAsia="ja-JP"/>
        </w:rPr>
      </w:pPr>
      <w:r>
        <w:rPr>
          <w:rFonts w:ascii="ＭＳ 明朝" w:eastAsia="ＭＳ 明朝" w:hAnsi="ＭＳ 明朝" w:cs="ＭＳ 明朝" w:hint="eastAsia"/>
          <w:color w:val="00B8B1"/>
          <w:spacing w:val="-1"/>
          <w:lang w:eastAsia="ja-JP"/>
        </w:rPr>
        <w:t>批評的評価の結果</w:t>
      </w:r>
    </w:p>
    <w:p w14:paraId="4E9B61E9" w14:textId="2AD6B66C" w:rsidR="0055291C" w:rsidRDefault="007613FA" w:rsidP="007613FA">
      <w:pPr>
        <w:pStyle w:val="a3"/>
        <w:spacing w:before="62" w:line="312" w:lineRule="auto"/>
        <w:ind w:left="567" w:rightChars="181" w:right="398" w:firstLineChars="100" w:firstLine="190"/>
        <w:rPr>
          <w:lang w:eastAsia="ja-JP"/>
        </w:rPr>
      </w:pPr>
      <w:r>
        <w:rPr>
          <w:rFonts w:ascii="ＭＳ ゴシック" w:eastAsia="ＭＳ ゴシック" w:hAnsi="ＭＳ ゴシック" w:cs="ＭＳ ゴシック" w:hint="eastAsia"/>
          <w:lang w:eastAsia="ja-JP"/>
        </w:rPr>
        <w:t>重要な審査結果には、報告書が製品基準に適合しているか、方法論の選択と仮定が公開報告として妥当であるか、などが含まれます。</w:t>
      </w:r>
    </w:p>
    <w:p w14:paraId="3A07FB44" w14:textId="77777777" w:rsidR="0055291C" w:rsidRDefault="00F23C61">
      <w:pPr>
        <w:rPr>
          <w:sz w:val="20"/>
          <w:lang w:eastAsia="ja-JP"/>
        </w:rPr>
      </w:pPr>
      <w:r>
        <w:rPr>
          <w:lang w:eastAsia="ja-JP"/>
        </w:rPr>
        <w:br w:type="column"/>
      </w:r>
    </w:p>
    <w:p w14:paraId="5F3F2E74" w14:textId="77777777" w:rsidR="0055291C" w:rsidRDefault="0055291C">
      <w:pPr>
        <w:pStyle w:val="a3"/>
        <w:spacing w:before="6"/>
        <w:rPr>
          <w:sz w:val="27"/>
          <w:lang w:eastAsia="ja-JP"/>
        </w:rPr>
      </w:pPr>
    </w:p>
    <w:p w14:paraId="0BB271CB" w14:textId="77777777" w:rsidR="007613FA" w:rsidRDefault="007613FA" w:rsidP="007613FA">
      <w:pPr>
        <w:spacing w:line="309" w:lineRule="auto"/>
        <w:ind w:rightChars="337" w:right="741" w:firstLineChars="100" w:firstLine="190"/>
        <w:jc w:val="both"/>
        <w:rPr>
          <w:rFonts w:eastAsiaTheme="minorEastAsia"/>
          <w:sz w:val="19"/>
          <w:szCs w:val="19"/>
          <w:lang w:eastAsia="ja-JP"/>
        </w:rPr>
      </w:pPr>
      <w:r>
        <w:rPr>
          <w:rFonts w:ascii="ＭＳ ゴシック" w:eastAsia="ＭＳ ゴシック" w:hAnsi="ＭＳ ゴシック" w:cs="ＭＳ ゴシック" w:hint="eastAsia"/>
          <w:sz w:val="19"/>
          <w:szCs w:val="19"/>
          <w:lang w:eastAsia="ja-JP"/>
        </w:rPr>
        <w:t>批評的評価</w:t>
      </w:r>
      <w:r w:rsidRPr="007613FA">
        <w:rPr>
          <w:rFonts w:ascii="ＭＳ ゴシック" w:eastAsia="ＭＳ ゴシック" w:hAnsi="ＭＳ ゴシック" w:cs="ＭＳ ゴシック" w:hint="eastAsia"/>
          <w:sz w:val="19"/>
          <w:szCs w:val="19"/>
          <w:lang w:eastAsia="ja-JP"/>
        </w:rPr>
        <w:t>の詳細については、企業は以下の</w:t>
      </w:r>
      <w:r>
        <w:rPr>
          <w:rFonts w:ascii="ＭＳ ゴシック" w:eastAsia="ＭＳ ゴシック" w:hAnsi="ＭＳ ゴシック" w:cs="ＭＳ ゴシック" w:hint="eastAsia"/>
          <w:sz w:val="19"/>
          <w:szCs w:val="19"/>
          <w:lang w:eastAsia="ja-JP"/>
        </w:rPr>
        <w:t>文章</w:t>
      </w:r>
      <w:r w:rsidRPr="007613FA">
        <w:rPr>
          <w:rFonts w:ascii="ＭＳ ゴシック" w:eastAsia="ＭＳ ゴシック" w:hAnsi="ＭＳ ゴシック" w:cs="ＭＳ ゴシック" w:hint="eastAsia"/>
          <w:sz w:val="19"/>
          <w:szCs w:val="19"/>
          <w:lang w:eastAsia="ja-JP"/>
        </w:rPr>
        <w:t>を参照</w:t>
      </w:r>
      <w:r>
        <w:rPr>
          <w:rFonts w:ascii="ＭＳ ゴシック" w:eastAsia="ＭＳ ゴシック" w:hAnsi="ＭＳ ゴシック" w:cs="ＭＳ ゴシック" w:hint="eastAsia"/>
          <w:sz w:val="19"/>
          <w:szCs w:val="19"/>
          <w:lang w:eastAsia="ja-JP"/>
        </w:rPr>
        <w:t>してください</w:t>
      </w:r>
      <w:r w:rsidRPr="007613FA">
        <w:rPr>
          <w:rFonts w:ascii="ＭＳ ゴシック" w:eastAsia="ＭＳ ゴシック" w:hAnsi="ＭＳ ゴシック" w:cs="ＭＳ ゴシック" w:hint="eastAsia"/>
          <w:sz w:val="19"/>
          <w:szCs w:val="19"/>
          <w:lang w:eastAsia="ja-JP"/>
        </w:rPr>
        <w:t>。</w:t>
      </w:r>
    </w:p>
    <w:p w14:paraId="61B37ABB" w14:textId="1A22B3A1" w:rsidR="007613FA" w:rsidRPr="007613FA" w:rsidRDefault="007613FA">
      <w:pPr>
        <w:pStyle w:val="a5"/>
        <w:numPr>
          <w:ilvl w:val="0"/>
          <w:numId w:val="87"/>
        </w:numPr>
        <w:spacing w:line="309" w:lineRule="auto"/>
        <w:ind w:rightChars="337" w:right="741"/>
        <w:jc w:val="both"/>
        <w:rPr>
          <w:sz w:val="19"/>
          <w:szCs w:val="19"/>
          <w:lang w:eastAsia="ja-JP"/>
        </w:rPr>
      </w:pPr>
      <w:r w:rsidRPr="007613FA">
        <w:rPr>
          <w:sz w:val="19"/>
          <w:szCs w:val="19"/>
          <w:lang w:eastAsia="ja-JP"/>
        </w:rPr>
        <w:t>ISO 14040</w:t>
      </w:r>
      <w:r w:rsidR="00507663">
        <w:rPr>
          <w:sz w:val="19"/>
          <w:szCs w:val="19"/>
          <w:lang w:eastAsia="ja-JP"/>
        </w:rPr>
        <w:t xml:space="preserve"> </w:t>
      </w:r>
      <w:r w:rsidRPr="007613FA">
        <w:rPr>
          <w:rFonts w:ascii="ＭＳ ゴシック" w:eastAsia="ＭＳ ゴシック" w:hAnsi="ＭＳ ゴシック" w:cs="ＭＳ ゴシック" w:hint="eastAsia"/>
          <w:sz w:val="19"/>
          <w:szCs w:val="19"/>
          <w:lang w:eastAsia="ja-JP"/>
        </w:rPr>
        <w:t>第</w:t>
      </w:r>
      <w:r w:rsidRPr="007613FA">
        <w:rPr>
          <w:sz w:val="19"/>
          <w:szCs w:val="19"/>
          <w:lang w:eastAsia="ja-JP"/>
        </w:rPr>
        <w:t>7</w:t>
      </w:r>
      <w:r w:rsidRPr="007613FA">
        <w:rPr>
          <w:rFonts w:ascii="ＭＳ ゴシック" w:eastAsia="ＭＳ ゴシック" w:hAnsi="ＭＳ ゴシック" w:cs="ＭＳ ゴシック" w:hint="eastAsia"/>
          <w:sz w:val="19"/>
          <w:szCs w:val="19"/>
          <w:lang w:eastAsia="ja-JP"/>
        </w:rPr>
        <w:t>項</w:t>
      </w:r>
    </w:p>
    <w:p w14:paraId="670D4809" w14:textId="77777777" w:rsidR="007613FA" w:rsidRDefault="007613FA">
      <w:pPr>
        <w:pStyle w:val="a5"/>
        <w:numPr>
          <w:ilvl w:val="0"/>
          <w:numId w:val="87"/>
        </w:numPr>
        <w:spacing w:line="309" w:lineRule="auto"/>
        <w:ind w:rightChars="337" w:right="741"/>
        <w:jc w:val="both"/>
        <w:rPr>
          <w:sz w:val="19"/>
          <w:szCs w:val="19"/>
          <w:lang w:eastAsia="ja-JP"/>
        </w:rPr>
      </w:pPr>
      <w:r w:rsidRPr="007613FA">
        <w:rPr>
          <w:sz w:val="19"/>
          <w:szCs w:val="19"/>
          <w:lang w:eastAsia="ja-JP"/>
        </w:rPr>
        <w:t xml:space="preserve">ISO 14044 </w:t>
      </w:r>
      <w:r w:rsidRPr="007613FA">
        <w:rPr>
          <w:rFonts w:ascii="ＭＳ ゴシック" w:eastAsia="ＭＳ ゴシック" w:hAnsi="ＭＳ ゴシック" w:cs="ＭＳ ゴシック" w:hint="eastAsia"/>
          <w:sz w:val="19"/>
          <w:szCs w:val="19"/>
          <w:lang w:eastAsia="ja-JP"/>
        </w:rPr>
        <w:t>第</w:t>
      </w:r>
      <w:r w:rsidRPr="007613FA">
        <w:rPr>
          <w:sz w:val="19"/>
          <w:szCs w:val="19"/>
          <w:lang w:eastAsia="ja-JP"/>
        </w:rPr>
        <w:t>6</w:t>
      </w:r>
      <w:r w:rsidRPr="007613FA">
        <w:rPr>
          <w:rFonts w:ascii="ＭＳ ゴシック" w:eastAsia="ＭＳ ゴシック" w:hAnsi="ＭＳ ゴシック" w:cs="ＭＳ ゴシック" w:hint="eastAsia"/>
          <w:sz w:val="19"/>
          <w:szCs w:val="19"/>
          <w:lang w:eastAsia="ja-JP"/>
        </w:rPr>
        <w:t>項</w:t>
      </w:r>
    </w:p>
    <w:p w14:paraId="0581A08A" w14:textId="142C3061" w:rsidR="0055291C" w:rsidRPr="007613FA" w:rsidRDefault="00417CA0">
      <w:pPr>
        <w:pStyle w:val="a5"/>
        <w:numPr>
          <w:ilvl w:val="0"/>
          <w:numId w:val="87"/>
        </w:numPr>
        <w:spacing w:line="309" w:lineRule="auto"/>
        <w:ind w:rightChars="337" w:right="741"/>
        <w:rPr>
          <w:sz w:val="19"/>
          <w:szCs w:val="19"/>
          <w:lang w:eastAsia="ja-JP"/>
        </w:rPr>
        <w:sectPr w:rsidR="0055291C" w:rsidRPr="007613FA">
          <w:type w:val="continuous"/>
          <w:pgSz w:w="12240" w:h="15840"/>
          <w:pgMar w:top="740" w:right="0" w:bottom="280" w:left="0" w:header="0" w:footer="859" w:gutter="0"/>
          <w:cols w:num="2" w:space="720" w:equalWidth="0">
            <w:col w:w="5787" w:space="40"/>
            <w:col w:w="6413"/>
          </w:cols>
        </w:sectPr>
      </w:pPr>
      <w:r w:rsidRPr="00417CA0">
        <w:rPr>
          <w:rFonts w:ascii="ＭＳ ゴシック" w:eastAsia="ＭＳ ゴシック" w:hAnsi="ＭＳ ゴシック" w:cs="ＭＳ ゴシック" w:hint="eastAsia"/>
          <w:sz w:val="19"/>
          <w:szCs w:val="19"/>
          <w:lang w:eastAsia="ja-JP"/>
        </w:rPr>
        <w:t>環境毒性学及び環境化学に関する国際学会</w:t>
      </w:r>
      <w:r w:rsidR="007613FA" w:rsidRPr="007613FA">
        <w:rPr>
          <w:rFonts w:ascii="ＭＳ ゴシック" w:eastAsia="ＭＳ ゴシック" w:hAnsi="ＭＳ ゴシック" w:cs="ＭＳ ゴシック" w:hint="eastAsia"/>
          <w:sz w:val="19"/>
          <w:szCs w:val="19"/>
          <w:lang w:eastAsia="ja-JP"/>
        </w:rPr>
        <w:t>（</w:t>
      </w:r>
      <w:r w:rsidR="007613FA" w:rsidRPr="007613FA">
        <w:rPr>
          <w:sz w:val="19"/>
          <w:szCs w:val="19"/>
          <w:lang w:eastAsia="ja-JP"/>
        </w:rPr>
        <w:t>SETAC</w:t>
      </w:r>
      <w:r w:rsidR="007613FA" w:rsidRPr="007613FA">
        <w:rPr>
          <w:rFonts w:ascii="ＭＳ ゴシック" w:eastAsia="ＭＳ ゴシック" w:hAnsi="ＭＳ ゴシック" w:cs="ＭＳ ゴシック" w:hint="eastAsia"/>
          <w:sz w:val="19"/>
          <w:szCs w:val="19"/>
          <w:lang w:eastAsia="ja-JP"/>
        </w:rPr>
        <w:t>）の「ライフサイクルアセスメントに関するガイドライン</w:t>
      </w:r>
      <w:r>
        <w:rPr>
          <w:lang w:eastAsia="ja-JP"/>
        </w:rPr>
        <w:t xml:space="preserve">: </w:t>
      </w:r>
      <w:r w:rsidRPr="00417CA0">
        <w:rPr>
          <w:sz w:val="19"/>
          <w:szCs w:val="19"/>
          <w:lang w:eastAsia="ja-JP"/>
        </w:rPr>
        <w:t xml:space="preserve">A ‘Code of Practice’ </w:t>
      </w:r>
    </w:p>
    <w:p w14:paraId="58F8801C" w14:textId="5012FD04" w:rsidR="0055291C" w:rsidRDefault="00F23C61">
      <w:pPr>
        <w:spacing w:before="129"/>
        <w:ind w:left="1165"/>
        <w:rPr>
          <w:rFonts w:ascii="Arial"/>
          <w:b/>
          <w:sz w:val="20"/>
        </w:rPr>
      </w:pPr>
      <w:r>
        <w:rPr>
          <w:rFonts w:ascii="Arial"/>
          <w:b/>
          <w:color w:val="00ACA1"/>
          <w:w w:val="95"/>
          <w:sz w:val="20"/>
        </w:rPr>
        <w:t>Table</w:t>
      </w:r>
      <w:r>
        <w:rPr>
          <w:rFonts w:ascii="Arial"/>
          <w:b/>
          <w:color w:val="00ACA1"/>
          <w:spacing w:val="7"/>
          <w:w w:val="95"/>
          <w:sz w:val="20"/>
        </w:rPr>
        <w:t xml:space="preserve"> </w:t>
      </w:r>
      <w:r>
        <w:rPr>
          <w:rFonts w:ascii="Arial"/>
          <w:b/>
          <w:color w:val="00ACA1"/>
          <w:w w:val="95"/>
          <w:sz w:val="20"/>
        </w:rPr>
        <w:t>[12.2]</w:t>
      </w:r>
      <w:r>
        <w:rPr>
          <w:rFonts w:ascii="Arial"/>
          <w:b/>
          <w:color w:val="00ACA1"/>
          <w:spacing w:val="7"/>
          <w:w w:val="95"/>
          <w:sz w:val="20"/>
        </w:rPr>
        <w:t xml:space="preserve"> </w:t>
      </w:r>
      <w:r w:rsidR="007613FA">
        <w:rPr>
          <w:rFonts w:ascii="ＭＳ ゴシック" w:eastAsia="ＭＳ ゴシック" w:hAnsi="ＭＳ ゴシック" w:cs="ＭＳ ゴシック" w:hint="eastAsia"/>
          <w:b/>
          <w:color w:val="545456"/>
          <w:w w:val="95"/>
          <w:sz w:val="20"/>
          <w:lang w:eastAsia="ja-JP"/>
        </w:rPr>
        <w:t>限定的保証と合理的保証の例</w:t>
      </w:r>
    </w:p>
    <w:p w14:paraId="505791EE" w14:textId="77777777" w:rsidR="0055291C" w:rsidRDefault="0055291C">
      <w:pPr>
        <w:pStyle w:val="a3"/>
        <w:spacing w:before="4"/>
        <w:rPr>
          <w:rFonts w:ascii="Arial"/>
          <w:b/>
          <w:sz w:val="27"/>
        </w:rPr>
      </w:pPr>
    </w:p>
    <w:p w14:paraId="4A86368B" w14:textId="0B593C65" w:rsidR="0055291C" w:rsidRDefault="00000000">
      <w:pPr>
        <w:pStyle w:val="5"/>
        <w:tabs>
          <w:tab w:val="left" w:pos="3860"/>
          <w:tab w:val="left" w:pos="7712"/>
        </w:tabs>
        <w:ind w:left="1248"/>
      </w:pPr>
      <w:r>
        <w:pict w14:anchorId="208A4255">
          <v:group id="docshapegroup1405" o:spid="_x0000_s2437" style="position:absolute;left:0;text-align:left;margin-left:49.8pt;margin-top:-1pt;width:513pt;height:172.95pt;z-index:-251550208;mso-position-horizontal-relative:page" coordorigin="996,-20" coordsize="10260,3459">
            <v:shape id="docshape1406" o:spid="_x0000_s2444" style="position:absolute;left:1139;top:-21;width:2262;height:496" coordorigin="1140,-20" coordsize="2262,496" path="m3231,-20r-1921,l1211,-17,1161,1r-19,51l1140,150r,325l3401,475r,-325l3398,52,3380,1r-51,-18l3231,-20xe" fillcolor="#00aca1" stroked="f">
              <v:path arrowok="t"/>
            </v:shape>
            <v:shape id="docshape1407" o:spid="_x0000_s2443" style="position:absolute;left:1139;top:537;width:2262;height:2901" coordorigin="1140,538" coordsize="2262,2901" path="m3401,538r-2261,l1140,3268r2,98l1161,3417r50,19l1310,3438r1921,l3329,3436r51,-19l3398,3366r3,-98l3401,538xe" fillcolor="#f3f4f4" stroked="f">
              <v:path arrowok="t"/>
            </v:shape>
            <v:shape id="docshape1408" o:spid="_x0000_s2442" style="position:absolute;left:3698;top:-21;width:3563;height:496" coordorigin="3699,-20" coordsize="3563,496" path="m7091,-20r-3222,l3770,-17,3720,1r-19,51l3699,150r,325l7261,475r,-325l7258,52,7240,1r-51,-18l7091,-20xe" fillcolor="#00aca1" stroked="f">
              <v:path arrowok="t"/>
            </v:shape>
            <v:shape id="docshape1409" o:spid="_x0000_s2441" style="position:absolute;left:3698;top:537;width:3563;height:2901" coordorigin="3699,538" coordsize="3563,2901" path="m7261,538r-3562,l3699,3268r2,98l3720,3417r50,19l3869,3438r3222,l7189,3436r51,-19l7258,3366r3,-98l7261,538xe" fillcolor="#f3f4f4" stroked="f">
              <v:path arrowok="t"/>
            </v:shape>
            <v:shape id="docshape1410" o:spid="_x0000_s2440" style="position:absolute;left:7544;top:-21;width:3563;height:496" coordorigin="7544,-20" coordsize="3563,496" path="m10937,-20r-3223,l7616,-17,7566,1r-19,51l7544,150r,325l11107,475r,-325l11104,52,11086,1r-51,-18l10937,-20xe" fillcolor="#00aca1" stroked="f">
              <v:path arrowok="t"/>
            </v:shape>
            <v:shape id="docshape1411" o:spid="_x0000_s2439" style="position:absolute;left:7544;top:537;width:3563;height:2901" coordorigin="7544,538" coordsize="3563,2901" path="m11107,538r-3563,l7544,3268r3,98l7566,3417r50,19l7714,3438r3223,l11035,3436r51,-19l11104,3366r3,-98l11107,538xe" fillcolor="#f3f4f4" stroked="f">
              <v:path arrowok="t"/>
            </v:shape>
            <v:line id="_x0000_s2438" style="position:absolute" from="996,979" to="11256,979" strokecolor="white" strokeweight="2pt"/>
            <w10:wrap anchorx="page"/>
          </v:group>
        </w:pict>
      </w:r>
      <w:r w:rsidR="007613FA">
        <w:rPr>
          <w:rFonts w:ascii="ＭＳ 明朝" w:eastAsia="ＭＳ 明朝" w:hAnsi="ＭＳ 明朝" w:cs="ＭＳ 明朝" w:hint="eastAsia"/>
          <w:color w:val="F1F1F2"/>
          <w:spacing w:val="-6"/>
          <w:w w:val="95"/>
          <w:lang w:eastAsia="ja-JP"/>
        </w:rPr>
        <w:t>保証意見</w:t>
      </w:r>
      <w:r w:rsidR="00F23C61">
        <w:rPr>
          <w:color w:val="F1F1F2"/>
          <w:spacing w:val="-5"/>
          <w:w w:val="95"/>
        </w:rPr>
        <w:tab/>
      </w:r>
      <w:r w:rsidR="007613FA">
        <w:rPr>
          <w:rFonts w:ascii="ＭＳ 明朝" w:eastAsia="ＭＳ 明朝" w:hAnsi="ＭＳ 明朝" w:cs="ＭＳ 明朝" w:hint="eastAsia"/>
          <w:color w:val="F1F1F2"/>
          <w:w w:val="95"/>
          <w:lang w:eastAsia="ja-JP"/>
        </w:rPr>
        <w:t>限定的保証</w:t>
      </w:r>
      <w:r w:rsidR="00F23C61">
        <w:rPr>
          <w:color w:val="F1F1F2"/>
          <w:w w:val="95"/>
        </w:rPr>
        <w:tab/>
      </w:r>
      <w:r w:rsidR="007613FA">
        <w:rPr>
          <w:rFonts w:ascii="ＭＳ 明朝" w:eastAsia="ＭＳ 明朝" w:hAnsi="ＭＳ 明朝" w:cs="ＭＳ 明朝" w:hint="eastAsia"/>
          <w:color w:val="F1F1F2"/>
          <w:w w:val="95"/>
          <w:lang w:eastAsia="ja-JP"/>
        </w:rPr>
        <w:t>合理的保証</w:t>
      </w:r>
    </w:p>
    <w:p w14:paraId="19E75F98" w14:textId="77777777" w:rsidR="0055291C" w:rsidRDefault="0055291C">
      <w:pPr>
        <w:pStyle w:val="a3"/>
        <w:spacing w:before="6"/>
        <w:rPr>
          <w:rFonts w:ascii="Arial"/>
          <w:b/>
          <w:i/>
          <w:sz w:val="21"/>
        </w:rPr>
      </w:pPr>
    </w:p>
    <w:p w14:paraId="5C4B0FAD" w14:textId="58C9CDC2" w:rsidR="0055291C" w:rsidRDefault="007613FA" w:rsidP="008C3D94">
      <w:pPr>
        <w:tabs>
          <w:tab w:val="left" w:pos="3860"/>
          <w:tab w:val="left" w:pos="7712"/>
        </w:tabs>
        <w:ind w:left="1248" w:rightChars="537" w:right="1181"/>
        <w:rPr>
          <w:sz w:val="19"/>
          <w:lang w:eastAsia="ja-JP"/>
        </w:rPr>
      </w:pPr>
      <w:r>
        <w:rPr>
          <w:rFonts w:ascii="ＭＳ ゴシック" w:eastAsia="ＭＳ ゴシック" w:hAnsi="ＭＳ ゴシック" w:cs="ＭＳ ゴシック" w:hint="eastAsia"/>
          <w:b/>
          <w:color w:val="545456"/>
          <w:sz w:val="19"/>
          <w:lang w:eastAsia="ja-JP"/>
        </w:rPr>
        <w:t>保証の本質的内容</w:t>
      </w:r>
      <w:r w:rsidR="00F23C61">
        <w:rPr>
          <w:rFonts w:ascii="Arial"/>
          <w:b/>
          <w:color w:val="545456"/>
          <w:sz w:val="19"/>
          <w:lang w:eastAsia="ja-JP"/>
        </w:rPr>
        <w:tab/>
      </w:r>
      <w:r w:rsidR="000337D5">
        <w:rPr>
          <w:rFonts w:ascii="ＭＳ ゴシック" w:eastAsia="ＭＳ ゴシック" w:hAnsi="ＭＳ ゴシック" w:cs="ＭＳ ゴシック" w:hint="eastAsia"/>
          <w:color w:val="545456"/>
          <w:sz w:val="19"/>
          <w:lang w:eastAsia="ja-JP"/>
        </w:rPr>
        <w:t>消極的</w:t>
      </w:r>
      <w:r>
        <w:rPr>
          <w:rFonts w:ascii="ＭＳ ゴシック" w:eastAsia="ＭＳ ゴシック" w:hAnsi="ＭＳ ゴシック" w:cs="ＭＳ ゴシック" w:hint="eastAsia"/>
          <w:color w:val="545456"/>
          <w:sz w:val="19"/>
          <w:lang w:eastAsia="ja-JP"/>
        </w:rPr>
        <w:t>意見</w:t>
      </w:r>
      <w:r w:rsidR="00F23C61">
        <w:rPr>
          <w:color w:val="545456"/>
          <w:sz w:val="19"/>
          <w:lang w:eastAsia="ja-JP"/>
        </w:rPr>
        <w:tab/>
      </w:r>
      <w:r w:rsidR="000337D5">
        <w:rPr>
          <w:rFonts w:ascii="ＭＳ ゴシック" w:eastAsia="ＭＳ ゴシック" w:hAnsi="ＭＳ ゴシック" w:cs="ＭＳ ゴシック" w:hint="eastAsia"/>
          <w:color w:val="545456"/>
          <w:sz w:val="19"/>
          <w:lang w:eastAsia="ja-JP"/>
        </w:rPr>
        <w:t>積極</w:t>
      </w:r>
      <w:r>
        <w:rPr>
          <w:rFonts w:ascii="ＭＳ ゴシック" w:eastAsia="ＭＳ ゴシック" w:hAnsi="ＭＳ ゴシック" w:cs="ＭＳ ゴシック" w:hint="eastAsia"/>
          <w:color w:val="545456"/>
          <w:sz w:val="19"/>
          <w:lang w:eastAsia="ja-JP"/>
        </w:rPr>
        <w:t>的意見</w:t>
      </w:r>
    </w:p>
    <w:p w14:paraId="46A5484C" w14:textId="77777777" w:rsidR="0055291C" w:rsidRDefault="0055291C">
      <w:pPr>
        <w:pStyle w:val="a3"/>
        <w:spacing w:before="6"/>
        <w:rPr>
          <w:sz w:val="17"/>
          <w:lang w:eastAsia="ja-JP"/>
        </w:rPr>
      </w:pPr>
    </w:p>
    <w:p w14:paraId="4DD36D64" w14:textId="77777777" w:rsidR="0055291C" w:rsidRDefault="0055291C">
      <w:pPr>
        <w:rPr>
          <w:sz w:val="17"/>
          <w:lang w:eastAsia="ja-JP"/>
        </w:rPr>
        <w:sectPr w:rsidR="0055291C">
          <w:type w:val="continuous"/>
          <w:pgSz w:w="12240" w:h="15840"/>
          <w:pgMar w:top="740" w:right="0" w:bottom="280" w:left="0" w:header="0" w:footer="859" w:gutter="0"/>
          <w:cols w:space="720"/>
        </w:sectPr>
      </w:pPr>
    </w:p>
    <w:p w14:paraId="431870BE" w14:textId="3D013309" w:rsidR="0055291C" w:rsidRDefault="007613FA">
      <w:pPr>
        <w:pStyle w:val="8"/>
        <w:spacing w:before="99" w:line="264" w:lineRule="auto"/>
        <w:ind w:left="1248" w:right="-8"/>
        <w:rPr>
          <w:lang w:eastAsia="ja-JP"/>
        </w:rPr>
      </w:pPr>
      <w:r>
        <w:rPr>
          <w:rFonts w:ascii="ＭＳ 明朝" w:eastAsia="ＭＳ 明朝" w:hAnsi="ＭＳ 明朝" w:cs="ＭＳ 明朝" w:hint="eastAsia"/>
          <w:color w:val="545456"/>
          <w:spacing w:val="-2"/>
          <w:lang w:eastAsia="ja-JP"/>
        </w:rPr>
        <w:t>保証の文章例</w:t>
      </w:r>
    </w:p>
    <w:p w14:paraId="7C2244D6" w14:textId="404E915F" w:rsidR="008C3D94" w:rsidRDefault="00F23C61" w:rsidP="008C3D94">
      <w:pPr>
        <w:spacing w:before="102" w:line="266" w:lineRule="auto"/>
        <w:ind w:left="1090" w:rightChars="93" w:right="205" w:hanging="74"/>
        <w:rPr>
          <w:sz w:val="19"/>
          <w:szCs w:val="19"/>
          <w:lang w:eastAsia="ja-JP"/>
        </w:rPr>
      </w:pPr>
      <w:r>
        <w:rPr>
          <w:lang w:eastAsia="ja-JP"/>
        </w:rPr>
        <w:br w:type="column"/>
      </w:r>
      <w:r w:rsidR="007613FA" w:rsidRPr="007613FA">
        <w:rPr>
          <w:sz w:val="19"/>
          <w:szCs w:val="19"/>
          <w:lang w:eastAsia="ja-JP"/>
        </w:rPr>
        <w:t>"</w:t>
      </w:r>
      <w:r w:rsidR="007613FA" w:rsidRPr="007613FA">
        <w:rPr>
          <w:rFonts w:ascii="ＭＳ ゴシック" w:eastAsia="ＭＳ ゴシック" w:hAnsi="ＭＳ ゴシック" w:cs="ＭＳ ゴシック" w:hint="eastAsia"/>
          <w:sz w:val="19"/>
          <w:szCs w:val="19"/>
          <w:lang w:eastAsia="ja-JP"/>
        </w:rPr>
        <w:t>我々の</w:t>
      </w:r>
      <w:r w:rsidR="008C3D94">
        <w:rPr>
          <w:rFonts w:ascii="ＭＳ ゴシック" w:eastAsia="ＭＳ ゴシック" w:hAnsi="ＭＳ ゴシック" w:cs="ＭＳ ゴシック" w:hint="eastAsia"/>
          <w:sz w:val="19"/>
          <w:szCs w:val="19"/>
          <w:lang w:eastAsia="ja-JP"/>
        </w:rPr>
        <w:t>意見では</w:t>
      </w:r>
      <w:r w:rsidR="007613FA" w:rsidRPr="007613FA">
        <w:rPr>
          <w:rFonts w:ascii="ＭＳ ゴシック" w:eastAsia="ＭＳ ゴシック" w:hAnsi="ＭＳ ゴシック" w:cs="ＭＳ ゴシック" w:hint="eastAsia"/>
          <w:sz w:val="19"/>
          <w:szCs w:val="19"/>
          <w:lang w:eastAsia="ja-JP"/>
        </w:rPr>
        <w:t>、</w:t>
      </w:r>
      <w:r w:rsidR="008C3D94">
        <w:rPr>
          <w:rFonts w:ascii="ＭＳ ゴシック" w:eastAsia="ＭＳ ゴシック" w:hAnsi="ＭＳ ゴシック" w:cs="ＭＳ ゴシック" w:hint="eastAsia"/>
          <w:sz w:val="19"/>
          <w:szCs w:val="19"/>
          <w:lang w:eastAsia="ja-JP"/>
        </w:rPr>
        <w:t>調査対象</w:t>
      </w:r>
      <w:r w:rsidR="007613FA" w:rsidRPr="007613FA">
        <w:rPr>
          <w:rFonts w:ascii="ＭＳ ゴシック" w:eastAsia="ＭＳ ゴシック" w:hAnsi="ＭＳ ゴシック" w:cs="ＭＳ ゴシック" w:hint="eastAsia"/>
          <w:sz w:val="19"/>
          <w:szCs w:val="19"/>
          <w:lang w:eastAsia="ja-JP"/>
        </w:rPr>
        <w:t>製品の排出量は</w:t>
      </w:r>
      <w:r w:rsidR="007613FA" w:rsidRPr="007613FA">
        <w:rPr>
          <w:sz w:val="19"/>
          <w:szCs w:val="19"/>
          <w:lang w:eastAsia="ja-JP"/>
        </w:rPr>
        <w:t>23</w:t>
      </w:r>
      <w:r w:rsidR="008C3D94">
        <w:rPr>
          <w:rFonts w:ascii="ＭＳ ゴシック" w:eastAsia="ＭＳ ゴシック" w:hAnsi="ＭＳ ゴシック" w:cs="ＭＳ ゴシック" w:hint="eastAsia"/>
          <w:sz w:val="19"/>
          <w:szCs w:val="19"/>
          <w:lang w:eastAsia="ja-JP"/>
        </w:rPr>
        <w:t>㎏</w:t>
      </w:r>
      <w:r w:rsidR="007613FA" w:rsidRPr="007613FA">
        <w:rPr>
          <w:sz w:val="19"/>
          <w:szCs w:val="19"/>
          <w:lang w:eastAsia="ja-JP"/>
        </w:rPr>
        <w:t>CO</w:t>
      </w:r>
      <w:r w:rsidR="007613FA" w:rsidRPr="008C3D94">
        <w:rPr>
          <w:sz w:val="19"/>
          <w:szCs w:val="19"/>
          <w:vertAlign w:val="subscript"/>
          <w:lang w:eastAsia="ja-JP"/>
        </w:rPr>
        <w:t>2</w:t>
      </w:r>
      <w:r w:rsidR="007613FA" w:rsidRPr="007613FA">
        <w:rPr>
          <w:sz w:val="19"/>
          <w:szCs w:val="19"/>
          <w:lang w:eastAsia="ja-JP"/>
        </w:rPr>
        <w:t>e</w:t>
      </w:r>
      <w:r w:rsidR="007613FA" w:rsidRPr="007613FA">
        <w:rPr>
          <w:rFonts w:ascii="ＭＳ ゴシック" w:eastAsia="ＭＳ ゴシック" w:hAnsi="ＭＳ ゴシック" w:cs="ＭＳ ゴシック" w:hint="eastAsia"/>
          <w:sz w:val="19"/>
          <w:szCs w:val="19"/>
          <w:lang w:eastAsia="ja-JP"/>
        </w:rPr>
        <w:t>であり、</w:t>
      </w:r>
      <w:r w:rsidR="007613FA" w:rsidRPr="007613FA">
        <w:rPr>
          <w:sz w:val="19"/>
          <w:szCs w:val="19"/>
          <w:lang w:eastAsia="ja-JP"/>
        </w:rPr>
        <w:t xml:space="preserve"> GHG</w:t>
      </w:r>
      <w:r w:rsidR="007613FA" w:rsidRPr="007613FA">
        <w:rPr>
          <w:rFonts w:ascii="ＭＳ ゴシック" w:eastAsia="ＭＳ ゴシック" w:hAnsi="ＭＳ ゴシック" w:cs="ＭＳ ゴシック" w:hint="eastAsia"/>
          <w:sz w:val="19"/>
          <w:szCs w:val="19"/>
          <w:lang w:eastAsia="ja-JP"/>
        </w:rPr>
        <w:t>プロトコル製品ライフサイクル</w:t>
      </w:r>
      <w:r w:rsidR="00DA47C0">
        <w:rPr>
          <w:rFonts w:ascii="ＭＳ ゴシック" w:eastAsia="ＭＳ ゴシック" w:hAnsi="ＭＳ ゴシック" w:cs="ＭＳ ゴシック" w:hint="eastAsia"/>
          <w:sz w:val="19"/>
          <w:szCs w:val="19"/>
          <w:lang w:eastAsia="ja-JP"/>
        </w:rPr>
        <w:t>算出</w:t>
      </w:r>
      <w:r w:rsidR="007613FA" w:rsidRPr="007613FA">
        <w:rPr>
          <w:rFonts w:ascii="ＭＳ ゴシック" w:eastAsia="ＭＳ ゴシック" w:hAnsi="ＭＳ ゴシック" w:cs="ＭＳ ゴシック" w:hint="eastAsia"/>
          <w:sz w:val="19"/>
          <w:szCs w:val="19"/>
          <w:lang w:eastAsia="ja-JP"/>
        </w:rPr>
        <w:t>報告基準の要件に適合しているという同社の主張に対して、我々は重要な修正を加えるべきであると認識していない。</w:t>
      </w:r>
      <w:r w:rsidR="007613FA" w:rsidRPr="007613FA">
        <w:rPr>
          <w:sz w:val="19"/>
          <w:szCs w:val="19"/>
          <w:lang w:eastAsia="ja-JP"/>
        </w:rPr>
        <w:t>"</w:t>
      </w:r>
    </w:p>
    <w:p w14:paraId="61F24456" w14:textId="3F6BAAFB" w:rsidR="0055291C" w:rsidRDefault="007613FA" w:rsidP="008C3D94">
      <w:pPr>
        <w:spacing w:before="102" w:line="266" w:lineRule="auto"/>
        <w:ind w:left="567" w:rightChars="615" w:right="1353" w:hanging="74"/>
        <w:rPr>
          <w:sz w:val="19"/>
          <w:lang w:eastAsia="ja-JP"/>
        </w:rPr>
      </w:pPr>
      <w:r w:rsidRPr="007613FA">
        <w:rPr>
          <w:sz w:val="19"/>
          <w:szCs w:val="19"/>
          <w:lang w:eastAsia="ja-JP"/>
        </w:rPr>
        <w:t xml:space="preserve"> </w:t>
      </w:r>
      <w:r w:rsidR="00F23C61">
        <w:rPr>
          <w:lang w:eastAsia="ja-JP"/>
        </w:rPr>
        <w:br w:type="column"/>
      </w:r>
      <w:r w:rsidR="008C3D94" w:rsidRPr="008C3D94">
        <w:rPr>
          <w:sz w:val="19"/>
          <w:szCs w:val="19"/>
          <w:lang w:eastAsia="ja-JP"/>
        </w:rPr>
        <w:t>"</w:t>
      </w:r>
      <w:r w:rsidR="008C3D94" w:rsidRPr="008C3D94">
        <w:rPr>
          <w:rFonts w:ascii="ＭＳ ゴシック" w:eastAsia="ＭＳ ゴシック" w:hAnsi="ＭＳ ゴシック" w:cs="ＭＳ ゴシック" w:hint="eastAsia"/>
          <w:sz w:val="19"/>
          <w:szCs w:val="19"/>
          <w:lang w:eastAsia="ja-JP"/>
        </w:rPr>
        <w:t>我々の意見では、</w:t>
      </w:r>
      <w:r w:rsidR="008C3D94">
        <w:rPr>
          <w:rFonts w:ascii="ＭＳ ゴシック" w:eastAsia="ＭＳ ゴシック" w:hAnsi="ＭＳ ゴシック" w:cs="ＭＳ ゴシック" w:hint="eastAsia"/>
          <w:sz w:val="19"/>
          <w:szCs w:val="19"/>
          <w:lang w:eastAsia="ja-JP"/>
        </w:rPr>
        <w:t>調査対象</w:t>
      </w:r>
      <w:r w:rsidR="008C3D94" w:rsidRPr="008C3D94">
        <w:rPr>
          <w:rFonts w:ascii="ＭＳ ゴシック" w:eastAsia="ＭＳ ゴシック" w:hAnsi="ＭＳ ゴシック" w:cs="ＭＳ ゴシック" w:hint="eastAsia"/>
          <w:sz w:val="19"/>
          <w:szCs w:val="19"/>
          <w:lang w:eastAsia="ja-JP"/>
        </w:rPr>
        <w:t>製品の排出量が</w:t>
      </w:r>
      <w:r w:rsidR="008C3D94" w:rsidRPr="008C3D94">
        <w:rPr>
          <w:sz w:val="19"/>
          <w:szCs w:val="19"/>
          <w:lang w:eastAsia="ja-JP"/>
        </w:rPr>
        <w:t>23</w:t>
      </w:r>
      <w:r w:rsidR="008C3D94">
        <w:rPr>
          <w:rFonts w:ascii="ＭＳ ゴシック" w:eastAsia="ＭＳ ゴシック" w:hAnsi="ＭＳ ゴシック" w:cs="ＭＳ ゴシック" w:hint="eastAsia"/>
          <w:sz w:val="19"/>
          <w:szCs w:val="19"/>
          <w:lang w:eastAsia="ja-JP"/>
        </w:rPr>
        <w:t>㎏</w:t>
      </w:r>
      <w:r w:rsidR="008C3D94" w:rsidRPr="008C3D94">
        <w:rPr>
          <w:sz w:val="19"/>
          <w:szCs w:val="19"/>
          <w:lang w:eastAsia="ja-JP"/>
        </w:rPr>
        <w:t>CO</w:t>
      </w:r>
      <w:r w:rsidR="008C3D94" w:rsidRPr="008C3D94">
        <w:rPr>
          <w:sz w:val="19"/>
          <w:szCs w:val="19"/>
          <w:vertAlign w:val="subscript"/>
          <w:lang w:eastAsia="ja-JP"/>
        </w:rPr>
        <w:t>2</w:t>
      </w:r>
      <w:r w:rsidR="008C3D94" w:rsidRPr="008C3D94">
        <w:rPr>
          <w:sz w:val="19"/>
          <w:szCs w:val="19"/>
          <w:lang w:eastAsia="ja-JP"/>
        </w:rPr>
        <w:t xml:space="preserve"> e</w:t>
      </w:r>
      <w:r w:rsidR="008C3D94" w:rsidRPr="008C3D94">
        <w:rPr>
          <w:rFonts w:ascii="ＭＳ ゴシック" w:eastAsia="ＭＳ ゴシック" w:hAnsi="ＭＳ ゴシック" w:cs="ＭＳ ゴシック" w:hint="eastAsia"/>
          <w:sz w:val="19"/>
          <w:szCs w:val="19"/>
          <w:lang w:eastAsia="ja-JP"/>
        </w:rPr>
        <w:t>であるという報告</w:t>
      </w:r>
      <w:r w:rsidR="008C3D94">
        <w:rPr>
          <w:rFonts w:ascii="ＭＳ ゴシック" w:eastAsia="ＭＳ ゴシック" w:hAnsi="ＭＳ ゴシック" w:cs="ＭＳ ゴシック" w:hint="eastAsia"/>
          <w:sz w:val="19"/>
          <w:szCs w:val="19"/>
          <w:lang w:eastAsia="ja-JP"/>
        </w:rPr>
        <w:t>企業</w:t>
      </w:r>
      <w:r w:rsidR="008C3D94" w:rsidRPr="008C3D94">
        <w:rPr>
          <w:rFonts w:ascii="ＭＳ ゴシック" w:eastAsia="ＭＳ ゴシック" w:hAnsi="ＭＳ ゴシック" w:cs="ＭＳ ゴシック" w:hint="eastAsia"/>
          <w:sz w:val="19"/>
          <w:szCs w:val="19"/>
          <w:lang w:eastAsia="ja-JP"/>
        </w:rPr>
        <w:t>の主張は、すべての重要な点において公正に記述されており、</w:t>
      </w:r>
      <w:r w:rsidR="008C3D94" w:rsidRPr="008C3D94">
        <w:rPr>
          <w:sz w:val="19"/>
          <w:szCs w:val="19"/>
          <w:lang w:eastAsia="ja-JP"/>
        </w:rPr>
        <w:t>GHG</w:t>
      </w:r>
      <w:r w:rsidR="008C3D94" w:rsidRPr="008C3D94">
        <w:rPr>
          <w:rFonts w:ascii="ＭＳ ゴシック" w:eastAsia="ＭＳ ゴシック" w:hAnsi="ＭＳ ゴシック" w:cs="ＭＳ ゴシック" w:hint="eastAsia"/>
          <w:sz w:val="19"/>
          <w:szCs w:val="19"/>
          <w:lang w:eastAsia="ja-JP"/>
        </w:rPr>
        <w:t>プロトコル製品ライフサイクル</w:t>
      </w:r>
      <w:r w:rsidR="00DA47C0">
        <w:rPr>
          <w:rFonts w:ascii="ＭＳ ゴシック" w:eastAsia="ＭＳ ゴシック" w:hAnsi="ＭＳ ゴシック" w:cs="ＭＳ ゴシック" w:hint="eastAsia"/>
          <w:sz w:val="19"/>
          <w:szCs w:val="19"/>
          <w:lang w:eastAsia="ja-JP"/>
        </w:rPr>
        <w:t>算出</w:t>
      </w:r>
      <w:r w:rsidR="008C3D94" w:rsidRPr="008C3D94">
        <w:rPr>
          <w:rFonts w:ascii="ＭＳ ゴシック" w:eastAsia="ＭＳ ゴシック" w:hAnsi="ＭＳ ゴシック" w:cs="ＭＳ ゴシック" w:hint="eastAsia"/>
          <w:sz w:val="19"/>
          <w:szCs w:val="19"/>
          <w:lang w:eastAsia="ja-JP"/>
        </w:rPr>
        <w:t>および報告基準に適合している。</w:t>
      </w:r>
      <w:r w:rsidR="008C3D94" w:rsidRPr="008C3D94">
        <w:rPr>
          <w:sz w:val="19"/>
          <w:szCs w:val="19"/>
          <w:lang w:eastAsia="ja-JP"/>
        </w:rPr>
        <w:t>"</w:t>
      </w:r>
    </w:p>
    <w:p w14:paraId="263493B3" w14:textId="77777777" w:rsidR="0055291C" w:rsidRDefault="0055291C">
      <w:pPr>
        <w:spacing w:line="266" w:lineRule="auto"/>
        <w:rPr>
          <w:sz w:val="19"/>
          <w:lang w:eastAsia="ja-JP"/>
        </w:rPr>
        <w:sectPr w:rsidR="0055291C">
          <w:type w:val="continuous"/>
          <w:pgSz w:w="12240" w:h="15840"/>
          <w:pgMar w:top="740" w:right="0" w:bottom="280" w:left="0" w:header="0" w:footer="859" w:gutter="0"/>
          <w:cols w:num="3" w:space="720" w:equalWidth="0">
            <w:col w:w="2804" w:space="40"/>
            <w:col w:w="4317" w:space="39"/>
            <w:col w:w="5040"/>
          </w:cols>
        </w:sectPr>
      </w:pPr>
    </w:p>
    <w:p w14:paraId="4A13088D" w14:textId="77777777" w:rsidR="0055291C" w:rsidRDefault="0055291C">
      <w:pPr>
        <w:pStyle w:val="a3"/>
        <w:rPr>
          <w:sz w:val="20"/>
          <w:lang w:eastAsia="ja-JP"/>
        </w:rPr>
      </w:pPr>
    </w:p>
    <w:p w14:paraId="573BF0D9" w14:textId="77777777" w:rsidR="0055291C" w:rsidRDefault="0055291C">
      <w:pPr>
        <w:pStyle w:val="a3"/>
        <w:spacing w:before="6" w:after="1"/>
        <w:rPr>
          <w:sz w:val="27"/>
          <w:lang w:eastAsia="ja-JP"/>
        </w:rPr>
      </w:pPr>
    </w:p>
    <w:p w14:paraId="319396B1" w14:textId="77777777" w:rsidR="0055291C" w:rsidRDefault="00F23C61">
      <w:pPr>
        <w:pStyle w:val="a3"/>
        <w:rPr>
          <w:sz w:val="20"/>
        </w:rPr>
      </w:pPr>
      <w:r>
        <w:rPr>
          <w:noProof/>
          <w:sz w:val="20"/>
        </w:rPr>
        <w:drawing>
          <wp:inline distT="0" distB="0" distL="0" distR="0" wp14:anchorId="731F7D4F" wp14:editId="66A4E7C7">
            <wp:extent cx="7048018" cy="3514725"/>
            <wp:effectExtent l="0" t="0" r="0" b="0"/>
            <wp:docPr id="37"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01.png"/>
                    <pic:cNvPicPr/>
                  </pic:nvPicPr>
                  <pic:blipFill>
                    <a:blip r:embed="rId295" cstate="print"/>
                    <a:stretch>
                      <a:fillRect/>
                    </a:stretch>
                  </pic:blipFill>
                  <pic:spPr>
                    <a:xfrm>
                      <a:off x="0" y="0"/>
                      <a:ext cx="7048018" cy="3514725"/>
                    </a:xfrm>
                    <a:prstGeom prst="rect">
                      <a:avLst/>
                    </a:prstGeom>
                  </pic:spPr>
                </pic:pic>
              </a:graphicData>
            </a:graphic>
          </wp:inline>
        </w:drawing>
      </w:r>
    </w:p>
    <w:p w14:paraId="0608C052" w14:textId="77777777" w:rsidR="0055291C" w:rsidRDefault="0055291C">
      <w:pPr>
        <w:rPr>
          <w:sz w:val="20"/>
        </w:rPr>
        <w:sectPr w:rsidR="0055291C">
          <w:type w:val="continuous"/>
          <w:pgSz w:w="12240" w:h="15840"/>
          <w:pgMar w:top="740" w:right="0" w:bottom="280" w:left="0" w:header="0" w:footer="859" w:gutter="0"/>
          <w:cols w:space="720"/>
        </w:sectPr>
      </w:pPr>
    </w:p>
    <w:p w14:paraId="18C6D039" w14:textId="77777777" w:rsidR="0055291C" w:rsidRDefault="0055291C">
      <w:pPr>
        <w:pStyle w:val="a3"/>
        <w:rPr>
          <w:sz w:val="20"/>
        </w:rPr>
      </w:pPr>
    </w:p>
    <w:p w14:paraId="1E2EEAA8" w14:textId="77777777" w:rsidR="0055291C" w:rsidRDefault="0055291C">
      <w:pPr>
        <w:pStyle w:val="a3"/>
        <w:rPr>
          <w:sz w:val="20"/>
        </w:rPr>
      </w:pPr>
    </w:p>
    <w:p w14:paraId="08ED019B" w14:textId="77777777" w:rsidR="0055291C" w:rsidRDefault="0055291C">
      <w:pPr>
        <w:pStyle w:val="a3"/>
        <w:rPr>
          <w:sz w:val="20"/>
        </w:rPr>
      </w:pPr>
    </w:p>
    <w:p w14:paraId="0763513B" w14:textId="77777777" w:rsidR="0055291C" w:rsidRDefault="0055291C">
      <w:pPr>
        <w:pStyle w:val="a3"/>
        <w:spacing w:before="4"/>
        <w:rPr>
          <w:sz w:val="24"/>
        </w:rPr>
      </w:pPr>
    </w:p>
    <w:p w14:paraId="08300793" w14:textId="77777777" w:rsidR="0055291C" w:rsidRDefault="00000000">
      <w:pPr>
        <w:spacing w:before="1"/>
        <w:ind w:right="1126"/>
        <w:jc w:val="right"/>
        <w:rPr>
          <w:rFonts w:ascii="Arial"/>
          <w:i/>
          <w:sz w:val="19"/>
        </w:rPr>
      </w:pPr>
      <w:r>
        <w:pict w14:anchorId="077FE3BD">
          <v:shape id="docshape1412" o:spid="_x0000_s2436" style="position:absolute;left:0;text-align:left;margin-left:580.75pt;margin-top:-47.75pt;width:31.3pt;height:285.85pt;z-index:251637248;mso-position-horizontal-relative:page" coordorigin="11615,-955" coordsize="626,5717" path="m12240,-955r-625,l11615,4535r3,131l11643,4733r67,25l11842,4761r398,l12240,-955xe" fillcolor="#00aca1" stroked="f">
            <v:path arrowok="t"/>
            <w10:wrap anchorx="page"/>
          </v:shape>
        </w:pict>
      </w:r>
      <w:r w:rsidR="00F23C61">
        <w:rPr>
          <w:rFonts w:ascii="Arial"/>
          <w:b/>
          <w:i/>
          <w:color w:val="7F3F98"/>
          <w:w w:val="95"/>
          <w:sz w:val="19"/>
        </w:rPr>
        <w:t>CHAPTER</w:t>
      </w:r>
      <w:r w:rsidR="00F23C61">
        <w:rPr>
          <w:rFonts w:ascii="Arial"/>
          <w:b/>
          <w:i/>
          <w:color w:val="7F3F98"/>
          <w:spacing w:val="22"/>
          <w:w w:val="95"/>
          <w:sz w:val="19"/>
        </w:rPr>
        <w:t xml:space="preserve"> </w:t>
      </w:r>
      <w:r w:rsidR="00F23C61">
        <w:rPr>
          <w:rFonts w:ascii="Arial"/>
          <w:b/>
          <w:i/>
          <w:color w:val="7F3F98"/>
          <w:w w:val="95"/>
          <w:sz w:val="19"/>
        </w:rPr>
        <w:t>12</w:t>
      </w:r>
      <w:r w:rsidR="00F23C61">
        <w:rPr>
          <w:rFonts w:ascii="Arial"/>
          <w:b/>
          <w:i/>
          <w:color w:val="7F3F98"/>
          <w:spacing w:val="22"/>
          <w:w w:val="95"/>
          <w:sz w:val="19"/>
        </w:rPr>
        <w:t xml:space="preserve"> </w:t>
      </w:r>
      <w:r w:rsidR="00F23C61">
        <w:rPr>
          <w:rFonts w:ascii="Arial"/>
          <w:i/>
          <w:color w:val="545456"/>
          <w:w w:val="95"/>
          <w:sz w:val="19"/>
        </w:rPr>
        <w:t>Assurance</w:t>
      </w:r>
    </w:p>
    <w:p w14:paraId="359F3C4A" w14:textId="77777777" w:rsidR="0055291C" w:rsidRDefault="0055291C">
      <w:pPr>
        <w:pStyle w:val="a3"/>
        <w:rPr>
          <w:rFonts w:ascii="Arial"/>
          <w:i/>
          <w:sz w:val="20"/>
        </w:rPr>
      </w:pPr>
    </w:p>
    <w:p w14:paraId="38D8AAF7" w14:textId="77777777" w:rsidR="0055291C" w:rsidRDefault="0055291C">
      <w:pPr>
        <w:pStyle w:val="a3"/>
        <w:spacing w:before="4"/>
        <w:rPr>
          <w:rFonts w:ascii="Arial"/>
          <w:i/>
          <w:sz w:val="21"/>
        </w:rPr>
      </w:pPr>
    </w:p>
    <w:p w14:paraId="6B239587" w14:textId="77777777" w:rsidR="0055291C" w:rsidRDefault="0055291C">
      <w:pPr>
        <w:rPr>
          <w:rFonts w:ascii="Arial"/>
          <w:sz w:val="21"/>
        </w:rPr>
        <w:sectPr w:rsidR="0055291C">
          <w:headerReference w:type="default" r:id="rId296"/>
          <w:pgSz w:w="12240" w:h="15840"/>
          <w:pgMar w:top="0" w:right="0" w:bottom="1040" w:left="0" w:header="0" w:footer="859" w:gutter="0"/>
          <w:cols w:space="720"/>
        </w:sectPr>
      </w:pPr>
    </w:p>
    <w:p w14:paraId="4F2C470A" w14:textId="522617C0" w:rsidR="0055291C" w:rsidRDefault="00417CA0">
      <w:pPr>
        <w:pStyle w:val="3"/>
        <w:numPr>
          <w:ilvl w:val="1"/>
          <w:numId w:val="3"/>
        </w:numPr>
        <w:tabs>
          <w:tab w:val="left" w:pos="1853"/>
          <w:tab w:val="left" w:pos="1854"/>
        </w:tabs>
        <w:ind w:hanging="721"/>
      </w:pPr>
      <w:r>
        <w:rPr>
          <w:rFonts w:ascii="ＭＳ 明朝" w:eastAsia="ＭＳ 明朝" w:hAnsi="ＭＳ 明朝" w:cs="ＭＳ 明朝" w:hint="eastAsia"/>
          <w:color w:val="00ACA1"/>
          <w:lang w:eastAsia="ja-JP"/>
        </w:rPr>
        <w:t>ガイダンス</w:t>
      </w:r>
    </w:p>
    <w:p w14:paraId="70AE3328" w14:textId="5D091EDE" w:rsidR="0055291C" w:rsidRDefault="00417CA0">
      <w:pPr>
        <w:pStyle w:val="7"/>
        <w:numPr>
          <w:ilvl w:val="2"/>
          <w:numId w:val="3"/>
        </w:numPr>
        <w:tabs>
          <w:tab w:val="left" w:pos="1854"/>
        </w:tabs>
        <w:spacing w:before="41"/>
        <w:ind w:hanging="721"/>
        <w:jc w:val="left"/>
      </w:pPr>
      <w:r>
        <w:rPr>
          <w:rFonts w:ascii="ＭＳ 明朝" w:eastAsia="ＭＳ 明朝" w:hAnsi="ＭＳ 明朝" w:cs="ＭＳ 明朝" w:hint="eastAsia"/>
          <w:color w:val="00B8B1"/>
          <w:w w:val="95"/>
          <w:lang w:eastAsia="ja-JP"/>
        </w:rPr>
        <w:t>保証のメリット</w:t>
      </w:r>
    </w:p>
    <w:p w14:paraId="65ED6E47" w14:textId="1D60D8CD" w:rsidR="0055291C" w:rsidRDefault="00417CA0">
      <w:pPr>
        <w:pStyle w:val="a3"/>
        <w:spacing w:before="63" w:line="312" w:lineRule="auto"/>
        <w:ind w:left="1133" w:right="207"/>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算出結果を保証することで、以下のようなさまざまなメリットを得ることができます。</w:t>
      </w:r>
    </w:p>
    <w:p w14:paraId="703273F4" w14:textId="77777777" w:rsidR="00175E46" w:rsidRPr="00873F6B" w:rsidRDefault="00175E46">
      <w:pPr>
        <w:pStyle w:val="a5"/>
        <w:numPr>
          <w:ilvl w:val="0"/>
          <w:numId w:val="88"/>
        </w:numPr>
        <w:rPr>
          <w:sz w:val="19"/>
          <w:szCs w:val="19"/>
          <w:lang w:eastAsia="ja-JP"/>
        </w:rPr>
      </w:pPr>
      <w:r w:rsidRPr="00873F6B">
        <w:rPr>
          <w:rFonts w:ascii="ＭＳ ゴシック" w:eastAsia="ＭＳ ゴシック" w:hAnsi="ＭＳ ゴシック" w:cs="ＭＳ ゴシック" w:hint="eastAsia"/>
          <w:sz w:val="19"/>
          <w:szCs w:val="19"/>
          <w:lang w:eastAsia="ja-JP"/>
        </w:rPr>
        <w:t>削減目標および関連する意思決定の基礎となる報告</w:t>
      </w:r>
      <w:r w:rsidRPr="00873F6B">
        <w:rPr>
          <w:sz w:val="19"/>
          <w:szCs w:val="19"/>
          <w:lang w:eastAsia="ja-JP"/>
        </w:rPr>
        <w:t xml:space="preserve"> </w:t>
      </w:r>
      <w:r w:rsidRPr="00873F6B">
        <w:rPr>
          <w:rFonts w:ascii="ＭＳ ゴシック" w:eastAsia="ＭＳ ゴシック" w:hAnsi="ＭＳ ゴシック" w:cs="ＭＳ ゴシック" w:hint="eastAsia"/>
          <w:sz w:val="19"/>
          <w:szCs w:val="19"/>
          <w:lang w:eastAsia="ja-JP"/>
        </w:rPr>
        <w:t>情報に対する信頼性の向上</w:t>
      </w:r>
    </w:p>
    <w:p w14:paraId="5A974243" w14:textId="16197271" w:rsidR="00175E46" w:rsidRPr="00873F6B" w:rsidRDefault="00175E46">
      <w:pPr>
        <w:pStyle w:val="a5"/>
        <w:numPr>
          <w:ilvl w:val="0"/>
          <w:numId w:val="88"/>
        </w:numPr>
        <w:rPr>
          <w:sz w:val="19"/>
          <w:szCs w:val="19"/>
          <w:lang w:eastAsia="ja-JP"/>
        </w:rPr>
      </w:pPr>
      <w:r w:rsidRPr="00873F6B">
        <w:rPr>
          <w:rFonts w:ascii="ＭＳ ゴシック" w:eastAsia="ＭＳ ゴシック" w:hAnsi="ＭＳ ゴシック" w:cs="ＭＳ ゴシック" w:hint="eastAsia"/>
          <w:sz w:val="19"/>
          <w:szCs w:val="19"/>
          <w:lang w:eastAsia="ja-JP"/>
        </w:rPr>
        <w:t>社内の</w:t>
      </w:r>
      <w:r w:rsidR="00DA47C0">
        <w:rPr>
          <w:rFonts w:ascii="ＭＳ ゴシック" w:eastAsia="ＭＳ ゴシック" w:hAnsi="ＭＳ ゴシック" w:cs="ＭＳ ゴシック" w:hint="eastAsia"/>
          <w:sz w:val="19"/>
          <w:szCs w:val="19"/>
          <w:lang w:eastAsia="ja-JP"/>
        </w:rPr>
        <w:t>算出</w:t>
      </w:r>
      <w:r w:rsidRPr="00873F6B">
        <w:rPr>
          <w:rFonts w:ascii="ＭＳ ゴシック" w:eastAsia="ＭＳ ゴシック" w:hAnsi="ＭＳ ゴシック" w:cs="ＭＳ ゴシック" w:hint="eastAsia"/>
          <w:sz w:val="19"/>
          <w:szCs w:val="19"/>
          <w:lang w:eastAsia="ja-JP"/>
        </w:rPr>
        <w:t>・報告業務（データの収集・計算・内部</w:t>
      </w:r>
      <w:r w:rsidRPr="00873F6B">
        <w:rPr>
          <w:sz w:val="19"/>
          <w:szCs w:val="19"/>
          <w:lang w:eastAsia="ja-JP"/>
        </w:rPr>
        <w:t xml:space="preserve"> </w:t>
      </w:r>
      <w:r w:rsidRPr="00873F6B">
        <w:rPr>
          <w:rFonts w:ascii="ＭＳ ゴシック" w:eastAsia="ＭＳ ゴシック" w:hAnsi="ＭＳ ゴシック" w:cs="ＭＳ ゴシック" w:hint="eastAsia"/>
          <w:sz w:val="19"/>
          <w:szCs w:val="19"/>
          <w:lang w:eastAsia="ja-JP"/>
        </w:rPr>
        <w:t>報告システムなど）の充実、社内での学習・知識伝</w:t>
      </w:r>
      <w:r w:rsidRPr="00873F6B">
        <w:rPr>
          <w:sz w:val="19"/>
          <w:szCs w:val="19"/>
          <w:lang w:eastAsia="ja-JP"/>
        </w:rPr>
        <w:t xml:space="preserve"> </w:t>
      </w:r>
      <w:r w:rsidRPr="00873F6B">
        <w:rPr>
          <w:rFonts w:ascii="ＭＳ ゴシック" w:eastAsia="ＭＳ ゴシック" w:hAnsi="ＭＳ ゴシック" w:cs="ＭＳ ゴシック" w:hint="eastAsia"/>
          <w:sz w:val="19"/>
          <w:szCs w:val="19"/>
          <w:lang w:eastAsia="ja-JP"/>
        </w:rPr>
        <w:t>達の促進</w:t>
      </w:r>
    </w:p>
    <w:p w14:paraId="77D5F075" w14:textId="77777777" w:rsidR="00175E46" w:rsidRPr="00873F6B" w:rsidRDefault="00175E46">
      <w:pPr>
        <w:pStyle w:val="a5"/>
        <w:numPr>
          <w:ilvl w:val="0"/>
          <w:numId w:val="88"/>
        </w:numPr>
        <w:rPr>
          <w:sz w:val="19"/>
          <w:szCs w:val="19"/>
          <w:lang w:eastAsia="ja-JP"/>
        </w:rPr>
      </w:pPr>
      <w:r w:rsidRPr="00873F6B">
        <w:rPr>
          <w:rFonts w:ascii="ＭＳ ゴシック" w:eastAsia="ＭＳ ゴシック" w:hAnsi="ＭＳ ゴシック" w:cs="ＭＳ ゴシック" w:hint="eastAsia"/>
          <w:sz w:val="19"/>
          <w:szCs w:val="19"/>
          <w:lang w:eastAsia="ja-JP"/>
        </w:rPr>
        <w:t>製品のライフサイクルに関わる他社が、自社の</w:t>
      </w:r>
      <w:r>
        <w:rPr>
          <w:rFonts w:ascii="ＭＳ ゴシック" w:eastAsia="ＭＳ ゴシック" w:hAnsi="ＭＳ ゴシック" w:cs="ＭＳ ゴシック" w:hint="eastAsia"/>
          <w:sz w:val="19"/>
          <w:szCs w:val="19"/>
          <w:lang w:eastAsia="ja-JP"/>
        </w:rPr>
        <w:t>排出量報告</w:t>
      </w:r>
      <w:r w:rsidRPr="00873F6B">
        <w:rPr>
          <w:rFonts w:ascii="ＭＳ ゴシック" w:eastAsia="ＭＳ ゴシック" w:hAnsi="ＭＳ ゴシック" w:cs="ＭＳ ゴシック" w:hint="eastAsia"/>
          <w:sz w:val="19"/>
          <w:szCs w:val="19"/>
          <w:lang w:eastAsia="ja-JP"/>
        </w:rPr>
        <w:t>にこの結果を利用する可能性があるため、</w:t>
      </w:r>
      <w:r>
        <w:rPr>
          <w:rFonts w:ascii="ＭＳ ゴシック" w:eastAsia="ＭＳ ゴシック" w:hAnsi="ＭＳ ゴシック" w:cs="ＭＳ ゴシック" w:hint="eastAsia"/>
          <w:sz w:val="19"/>
          <w:szCs w:val="19"/>
          <w:lang w:eastAsia="ja-JP"/>
        </w:rPr>
        <w:t>より</w:t>
      </w:r>
      <w:r w:rsidRPr="00873F6B">
        <w:rPr>
          <w:rFonts w:ascii="ＭＳ ゴシック" w:eastAsia="ＭＳ ゴシック" w:hAnsi="ＭＳ ゴシック" w:cs="ＭＳ ゴシック" w:hint="eastAsia"/>
          <w:sz w:val="19"/>
          <w:szCs w:val="19"/>
          <w:lang w:eastAsia="ja-JP"/>
        </w:rPr>
        <w:t>信頼性が高まる</w:t>
      </w:r>
    </w:p>
    <w:p w14:paraId="6576BCD3" w14:textId="77777777" w:rsidR="00175E46" w:rsidRPr="00873F6B" w:rsidRDefault="00175E46">
      <w:pPr>
        <w:pStyle w:val="a5"/>
        <w:numPr>
          <w:ilvl w:val="0"/>
          <w:numId w:val="88"/>
        </w:numPr>
        <w:rPr>
          <w:sz w:val="19"/>
          <w:szCs w:val="19"/>
          <w:lang w:eastAsia="ja-JP"/>
        </w:rPr>
      </w:pPr>
      <w:r w:rsidRPr="00873F6B">
        <w:rPr>
          <w:rFonts w:ascii="ＭＳ ゴシック" w:eastAsia="ＭＳ ゴシック" w:hAnsi="ＭＳ ゴシック" w:cs="ＭＳ ゴシック" w:hint="eastAsia"/>
          <w:sz w:val="19"/>
          <w:szCs w:val="19"/>
          <w:lang w:eastAsia="ja-JP"/>
        </w:rPr>
        <w:t>その後の</w:t>
      </w:r>
      <w:r>
        <w:rPr>
          <w:rFonts w:ascii="ＭＳ ゴシック" w:eastAsia="ＭＳ ゴシック" w:hAnsi="ＭＳ ゴシック" w:cs="ＭＳ ゴシック" w:hint="eastAsia"/>
          <w:sz w:val="19"/>
          <w:szCs w:val="19"/>
          <w:lang w:eastAsia="ja-JP"/>
        </w:rPr>
        <w:t>排出量の</w:t>
      </w:r>
      <w:r w:rsidRPr="00873F6B">
        <w:rPr>
          <w:rFonts w:ascii="ＭＳ ゴシック" w:eastAsia="ＭＳ ゴシック" w:hAnsi="ＭＳ ゴシック" w:cs="ＭＳ ゴシック" w:hint="eastAsia"/>
          <w:sz w:val="19"/>
          <w:szCs w:val="19"/>
          <w:lang w:eastAsia="ja-JP"/>
        </w:rPr>
        <w:t>更新作業や、他社製品の</w:t>
      </w:r>
      <w:r>
        <w:rPr>
          <w:rFonts w:ascii="ＭＳ ゴシック" w:eastAsia="ＭＳ ゴシック" w:hAnsi="ＭＳ ゴシック" w:cs="ＭＳ ゴシック" w:hint="eastAsia"/>
          <w:sz w:val="19"/>
          <w:szCs w:val="19"/>
          <w:lang w:eastAsia="ja-JP"/>
        </w:rPr>
        <w:t>排出量</w:t>
      </w:r>
      <w:r w:rsidRPr="00873F6B">
        <w:rPr>
          <w:rFonts w:ascii="ＭＳ ゴシック" w:eastAsia="ＭＳ ゴシック" w:hAnsi="ＭＳ ゴシック" w:cs="ＭＳ ゴシック" w:hint="eastAsia"/>
          <w:sz w:val="19"/>
          <w:szCs w:val="19"/>
          <w:lang w:eastAsia="ja-JP"/>
        </w:rPr>
        <w:t>を</w:t>
      </w:r>
      <w:r>
        <w:rPr>
          <w:rFonts w:ascii="ＭＳ ゴシック" w:eastAsia="ＭＳ ゴシック" w:hAnsi="ＭＳ ゴシック" w:cs="ＭＳ ゴシック" w:hint="eastAsia"/>
          <w:sz w:val="19"/>
          <w:szCs w:val="19"/>
          <w:lang w:eastAsia="ja-JP"/>
        </w:rPr>
        <w:t>参照する</w:t>
      </w:r>
      <w:r w:rsidRPr="00873F6B">
        <w:rPr>
          <w:rFonts w:ascii="ＭＳ ゴシック" w:eastAsia="ＭＳ ゴシック" w:hAnsi="ＭＳ ゴシック" w:cs="ＭＳ ゴシック" w:hint="eastAsia"/>
          <w:sz w:val="19"/>
          <w:szCs w:val="19"/>
          <w:lang w:eastAsia="ja-JP"/>
        </w:rPr>
        <w:t>際の効率化。</w:t>
      </w:r>
    </w:p>
    <w:p w14:paraId="0B12ED9E" w14:textId="4964A8CE" w:rsidR="00175E46" w:rsidRPr="00175E46" w:rsidRDefault="00175E46">
      <w:pPr>
        <w:pStyle w:val="a5"/>
        <w:numPr>
          <w:ilvl w:val="0"/>
          <w:numId w:val="88"/>
        </w:numPr>
        <w:rPr>
          <w:lang w:eastAsia="ja-JP"/>
        </w:rPr>
      </w:pPr>
      <w:r w:rsidRPr="00873F6B">
        <w:rPr>
          <w:rFonts w:ascii="ＭＳ ゴシック" w:eastAsia="ＭＳ ゴシック" w:hAnsi="ＭＳ ゴシック" w:cs="ＭＳ ゴシック" w:hint="eastAsia"/>
          <w:sz w:val="19"/>
          <w:szCs w:val="19"/>
          <w:lang w:eastAsia="ja-JP"/>
        </w:rPr>
        <w:t>報告された情報に対するステークホルダーの信頼性向上</w:t>
      </w:r>
    </w:p>
    <w:p w14:paraId="7BC76D12" w14:textId="042DBB09" w:rsidR="0055291C" w:rsidRDefault="00175E46">
      <w:pPr>
        <w:pStyle w:val="7"/>
        <w:numPr>
          <w:ilvl w:val="2"/>
          <w:numId w:val="3"/>
        </w:numPr>
        <w:tabs>
          <w:tab w:val="left" w:pos="1854"/>
        </w:tabs>
        <w:spacing w:before="165"/>
        <w:ind w:hanging="721"/>
        <w:jc w:val="left"/>
      </w:pPr>
      <w:r>
        <w:rPr>
          <w:rFonts w:ascii="ＭＳ 明朝" w:eastAsia="ＭＳ 明朝" w:hAnsi="ＭＳ 明朝" w:cs="ＭＳ 明朝" w:hint="eastAsia"/>
          <w:color w:val="00B8B1"/>
          <w:spacing w:val="-1"/>
          <w:w w:val="95"/>
          <w:lang w:eastAsia="ja-JP"/>
        </w:rPr>
        <w:t>保証のキーコンセプト</w:t>
      </w:r>
    </w:p>
    <w:p w14:paraId="2CB03D35" w14:textId="5F55CA1F" w:rsidR="0055291C" w:rsidRDefault="00175E46" w:rsidP="00175E46">
      <w:pPr>
        <w:pStyle w:val="a3"/>
        <w:spacing w:before="62" w:line="312" w:lineRule="auto"/>
        <w:ind w:left="1133" w:right="223" w:firstLineChars="100" w:firstLine="190"/>
        <w:rPr>
          <w:lang w:eastAsia="ja-JP"/>
        </w:rPr>
      </w:pPr>
      <w:r>
        <w:rPr>
          <w:rFonts w:ascii="ＭＳ ゴシック" w:eastAsia="ＭＳ ゴシック" w:hAnsi="ＭＳ ゴシック" w:cs="ＭＳ ゴシック" w:hint="eastAsia"/>
          <w:lang w:eastAsia="ja-JP"/>
        </w:rPr>
        <w:t>保証の分野では、様々な保証プロセス（例えば、検証、</w:t>
      </w:r>
      <w:r>
        <w:rPr>
          <w:lang w:eastAsia="ja-JP"/>
        </w:rPr>
        <w:t xml:space="preserve"> </w:t>
      </w:r>
      <w:r>
        <w:rPr>
          <w:rFonts w:ascii="ＭＳ ゴシック" w:eastAsia="ＭＳ ゴシック" w:hAnsi="ＭＳ ゴシック" w:cs="ＭＳ ゴシック" w:hint="eastAsia"/>
          <w:lang w:eastAsia="ja-JP"/>
        </w:rPr>
        <w:t>確認、品質保証、品質管理、監査など）を</w:t>
      </w:r>
      <w:r>
        <w:rPr>
          <w:lang w:eastAsia="ja-JP"/>
        </w:rPr>
        <w:t xml:space="preserve"> </w:t>
      </w:r>
      <w:r>
        <w:rPr>
          <w:rFonts w:ascii="ＭＳ ゴシック" w:eastAsia="ＭＳ ゴシック" w:hAnsi="ＭＳ ゴシック" w:cs="ＭＳ ゴシック" w:hint="eastAsia"/>
          <w:lang w:eastAsia="ja-JP"/>
        </w:rPr>
        <w:t>表すために多くの異なる用語が使用されています。包括的ではありませんが、表</w:t>
      </w:r>
      <w:r>
        <w:rPr>
          <w:lang w:eastAsia="ja-JP"/>
        </w:rPr>
        <w:t xml:space="preserve"> 12.3 </w:t>
      </w:r>
      <w:r>
        <w:rPr>
          <w:rFonts w:ascii="ＭＳ ゴシック" w:eastAsia="ＭＳ ゴシック" w:hAnsi="ＭＳ ゴシック" w:cs="ＭＳ ゴシック" w:hint="eastAsia"/>
          <w:lang w:eastAsia="ja-JP"/>
        </w:rPr>
        <w:t>に保証プロセスで使用される多くの重要な用語と概念を示します。</w:t>
      </w:r>
    </w:p>
    <w:p w14:paraId="0028E2DD" w14:textId="57CAEA48" w:rsidR="0055291C" w:rsidRDefault="00175E46">
      <w:pPr>
        <w:pStyle w:val="7"/>
        <w:numPr>
          <w:ilvl w:val="2"/>
          <w:numId w:val="3"/>
        </w:numPr>
        <w:tabs>
          <w:tab w:val="left" w:pos="1854"/>
        </w:tabs>
        <w:ind w:hanging="721"/>
        <w:jc w:val="left"/>
      </w:pPr>
      <w:r>
        <w:rPr>
          <w:rFonts w:ascii="ＭＳ 明朝" w:eastAsia="ＭＳ 明朝" w:hAnsi="ＭＳ 明朝" w:cs="ＭＳ 明朝" w:hint="eastAsia"/>
          <w:color w:val="00B8B1"/>
          <w:w w:val="105"/>
          <w:lang w:eastAsia="ja-JP"/>
        </w:rPr>
        <w:t>具体性</w:t>
      </w:r>
    </w:p>
    <w:p w14:paraId="34D6C8DE" w14:textId="5DE663D7" w:rsidR="0055291C" w:rsidRDefault="00175E46" w:rsidP="00175E46">
      <w:pPr>
        <w:pStyle w:val="a3"/>
        <w:spacing w:before="1" w:line="312" w:lineRule="auto"/>
        <w:ind w:left="1133" w:right="67" w:firstLineChars="100" w:firstLine="190"/>
        <w:rPr>
          <w:lang w:eastAsia="ja-JP"/>
        </w:rPr>
      </w:pPr>
      <w:r>
        <w:rPr>
          <w:rFonts w:ascii="ＭＳ ゴシック" w:eastAsia="ＭＳ ゴシック" w:hAnsi="ＭＳ ゴシック" w:cs="ＭＳ ゴシック" w:hint="eastAsia"/>
          <w:lang w:eastAsia="ja-JP"/>
        </w:rPr>
        <w:t>重要な虚偽表示は、個別または集合的な既知の誤謬、脱漏および誤表記</w:t>
      </w:r>
      <w:r w:rsidR="007E401A">
        <w:rPr>
          <w:rFonts w:ascii="ＭＳ ゴシック" w:eastAsia="ＭＳ ゴシック" w:hAnsi="ＭＳ ゴシック" w:cs="ＭＳ ゴシック" w:hint="eastAsia"/>
          <w:lang w:eastAsia="ja-JP"/>
        </w:rPr>
        <w:t>が</w:t>
      </w:r>
      <w:r>
        <w:rPr>
          <w:rFonts w:ascii="ＭＳ ゴシック" w:eastAsia="ＭＳ ゴシック" w:hAnsi="ＭＳ ゴシック" w:cs="ＭＳ ゴシック" w:hint="eastAsia"/>
          <w:lang w:eastAsia="ja-JP"/>
        </w:rPr>
        <w:t>、</w:t>
      </w:r>
      <w:r>
        <w:rPr>
          <w:lang w:eastAsia="ja-JP"/>
        </w:rPr>
        <w:t>GHG</w:t>
      </w:r>
      <w:r w:rsidR="007E401A">
        <w:rPr>
          <w:rFonts w:ascii="ＭＳ ゴシック" w:eastAsia="ＭＳ ゴシック" w:hAnsi="ＭＳ ゴシック" w:cs="ＭＳ ゴシック" w:hint="eastAsia"/>
          <w:lang w:eastAsia="ja-JP"/>
        </w:rPr>
        <w:t>排出量算出</w:t>
      </w:r>
      <w:r>
        <w:rPr>
          <w:rFonts w:ascii="ＭＳ ゴシック" w:eastAsia="ＭＳ ゴシック" w:hAnsi="ＭＳ ゴシック" w:cs="ＭＳ ゴシック" w:hint="eastAsia"/>
          <w:lang w:eastAsia="ja-JP"/>
        </w:rPr>
        <w:t>の結果に大きな影響を与え、利用者の意思決定に影響を与える可能性がある</w:t>
      </w:r>
      <w:r w:rsidR="007E401A">
        <w:rPr>
          <w:rFonts w:ascii="ＭＳ ゴシック" w:eastAsia="ＭＳ ゴシック" w:hAnsi="ＭＳ ゴシック" w:cs="ＭＳ ゴシック" w:hint="eastAsia"/>
          <w:lang w:eastAsia="ja-JP"/>
        </w:rPr>
        <w:t>ときに起こります</w:t>
      </w:r>
      <w:r>
        <w:rPr>
          <w:rFonts w:ascii="ＭＳ ゴシック" w:eastAsia="ＭＳ ゴシック" w:hAnsi="ＭＳ ゴシック" w:cs="ＭＳ ゴシック" w:hint="eastAsia"/>
          <w:lang w:eastAsia="ja-JP"/>
        </w:rPr>
        <w:t>。重要性には、定量的側面と定性的側面の両方があ</w:t>
      </w:r>
      <w:r w:rsidR="007E401A">
        <w:rPr>
          <w:rFonts w:ascii="ＭＳ ゴシック" w:eastAsia="ＭＳ ゴシック" w:hAnsi="ＭＳ ゴシック" w:cs="ＭＳ ゴシック" w:hint="eastAsia"/>
          <w:lang w:eastAsia="ja-JP"/>
        </w:rPr>
        <w:t>ります</w:t>
      </w:r>
      <w:r>
        <w:rPr>
          <w:rFonts w:ascii="ＭＳ ゴシック" w:eastAsia="ＭＳ ゴシック" w:hAnsi="ＭＳ ゴシック" w:cs="ＭＳ ゴシック" w:hint="eastAsia"/>
          <w:lang w:eastAsia="ja-JP"/>
        </w:rPr>
        <w:t>。保証人と報告企業は、保証プロセスにおいて、重要性の適切な閾値または</w:t>
      </w:r>
      <w:r w:rsidR="007E401A">
        <w:rPr>
          <w:rFonts w:ascii="ＭＳ ゴシック" w:eastAsia="ＭＳ ゴシック" w:hAnsi="ＭＳ ゴシック" w:cs="ＭＳ ゴシック" w:hint="eastAsia"/>
          <w:lang w:eastAsia="ja-JP"/>
        </w:rPr>
        <w:t>水準</w:t>
      </w:r>
      <w:r>
        <w:rPr>
          <w:rFonts w:ascii="ＭＳ ゴシック" w:eastAsia="ＭＳ ゴシック" w:hAnsi="ＭＳ ゴシック" w:cs="ＭＳ ゴシック" w:hint="eastAsia"/>
          <w:lang w:eastAsia="ja-JP"/>
        </w:rPr>
        <w:t>を決定する必要があ</w:t>
      </w:r>
      <w:r w:rsidR="007E401A">
        <w:rPr>
          <w:rFonts w:ascii="ＭＳ ゴシック" w:eastAsia="ＭＳ ゴシック" w:hAnsi="ＭＳ ゴシック" w:cs="ＭＳ ゴシック" w:hint="eastAsia"/>
          <w:lang w:eastAsia="ja-JP"/>
        </w:rPr>
        <w:t>ります</w:t>
      </w:r>
      <w:r>
        <w:rPr>
          <w:rFonts w:ascii="ＭＳ ゴシック" w:eastAsia="ＭＳ ゴシック" w:hAnsi="ＭＳ ゴシック" w:cs="ＭＳ ゴシック" w:hint="eastAsia"/>
          <w:lang w:eastAsia="ja-JP"/>
        </w:rPr>
        <w:t>。</w:t>
      </w:r>
    </w:p>
    <w:p w14:paraId="2EE4BFD2" w14:textId="4ED23A54" w:rsidR="0055291C" w:rsidRDefault="007E401A" w:rsidP="007E401A">
      <w:pPr>
        <w:pStyle w:val="a3"/>
        <w:spacing w:before="143" w:line="312" w:lineRule="auto"/>
        <w:ind w:left="1133" w:right="73" w:firstLineChars="100" w:firstLine="190"/>
        <w:rPr>
          <w:lang w:eastAsia="ja-JP"/>
        </w:rPr>
      </w:pPr>
      <w:r>
        <w:rPr>
          <w:rFonts w:ascii="ＭＳ ゴシック" w:eastAsia="ＭＳ ゴシック" w:hAnsi="ＭＳ ゴシック" w:cs="ＭＳ ゴシック" w:hint="eastAsia"/>
          <w:lang w:eastAsia="ja-JP"/>
        </w:rPr>
        <w:t>定量的重要性は、通常、排出量（全体または個別項目ベース）に対するパーセンテージとして計算されます。定量的重要性の基準を決定する際、保証人は、潜在的な虚偽表示のリスクと過去の虚偽表示の履歴を考慮する必要があります。重要性の閾値（例えば、不一致が重要となるポイント）は、保証者があらかじめ定義しておくことができます。</w:t>
      </w:r>
    </w:p>
    <w:p w14:paraId="189FA698" w14:textId="77777777" w:rsidR="0055291C" w:rsidRDefault="00F23C61">
      <w:pPr>
        <w:rPr>
          <w:sz w:val="20"/>
          <w:lang w:eastAsia="ja-JP"/>
        </w:rPr>
      </w:pPr>
      <w:r>
        <w:rPr>
          <w:lang w:eastAsia="ja-JP"/>
        </w:rPr>
        <w:br w:type="column"/>
      </w:r>
    </w:p>
    <w:p w14:paraId="3FC6DDC0" w14:textId="77777777" w:rsidR="0055291C" w:rsidRDefault="0055291C">
      <w:pPr>
        <w:pStyle w:val="a3"/>
        <w:spacing w:before="10"/>
        <w:rPr>
          <w:sz w:val="17"/>
          <w:lang w:eastAsia="ja-JP"/>
        </w:rPr>
      </w:pPr>
    </w:p>
    <w:p w14:paraId="62A1EB06" w14:textId="01C884B8" w:rsidR="00174532" w:rsidRDefault="00174532" w:rsidP="00174532">
      <w:pPr>
        <w:pStyle w:val="a3"/>
        <w:spacing w:line="312" w:lineRule="auto"/>
        <w:ind w:left="244" w:right="1560" w:firstLineChars="100" w:firstLine="190"/>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定性的な虚偽表示は、</w:t>
      </w:r>
      <w:r w:rsidRPr="00174532">
        <w:rPr>
          <w:rFonts w:ascii="ＭＳ ゴシック" w:eastAsia="ＭＳ ゴシック" w:hAnsi="ＭＳ ゴシック" w:cs="ＭＳ ゴシック" w:hint="eastAsia"/>
          <w:lang w:eastAsia="ja-JP"/>
        </w:rPr>
        <w:t>量的な影響は軽微であるが、将来的に報告会社の排出量に重要な影響を与える可能性があるもの、および意図した利用者に誤解を与えるものを指す傾向があります</w:t>
      </w:r>
      <w:r>
        <w:rPr>
          <w:rFonts w:ascii="ＭＳ ゴシック" w:eastAsia="ＭＳ ゴシック" w:hAnsi="ＭＳ ゴシック" w:cs="ＭＳ ゴシック" w:hint="eastAsia"/>
          <w:lang w:eastAsia="ja-JP"/>
        </w:rPr>
        <w:t>。</w:t>
      </w:r>
    </w:p>
    <w:p w14:paraId="122A2CC9" w14:textId="6810817C" w:rsidR="0055291C" w:rsidRDefault="00174532">
      <w:pPr>
        <w:pStyle w:val="a3"/>
        <w:spacing w:line="312" w:lineRule="auto"/>
        <w:ind w:left="244" w:right="1560"/>
        <w:rPr>
          <w:lang w:eastAsia="ja-JP"/>
        </w:rPr>
      </w:pPr>
      <w:r>
        <w:rPr>
          <w:lang w:eastAsia="ja-JP"/>
        </w:rPr>
        <w:t xml:space="preserve"> </w:t>
      </w:r>
      <w:r>
        <w:rPr>
          <w:rFonts w:ascii="ＭＳ ゴシック" w:eastAsia="ＭＳ ゴシック" w:hAnsi="ＭＳ ゴシック" w:cs="ＭＳ ゴシック" w:hint="eastAsia"/>
          <w:lang w:eastAsia="ja-JP"/>
        </w:rPr>
        <w:t xml:space="preserve">　不確実性は、既知のエラーではなく、むしろデータが</w:t>
      </w:r>
      <w:r w:rsidR="00C97470">
        <w:rPr>
          <w:rFonts w:ascii="ＭＳ ゴシック" w:eastAsia="ＭＳ ゴシック" w:hAnsi="ＭＳ ゴシック" w:cs="ＭＳ ゴシック" w:hint="eastAsia"/>
          <w:lang w:eastAsia="ja-JP"/>
        </w:rPr>
        <w:t>排出量算出</w:t>
      </w:r>
      <w:r>
        <w:rPr>
          <w:rFonts w:ascii="ＭＳ ゴシック" w:eastAsia="ＭＳ ゴシック" w:hAnsi="ＭＳ ゴシック" w:cs="ＭＳ ゴシック" w:hint="eastAsia"/>
          <w:lang w:eastAsia="ja-JP"/>
        </w:rPr>
        <w:t>プロセスをどれだけよく表しているかを示す指標であるため、重要性とは別の概念</w:t>
      </w:r>
      <w:r w:rsidR="00C97470">
        <w:rPr>
          <w:rFonts w:ascii="ＭＳ ゴシック" w:eastAsia="ＭＳ ゴシック" w:hAnsi="ＭＳ ゴシック" w:cs="ＭＳ ゴシック" w:hint="eastAsia"/>
          <w:lang w:eastAsia="ja-JP"/>
        </w:rPr>
        <w:t>となります</w:t>
      </w:r>
      <w:r>
        <w:rPr>
          <w:rFonts w:ascii="ＭＳ ゴシック" w:eastAsia="ＭＳ ゴシック" w:hAnsi="ＭＳ ゴシック" w:cs="ＭＳ ゴシック" w:hint="eastAsia"/>
          <w:lang w:eastAsia="ja-JP"/>
        </w:rPr>
        <w:t>。</w:t>
      </w:r>
    </w:p>
    <w:p w14:paraId="7704CA5F" w14:textId="28F815BA" w:rsidR="0055291C" w:rsidRDefault="00C97470">
      <w:pPr>
        <w:pStyle w:val="7"/>
        <w:numPr>
          <w:ilvl w:val="2"/>
          <w:numId w:val="3"/>
        </w:numPr>
        <w:tabs>
          <w:tab w:val="left" w:pos="965"/>
        </w:tabs>
        <w:ind w:left="964" w:hanging="721"/>
        <w:jc w:val="left"/>
      </w:pPr>
      <w:r>
        <w:rPr>
          <w:rFonts w:ascii="ＭＳ 明朝" w:eastAsia="ＭＳ 明朝" w:hAnsi="ＭＳ 明朝" w:cs="ＭＳ 明朝" w:hint="eastAsia"/>
          <w:color w:val="00B8B1"/>
          <w:w w:val="95"/>
          <w:lang w:eastAsia="ja-JP"/>
        </w:rPr>
        <w:t>保証の準備</w:t>
      </w:r>
    </w:p>
    <w:p w14:paraId="2FAEB1AE" w14:textId="0D33D1CF" w:rsidR="0055291C" w:rsidRDefault="00C97470" w:rsidP="00C97470">
      <w:pPr>
        <w:pStyle w:val="a3"/>
        <w:spacing w:before="144" w:line="312" w:lineRule="auto"/>
        <w:ind w:left="244" w:right="1319" w:firstLineChars="100" w:firstLine="190"/>
        <w:rPr>
          <w:lang w:eastAsia="ja-JP"/>
        </w:rPr>
      </w:pPr>
      <w:r>
        <w:rPr>
          <w:rFonts w:ascii="ＭＳ ゴシック" w:eastAsia="ＭＳ ゴシック" w:hAnsi="ＭＳ ゴシック" w:cs="ＭＳ ゴシック" w:hint="eastAsia"/>
          <w:lang w:eastAsia="ja-JP"/>
        </w:rPr>
        <w:t>保証のための準備とは、保証人が必要とする証拠に容易にアクセスできるようにすることです。保証者が要求する証拠や文書の種類は、対象物、業界、および求める保証の種類によって異なります。データ管理計画（付録</w:t>
      </w:r>
      <w:r>
        <w:rPr>
          <w:lang w:eastAsia="ja-JP"/>
        </w:rPr>
        <w:t>C</w:t>
      </w:r>
      <w:r>
        <w:rPr>
          <w:rFonts w:ascii="ＭＳ ゴシック" w:eastAsia="ＭＳ ゴシック" w:hAnsi="ＭＳ ゴシック" w:cs="ＭＳ ゴシック" w:hint="eastAsia"/>
          <w:lang w:eastAsia="ja-JP"/>
        </w:rPr>
        <w:t>参照）を使用して報告プロセスの文書を維持することは、保証のための証拠を確実に利用できるようにするために有用です。</w:t>
      </w:r>
      <w:r>
        <w:rPr>
          <w:lang w:eastAsia="ja-JP"/>
        </w:rPr>
        <w:t xml:space="preserve"> </w:t>
      </w:r>
      <w:r>
        <w:rPr>
          <w:rFonts w:ascii="ＭＳ ゴシック" w:eastAsia="ＭＳ ゴシック" w:hAnsi="ＭＳ ゴシック" w:cs="ＭＳ ゴシック" w:hint="eastAsia"/>
          <w:lang w:eastAsia="ja-JP"/>
        </w:rPr>
        <w:t>報告会社は、保証プロセスを開始する前に、以下のもの</w:t>
      </w:r>
      <w:r>
        <w:rPr>
          <w:lang w:eastAsia="ja-JP"/>
        </w:rPr>
        <w:t xml:space="preserve"> </w:t>
      </w:r>
      <w:r>
        <w:rPr>
          <w:rFonts w:ascii="ＭＳ ゴシック" w:eastAsia="ＭＳ ゴシック" w:hAnsi="ＭＳ ゴシック" w:cs="ＭＳ ゴシック" w:hint="eastAsia"/>
          <w:lang w:eastAsia="ja-JP"/>
        </w:rPr>
        <w:t>を準備し、保証人が利用できるようにしておく必要があります。</w:t>
      </w:r>
    </w:p>
    <w:p w14:paraId="118A6EC8" w14:textId="7A83E278" w:rsidR="00C97470" w:rsidRPr="00C97470" w:rsidRDefault="00C97470">
      <w:pPr>
        <w:pStyle w:val="a5"/>
        <w:numPr>
          <w:ilvl w:val="0"/>
          <w:numId w:val="57"/>
        </w:numPr>
        <w:tabs>
          <w:tab w:val="left" w:pos="505"/>
        </w:tabs>
        <w:spacing w:before="50" w:line="304" w:lineRule="auto"/>
        <w:ind w:left="504" w:right="1541"/>
        <w:rPr>
          <w:sz w:val="19"/>
          <w:szCs w:val="19"/>
          <w:lang w:eastAsia="ja-JP"/>
        </w:rPr>
      </w:pPr>
      <w:r w:rsidRPr="00C97470">
        <w:rPr>
          <w:rFonts w:ascii="ＭＳ ゴシック" w:eastAsia="ＭＳ ゴシック" w:hAnsi="ＭＳ ゴシック" w:cs="ＭＳ ゴシック" w:hint="eastAsia"/>
          <w:sz w:val="19"/>
          <w:szCs w:val="19"/>
          <w:lang w:eastAsia="ja-JP"/>
        </w:rPr>
        <w:t>会社の主張の書面（</w:t>
      </w:r>
      <w:r>
        <w:rPr>
          <w:rFonts w:ascii="ＭＳ ゴシック" w:eastAsia="ＭＳ ゴシック" w:hAnsi="ＭＳ ゴシック" w:cs="ＭＳ ゴシック" w:hint="eastAsia"/>
          <w:sz w:val="19"/>
          <w:szCs w:val="19"/>
          <w:lang w:eastAsia="ja-JP"/>
        </w:rPr>
        <w:t>算出</w:t>
      </w:r>
      <w:r w:rsidRPr="00C97470">
        <w:rPr>
          <w:rFonts w:ascii="ＭＳ ゴシック" w:eastAsia="ＭＳ ゴシック" w:hAnsi="ＭＳ ゴシック" w:cs="ＭＳ ゴシック" w:hint="eastAsia"/>
          <w:sz w:val="19"/>
          <w:szCs w:val="19"/>
          <w:lang w:eastAsia="ja-JP"/>
        </w:rPr>
        <w:t>実績など）</w:t>
      </w:r>
    </w:p>
    <w:p w14:paraId="73785AA7" w14:textId="77777777" w:rsidR="00C97470" w:rsidRPr="00C97470" w:rsidRDefault="00C97470">
      <w:pPr>
        <w:pStyle w:val="a5"/>
        <w:numPr>
          <w:ilvl w:val="0"/>
          <w:numId w:val="57"/>
        </w:numPr>
        <w:tabs>
          <w:tab w:val="left" w:pos="505"/>
        </w:tabs>
        <w:spacing w:before="50" w:line="304" w:lineRule="auto"/>
        <w:ind w:left="504" w:right="1541"/>
        <w:rPr>
          <w:sz w:val="19"/>
          <w:szCs w:val="19"/>
          <w:lang w:eastAsia="ja-JP"/>
        </w:rPr>
      </w:pPr>
      <w:r w:rsidRPr="00C97470">
        <w:rPr>
          <w:rFonts w:ascii="ＭＳ ゴシック" w:eastAsia="ＭＳ ゴシック" w:hAnsi="ＭＳ ゴシック" w:cs="ＭＳ ゴシック" w:hint="eastAsia"/>
          <w:sz w:val="19"/>
          <w:szCs w:val="19"/>
          <w:lang w:eastAsia="ja-JP"/>
        </w:rPr>
        <w:t>完成したデータ管理計画書</w:t>
      </w:r>
    </w:p>
    <w:p w14:paraId="231A54EE" w14:textId="652DBBF3" w:rsidR="0055291C" w:rsidRPr="00C97470" w:rsidRDefault="00C97470">
      <w:pPr>
        <w:pStyle w:val="a5"/>
        <w:numPr>
          <w:ilvl w:val="0"/>
          <w:numId w:val="57"/>
        </w:numPr>
        <w:tabs>
          <w:tab w:val="left" w:pos="505"/>
        </w:tabs>
        <w:spacing w:before="50" w:line="304" w:lineRule="auto"/>
        <w:ind w:left="504" w:right="1541"/>
        <w:rPr>
          <w:sz w:val="19"/>
          <w:szCs w:val="19"/>
          <w:lang w:eastAsia="ja-JP"/>
        </w:rPr>
      </w:pPr>
      <w:r w:rsidRPr="00C97470">
        <w:rPr>
          <w:rFonts w:ascii="ＭＳ ゴシック" w:eastAsia="ＭＳ ゴシック" w:hAnsi="ＭＳ ゴシック" w:cs="ＭＳ ゴシック" w:hint="eastAsia"/>
          <w:sz w:val="19"/>
          <w:szCs w:val="19"/>
          <w:lang w:eastAsia="ja-JP"/>
        </w:rPr>
        <w:t>十分かつ適切な証拠（請求書、売上明細書など</w:t>
      </w:r>
      <w:r w:rsidRPr="00C97470">
        <w:rPr>
          <w:sz w:val="19"/>
          <w:szCs w:val="19"/>
          <w:lang w:eastAsia="ja-JP"/>
        </w:rPr>
        <w:t xml:space="preserve"> </w:t>
      </w:r>
      <w:r w:rsidRPr="00C97470">
        <w:rPr>
          <w:rFonts w:ascii="ＭＳ ゴシック" w:eastAsia="ＭＳ ゴシック" w:hAnsi="ＭＳ ゴシック" w:cs="ＭＳ ゴシック" w:hint="eastAsia"/>
          <w:sz w:val="19"/>
          <w:szCs w:val="19"/>
          <w:lang w:eastAsia="ja-JP"/>
        </w:rPr>
        <w:t>）にアクセスできること</w:t>
      </w:r>
    </w:p>
    <w:p w14:paraId="4438F186" w14:textId="3D32CAF5" w:rsidR="0055291C" w:rsidRDefault="00CD6657">
      <w:pPr>
        <w:spacing w:before="153"/>
        <w:ind w:left="244"/>
        <w:rPr>
          <w:rFonts w:ascii="Arial"/>
          <w:b/>
          <w:i/>
          <w:sz w:val="18"/>
          <w:lang w:eastAsia="ja-JP"/>
        </w:rPr>
      </w:pPr>
      <w:r>
        <w:rPr>
          <w:rFonts w:ascii="ＭＳ ゴシック" w:eastAsia="ＭＳ ゴシック" w:hAnsi="ＭＳ ゴシック" w:cs="ＭＳ ゴシック" w:hint="eastAsia"/>
          <w:b/>
          <w:i/>
          <w:color w:val="7F3F98"/>
          <w:sz w:val="18"/>
          <w:lang w:eastAsia="ja-JP"/>
        </w:rPr>
        <w:t>検証のタイミング</w:t>
      </w:r>
    </w:p>
    <w:p w14:paraId="57966AF5" w14:textId="6FDE1869" w:rsidR="0055291C" w:rsidRDefault="00CD6657" w:rsidP="00CD6657">
      <w:pPr>
        <w:pStyle w:val="a3"/>
        <w:spacing w:before="67" w:line="312" w:lineRule="auto"/>
        <w:ind w:left="244" w:right="1170" w:firstLineChars="100" w:firstLine="190"/>
        <w:rPr>
          <w:lang w:eastAsia="ja-JP"/>
        </w:rPr>
      </w:pPr>
      <w:r>
        <w:rPr>
          <w:rFonts w:ascii="ＭＳ ゴシック" w:eastAsia="ＭＳ ゴシック" w:hAnsi="ＭＳ ゴシック" w:cs="ＭＳ ゴシック" w:hint="eastAsia"/>
          <w:lang w:eastAsia="ja-JP"/>
        </w:rPr>
        <w:t>検証は、報告会社による報告書の一般公開前に実施されます。これにより、意見書</w:t>
      </w:r>
      <w:r>
        <w:rPr>
          <w:lang w:eastAsia="ja-JP"/>
        </w:rPr>
        <w:t xml:space="preserve"> </w:t>
      </w:r>
      <w:r>
        <w:rPr>
          <w:rFonts w:ascii="ＭＳ ゴシック" w:eastAsia="ＭＳ ゴシック" w:hAnsi="ＭＳ ゴシック" w:cs="ＭＳ ゴシック" w:hint="eastAsia"/>
          <w:lang w:eastAsia="ja-JP"/>
        </w:rPr>
        <w:t>（または修正意見書）およびその主張が公表される前に、重要な虚偽記載を修正することができます。この作業は、該当する場合、報告書の改善に役立つよう、報告書公開の充分前に開始するべきです。</w:t>
      </w:r>
      <w:r>
        <w:rPr>
          <w:lang w:eastAsia="ja-JP"/>
        </w:rPr>
        <w:t xml:space="preserve"> </w:t>
      </w:r>
      <w:r>
        <w:rPr>
          <w:rFonts w:ascii="ＭＳ ゴシック" w:eastAsia="ＭＳ ゴシック" w:hAnsi="ＭＳ ゴシック" w:cs="ＭＳ ゴシック" w:hint="eastAsia"/>
          <w:lang w:eastAsia="ja-JP"/>
        </w:rPr>
        <w:t>検証プロセスの期間は、対象物の性質と複雑さ、および保証の水準に依存します。</w:t>
      </w:r>
    </w:p>
    <w:p w14:paraId="40922B92"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978" w:space="40"/>
            <w:col w:w="6222"/>
          </w:cols>
        </w:sectPr>
      </w:pPr>
    </w:p>
    <w:p w14:paraId="429E4F77" w14:textId="77777777" w:rsidR="0055291C" w:rsidRDefault="0055291C">
      <w:pPr>
        <w:pStyle w:val="a3"/>
        <w:rPr>
          <w:sz w:val="20"/>
          <w:lang w:eastAsia="ja-JP"/>
        </w:rPr>
      </w:pPr>
    </w:p>
    <w:p w14:paraId="4E5B5063" w14:textId="77777777" w:rsidR="0055291C" w:rsidRDefault="0055291C">
      <w:pPr>
        <w:pStyle w:val="a3"/>
        <w:rPr>
          <w:sz w:val="20"/>
          <w:lang w:eastAsia="ja-JP"/>
        </w:rPr>
      </w:pPr>
    </w:p>
    <w:p w14:paraId="2027BCBC" w14:textId="77777777" w:rsidR="0055291C" w:rsidRDefault="0055291C">
      <w:pPr>
        <w:pStyle w:val="a3"/>
        <w:rPr>
          <w:sz w:val="20"/>
          <w:lang w:eastAsia="ja-JP"/>
        </w:rPr>
      </w:pPr>
    </w:p>
    <w:p w14:paraId="2F8038D0" w14:textId="77777777" w:rsidR="0055291C" w:rsidRDefault="0055291C">
      <w:pPr>
        <w:pStyle w:val="a3"/>
        <w:rPr>
          <w:sz w:val="20"/>
          <w:lang w:eastAsia="ja-JP"/>
        </w:rPr>
      </w:pPr>
    </w:p>
    <w:p w14:paraId="65104619" w14:textId="77777777" w:rsidR="0055291C" w:rsidRDefault="0055291C">
      <w:pPr>
        <w:pStyle w:val="a3"/>
        <w:spacing w:before="7"/>
        <w:rPr>
          <w:sz w:val="21"/>
          <w:lang w:eastAsia="ja-JP"/>
        </w:rPr>
      </w:pPr>
    </w:p>
    <w:p w14:paraId="3C5E1250" w14:textId="355E4E98" w:rsidR="0055291C" w:rsidRDefault="00B05298">
      <w:pPr>
        <w:pStyle w:val="6"/>
        <w:spacing w:before="1"/>
        <w:ind w:left="1160"/>
        <w:rPr>
          <w:lang w:eastAsia="ja-JP"/>
        </w:rPr>
      </w:pPr>
      <w:r>
        <w:rPr>
          <w:rFonts w:ascii="ＭＳ 明朝" w:eastAsia="ＭＳ 明朝" w:hAnsi="ＭＳ 明朝" w:cs="ＭＳ 明朝" w:hint="eastAsia"/>
          <w:color w:val="00ACA1"/>
          <w:w w:val="95"/>
          <w:lang w:eastAsia="ja-JP"/>
        </w:rPr>
        <w:t>表</w:t>
      </w:r>
      <w:r w:rsidR="00F23C61">
        <w:rPr>
          <w:color w:val="00ACA1"/>
          <w:spacing w:val="-3"/>
          <w:w w:val="95"/>
          <w:lang w:eastAsia="ja-JP"/>
        </w:rPr>
        <w:t xml:space="preserve"> </w:t>
      </w:r>
      <w:r w:rsidR="00F23C61">
        <w:rPr>
          <w:color w:val="00ACA1"/>
          <w:w w:val="95"/>
          <w:lang w:eastAsia="ja-JP"/>
        </w:rPr>
        <w:t>[12.3]</w:t>
      </w:r>
      <w:r>
        <w:rPr>
          <w:rFonts w:ascii="ＭＳ 明朝" w:eastAsia="ＭＳ 明朝" w:hAnsi="ＭＳ 明朝" w:cs="ＭＳ 明朝" w:hint="eastAsia"/>
          <w:color w:val="545456"/>
          <w:w w:val="95"/>
          <w:lang w:eastAsia="ja-JP"/>
        </w:rPr>
        <w:t>保証において使われる主要な語句と概念</w:t>
      </w:r>
    </w:p>
    <w:p w14:paraId="7FF149BF" w14:textId="7CCC01E1" w:rsidR="0055291C" w:rsidRDefault="004A3460">
      <w:pPr>
        <w:pStyle w:val="a3"/>
        <w:spacing w:before="2"/>
        <w:rPr>
          <w:rFonts w:ascii="Arial" w:eastAsiaTheme="minorEastAsia"/>
          <w:b/>
          <w:sz w:val="14"/>
          <w:lang w:eastAsia="ja-JP"/>
        </w:rPr>
      </w:pPr>
      <w:r>
        <w:rPr>
          <w:rFonts w:ascii="Arial" w:eastAsiaTheme="minorEastAsia"/>
          <w:b/>
          <w:noProof/>
          <w:sz w:val="14"/>
          <w:lang w:eastAsia="ja-JP"/>
        </w:rPr>
        <w:drawing>
          <wp:anchor distT="0" distB="0" distL="114300" distR="114300" simplePos="0" relativeHeight="251509248" behindDoc="0" locked="0" layoutInCell="1" allowOverlap="1" wp14:anchorId="4DB89A1D" wp14:editId="53EFA46A">
            <wp:simplePos x="0" y="0"/>
            <wp:positionH relativeFrom="column">
              <wp:posOffset>266700</wp:posOffset>
            </wp:positionH>
            <wp:positionV relativeFrom="paragraph">
              <wp:posOffset>107315</wp:posOffset>
            </wp:positionV>
            <wp:extent cx="6699885" cy="7487285"/>
            <wp:effectExtent l="0" t="0" r="5715" b="0"/>
            <wp:wrapTopAndBottom/>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3"/>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699885" cy="7487285"/>
                    </a:xfrm>
                    <a:prstGeom prst="rect">
                      <a:avLst/>
                    </a:prstGeom>
                    <a:noFill/>
                    <a:ln>
                      <a:noFill/>
                    </a:ln>
                  </pic:spPr>
                </pic:pic>
              </a:graphicData>
            </a:graphic>
          </wp:anchor>
        </w:drawing>
      </w:r>
    </w:p>
    <w:p w14:paraId="7DB7762E" w14:textId="5E1F960B" w:rsidR="004A3460" w:rsidRPr="004A3460" w:rsidRDefault="004A3460">
      <w:pPr>
        <w:pStyle w:val="a3"/>
        <w:spacing w:before="2"/>
        <w:rPr>
          <w:rFonts w:ascii="Arial" w:eastAsiaTheme="minorEastAsia"/>
          <w:b/>
          <w:sz w:val="14"/>
          <w:lang w:eastAsia="ja-JP"/>
        </w:rPr>
      </w:pPr>
    </w:p>
    <w:p w14:paraId="66A7178D" w14:textId="77777777" w:rsidR="0055291C" w:rsidRDefault="0055291C">
      <w:pPr>
        <w:pStyle w:val="a3"/>
        <w:spacing w:before="9"/>
        <w:rPr>
          <w:rFonts w:ascii="Arial"/>
          <w:b/>
          <w:sz w:val="6"/>
          <w:lang w:eastAsia="ja-JP"/>
        </w:rPr>
      </w:pPr>
    </w:p>
    <w:p w14:paraId="333F5D1B" w14:textId="77777777" w:rsidR="0055291C" w:rsidRDefault="0055291C">
      <w:pPr>
        <w:rPr>
          <w:rFonts w:ascii="Arial"/>
          <w:sz w:val="6"/>
          <w:lang w:eastAsia="ja-JP"/>
        </w:rPr>
        <w:sectPr w:rsidR="0055291C">
          <w:headerReference w:type="even" r:id="rId298"/>
          <w:footerReference w:type="even" r:id="rId299"/>
          <w:footerReference w:type="default" r:id="rId300"/>
          <w:pgSz w:w="12240" w:h="15840"/>
          <w:pgMar w:top="620" w:right="0" w:bottom="1040" w:left="0" w:header="0" w:footer="859" w:gutter="0"/>
          <w:pgNumType w:start="98"/>
          <w:cols w:space="720"/>
        </w:sectPr>
      </w:pPr>
    </w:p>
    <w:p w14:paraId="737EE6BB" w14:textId="142B5769" w:rsidR="0055291C" w:rsidRDefault="0055291C" w:rsidP="004A3460">
      <w:pPr>
        <w:pStyle w:val="a5"/>
        <w:tabs>
          <w:tab w:val="left" w:pos="543"/>
        </w:tabs>
        <w:spacing w:before="99" w:line="261" w:lineRule="auto"/>
        <w:ind w:left="542" w:right="1951" w:firstLine="0"/>
        <w:rPr>
          <w:sz w:val="19"/>
          <w:lang w:eastAsia="ja-JP"/>
        </w:rPr>
        <w:sectPr w:rsidR="0055291C">
          <w:type w:val="continuous"/>
          <w:pgSz w:w="12240" w:h="15840"/>
          <w:pgMar w:top="740" w:right="0" w:bottom="280" w:left="0" w:header="0" w:footer="859" w:gutter="0"/>
          <w:cols w:num="3" w:space="720" w:equalWidth="0">
            <w:col w:w="2149" w:space="40"/>
            <w:col w:w="4853" w:space="39"/>
            <w:col w:w="5159"/>
          </w:cols>
        </w:sectPr>
      </w:pPr>
    </w:p>
    <w:p w14:paraId="66669329" w14:textId="77777777" w:rsidR="0055291C" w:rsidRDefault="0055291C">
      <w:pPr>
        <w:pStyle w:val="a3"/>
        <w:rPr>
          <w:sz w:val="20"/>
          <w:lang w:eastAsia="ja-JP"/>
        </w:rPr>
      </w:pPr>
    </w:p>
    <w:p w14:paraId="08287639" w14:textId="77777777" w:rsidR="0055291C" w:rsidRDefault="0055291C">
      <w:pPr>
        <w:pStyle w:val="a3"/>
        <w:rPr>
          <w:sz w:val="20"/>
          <w:lang w:eastAsia="ja-JP"/>
        </w:rPr>
      </w:pPr>
    </w:p>
    <w:p w14:paraId="134C1285" w14:textId="77777777" w:rsidR="0055291C" w:rsidRDefault="0055291C">
      <w:pPr>
        <w:pStyle w:val="a3"/>
        <w:rPr>
          <w:sz w:val="20"/>
          <w:lang w:eastAsia="ja-JP"/>
        </w:rPr>
      </w:pPr>
    </w:p>
    <w:p w14:paraId="686F396D" w14:textId="77777777" w:rsidR="0055291C" w:rsidRDefault="0055291C">
      <w:pPr>
        <w:pStyle w:val="a3"/>
        <w:spacing w:before="4"/>
        <w:rPr>
          <w:sz w:val="24"/>
          <w:lang w:eastAsia="ja-JP"/>
        </w:rPr>
      </w:pPr>
    </w:p>
    <w:p w14:paraId="0DFB04E2" w14:textId="77777777" w:rsidR="0055291C" w:rsidRDefault="00000000">
      <w:pPr>
        <w:spacing w:before="1"/>
        <w:ind w:right="1126"/>
        <w:jc w:val="right"/>
        <w:rPr>
          <w:rFonts w:ascii="Arial"/>
          <w:i/>
          <w:sz w:val="19"/>
        </w:rPr>
      </w:pPr>
      <w:r>
        <w:pict w14:anchorId="64132A87">
          <v:shape id="docshape1429" o:spid="_x0000_s2418" style="position:absolute;left:0;text-align:left;margin-left:580.75pt;margin-top:-47.75pt;width:31.3pt;height:285.85pt;z-index:251638272;mso-position-horizontal-relative:page" coordorigin="11615,-955" coordsize="626,5717" path="m12240,-955r-625,l11615,4535r3,131l11643,4733r67,25l11842,4761r398,l12240,-955xe" fillcolor="#00aca1" stroked="f">
            <v:path arrowok="t"/>
            <w10:wrap anchorx="page"/>
          </v:shape>
        </w:pict>
      </w:r>
      <w:r w:rsidR="00F23C61">
        <w:rPr>
          <w:rFonts w:ascii="Arial"/>
          <w:b/>
          <w:i/>
          <w:color w:val="7F3F98"/>
          <w:w w:val="95"/>
          <w:sz w:val="19"/>
        </w:rPr>
        <w:t>CHAPTER</w:t>
      </w:r>
      <w:r w:rsidR="00F23C61">
        <w:rPr>
          <w:rFonts w:ascii="Arial"/>
          <w:b/>
          <w:i/>
          <w:color w:val="7F3F98"/>
          <w:spacing w:val="22"/>
          <w:w w:val="95"/>
          <w:sz w:val="19"/>
        </w:rPr>
        <w:t xml:space="preserve"> </w:t>
      </w:r>
      <w:r w:rsidR="00F23C61">
        <w:rPr>
          <w:rFonts w:ascii="Arial"/>
          <w:b/>
          <w:i/>
          <w:color w:val="7F3F98"/>
          <w:w w:val="95"/>
          <w:sz w:val="19"/>
        </w:rPr>
        <w:t>12</w:t>
      </w:r>
      <w:r w:rsidR="00F23C61">
        <w:rPr>
          <w:rFonts w:ascii="Arial"/>
          <w:b/>
          <w:i/>
          <w:color w:val="7F3F98"/>
          <w:spacing w:val="22"/>
          <w:w w:val="95"/>
          <w:sz w:val="19"/>
        </w:rPr>
        <w:t xml:space="preserve"> </w:t>
      </w:r>
      <w:r w:rsidR="00F23C61">
        <w:rPr>
          <w:rFonts w:ascii="Arial"/>
          <w:i/>
          <w:color w:val="545456"/>
          <w:w w:val="95"/>
          <w:sz w:val="19"/>
        </w:rPr>
        <w:t>Assurance</w:t>
      </w:r>
    </w:p>
    <w:p w14:paraId="71F7165C" w14:textId="77777777" w:rsidR="0055291C" w:rsidRDefault="0055291C">
      <w:pPr>
        <w:pStyle w:val="a3"/>
        <w:rPr>
          <w:rFonts w:ascii="Arial"/>
          <w:i/>
          <w:sz w:val="20"/>
        </w:rPr>
      </w:pPr>
    </w:p>
    <w:p w14:paraId="2F21B378" w14:textId="77777777" w:rsidR="0055291C" w:rsidRDefault="0055291C">
      <w:pPr>
        <w:pStyle w:val="a3"/>
        <w:spacing w:before="7"/>
        <w:rPr>
          <w:rFonts w:ascii="Arial"/>
          <w:i/>
          <w:sz w:val="24"/>
        </w:rPr>
      </w:pPr>
    </w:p>
    <w:p w14:paraId="3AEED9BC" w14:textId="77777777" w:rsidR="0055291C" w:rsidRDefault="0055291C">
      <w:pPr>
        <w:rPr>
          <w:rFonts w:ascii="Arial"/>
          <w:sz w:val="24"/>
        </w:rPr>
        <w:sectPr w:rsidR="0055291C">
          <w:headerReference w:type="default" r:id="rId301"/>
          <w:pgSz w:w="12240" w:h="15840"/>
          <w:pgMar w:top="0" w:right="0" w:bottom="1040" w:left="0" w:header="0" w:footer="859" w:gutter="0"/>
          <w:cols w:space="720"/>
        </w:sectPr>
      </w:pPr>
    </w:p>
    <w:p w14:paraId="7823E4A6" w14:textId="47BBADD9" w:rsidR="0055291C" w:rsidRDefault="00B840C5" w:rsidP="005E23E9">
      <w:pPr>
        <w:spacing w:before="118"/>
        <w:ind w:left="851" w:rightChars="117" w:right="257"/>
        <w:rPr>
          <w:rFonts w:ascii="Arial"/>
          <w:b/>
          <w:i/>
          <w:sz w:val="18"/>
          <w:lang w:eastAsia="ja-JP"/>
        </w:rPr>
      </w:pPr>
      <w:r>
        <w:rPr>
          <w:rFonts w:ascii="ＭＳ ゴシック" w:eastAsia="ＭＳ ゴシック" w:hAnsi="ＭＳ ゴシック" w:cs="ＭＳ ゴシック" w:hint="eastAsia"/>
          <w:b/>
          <w:i/>
          <w:color w:val="7F3F98"/>
          <w:sz w:val="18"/>
          <w:lang w:eastAsia="ja-JP"/>
        </w:rPr>
        <w:t>批評的評価のタイミング</w:t>
      </w:r>
    </w:p>
    <w:p w14:paraId="16CB84E9" w14:textId="3866F22D" w:rsidR="0055291C" w:rsidRDefault="00F61560" w:rsidP="005E23E9">
      <w:pPr>
        <w:pStyle w:val="a3"/>
        <w:spacing w:before="1" w:line="312" w:lineRule="auto"/>
        <w:ind w:left="851" w:rightChars="117" w:right="257" w:firstLineChars="100" w:firstLine="190"/>
        <w:rPr>
          <w:lang w:eastAsia="ja-JP"/>
        </w:rPr>
      </w:pPr>
      <w:r w:rsidRPr="00F61560">
        <w:rPr>
          <w:rFonts w:ascii="ＭＳ ゴシック" w:eastAsia="ＭＳ ゴシック" w:hAnsi="ＭＳ ゴシック" w:cs="ＭＳ ゴシック" w:hint="eastAsia"/>
          <w:color w:val="545456"/>
          <w:lang w:eastAsia="ja-JP"/>
        </w:rPr>
        <w:t>批評的評価は、排出量の算出過程に行われることもあれば（相互レビュー：</w:t>
      </w:r>
      <w:r w:rsidRPr="00F61560">
        <w:rPr>
          <w:color w:val="545456"/>
          <w:lang w:eastAsia="ja-JP"/>
        </w:rPr>
        <w:t>interactive review</w:t>
      </w:r>
      <w:r w:rsidRPr="00F61560">
        <w:rPr>
          <w:rFonts w:ascii="ＭＳ ゴシック" w:eastAsia="ＭＳ ゴシック" w:hAnsi="ＭＳ ゴシック" w:cs="ＭＳ ゴシック" w:hint="eastAsia"/>
          <w:color w:val="545456"/>
          <w:lang w:eastAsia="ja-JP"/>
        </w:rPr>
        <w:t>）、最後に行われることもあります（事後レビュー：</w:t>
      </w:r>
      <w:r w:rsidRPr="00F61560">
        <w:rPr>
          <w:color w:val="545456"/>
          <w:lang w:eastAsia="ja-JP"/>
        </w:rPr>
        <w:t>a posteriori</w:t>
      </w:r>
      <w:r w:rsidRPr="00F61560">
        <w:rPr>
          <w:rFonts w:ascii="ＭＳ ゴシック" w:eastAsia="ＭＳ ゴシック" w:hAnsi="ＭＳ ゴシック" w:cs="ＭＳ ゴシック" w:hint="eastAsia"/>
          <w:color w:val="545456"/>
          <w:lang w:eastAsia="ja-JP"/>
        </w:rPr>
        <w:t>）。相互批評的評価は、報告書の完成前に報告書の問題点を修正するのに有効であり、遅延を減らすことにもつながるでしょう。事後レビューでは、報告書の評価の際に、パネルメンバーが新しい視点を持つことができるようになります。相互レビューの間、批評的評価を行う専門家は、客観的で報告書作成プロセスから独立していることが重要であり、批評的評価の結果は、最終的な報告書に基づいていることが重要です。</w:t>
      </w:r>
    </w:p>
    <w:p w14:paraId="18B68D07" w14:textId="2C083E4B" w:rsidR="0055291C" w:rsidRDefault="00F61560" w:rsidP="00504D04">
      <w:pPr>
        <w:pStyle w:val="7"/>
        <w:numPr>
          <w:ilvl w:val="2"/>
          <w:numId w:val="3"/>
        </w:numPr>
        <w:tabs>
          <w:tab w:val="left" w:pos="1701"/>
        </w:tabs>
        <w:spacing w:before="131"/>
        <w:ind w:left="851" w:rightChars="117" w:right="257" w:hanging="142"/>
        <w:jc w:val="left"/>
      </w:pPr>
      <w:r>
        <w:rPr>
          <w:rFonts w:ascii="ＭＳ 明朝" w:eastAsia="ＭＳ 明朝" w:hAnsi="ＭＳ 明朝" w:cs="ＭＳ 明朝" w:hint="eastAsia"/>
          <w:color w:val="00B8B1"/>
          <w:w w:val="95"/>
          <w:lang w:eastAsia="ja-JP"/>
        </w:rPr>
        <w:t>保証の課題</w:t>
      </w:r>
    </w:p>
    <w:p w14:paraId="2E4D09BB" w14:textId="363DC8E8" w:rsidR="0055291C" w:rsidRDefault="00F61560" w:rsidP="005E23E9">
      <w:pPr>
        <w:pStyle w:val="a3"/>
        <w:spacing w:before="62" w:line="312" w:lineRule="auto"/>
        <w:ind w:left="851" w:rightChars="117" w:right="257" w:firstLineChars="100" w:firstLine="190"/>
        <w:rPr>
          <w:lang w:eastAsia="ja-JP"/>
        </w:rPr>
      </w:pPr>
      <w:r>
        <w:rPr>
          <w:rFonts w:ascii="ＭＳ ゴシック" w:eastAsia="ＭＳ ゴシック" w:hAnsi="ＭＳ ゴシック" w:cs="ＭＳ ゴシック" w:hint="eastAsia"/>
          <w:lang w:eastAsia="ja-JP"/>
        </w:rPr>
        <w:t>報告書を保証するためには、いくつかの課題があります。排出量の計算は、様々なデータソースと仮定に依存します。報告書の不確実性、特に使用と廃棄段階の排出に関連するシナリオの不確実性は、報告書の品質に影響を与える可能性があります。データ収集システムの状態やデータの完全性、保証のための方法論の選択を考慮することが重要となります。</w:t>
      </w:r>
    </w:p>
    <w:p w14:paraId="5C7B09A6" w14:textId="23FF1C3A" w:rsidR="0055291C" w:rsidRDefault="00F61560" w:rsidP="005E23E9">
      <w:pPr>
        <w:pStyle w:val="a3"/>
        <w:spacing w:before="144" w:line="312" w:lineRule="auto"/>
        <w:ind w:left="851" w:rightChars="117" w:right="257" w:firstLineChars="100" w:firstLine="190"/>
        <w:rPr>
          <w:lang w:eastAsia="ja-JP"/>
        </w:rPr>
      </w:pPr>
      <w:r>
        <w:rPr>
          <w:rFonts w:ascii="ＭＳ ゴシック" w:eastAsia="ＭＳ ゴシック" w:hAnsi="ＭＳ ゴシック" w:cs="ＭＳ ゴシック" w:hint="eastAsia"/>
          <w:lang w:eastAsia="ja-JP"/>
        </w:rPr>
        <w:t>主な課題の一つは、排出源の大部分が通常、報告企業</w:t>
      </w:r>
      <w:r>
        <w:rPr>
          <w:lang w:eastAsia="ja-JP"/>
        </w:rPr>
        <w:t xml:space="preserve"> </w:t>
      </w:r>
      <w:r>
        <w:rPr>
          <w:rFonts w:ascii="ＭＳ ゴシック" w:eastAsia="ＭＳ ゴシック" w:hAnsi="ＭＳ ゴシック" w:cs="ＭＳ ゴシック" w:hint="eastAsia"/>
          <w:lang w:eastAsia="ja-JP"/>
        </w:rPr>
        <w:t>の管理外であり、保証人が十分で適切な証拠を入手することができない点にあります。</w:t>
      </w:r>
    </w:p>
    <w:p w14:paraId="772E006A" w14:textId="52CB9E9A" w:rsidR="0055291C" w:rsidRDefault="00F61560" w:rsidP="005E23E9">
      <w:pPr>
        <w:pStyle w:val="a3"/>
        <w:spacing w:before="142" w:line="312" w:lineRule="auto"/>
        <w:ind w:left="851" w:rightChars="117" w:right="257" w:firstLineChars="100" w:firstLine="190"/>
        <w:rPr>
          <w:lang w:eastAsia="ja-JP"/>
        </w:rPr>
      </w:pPr>
      <w:r>
        <w:rPr>
          <w:rFonts w:ascii="ＭＳ ゴシック" w:eastAsia="ＭＳ ゴシック" w:hAnsi="ＭＳ ゴシック" w:cs="ＭＳ ゴシック" w:hint="eastAsia"/>
          <w:lang w:eastAsia="ja-JP"/>
        </w:rPr>
        <w:t>この問題点に対応するためのアプローチとして、</w:t>
      </w:r>
      <w:r>
        <w:rPr>
          <w:lang w:eastAsia="ja-JP"/>
        </w:rPr>
        <w:t>3</w:t>
      </w:r>
      <w:r>
        <w:rPr>
          <w:rFonts w:ascii="ＭＳ ゴシック" w:eastAsia="ＭＳ ゴシック" w:hAnsi="ＭＳ ゴシック" w:cs="ＭＳ ゴシック" w:hint="eastAsia"/>
          <w:lang w:eastAsia="ja-JP"/>
        </w:rPr>
        <w:t>つの方法があります。</w:t>
      </w:r>
    </w:p>
    <w:p w14:paraId="3AD2DDEA" w14:textId="5A71DE81" w:rsidR="0055291C" w:rsidRPr="00F23485" w:rsidRDefault="00F61560" w:rsidP="005E23E9">
      <w:pPr>
        <w:pStyle w:val="a5"/>
        <w:numPr>
          <w:ilvl w:val="0"/>
          <w:numId w:val="31"/>
        </w:numPr>
        <w:tabs>
          <w:tab w:val="left" w:pos="1454"/>
        </w:tabs>
        <w:spacing w:before="128" w:line="304" w:lineRule="auto"/>
        <w:ind w:left="851" w:rightChars="117" w:right="257"/>
        <w:rPr>
          <w:color w:val="000000" w:themeColor="text1"/>
          <w:sz w:val="19"/>
          <w:szCs w:val="19"/>
          <w:lang w:eastAsia="ja-JP"/>
        </w:rPr>
      </w:pPr>
      <w:r w:rsidRPr="00F23485">
        <w:rPr>
          <w:rFonts w:ascii="ＭＳ ゴシック" w:eastAsia="ＭＳ ゴシック" w:hAnsi="ＭＳ ゴシック" w:cs="ＭＳ ゴシック" w:hint="eastAsia"/>
          <w:color w:val="000000" w:themeColor="text1"/>
          <w:sz w:val="19"/>
          <w:szCs w:val="19"/>
          <w:lang w:eastAsia="ja-JP"/>
        </w:rPr>
        <w:t>保証のレベルを変更する。すなわち、合理的保証から限定的保証（検証用）に変更する</w:t>
      </w:r>
    </w:p>
    <w:p w14:paraId="46983A24" w14:textId="355008E4" w:rsidR="0055291C" w:rsidRPr="00F23485" w:rsidRDefault="00F23485" w:rsidP="005E23E9">
      <w:pPr>
        <w:pStyle w:val="a5"/>
        <w:numPr>
          <w:ilvl w:val="0"/>
          <w:numId w:val="31"/>
        </w:numPr>
        <w:tabs>
          <w:tab w:val="left" w:pos="1454"/>
        </w:tabs>
        <w:spacing w:before="135"/>
        <w:ind w:left="851" w:rightChars="117" w:right="257" w:hanging="321"/>
        <w:rPr>
          <w:color w:val="000000" w:themeColor="text1"/>
          <w:sz w:val="19"/>
          <w:szCs w:val="19"/>
          <w:lang w:eastAsia="ja-JP"/>
        </w:rPr>
      </w:pPr>
      <w:r w:rsidRPr="00F23485">
        <w:rPr>
          <w:rFonts w:ascii="ＭＳ ゴシック" w:eastAsia="ＭＳ ゴシック" w:hAnsi="ＭＳ ゴシック" w:cs="ＭＳ ゴシック" w:hint="eastAsia"/>
          <w:color w:val="000000" w:themeColor="text1"/>
          <w:sz w:val="19"/>
          <w:szCs w:val="19"/>
          <w:lang w:eastAsia="ja-JP"/>
        </w:rPr>
        <w:t>検証から批評的評価へ変更する</w:t>
      </w:r>
    </w:p>
    <w:p w14:paraId="58FB52A4" w14:textId="36F2EA0A" w:rsidR="0055291C" w:rsidRPr="00F23485" w:rsidRDefault="00F23485" w:rsidP="005E23E9">
      <w:pPr>
        <w:pStyle w:val="a5"/>
        <w:numPr>
          <w:ilvl w:val="0"/>
          <w:numId w:val="31"/>
        </w:numPr>
        <w:tabs>
          <w:tab w:val="left" w:pos="1454"/>
        </w:tabs>
        <w:spacing w:before="190" w:line="309" w:lineRule="auto"/>
        <w:ind w:left="851" w:rightChars="117" w:right="257"/>
        <w:rPr>
          <w:color w:val="000000" w:themeColor="text1"/>
          <w:sz w:val="19"/>
          <w:szCs w:val="19"/>
          <w:lang w:eastAsia="ja-JP"/>
        </w:rPr>
      </w:pPr>
      <w:r w:rsidRPr="00F23485">
        <w:rPr>
          <w:rFonts w:ascii="ＭＳ ゴシック" w:eastAsia="ＭＳ ゴシック" w:hAnsi="ＭＳ ゴシック" w:cs="ＭＳ ゴシック" w:hint="eastAsia"/>
          <w:color w:val="000000" w:themeColor="text1"/>
          <w:sz w:val="19"/>
          <w:szCs w:val="19"/>
          <w:lang w:eastAsia="ja-JP"/>
        </w:rPr>
        <w:t>自社の管理外の排出源や除去源について、別の保証者の保証書に依存する（例えば、サプライヤーの排出源について別の保証会社が保証を行う</w:t>
      </w:r>
    </w:p>
    <w:p w14:paraId="3C9E3612" w14:textId="79CEC618" w:rsidR="0055291C" w:rsidRDefault="00F23C61" w:rsidP="00504D04">
      <w:pPr>
        <w:pStyle w:val="7"/>
        <w:numPr>
          <w:ilvl w:val="2"/>
          <w:numId w:val="3"/>
        </w:numPr>
        <w:tabs>
          <w:tab w:val="left" w:pos="1134"/>
        </w:tabs>
        <w:spacing w:before="99"/>
        <w:ind w:left="1013" w:rightChars="337" w:right="741" w:hanging="871"/>
        <w:jc w:val="left"/>
      </w:pPr>
      <w:r>
        <w:rPr>
          <w:color w:val="00B8B1"/>
          <w:spacing w:val="1"/>
          <w:w w:val="94"/>
          <w:lang w:eastAsia="ja-JP"/>
        </w:rPr>
        <w:br w:type="column"/>
      </w:r>
      <w:r w:rsidR="00F23485">
        <w:rPr>
          <w:rFonts w:ascii="ＭＳ 明朝" w:eastAsia="ＭＳ 明朝" w:hAnsi="ＭＳ 明朝" w:cs="ＭＳ 明朝" w:hint="eastAsia"/>
          <w:color w:val="00B8B1"/>
          <w:w w:val="95"/>
          <w:lang w:eastAsia="ja-JP"/>
        </w:rPr>
        <w:t>保証書</w:t>
      </w:r>
    </w:p>
    <w:p w14:paraId="1C8D17E0" w14:textId="7CAA3951" w:rsidR="0055291C" w:rsidRDefault="00000000" w:rsidP="005E23E9">
      <w:pPr>
        <w:pStyle w:val="a3"/>
        <w:spacing w:before="62" w:line="312" w:lineRule="auto"/>
        <w:ind w:left="293" w:rightChars="337" w:right="741" w:firstLineChars="100" w:firstLine="190"/>
        <w:rPr>
          <w:lang w:eastAsia="ja-JP"/>
        </w:rPr>
      </w:pPr>
      <w:r>
        <w:pict w14:anchorId="4E537634">
          <v:shape id="docshape1430" o:spid="_x0000_s2417" type="#_x0000_t202" style="position:absolute;left:0;text-align:left;margin-left:585.65pt;margin-top:34.25pt;width:17.7pt;height:119.1pt;z-index:251639296;mso-position-horizontal-relative:page" filled="f" stroked="f">
            <v:textbox style="layout-flow:vertical;mso-layout-flow-alt:bottom-to-top;mso-next-textbox:#docshape1430" inset="0,0,0,0">
              <w:txbxContent>
                <w:p w14:paraId="1B9E7E04"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v:shape>
        </w:pict>
      </w:r>
      <w:r w:rsidR="00F23485">
        <w:rPr>
          <w:rFonts w:ascii="ＭＳ ゴシック" w:eastAsia="ＭＳ ゴシック" w:hAnsi="ＭＳ ゴシック" w:cs="ＭＳ ゴシック" w:hint="eastAsia"/>
          <w:lang w:eastAsia="ja-JP"/>
        </w:rPr>
        <w:t>保証書は、算出結果に関する保証人の結論を伝えるものであり、批評的評価か検証か、また保証が第一者か第三者かにより、異なる形式をとることがあります。保証書に必要な内容は、要求事項のセクションに記載されています。また、保証書には</w:t>
      </w:r>
      <w:r w:rsidR="00F23485">
        <w:rPr>
          <w:lang w:eastAsia="ja-JP"/>
        </w:rPr>
        <w:t xml:space="preserve"> </w:t>
      </w:r>
      <w:r w:rsidR="00F23485">
        <w:rPr>
          <w:rFonts w:ascii="ＭＳ ゴシック" w:eastAsia="ＭＳ ゴシック" w:hAnsi="ＭＳ ゴシック" w:cs="ＭＳ ゴシック" w:hint="eastAsia"/>
          <w:lang w:eastAsia="ja-JP"/>
        </w:rPr>
        <w:t>、以下の内容を含めることが望ましいでしょう。</w:t>
      </w:r>
    </w:p>
    <w:p w14:paraId="6BD99CDA" w14:textId="0E353A90" w:rsidR="0055291C" w:rsidRDefault="00F23485" w:rsidP="005E23E9">
      <w:pPr>
        <w:spacing w:before="150"/>
        <w:ind w:left="293" w:rightChars="337" w:right="741" w:hanging="9"/>
        <w:rPr>
          <w:rFonts w:ascii="Arial"/>
          <w:b/>
          <w:i/>
          <w:sz w:val="18"/>
          <w:lang w:eastAsia="ja-JP"/>
        </w:rPr>
      </w:pPr>
      <w:r>
        <w:rPr>
          <w:rFonts w:ascii="ＭＳ ゴシック" w:eastAsia="ＭＳ ゴシック" w:hAnsi="ＭＳ ゴシック" w:cs="ＭＳ ゴシック" w:hint="eastAsia"/>
          <w:b/>
          <w:i/>
          <w:color w:val="7F3F98"/>
          <w:sz w:val="18"/>
          <w:lang w:eastAsia="ja-JP"/>
        </w:rPr>
        <w:t>はじめに</w:t>
      </w:r>
    </w:p>
    <w:p w14:paraId="45750B0F" w14:textId="77777777" w:rsidR="00F23485" w:rsidRPr="005E23E9" w:rsidRDefault="00F23485" w:rsidP="005E23E9">
      <w:pPr>
        <w:pStyle w:val="a5"/>
        <w:numPr>
          <w:ilvl w:val="0"/>
          <w:numId w:val="30"/>
        </w:numPr>
        <w:tabs>
          <w:tab w:val="left" w:pos="554"/>
        </w:tabs>
        <w:spacing w:before="45"/>
        <w:ind w:rightChars="337" w:right="741" w:hanging="446"/>
        <w:rPr>
          <w:sz w:val="19"/>
          <w:szCs w:val="19"/>
          <w:lang w:eastAsia="ja-JP"/>
        </w:rPr>
      </w:pPr>
      <w:r w:rsidRPr="005E23E9">
        <w:rPr>
          <w:rFonts w:ascii="ＭＳ ゴシック" w:eastAsia="ＭＳ ゴシック" w:hAnsi="ＭＳ ゴシック" w:cs="ＭＳ ゴシック" w:hint="eastAsia"/>
          <w:sz w:val="19"/>
          <w:szCs w:val="19"/>
          <w:lang w:eastAsia="ja-JP"/>
        </w:rPr>
        <w:t>調査対象製品の説明</w:t>
      </w:r>
    </w:p>
    <w:p w14:paraId="5784D86A" w14:textId="3418A0A0" w:rsidR="00F23485" w:rsidRPr="005E23E9" w:rsidRDefault="005E23E9" w:rsidP="005E23E9">
      <w:pPr>
        <w:pStyle w:val="a5"/>
        <w:numPr>
          <w:ilvl w:val="0"/>
          <w:numId w:val="30"/>
        </w:numPr>
        <w:tabs>
          <w:tab w:val="left" w:pos="554"/>
        </w:tabs>
        <w:spacing w:before="45"/>
        <w:ind w:rightChars="337" w:right="741" w:hanging="446"/>
        <w:rPr>
          <w:sz w:val="19"/>
          <w:szCs w:val="19"/>
          <w:lang w:eastAsia="ja-JP"/>
        </w:rPr>
      </w:pPr>
      <w:r w:rsidRPr="005E23E9">
        <w:rPr>
          <w:rFonts w:ascii="ＭＳ ゴシック" w:eastAsia="ＭＳ ゴシック" w:hAnsi="ＭＳ ゴシック" w:cs="ＭＳ ゴシック" w:hint="eastAsia"/>
          <w:sz w:val="19"/>
          <w:szCs w:val="19"/>
          <w:lang w:eastAsia="ja-JP"/>
        </w:rPr>
        <w:t>報告書</w:t>
      </w:r>
      <w:r w:rsidR="00F23485" w:rsidRPr="005E23E9">
        <w:rPr>
          <w:rFonts w:ascii="ＭＳ ゴシック" w:eastAsia="ＭＳ ゴシック" w:hAnsi="ＭＳ ゴシック" w:cs="ＭＳ ゴシック" w:hint="eastAsia"/>
          <w:sz w:val="19"/>
          <w:szCs w:val="19"/>
          <w:lang w:eastAsia="ja-JP"/>
        </w:rPr>
        <w:t>に含まれる報告</w:t>
      </w:r>
      <w:r>
        <w:rPr>
          <w:rFonts w:ascii="ＭＳ ゴシック" w:eastAsia="ＭＳ ゴシック" w:hAnsi="ＭＳ ゴシック" w:cs="ＭＳ ゴシック" w:hint="eastAsia"/>
          <w:sz w:val="19"/>
          <w:szCs w:val="19"/>
          <w:lang w:eastAsia="ja-JP"/>
        </w:rPr>
        <w:t>企業</w:t>
      </w:r>
      <w:r w:rsidR="00F23485" w:rsidRPr="005E23E9">
        <w:rPr>
          <w:rFonts w:ascii="ＭＳ ゴシック" w:eastAsia="ＭＳ ゴシック" w:hAnsi="ＭＳ ゴシック" w:cs="ＭＳ ゴシック" w:hint="eastAsia"/>
          <w:sz w:val="19"/>
          <w:szCs w:val="19"/>
          <w:lang w:eastAsia="ja-JP"/>
        </w:rPr>
        <w:t>の</w:t>
      </w:r>
      <w:r>
        <w:rPr>
          <w:rFonts w:ascii="ＭＳ ゴシック" w:eastAsia="ＭＳ ゴシック" w:hAnsi="ＭＳ ゴシック" w:cs="ＭＳ ゴシック" w:hint="eastAsia"/>
          <w:sz w:val="19"/>
          <w:szCs w:val="19"/>
          <w:lang w:eastAsia="ja-JP"/>
        </w:rPr>
        <w:t>主張</w:t>
      </w:r>
      <w:r w:rsidR="00F23485" w:rsidRPr="005E23E9">
        <w:rPr>
          <w:rFonts w:ascii="ＭＳ ゴシック" w:eastAsia="ＭＳ ゴシック" w:hAnsi="ＭＳ ゴシック" w:cs="ＭＳ ゴシック" w:hint="eastAsia"/>
          <w:sz w:val="19"/>
          <w:szCs w:val="19"/>
          <w:lang w:eastAsia="ja-JP"/>
        </w:rPr>
        <w:t>への言及</w:t>
      </w:r>
    </w:p>
    <w:p w14:paraId="2D9CDF17" w14:textId="77777777" w:rsidR="00F23485" w:rsidRPr="005E23E9" w:rsidRDefault="00F23485" w:rsidP="005E23E9">
      <w:pPr>
        <w:pStyle w:val="a5"/>
        <w:numPr>
          <w:ilvl w:val="0"/>
          <w:numId w:val="30"/>
        </w:numPr>
        <w:tabs>
          <w:tab w:val="left" w:pos="554"/>
        </w:tabs>
        <w:spacing w:before="45"/>
        <w:ind w:rightChars="337" w:right="741" w:hanging="446"/>
        <w:rPr>
          <w:sz w:val="19"/>
          <w:szCs w:val="19"/>
          <w:lang w:eastAsia="ja-JP"/>
        </w:rPr>
      </w:pPr>
      <w:r w:rsidRPr="005E23E9">
        <w:rPr>
          <w:rFonts w:ascii="ＭＳ ゴシック" w:eastAsia="ＭＳ ゴシック" w:hAnsi="ＭＳ ゴシック" w:cs="ＭＳ ゴシック" w:hint="eastAsia"/>
          <w:sz w:val="19"/>
          <w:szCs w:val="19"/>
          <w:lang w:eastAsia="ja-JP"/>
        </w:rPr>
        <w:t>保証プロセスの説明</w:t>
      </w:r>
    </w:p>
    <w:p w14:paraId="234EEEFF" w14:textId="1F2B90A5" w:rsidR="00F23485" w:rsidRPr="005E23E9" w:rsidRDefault="00F23485" w:rsidP="005E23E9">
      <w:pPr>
        <w:pStyle w:val="a5"/>
        <w:numPr>
          <w:ilvl w:val="0"/>
          <w:numId w:val="30"/>
        </w:numPr>
        <w:tabs>
          <w:tab w:val="left" w:pos="554"/>
        </w:tabs>
        <w:spacing w:before="45"/>
        <w:ind w:rightChars="337" w:right="741" w:hanging="446"/>
        <w:rPr>
          <w:sz w:val="19"/>
          <w:szCs w:val="19"/>
          <w:lang w:eastAsia="ja-JP"/>
        </w:rPr>
      </w:pPr>
      <w:r w:rsidRPr="005E23E9">
        <w:rPr>
          <w:rFonts w:ascii="ＭＳ ゴシック" w:eastAsia="ＭＳ ゴシック" w:hAnsi="ＭＳ ゴシック" w:cs="ＭＳ ゴシック" w:hint="eastAsia"/>
          <w:sz w:val="19"/>
          <w:szCs w:val="19"/>
          <w:lang w:eastAsia="ja-JP"/>
        </w:rPr>
        <w:t>保証基準一覧</w:t>
      </w:r>
    </w:p>
    <w:p w14:paraId="30CEF8C5" w14:textId="17FD71B8" w:rsidR="00F23485" w:rsidRPr="005E23E9" w:rsidRDefault="00F23485" w:rsidP="005E23E9">
      <w:pPr>
        <w:pStyle w:val="a5"/>
        <w:numPr>
          <w:ilvl w:val="0"/>
          <w:numId w:val="30"/>
        </w:numPr>
        <w:tabs>
          <w:tab w:val="left" w:pos="554"/>
        </w:tabs>
        <w:spacing w:before="45"/>
        <w:ind w:rightChars="337" w:right="741" w:hanging="446"/>
        <w:rPr>
          <w:sz w:val="19"/>
          <w:szCs w:val="19"/>
          <w:lang w:eastAsia="ja-JP"/>
        </w:rPr>
      </w:pPr>
      <w:r w:rsidRPr="005E23E9">
        <w:rPr>
          <w:rFonts w:ascii="ＭＳ ゴシック" w:eastAsia="ＭＳ ゴシック" w:hAnsi="ＭＳ ゴシック" w:cs="ＭＳ ゴシック" w:hint="eastAsia"/>
          <w:sz w:val="19"/>
          <w:szCs w:val="19"/>
          <w:lang w:eastAsia="ja-JP"/>
        </w:rPr>
        <w:t>報告</w:t>
      </w:r>
      <w:r w:rsidR="005E23E9">
        <w:rPr>
          <w:rFonts w:ascii="ＭＳ ゴシック" w:eastAsia="ＭＳ ゴシック" w:hAnsi="ＭＳ ゴシック" w:cs="ＭＳ ゴシック" w:hint="eastAsia"/>
          <w:sz w:val="19"/>
          <w:szCs w:val="19"/>
          <w:lang w:eastAsia="ja-JP"/>
        </w:rPr>
        <w:t>企業</w:t>
      </w:r>
      <w:r w:rsidRPr="005E23E9">
        <w:rPr>
          <w:rFonts w:ascii="ＭＳ ゴシック" w:eastAsia="ＭＳ ゴシック" w:hAnsi="ＭＳ ゴシック" w:cs="ＭＳ ゴシック" w:hint="eastAsia"/>
          <w:sz w:val="19"/>
          <w:szCs w:val="19"/>
          <w:lang w:eastAsia="ja-JP"/>
        </w:rPr>
        <w:t>および保証人の責任に関する記述</w:t>
      </w:r>
    </w:p>
    <w:p w14:paraId="45EFF69F" w14:textId="70BDE77A" w:rsidR="00F23485" w:rsidRPr="005E23E9" w:rsidRDefault="00F23485" w:rsidP="005E23E9">
      <w:pPr>
        <w:pStyle w:val="a5"/>
        <w:numPr>
          <w:ilvl w:val="0"/>
          <w:numId w:val="30"/>
        </w:numPr>
        <w:tabs>
          <w:tab w:val="left" w:pos="554"/>
        </w:tabs>
        <w:spacing w:before="45"/>
        <w:ind w:rightChars="337" w:right="741" w:hanging="446"/>
        <w:rPr>
          <w:sz w:val="19"/>
          <w:szCs w:val="19"/>
          <w:lang w:eastAsia="ja-JP"/>
        </w:rPr>
      </w:pPr>
      <w:r w:rsidRPr="005E23E9">
        <w:rPr>
          <w:rFonts w:ascii="ＭＳ ゴシック" w:eastAsia="ＭＳ ゴシック" w:hAnsi="ＭＳ ゴシック" w:cs="ＭＳ ゴシック" w:hint="eastAsia"/>
          <w:sz w:val="19"/>
          <w:szCs w:val="19"/>
          <w:lang w:eastAsia="ja-JP"/>
        </w:rPr>
        <w:t>保証を行うために使用される保証基準または</w:t>
      </w:r>
      <w:r w:rsidR="005E23E9">
        <w:rPr>
          <w:rFonts w:ascii="ＭＳ ゴシック" w:eastAsia="ＭＳ ゴシック" w:hAnsi="ＭＳ ゴシック" w:cs="ＭＳ ゴシック" w:hint="eastAsia"/>
          <w:sz w:val="19"/>
          <w:szCs w:val="19"/>
          <w:lang w:eastAsia="ja-JP"/>
        </w:rPr>
        <w:t>批評的評価</w:t>
      </w:r>
      <w:r w:rsidRPr="005E23E9">
        <w:rPr>
          <w:rFonts w:ascii="ＭＳ ゴシック" w:eastAsia="ＭＳ ゴシック" w:hAnsi="ＭＳ ゴシック" w:cs="ＭＳ ゴシック" w:hint="eastAsia"/>
          <w:sz w:val="19"/>
          <w:szCs w:val="19"/>
          <w:lang w:eastAsia="ja-JP"/>
        </w:rPr>
        <w:t>のタイプ</w:t>
      </w:r>
    </w:p>
    <w:p w14:paraId="58C78C5F" w14:textId="77777777" w:rsidR="005E23E9" w:rsidRPr="005E23E9" w:rsidRDefault="00F23485" w:rsidP="005E23E9">
      <w:pPr>
        <w:pStyle w:val="a5"/>
        <w:numPr>
          <w:ilvl w:val="0"/>
          <w:numId w:val="30"/>
        </w:numPr>
        <w:tabs>
          <w:tab w:val="left" w:pos="554"/>
        </w:tabs>
        <w:spacing w:before="45"/>
        <w:ind w:rightChars="337" w:right="741" w:hanging="446"/>
        <w:rPr>
          <w:sz w:val="19"/>
          <w:szCs w:val="19"/>
          <w:lang w:eastAsia="ja-JP"/>
        </w:rPr>
      </w:pPr>
      <w:r w:rsidRPr="005E23E9">
        <w:rPr>
          <w:rFonts w:ascii="ＭＳ ゴシック" w:eastAsia="ＭＳ ゴシック" w:hAnsi="ＭＳ ゴシック" w:cs="ＭＳ ゴシック" w:hint="eastAsia"/>
          <w:sz w:val="19"/>
          <w:szCs w:val="19"/>
          <w:lang w:eastAsia="ja-JP"/>
        </w:rPr>
        <w:t>実施した業務の概要</w:t>
      </w:r>
    </w:p>
    <w:p w14:paraId="11C5D3F1" w14:textId="02F99D62" w:rsidR="0055291C" w:rsidRPr="005E23E9" w:rsidRDefault="00F23485" w:rsidP="005E23E9">
      <w:pPr>
        <w:pStyle w:val="a5"/>
        <w:numPr>
          <w:ilvl w:val="0"/>
          <w:numId w:val="30"/>
        </w:numPr>
        <w:tabs>
          <w:tab w:val="left" w:pos="554"/>
        </w:tabs>
        <w:spacing w:before="45"/>
        <w:ind w:rightChars="337" w:right="741" w:hanging="446"/>
        <w:rPr>
          <w:sz w:val="19"/>
          <w:szCs w:val="19"/>
          <w:lang w:eastAsia="ja-JP"/>
        </w:rPr>
      </w:pPr>
      <w:r w:rsidRPr="005E23E9">
        <w:rPr>
          <w:rFonts w:ascii="ＭＳ ゴシック" w:eastAsia="ＭＳ ゴシック" w:hAnsi="ＭＳ ゴシック" w:cs="ＭＳ ゴシック" w:hint="eastAsia"/>
          <w:sz w:val="19"/>
          <w:szCs w:val="19"/>
          <w:lang w:eastAsia="ja-JP"/>
        </w:rPr>
        <w:t>重要性の閾値または</w:t>
      </w:r>
      <w:r w:rsidR="005E23E9">
        <w:rPr>
          <w:rFonts w:ascii="ＭＳ ゴシック" w:eastAsia="ＭＳ ゴシック" w:hAnsi="ＭＳ ゴシック" w:cs="ＭＳ ゴシック" w:hint="eastAsia"/>
          <w:sz w:val="19"/>
          <w:szCs w:val="19"/>
          <w:lang w:eastAsia="ja-JP"/>
        </w:rPr>
        <w:t>基準</w:t>
      </w:r>
      <w:r w:rsidRPr="005E23E9">
        <w:rPr>
          <w:rFonts w:ascii="ＭＳ ゴシック" w:eastAsia="ＭＳ ゴシック" w:hAnsi="ＭＳ ゴシック" w:cs="ＭＳ ゴシック" w:hint="eastAsia"/>
          <w:sz w:val="19"/>
          <w:szCs w:val="19"/>
          <w:lang w:eastAsia="ja-JP"/>
        </w:rPr>
        <w:t>が設定されている場合、その内容</w:t>
      </w:r>
    </w:p>
    <w:p w14:paraId="6D607613" w14:textId="77777777" w:rsidR="0055291C" w:rsidRDefault="0055291C" w:rsidP="005E23E9">
      <w:pPr>
        <w:pStyle w:val="a3"/>
        <w:spacing w:before="5"/>
        <w:ind w:rightChars="337" w:right="741" w:hanging="446"/>
        <w:rPr>
          <w:sz w:val="18"/>
          <w:lang w:eastAsia="ja-JP"/>
        </w:rPr>
      </w:pPr>
    </w:p>
    <w:p w14:paraId="289EB994" w14:textId="2D22C61D" w:rsidR="0055291C" w:rsidRDefault="005E23E9" w:rsidP="005E23E9">
      <w:pPr>
        <w:ind w:left="293" w:rightChars="337" w:right="741" w:hanging="9"/>
        <w:rPr>
          <w:rFonts w:ascii="Arial"/>
          <w:b/>
          <w:i/>
          <w:sz w:val="18"/>
        </w:rPr>
      </w:pPr>
      <w:r>
        <w:rPr>
          <w:rFonts w:ascii="ＭＳ ゴシック" w:eastAsia="ＭＳ ゴシック" w:hAnsi="ＭＳ ゴシック" w:cs="ＭＳ ゴシック" w:hint="eastAsia"/>
          <w:b/>
          <w:i/>
          <w:color w:val="7F3F98"/>
          <w:sz w:val="18"/>
          <w:lang w:eastAsia="ja-JP"/>
        </w:rPr>
        <w:t>結論</w:t>
      </w:r>
    </w:p>
    <w:p w14:paraId="596B36CA" w14:textId="0CDE5077" w:rsidR="005E23E9" w:rsidRPr="005E23E9" w:rsidRDefault="005E23E9" w:rsidP="005E23E9">
      <w:pPr>
        <w:pStyle w:val="a5"/>
        <w:numPr>
          <w:ilvl w:val="0"/>
          <w:numId w:val="30"/>
        </w:numPr>
        <w:tabs>
          <w:tab w:val="left" w:pos="554"/>
        </w:tabs>
        <w:spacing w:line="309" w:lineRule="auto"/>
        <w:ind w:rightChars="337" w:right="741" w:hanging="446"/>
        <w:rPr>
          <w:sz w:val="19"/>
          <w:szCs w:val="19"/>
          <w:lang w:eastAsia="ja-JP"/>
        </w:rPr>
      </w:pPr>
      <w:r w:rsidRPr="005E23E9">
        <w:rPr>
          <w:rFonts w:ascii="ＭＳ ゴシック" w:eastAsia="ＭＳ ゴシック" w:hAnsi="ＭＳ ゴシック" w:cs="ＭＳ ゴシック" w:hint="eastAsia"/>
          <w:sz w:val="19"/>
          <w:szCs w:val="19"/>
          <w:lang w:eastAsia="ja-JP"/>
        </w:rPr>
        <w:t>保証人の結論に関する追加的な詳細（保証の実施に際して指摘された例外や問題点に関する詳細を含む</w:t>
      </w:r>
      <w:r>
        <w:rPr>
          <w:rFonts w:ascii="ＭＳ ゴシック" w:eastAsia="ＭＳ ゴシック" w:hAnsi="ＭＳ ゴシック" w:cs="ＭＳ ゴシック" w:hint="eastAsia"/>
          <w:sz w:val="19"/>
          <w:szCs w:val="19"/>
          <w:lang w:eastAsia="ja-JP"/>
        </w:rPr>
        <w:t>）</w:t>
      </w:r>
    </w:p>
    <w:p w14:paraId="42D9E677" w14:textId="2FDDEF53" w:rsidR="0055291C" w:rsidRPr="005E23E9" w:rsidRDefault="005E23E9" w:rsidP="005E23E9">
      <w:pPr>
        <w:pStyle w:val="a5"/>
        <w:numPr>
          <w:ilvl w:val="0"/>
          <w:numId w:val="30"/>
        </w:numPr>
        <w:tabs>
          <w:tab w:val="left" w:pos="554"/>
        </w:tabs>
        <w:spacing w:line="309" w:lineRule="auto"/>
        <w:ind w:rightChars="337" w:right="741" w:hanging="446"/>
        <w:rPr>
          <w:sz w:val="19"/>
          <w:szCs w:val="19"/>
          <w:lang w:eastAsia="ja-JP"/>
        </w:rPr>
      </w:pPr>
      <w:r>
        <w:rPr>
          <w:rFonts w:ascii="ＭＳ ゴシック" w:eastAsia="ＭＳ ゴシック" w:hAnsi="ＭＳ ゴシック" w:cs="ＭＳ ゴシック" w:hint="eastAsia"/>
          <w:sz w:val="19"/>
          <w:szCs w:val="19"/>
          <w:lang w:eastAsia="ja-JP"/>
        </w:rPr>
        <w:t>企業の主張</w:t>
      </w:r>
      <w:r w:rsidRPr="005E23E9">
        <w:rPr>
          <w:rFonts w:ascii="ＭＳ ゴシック" w:eastAsia="ＭＳ ゴシック" w:hAnsi="ＭＳ ゴシック" w:cs="ＭＳ ゴシック" w:hint="eastAsia"/>
          <w:sz w:val="19"/>
          <w:szCs w:val="19"/>
          <w:lang w:eastAsia="ja-JP"/>
        </w:rPr>
        <w:t>に保証基準からの重要な逸脱がある場合、報告</w:t>
      </w:r>
      <w:r>
        <w:rPr>
          <w:rFonts w:ascii="ＭＳ ゴシック" w:eastAsia="ＭＳ ゴシック" w:hAnsi="ＭＳ ゴシック" w:cs="ＭＳ ゴシック" w:hint="eastAsia"/>
          <w:sz w:val="19"/>
          <w:szCs w:val="19"/>
          <w:lang w:eastAsia="ja-JP"/>
        </w:rPr>
        <w:t>企業</w:t>
      </w:r>
      <w:r w:rsidRPr="005E23E9">
        <w:rPr>
          <w:rFonts w:ascii="ＭＳ ゴシック" w:eastAsia="ＭＳ ゴシック" w:hAnsi="ＭＳ ゴシック" w:cs="ＭＳ ゴシック" w:hint="eastAsia"/>
          <w:sz w:val="19"/>
          <w:szCs w:val="19"/>
          <w:lang w:eastAsia="ja-JP"/>
        </w:rPr>
        <w:t>は、その逸脱の影響を報告する必要がある。</w:t>
      </w:r>
    </w:p>
    <w:p w14:paraId="3C6B3DF8" w14:textId="77777777" w:rsidR="0055291C" w:rsidRDefault="0055291C" w:rsidP="005E23E9">
      <w:pPr>
        <w:pStyle w:val="a3"/>
        <w:ind w:rightChars="337" w:right="741" w:hanging="446"/>
        <w:rPr>
          <w:sz w:val="20"/>
          <w:lang w:eastAsia="ja-JP"/>
        </w:rPr>
      </w:pPr>
    </w:p>
    <w:p w14:paraId="79352BA8" w14:textId="4F1873A0" w:rsidR="0055291C" w:rsidRDefault="00447D82" w:rsidP="005E23E9">
      <w:pPr>
        <w:pStyle w:val="3"/>
        <w:spacing w:before="135"/>
        <w:ind w:left="293" w:rightChars="337" w:right="741" w:hanging="9"/>
      </w:pPr>
      <w:r>
        <w:rPr>
          <w:rFonts w:ascii="ＭＳ 明朝" w:eastAsia="ＭＳ 明朝" w:hAnsi="ＭＳ 明朝" w:cs="ＭＳ 明朝" w:hint="eastAsia"/>
          <w:color w:val="00ACA1"/>
          <w:lang w:eastAsia="ja-JP"/>
        </w:rPr>
        <w:t>脚注</w:t>
      </w:r>
    </w:p>
    <w:p w14:paraId="07D8C0B3" w14:textId="68F12747" w:rsidR="0055291C" w:rsidRDefault="00F23C61" w:rsidP="005E23E9">
      <w:pPr>
        <w:pStyle w:val="a5"/>
        <w:numPr>
          <w:ilvl w:val="0"/>
          <w:numId w:val="29"/>
        </w:numPr>
        <w:tabs>
          <w:tab w:val="left" w:pos="521"/>
        </w:tabs>
        <w:spacing w:before="62" w:line="345" w:lineRule="auto"/>
        <w:ind w:rightChars="337" w:right="741" w:hanging="446"/>
        <w:rPr>
          <w:sz w:val="16"/>
        </w:rPr>
      </w:pPr>
      <w:r>
        <w:rPr>
          <w:color w:val="545456"/>
          <w:w w:val="95"/>
          <w:sz w:val="16"/>
        </w:rPr>
        <w:t>ISO</w:t>
      </w:r>
      <w:r>
        <w:rPr>
          <w:color w:val="545456"/>
          <w:spacing w:val="2"/>
          <w:w w:val="95"/>
          <w:sz w:val="16"/>
        </w:rPr>
        <w:t xml:space="preserve"> </w:t>
      </w:r>
      <w:r>
        <w:rPr>
          <w:color w:val="545456"/>
          <w:w w:val="95"/>
          <w:sz w:val="16"/>
        </w:rPr>
        <w:t>14064:3:2006,</w:t>
      </w:r>
      <w:r>
        <w:rPr>
          <w:color w:val="545456"/>
          <w:spacing w:val="1"/>
          <w:w w:val="95"/>
          <w:sz w:val="16"/>
        </w:rPr>
        <w:t xml:space="preserve"> </w:t>
      </w:r>
      <w:r>
        <w:rPr>
          <w:color w:val="545456"/>
          <w:w w:val="95"/>
          <w:sz w:val="16"/>
        </w:rPr>
        <w:t>Greenhouse</w:t>
      </w:r>
      <w:r>
        <w:rPr>
          <w:color w:val="545456"/>
          <w:spacing w:val="2"/>
          <w:w w:val="95"/>
          <w:sz w:val="16"/>
        </w:rPr>
        <w:t xml:space="preserve"> </w:t>
      </w:r>
      <w:r>
        <w:rPr>
          <w:color w:val="545456"/>
          <w:w w:val="95"/>
          <w:sz w:val="16"/>
        </w:rPr>
        <w:t>gases</w:t>
      </w:r>
      <w:r>
        <w:rPr>
          <w:color w:val="545456"/>
          <w:spacing w:val="1"/>
          <w:w w:val="95"/>
          <w:sz w:val="16"/>
        </w:rPr>
        <w:t xml:space="preserve"> </w:t>
      </w:r>
      <w:r>
        <w:rPr>
          <w:color w:val="545456"/>
          <w:w w:val="95"/>
          <w:sz w:val="16"/>
        </w:rPr>
        <w:t>-</w:t>
      </w:r>
      <w:r>
        <w:rPr>
          <w:color w:val="545456"/>
          <w:spacing w:val="1"/>
          <w:w w:val="95"/>
          <w:sz w:val="16"/>
        </w:rPr>
        <w:t xml:space="preserve"> </w:t>
      </w:r>
      <w:r>
        <w:rPr>
          <w:color w:val="545456"/>
          <w:w w:val="95"/>
          <w:sz w:val="16"/>
        </w:rPr>
        <w:t>Part</w:t>
      </w:r>
      <w:r>
        <w:rPr>
          <w:color w:val="545456"/>
          <w:spacing w:val="2"/>
          <w:w w:val="95"/>
          <w:sz w:val="16"/>
        </w:rPr>
        <w:t xml:space="preserve"> </w:t>
      </w:r>
      <w:r>
        <w:rPr>
          <w:color w:val="545456"/>
          <w:w w:val="95"/>
          <w:sz w:val="16"/>
        </w:rPr>
        <w:t>3:</w:t>
      </w:r>
      <w:r>
        <w:rPr>
          <w:color w:val="545456"/>
          <w:spacing w:val="1"/>
          <w:w w:val="95"/>
          <w:sz w:val="16"/>
        </w:rPr>
        <w:t xml:space="preserve"> </w:t>
      </w:r>
      <w:r>
        <w:rPr>
          <w:color w:val="545456"/>
          <w:sz w:val="16"/>
        </w:rPr>
        <w:t>Specification</w:t>
      </w:r>
      <w:r>
        <w:rPr>
          <w:color w:val="545456"/>
          <w:spacing w:val="2"/>
          <w:sz w:val="16"/>
        </w:rPr>
        <w:t xml:space="preserve"> </w:t>
      </w:r>
      <w:r>
        <w:rPr>
          <w:color w:val="545456"/>
          <w:sz w:val="16"/>
        </w:rPr>
        <w:t>with</w:t>
      </w:r>
      <w:r>
        <w:rPr>
          <w:color w:val="545456"/>
          <w:spacing w:val="3"/>
          <w:sz w:val="16"/>
        </w:rPr>
        <w:t xml:space="preserve"> </w:t>
      </w:r>
      <w:r>
        <w:rPr>
          <w:color w:val="545456"/>
          <w:sz w:val="16"/>
        </w:rPr>
        <w:t>guidance</w:t>
      </w:r>
      <w:r>
        <w:rPr>
          <w:color w:val="545456"/>
          <w:spacing w:val="3"/>
          <w:sz w:val="16"/>
        </w:rPr>
        <w:t xml:space="preserve"> </w:t>
      </w:r>
      <w:r>
        <w:rPr>
          <w:color w:val="545456"/>
          <w:sz w:val="16"/>
        </w:rPr>
        <w:t>for</w:t>
      </w:r>
      <w:r>
        <w:rPr>
          <w:color w:val="545456"/>
          <w:spacing w:val="3"/>
          <w:sz w:val="16"/>
        </w:rPr>
        <w:t xml:space="preserve"> </w:t>
      </w:r>
      <w:r>
        <w:rPr>
          <w:color w:val="545456"/>
          <w:sz w:val="16"/>
        </w:rPr>
        <w:t>the</w:t>
      </w:r>
      <w:r>
        <w:rPr>
          <w:color w:val="545456"/>
          <w:spacing w:val="3"/>
          <w:sz w:val="16"/>
        </w:rPr>
        <w:t xml:space="preserve"> </w:t>
      </w:r>
      <w:r>
        <w:rPr>
          <w:color w:val="545456"/>
          <w:sz w:val="16"/>
        </w:rPr>
        <w:t>validation</w:t>
      </w:r>
      <w:r>
        <w:rPr>
          <w:color w:val="545456"/>
          <w:spacing w:val="3"/>
          <w:sz w:val="16"/>
        </w:rPr>
        <w:t xml:space="preserve"> </w:t>
      </w:r>
      <w:r>
        <w:rPr>
          <w:color w:val="545456"/>
          <w:sz w:val="16"/>
        </w:rPr>
        <w:t>and</w:t>
      </w:r>
      <w:r>
        <w:rPr>
          <w:color w:val="545456"/>
          <w:spacing w:val="2"/>
          <w:sz w:val="16"/>
        </w:rPr>
        <w:t xml:space="preserve"> </w:t>
      </w:r>
      <w:r>
        <w:rPr>
          <w:color w:val="545456"/>
          <w:sz w:val="16"/>
        </w:rPr>
        <w:t>verification</w:t>
      </w:r>
      <w:r>
        <w:rPr>
          <w:color w:val="545456"/>
          <w:spacing w:val="3"/>
          <w:sz w:val="16"/>
        </w:rPr>
        <w:t xml:space="preserve"> </w:t>
      </w:r>
      <w:r>
        <w:rPr>
          <w:color w:val="545456"/>
          <w:sz w:val="16"/>
        </w:rPr>
        <w:t>of</w:t>
      </w:r>
      <w:r>
        <w:rPr>
          <w:color w:val="545456"/>
          <w:spacing w:val="-39"/>
          <w:sz w:val="16"/>
        </w:rPr>
        <w:t xml:space="preserve"> </w:t>
      </w:r>
      <w:r>
        <w:rPr>
          <w:color w:val="545456"/>
          <w:sz w:val="16"/>
        </w:rPr>
        <w:t>greenhouse</w:t>
      </w:r>
      <w:r>
        <w:rPr>
          <w:color w:val="545456"/>
          <w:spacing w:val="-9"/>
          <w:sz w:val="16"/>
        </w:rPr>
        <w:t xml:space="preserve"> </w:t>
      </w:r>
      <w:r>
        <w:rPr>
          <w:color w:val="545456"/>
          <w:sz w:val="16"/>
        </w:rPr>
        <w:t>gas</w:t>
      </w:r>
      <w:r>
        <w:rPr>
          <w:color w:val="545456"/>
          <w:spacing w:val="-9"/>
          <w:sz w:val="16"/>
        </w:rPr>
        <w:t xml:space="preserve"> </w:t>
      </w:r>
      <w:r>
        <w:rPr>
          <w:color w:val="545456"/>
          <w:sz w:val="16"/>
        </w:rPr>
        <w:t>assertions</w:t>
      </w:r>
      <w:r w:rsidR="005E23E9">
        <w:rPr>
          <w:rFonts w:ascii="ＭＳ ゴシック" w:eastAsia="ＭＳ ゴシック" w:hAnsi="ＭＳ ゴシック" w:cs="ＭＳ ゴシック" w:hint="eastAsia"/>
          <w:color w:val="545456"/>
          <w:sz w:val="16"/>
          <w:lang w:eastAsia="ja-JP"/>
        </w:rPr>
        <w:t xml:space="preserve">　より引用</w:t>
      </w:r>
    </w:p>
    <w:p w14:paraId="21653F76" w14:textId="12A67183" w:rsidR="0055291C" w:rsidRDefault="00447D82" w:rsidP="005E23E9">
      <w:pPr>
        <w:pStyle w:val="a5"/>
        <w:numPr>
          <w:ilvl w:val="0"/>
          <w:numId w:val="29"/>
        </w:numPr>
        <w:tabs>
          <w:tab w:val="left" w:pos="521"/>
        </w:tabs>
        <w:spacing w:line="179" w:lineRule="exact"/>
        <w:ind w:rightChars="337" w:right="741" w:hanging="446"/>
        <w:rPr>
          <w:sz w:val="16"/>
          <w:lang w:eastAsia="ja-JP"/>
        </w:rPr>
      </w:pPr>
      <w:r>
        <w:rPr>
          <w:rFonts w:asciiTheme="minorEastAsia" w:eastAsiaTheme="minorEastAsia" w:hAnsiTheme="minorEastAsia" w:hint="eastAsia"/>
          <w:color w:val="545456"/>
          <w:sz w:val="16"/>
          <w:lang w:eastAsia="ja-JP"/>
        </w:rPr>
        <w:t>GHG</w:t>
      </w:r>
      <w:r>
        <w:rPr>
          <w:rFonts w:ascii="ＭＳ ゴシック" w:eastAsia="ＭＳ ゴシック" w:hAnsi="ＭＳ ゴシック" w:cs="ＭＳ ゴシック" w:hint="eastAsia"/>
          <w:color w:val="545456"/>
          <w:sz w:val="16"/>
          <w:lang w:eastAsia="ja-JP"/>
        </w:rPr>
        <w:t>プロトコル企業基準より引用</w:t>
      </w:r>
    </w:p>
    <w:p w14:paraId="444060B1" w14:textId="067CB3E0" w:rsidR="0055291C" w:rsidRDefault="00F23C61" w:rsidP="005E23E9">
      <w:pPr>
        <w:pStyle w:val="a5"/>
        <w:numPr>
          <w:ilvl w:val="0"/>
          <w:numId w:val="29"/>
        </w:numPr>
        <w:tabs>
          <w:tab w:val="left" w:pos="521"/>
        </w:tabs>
        <w:spacing w:before="79" w:line="345" w:lineRule="auto"/>
        <w:ind w:rightChars="337" w:right="741" w:hanging="446"/>
        <w:rPr>
          <w:sz w:val="16"/>
        </w:rPr>
      </w:pPr>
      <w:r>
        <w:rPr>
          <w:color w:val="545456"/>
          <w:sz w:val="16"/>
        </w:rPr>
        <w:t>ISO 14040:2006, Environmental Management –Life</w:t>
      </w:r>
      <w:r>
        <w:rPr>
          <w:color w:val="545456"/>
          <w:spacing w:val="-40"/>
          <w:sz w:val="16"/>
        </w:rPr>
        <w:t xml:space="preserve"> </w:t>
      </w:r>
      <w:r>
        <w:rPr>
          <w:color w:val="545456"/>
          <w:sz w:val="16"/>
        </w:rPr>
        <w:t>Cycle</w:t>
      </w:r>
      <w:r>
        <w:rPr>
          <w:color w:val="545456"/>
          <w:spacing w:val="-9"/>
          <w:sz w:val="16"/>
        </w:rPr>
        <w:t xml:space="preserve"> </w:t>
      </w:r>
      <w:r>
        <w:rPr>
          <w:color w:val="545456"/>
          <w:sz w:val="16"/>
        </w:rPr>
        <w:t>Assessment</w:t>
      </w:r>
      <w:r>
        <w:rPr>
          <w:color w:val="545456"/>
          <w:spacing w:val="-9"/>
          <w:sz w:val="16"/>
        </w:rPr>
        <w:t xml:space="preserve"> </w:t>
      </w:r>
      <w:r>
        <w:rPr>
          <w:color w:val="545456"/>
          <w:sz w:val="16"/>
        </w:rPr>
        <w:t>–Principles</w:t>
      </w:r>
      <w:r>
        <w:rPr>
          <w:color w:val="545456"/>
          <w:spacing w:val="-9"/>
          <w:sz w:val="16"/>
        </w:rPr>
        <w:t xml:space="preserve"> </w:t>
      </w:r>
      <w:r>
        <w:rPr>
          <w:color w:val="545456"/>
          <w:sz w:val="16"/>
        </w:rPr>
        <w:t>and</w:t>
      </w:r>
      <w:r>
        <w:rPr>
          <w:color w:val="545456"/>
          <w:spacing w:val="-9"/>
          <w:sz w:val="16"/>
        </w:rPr>
        <w:t xml:space="preserve"> </w:t>
      </w:r>
      <w:r>
        <w:rPr>
          <w:color w:val="545456"/>
          <w:sz w:val="16"/>
        </w:rPr>
        <w:t>framework</w:t>
      </w:r>
      <w:r w:rsidR="00447D82">
        <w:rPr>
          <w:rFonts w:ascii="ＭＳ ゴシック" w:eastAsia="ＭＳ ゴシック" w:hAnsi="ＭＳ ゴシック" w:cs="ＭＳ ゴシック" w:hint="eastAsia"/>
          <w:color w:val="545456"/>
          <w:sz w:val="16"/>
          <w:lang w:eastAsia="ja-JP"/>
        </w:rPr>
        <w:t xml:space="preserve">　より引用</w:t>
      </w:r>
    </w:p>
    <w:p w14:paraId="74CA436F" w14:textId="0AD74BDF" w:rsidR="0055291C" w:rsidRDefault="00F23C61">
      <w:pPr>
        <w:pStyle w:val="a5"/>
        <w:numPr>
          <w:ilvl w:val="0"/>
          <w:numId w:val="29"/>
        </w:numPr>
        <w:tabs>
          <w:tab w:val="left" w:pos="521"/>
        </w:tabs>
        <w:spacing w:line="180" w:lineRule="exact"/>
        <w:ind w:hanging="228"/>
        <w:rPr>
          <w:sz w:val="16"/>
        </w:rPr>
      </w:pPr>
      <w:r>
        <w:rPr>
          <w:color w:val="545456"/>
          <w:sz w:val="16"/>
        </w:rPr>
        <w:t>ISO</w:t>
      </w:r>
      <w:r>
        <w:rPr>
          <w:color w:val="545456"/>
          <w:spacing w:val="-9"/>
          <w:sz w:val="16"/>
        </w:rPr>
        <w:t xml:space="preserve"> </w:t>
      </w:r>
      <w:r>
        <w:rPr>
          <w:color w:val="545456"/>
          <w:sz w:val="16"/>
        </w:rPr>
        <w:t>14044:2006,</w:t>
      </w:r>
      <w:r>
        <w:rPr>
          <w:color w:val="545456"/>
          <w:spacing w:val="-9"/>
          <w:sz w:val="16"/>
        </w:rPr>
        <w:t xml:space="preserve"> </w:t>
      </w:r>
      <w:r>
        <w:rPr>
          <w:color w:val="545456"/>
          <w:sz w:val="16"/>
        </w:rPr>
        <w:t>6.1</w:t>
      </w:r>
      <w:r w:rsidR="00447D82">
        <w:rPr>
          <w:rFonts w:ascii="ＭＳ ゴシック" w:eastAsia="ＭＳ ゴシック" w:hAnsi="ＭＳ ゴシック" w:cs="ＭＳ ゴシック" w:hint="eastAsia"/>
          <w:color w:val="545456"/>
          <w:sz w:val="16"/>
          <w:lang w:eastAsia="ja-JP"/>
        </w:rPr>
        <w:t xml:space="preserve">　より引用</w:t>
      </w:r>
    </w:p>
    <w:p w14:paraId="0E89F110" w14:textId="77777777" w:rsidR="0055291C" w:rsidRDefault="0055291C">
      <w:pPr>
        <w:spacing w:line="180" w:lineRule="exact"/>
        <w:rPr>
          <w:sz w:val="16"/>
        </w:rPr>
        <w:sectPr w:rsidR="0055291C">
          <w:type w:val="continuous"/>
          <w:pgSz w:w="12240" w:h="15840"/>
          <w:pgMar w:top="740" w:right="0" w:bottom="280" w:left="0" w:header="0" w:footer="859" w:gutter="0"/>
          <w:cols w:num="2" w:space="720" w:equalWidth="0">
            <w:col w:w="5929" w:space="40"/>
            <w:col w:w="6271"/>
          </w:cols>
        </w:sectPr>
      </w:pPr>
    </w:p>
    <w:p w14:paraId="5CF1B07A" w14:textId="683BD8F5" w:rsidR="0055291C" w:rsidRDefault="00000000">
      <w:pPr>
        <w:pStyle w:val="1"/>
        <w:numPr>
          <w:ilvl w:val="1"/>
          <w:numId w:val="29"/>
        </w:numPr>
        <w:tabs>
          <w:tab w:val="left" w:pos="2415"/>
          <w:tab w:val="left" w:pos="2416"/>
        </w:tabs>
      </w:pPr>
      <w:r>
        <w:lastRenderedPageBreak/>
        <w:pict w14:anchorId="72EA77B6">
          <v:group id="docshapegroup1431" o:spid="_x0000_s2413" style="position:absolute;left:0;text-align:left;margin-left:0;margin-top:0;width:612pt;height:11in;z-index:-251549184;mso-position-horizontal-relative:page;mso-position-vertical-relative:page" coordsize="12240,15840">
            <v:shape id="docshape1432" o:spid="_x0000_s2416" type="#_x0000_t75" style="position:absolute;width:12240;height:15840">
              <v:imagedata r:id="rId302" o:title=""/>
            </v:shape>
            <v:rect id="docshape1433" o:spid="_x0000_s2415" style="position:absolute;width:12240;height:2015" fillcolor="#f3f4f4" stroked="f">
              <v:fill opacity="45875f"/>
            </v:rect>
            <v:shape id="docshape1434" o:spid="_x0000_s2414" style="position:absolute;width:2133;height:2015" coordsize="2133,2015" path="m2132,l,,,2014r1892,l2031,2011r71,-27l2129,1913r3,-139l2132,xe" fillcolor="#00aca1" stroked="f">
              <v:path arrowok="t"/>
            </v:shape>
            <w10:wrap anchorx="page" anchory="page"/>
          </v:group>
        </w:pict>
      </w:r>
      <w:bookmarkStart w:id="11" w:name="_TOC_250001"/>
      <w:bookmarkEnd w:id="11"/>
      <w:r w:rsidR="00E847CF">
        <w:rPr>
          <w:rFonts w:ascii="ＭＳ 明朝" w:eastAsia="ＭＳ 明朝" w:hAnsi="ＭＳ 明朝" w:cs="ＭＳ 明朝" w:hint="eastAsia"/>
          <w:color w:val="545456"/>
          <w:lang w:eastAsia="ja-JP"/>
        </w:rPr>
        <w:t>報告</w:t>
      </w:r>
    </w:p>
    <w:p w14:paraId="3F0C24F7" w14:textId="77777777" w:rsidR="0055291C" w:rsidRDefault="0055291C">
      <w:pPr>
        <w:sectPr w:rsidR="0055291C">
          <w:headerReference w:type="even" r:id="rId303"/>
          <w:footerReference w:type="even" r:id="rId304"/>
          <w:pgSz w:w="12240" w:h="15840"/>
          <w:pgMar w:top="1020" w:right="0" w:bottom="280" w:left="0" w:header="0" w:footer="0" w:gutter="0"/>
          <w:cols w:space="720"/>
        </w:sectPr>
      </w:pPr>
    </w:p>
    <w:p w14:paraId="4FF3001B" w14:textId="77777777" w:rsidR="0055291C" w:rsidRDefault="0055291C">
      <w:pPr>
        <w:pStyle w:val="a3"/>
        <w:rPr>
          <w:rFonts w:ascii="Arial"/>
          <w:b/>
          <w:i/>
          <w:sz w:val="20"/>
        </w:rPr>
      </w:pPr>
    </w:p>
    <w:p w14:paraId="3857E69F" w14:textId="77777777" w:rsidR="0055291C" w:rsidRDefault="0055291C">
      <w:pPr>
        <w:pStyle w:val="a3"/>
        <w:rPr>
          <w:rFonts w:ascii="Arial"/>
          <w:b/>
          <w:i/>
          <w:sz w:val="20"/>
        </w:rPr>
      </w:pPr>
    </w:p>
    <w:p w14:paraId="1F37414C" w14:textId="77777777" w:rsidR="0055291C" w:rsidRDefault="0055291C">
      <w:pPr>
        <w:pStyle w:val="a3"/>
        <w:rPr>
          <w:rFonts w:ascii="Arial"/>
          <w:b/>
          <w:i/>
          <w:sz w:val="20"/>
        </w:rPr>
      </w:pPr>
    </w:p>
    <w:p w14:paraId="25D0CACA" w14:textId="77777777" w:rsidR="0055291C" w:rsidRDefault="0055291C">
      <w:pPr>
        <w:pStyle w:val="a3"/>
        <w:rPr>
          <w:rFonts w:ascii="Arial"/>
          <w:b/>
          <w:i/>
          <w:sz w:val="20"/>
        </w:rPr>
      </w:pPr>
    </w:p>
    <w:p w14:paraId="56007A7A" w14:textId="77777777" w:rsidR="0055291C" w:rsidRDefault="0055291C">
      <w:pPr>
        <w:pStyle w:val="a3"/>
        <w:rPr>
          <w:rFonts w:ascii="Arial"/>
          <w:b/>
          <w:i/>
          <w:sz w:val="20"/>
        </w:rPr>
      </w:pPr>
    </w:p>
    <w:p w14:paraId="6B678504" w14:textId="77777777" w:rsidR="0055291C" w:rsidRDefault="0055291C">
      <w:pPr>
        <w:pStyle w:val="a3"/>
        <w:rPr>
          <w:rFonts w:ascii="Arial"/>
          <w:b/>
          <w:i/>
          <w:sz w:val="20"/>
        </w:rPr>
      </w:pPr>
    </w:p>
    <w:p w14:paraId="7D66DD77" w14:textId="77777777" w:rsidR="0055291C" w:rsidRDefault="0055291C">
      <w:pPr>
        <w:pStyle w:val="a3"/>
        <w:rPr>
          <w:rFonts w:ascii="Arial"/>
          <w:b/>
          <w:i/>
          <w:sz w:val="20"/>
        </w:rPr>
      </w:pPr>
    </w:p>
    <w:p w14:paraId="6E4B1789" w14:textId="77777777" w:rsidR="0055291C" w:rsidRDefault="0055291C">
      <w:pPr>
        <w:pStyle w:val="a3"/>
        <w:rPr>
          <w:rFonts w:ascii="Arial"/>
          <w:b/>
          <w:i/>
          <w:sz w:val="20"/>
        </w:rPr>
      </w:pPr>
    </w:p>
    <w:p w14:paraId="51D2E5F8" w14:textId="77777777" w:rsidR="0055291C" w:rsidRDefault="0055291C">
      <w:pPr>
        <w:pStyle w:val="a3"/>
        <w:rPr>
          <w:rFonts w:ascii="Arial"/>
          <w:b/>
          <w:i/>
          <w:sz w:val="20"/>
        </w:rPr>
      </w:pPr>
    </w:p>
    <w:p w14:paraId="22CD3708" w14:textId="77777777" w:rsidR="0055291C" w:rsidRDefault="0055291C">
      <w:pPr>
        <w:pStyle w:val="a3"/>
        <w:rPr>
          <w:rFonts w:ascii="Arial"/>
          <w:b/>
          <w:i/>
          <w:sz w:val="20"/>
        </w:rPr>
      </w:pPr>
    </w:p>
    <w:p w14:paraId="35C502E0" w14:textId="77777777" w:rsidR="0055291C" w:rsidRDefault="0055291C">
      <w:pPr>
        <w:pStyle w:val="a3"/>
        <w:rPr>
          <w:rFonts w:ascii="Arial"/>
          <w:b/>
          <w:i/>
          <w:sz w:val="20"/>
        </w:rPr>
      </w:pPr>
    </w:p>
    <w:p w14:paraId="620C2477" w14:textId="77777777" w:rsidR="0055291C" w:rsidRDefault="0055291C">
      <w:pPr>
        <w:pStyle w:val="a3"/>
        <w:rPr>
          <w:rFonts w:ascii="Arial"/>
          <w:b/>
          <w:i/>
          <w:sz w:val="20"/>
        </w:rPr>
      </w:pPr>
    </w:p>
    <w:p w14:paraId="06DFC1F3" w14:textId="77777777" w:rsidR="0055291C" w:rsidRDefault="0055291C">
      <w:pPr>
        <w:pStyle w:val="a3"/>
        <w:rPr>
          <w:rFonts w:ascii="Arial"/>
          <w:b/>
          <w:i/>
          <w:sz w:val="20"/>
        </w:rPr>
      </w:pPr>
    </w:p>
    <w:p w14:paraId="51203D26" w14:textId="77777777" w:rsidR="0055291C" w:rsidRDefault="0055291C">
      <w:pPr>
        <w:pStyle w:val="a3"/>
        <w:rPr>
          <w:rFonts w:ascii="Arial"/>
          <w:b/>
          <w:i/>
          <w:sz w:val="20"/>
        </w:rPr>
      </w:pPr>
    </w:p>
    <w:p w14:paraId="5CD6CBA5" w14:textId="77777777" w:rsidR="0055291C" w:rsidRDefault="0055291C">
      <w:pPr>
        <w:pStyle w:val="a3"/>
        <w:rPr>
          <w:rFonts w:ascii="Arial"/>
          <w:b/>
          <w:i/>
          <w:sz w:val="20"/>
        </w:rPr>
      </w:pPr>
    </w:p>
    <w:p w14:paraId="374F67E9" w14:textId="77777777" w:rsidR="0055291C" w:rsidRDefault="0055291C">
      <w:pPr>
        <w:pStyle w:val="a3"/>
        <w:rPr>
          <w:rFonts w:ascii="Arial"/>
          <w:b/>
          <w:i/>
          <w:sz w:val="20"/>
        </w:rPr>
      </w:pPr>
    </w:p>
    <w:p w14:paraId="7C522FDB" w14:textId="77777777" w:rsidR="0055291C" w:rsidRDefault="0055291C">
      <w:pPr>
        <w:pStyle w:val="a3"/>
        <w:rPr>
          <w:rFonts w:ascii="Arial"/>
          <w:b/>
          <w:i/>
          <w:sz w:val="20"/>
        </w:rPr>
      </w:pPr>
    </w:p>
    <w:p w14:paraId="7802D912" w14:textId="77777777" w:rsidR="0055291C" w:rsidRDefault="0055291C">
      <w:pPr>
        <w:pStyle w:val="a3"/>
        <w:rPr>
          <w:rFonts w:ascii="Arial"/>
          <w:b/>
          <w:i/>
          <w:sz w:val="20"/>
        </w:rPr>
      </w:pPr>
    </w:p>
    <w:p w14:paraId="204E72C4" w14:textId="77777777" w:rsidR="0055291C" w:rsidRDefault="0055291C">
      <w:pPr>
        <w:pStyle w:val="a3"/>
        <w:rPr>
          <w:rFonts w:ascii="Arial"/>
          <w:b/>
          <w:i/>
          <w:sz w:val="20"/>
        </w:rPr>
      </w:pPr>
    </w:p>
    <w:p w14:paraId="7C9579FA" w14:textId="77777777" w:rsidR="0055291C" w:rsidRDefault="0055291C">
      <w:pPr>
        <w:pStyle w:val="a3"/>
        <w:rPr>
          <w:rFonts w:ascii="Arial"/>
          <w:b/>
          <w:i/>
          <w:sz w:val="20"/>
        </w:rPr>
      </w:pPr>
    </w:p>
    <w:p w14:paraId="0D75758B" w14:textId="77777777" w:rsidR="0055291C" w:rsidRDefault="0055291C">
      <w:pPr>
        <w:pStyle w:val="a3"/>
        <w:rPr>
          <w:rFonts w:ascii="Arial"/>
          <w:b/>
          <w:i/>
          <w:sz w:val="20"/>
        </w:rPr>
      </w:pPr>
    </w:p>
    <w:p w14:paraId="6E2B0393" w14:textId="77777777" w:rsidR="0055291C" w:rsidRDefault="0055291C">
      <w:pPr>
        <w:pStyle w:val="a3"/>
        <w:rPr>
          <w:rFonts w:ascii="Arial"/>
          <w:b/>
          <w:i/>
          <w:sz w:val="20"/>
        </w:rPr>
      </w:pPr>
    </w:p>
    <w:p w14:paraId="03351372" w14:textId="77777777" w:rsidR="0055291C" w:rsidRDefault="0055291C">
      <w:pPr>
        <w:pStyle w:val="a3"/>
        <w:rPr>
          <w:rFonts w:ascii="Arial"/>
          <w:b/>
          <w:i/>
          <w:sz w:val="20"/>
        </w:rPr>
      </w:pPr>
    </w:p>
    <w:p w14:paraId="2637A567" w14:textId="77777777" w:rsidR="0055291C" w:rsidRDefault="0055291C">
      <w:pPr>
        <w:pStyle w:val="a3"/>
        <w:spacing w:before="4"/>
        <w:rPr>
          <w:rFonts w:ascii="Arial"/>
          <w:b/>
          <w:i/>
          <w:sz w:val="24"/>
        </w:rPr>
      </w:pPr>
    </w:p>
    <w:p w14:paraId="3FD1219C" w14:textId="64B9D6F7" w:rsidR="0055291C" w:rsidRDefault="00000000">
      <w:pPr>
        <w:pStyle w:val="a5"/>
        <w:numPr>
          <w:ilvl w:val="2"/>
          <w:numId w:val="29"/>
        </w:numPr>
        <w:tabs>
          <w:tab w:val="left" w:pos="1887"/>
        </w:tabs>
        <w:spacing w:before="99"/>
        <w:ind w:hanging="721"/>
        <w:jc w:val="both"/>
        <w:rPr>
          <w:rFonts w:ascii="Arial"/>
          <w:b/>
          <w:i/>
          <w:sz w:val="24"/>
        </w:rPr>
      </w:pPr>
      <w:r>
        <w:pict w14:anchorId="27FF849E">
          <v:group id="docshapegroup1438" o:spid="_x0000_s2409" style="position:absolute;left:0;text-align:left;margin-left:253.7pt;margin-top:-278.75pt;width:358.55pt;height:382.95pt;z-index:-251548160;mso-position-horizontal-relative:page" coordorigin="5074,-5575" coordsize="7171,7659">
            <v:shape id="docshape1439" o:spid="_x0000_s2412" style="position:absolute;left:11614;top:-5570;width:626;height:5717" coordorigin="11615,-5570" coordsize="626,5717" path="m12240,-5570r-625,l11615,-80r3,131l11643,118r67,25l11842,146r398,l12240,-5570xe" fillcolor="#00aca1" stroked="f">
              <v:path arrowok="t"/>
            </v:shape>
            <v:shape id="docshape1440" o:spid="_x0000_s2411" style="position:absolute;left:5079;top:-5570;width:7161;height:7649" coordorigin="5079,-5570" coordsize="7161,7649" o:spt="100" adj="0,,0" path="m6524,-5570r-36,32l6436,-5488r-51,49l5945,-4933r-301,460l5472,-4139r-55,128l8039,-4215r1645,189l10536,-3715r244,164l10738,-3615r-44,-64l10650,-3743r-46,-64l10558,-3870r-48,-64l10462,-3997r-50,-62l10362,-4121r-52,-62l10258,-4245r-52,-61l10152,-4367r-54,-60l10044,-4487r-55,-59l9933,-4605r-56,-58l9821,-4721r-56,-57l9708,-4835r-57,-56l9595,-4946r-57,-55l8910,-5563r-9,-7m8810,-5570r1022,862l10860,-3426r380,816l11295,-2324r16,-75l11327,-2474r14,-76l11354,-2627r13,-78l11378,-2783r11,-78l11398,-2940r9,-79l11415,-3099r8,-80l11429,-3259r6,-80l11440,-3420r4,-80l11448,-3580r3,-81l11453,-3741r1,-80l11456,-3901r,-79l11456,-4059r-1,-79l11454,-4217r-42,-835l11360,-5570t-49,l11452,-3804r-191,1625l10946,-1337r-166,241l10845,-1138r65,-43l10975,-1225r64,-45l11103,-1316r64,-47l11231,-1411r63,-49l11358,-1510r62,-50l11483,-1612r62,-52l11606,-1717r61,-53l11728,-1824r60,-54l11847,-1933r59,-55l11965,-2043r58,-56l12080,-2155r56,-56l12192,-2267r48,-49m12240,-2369r-289,334l10653,-1019r-826,375l9538,-589r75,16l9690,-558r77,14l9845,-531r78,12l10002,-507r80,10l10162,-487r80,9l10323,-470r81,7l10485,-457r81,6l10647,-446r81,4l10810,-438r81,3l10972,-433r81,1l11134,-430r81,l11295,-430r80,-1l11454,-432r786,-38m11244,1745r81,-34l11405,1675r78,-36l11560,1601r75,-39l11708,1523r73,-41l11851,1441r70,-43l11988,1355r67,-44l12120,1266r63,-45l12240,1178t,-1707l11038,-435,9392,-624,8540,-935r-244,-164l8338,-1034r44,64l8426,-907r46,64l8518,-779r48,63l8615,-653r49,62l8715,-529r51,62l8818,-405r53,61l8924,-283r54,60l9033,-163r55,59l9143,-45r56,59l9255,71r57,58l9368,185r57,56l9482,296r57,55l10166,913r546,441l11098,1642r146,103m7833,1743r82,33l7996,1807r82,28l8159,1862r80,26l8319,1911r80,22l8479,1953r79,18l8637,1988r78,15l8793,2017r77,12l8946,2040r76,9l9098,2057r75,7l9247,2069r74,4l9393,2076r73,2l9537,2079r674,-51l10752,1913r361,-116l11244,1745,9243,58,8215,-1225r-380,-815l7781,-2326r-17,75l7749,-2176r-14,77l7721,-2022r-12,77l7697,-1867r-10,78l7677,-1710r-9,80l7660,-1551r-7,80l7646,-1391r-5,80l7636,-1230r-5,80l7628,-1070r-3,81l7622,-909r-1,80l7620,-749r-1,79l7619,-590r1,79l7621,-433r42,836l7735,1096r68,472l7833,1743m5418,-640r34,81l5488,-481r37,77l5563,-328r39,74l5642,-181r42,71l5726,-41r43,69l5813,94r44,66l5903,224r46,62l5996,347r47,60l6091,466r48,57l6188,578r49,55l6286,686r50,52l6386,788r513,434l7364,1519r338,170l7833,1743,7626,-846r190,-1625l8132,-3314r165,-240l8232,-3512r-65,42l8103,-3426r-65,46l7974,-3334r-64,47l7846,-3239r-63,49l7720,-3140r-63,50l7595,-3038r-62,52l7472,-2933r-61,53l7350,-2826r-60,54l7230,-2717r-59,55l7113,-2607r-58,56l6998,-2495r-57,56l6885,-2383r-55,56l6261,-1706r-447,540l5522,-784r-104,144m5417,-4011r-33,81l5353,-3849r-29,80l5297,-3689r-25,80l5248,-3530r-22,79l5206,-3372r-18,78l5171,-3216r-16,77l5142,-3062r-13,77l5119,-2910r-10,76l5101,-2760r-7,74l5089,-2612r-4,72l5082,-2468r-2,72l5079,-2326r52,666l5247,-1125r117,356l5418,-640,7125,-2615,8424,-3631r826,-376l9539,-4061r-76,-16l9387,-4092r-78,-14l9232,-4119r-79,-12l9074,-4143r-79,-10l8915,-4163r-81,-9l8754,-4179r-81,-8l8592,-4193r-81,-6l8429,-4204r-81,-4l8267,-4211r-82,-3l8104,-4217r-81,-1l7942,-4219r-80,-1l7781,-4220r-79,1l7622,-4218r-846,41l6074,-4106r-479,66l5417,-4011e" filled="f" strokecolor="#d9dadc" strokeweight=".5pt">
              <v:stroke joinstyle="round"/>
              <v:formulas/>
              <v:path arrowok="t" o:connecttype="segments"/>
            </v:shape>
            <v:shape id="docshape1441" o:spid="_x0000_s2410" style="position:absolute;left:11614;top:-5570;width:626;height:5717" coordorigin="11615,-5570" coordsize="626,5717" path="m12240,-5570r-625,l11615,-80r3,131l11643,118r67,25l11842,146r398,l12240,-5570xe" fillcolor="#7f3f98" stroked="f">
              <v:path arrowok="t"/>
            </v:shape>
            <w10:wrap anchorx="page"/>
          </v:group>
        </w:pict>
      </w:r>
      <w:r>
        <w:pict w14:anchorId="108F72D9">
          <v:shape id="docshape1442" o:spid="_x0000_s2408" type="#_x0000_t202" style="position:absolute;left:0;text-align:left;margin-left:585.65pt;margin-top:-204.85pt;width:17.7pt;height:180.55pt;z-index:251640320;mso-position-horizontal-relative:page" filled="f" stroked="f">
            <v:textbox style="layout-flow:vertical;mso-layout-flow-alt:bottom-to-top;mso-next-textbox:#docshape1442" inset="0,0,0,0">
              <w:txbxContent>
                <w:p w14:paraId="1CE96474" w14:textId="77777777" w:rsidR="0055291C" w:rsidRDefault="00F23C61">
                  <w:pPr>
                    <w:spacing w:before="18"/>
                    <w:ind w:left="20"/>
                    <w:rPr>
                      <w:rFonts w:ascii="Arial"/>
                      <w:b/>
                      <w:i/>
                      <w:sz w:val="28"/>
                    </w:rPr>
                  </w:pPr>
                  <w:r>
                    <w:rPr>
                      <w:rFonts w:ascii="Arial"/>
                      <w:b/>
                      <w:i/>
                      <w:color w:val="F3F4F4"/>
                      <w:spacing w:val="-159"/>
                      <w:w w:val="92"/>
                      <w:sz w:val="28"/>
                    </w:rPr>
                    <w:t>g</w:t>
                  </w:r>
                  <w:r>
                    <w:rPr>
                      <w:rFonts w:ascii="Arial"/>
                      <w:b/>
                      <w:i/>
                      <w:color w:val="F3F4F4"/>
                      <w:w w:val="109"/>
                      <w:sz w:val="28"/>
                    </w:rPr>
                    <w:t>r</w:t>
                  </w:r>
                  <w:r>
                    <w:rPr>
                      <w:rFonts w:ascii="Arial"/>
                      <w:b/>
                      <w:i/>
                      <w:color w:val="F3F4F4"/>
                      <w:sz w:val="28"/>
                    </w:rPr>
                    <w:t xml:space="preserve"> </w:t>
                  </w:r>
                  <w:r>
                    <w:rPr>
                      <w:rFonts w:ascii="Arial"/>
                      <w:b/>
                      <w:i/>
                      <w:color w:val="F3F4F4"/>
                      <w:spacing w:val="6"/>
                      <w:sz w:val="28"/>
                    </w:rPr>
                    <w:t xml:space="preserve"> </w:t>
                  </w:r>
                  <w:proofErr w:type="spellStart"/>
                  <w:r>
                    <w:rPr>
                      <w:rFonts w:ascii="Arial"/>
                      <w:b/>
                      <w:i/>
                      <w:color w:val="F3F4F4"/>
                      <w:spacing w:val="-104"/>
                      <w:w w:val="95"/>
                      <w:sz w:val="28"/>
                    </w:rPr>
                    <w:t>e</w:t>
                  </w:r>
                  <w:r>
                    <w:rPr>
                      <w:rFonts w:ascii="Arial"/>
                      <w:b/>
                      <w:i/>
                      <w:color w:val="F3F4F4"/>
                      <w:w w:val="95"/>
                      <w:sz w:val="28"/>
                    </w:rPr>
                    <w:t>u</w:t>
                  </w:r>
                  <w:proofErr w:type="spellEnd"/>
                  <w:r>
                    <w:rPr>
                      <w:rFonts w:ascii="Arial"/>
                      <w:b/>
                      <w:i/>
                      <w:color w:val="F3F4F4"/>
                      <w:spacing w:val="30"/>
                      <w:sz w:val="28"/>
                    </w:rPr>
                    <w:t xml:space="preserve"> </w:t>
                  </w:r>
                  <w:r>
                    <w:rPr>
                      <w:rFonts w:ascii="Arial"/>
                      <w:b/>
                      <w:i/>
                      <w:color w:val="F3F4F4"/>
                      <w:spacing w:val="-102"/>
                      <w:w w:val="93"/>
                      <w:sz w:val="28"/>
                    </w:rPr>
                    <w:t>q</w:t>
                  </w:r>
                  <w:r>
                    <w:rPr>
                      <w:rFonts w:ascii="Arial"/>
                      <w:b/>
                      <w:i/>
                      <w:color w:val="F3F4F4"/>
                      <w:w w:val="101"/>
                      <w:sz w:val="28"/>
                    </w:rPr>
                    <w:t>i</w:t>
                  </w:r>
                  <w:r>
                    <w:rPr>
                      <w:rFonts w:ascii="Arial"/>
                      <w:b/>
                      <w:i/>
                      <w:color w:val="F3F4F4"/>
                      <w:sz w:val="28"/>
                    </w:rPr>
                    <w:t xml:space="preserve"> </w:t>
                  </w:r>
                  <w:r>
                    <w:rPr>
                      <w:rFonts w:ascii="Arial"/>
                      <w:b/>
                      <w:i/>
                      <w:color w:val="F3F4F4"/>
                      <w:spacing w:val="12"/>
                      <w:sz w:val="28"/>
                    </w:rPr>
                    <w:t xml:space="preserve"> </w:t>
                  </w:r>
                  <w:r>
                    <w:rPr>
                      <w:rFonts w:ascii="Arial"/>
                      <w:b/>
                      <w:i/>
                      <w:color w:val="F3F4F4"/>
                      <w:spacing w:val="-144"/>
                      <w:w w:val="96"/>
                      <w:sz w:val="28"/>
                    </w:rPr>
                    <w:t>d</w:t>
                  </w:r>
                  <w:r>
                    <w:rPr>
                      <w:rFonts w:ascii="Arial"/>
                      <w:b/>
                      <w:i/>
                      <w:color w:val="F3F4F4"/>
                      <w:w w:val="95"/>
                      <w:sz w:val="28"/>
                    </w:rPr>
                    <w:t>u</w:t>
                  </w:r>
                  <w:r>
                    <w:rPr>
                      <w:rFonts w:ascii="Arial"/>
                      <w:b/>
                      <w:i/>
                      <w:color w:val="F3F4F4"/>
                      <w:sz w:val="28"/>
                    </w:rPr>
                    <w:t xml:space="preserve"> </w:t>
                  </w:r>
                  <w:r>
                    <w:rPr>
                      <w:rFonts w:ascii="Arial"/>
                      <w:b/>
                      <w:i/>
                      <w:color w:val="F3F4F4"/>
                      <w:spacing w:val="-7"/>
                      <w:sz w:val="28"/>
                    </w:rPr>
                    <w:t xml:space="preserve"> </w:t>
                  </w:r>
                  <w:r>
                    <w:rPr>
                      <w:rFonts w:ascii="Arial"/>
                      <w:b/>
                      <w:i/>
                      <w:color w:val="F3F4F4"/>
                      <w:spacing w:val="-146"/>
                      <w:w w:val="105"/>
                      <w:sz w:val="28"/>
                    </w:rPr>
                    <w:t>a</w:t>
                  </w:r>
                  <w:r>
                    <w:rPr>
                      <w:rFonts w:ascii="Arial"/>
                      <w:b/>
                      <w:i/>
                      <w:color w:val="F3F4F4"/>
                      <w:w w:val="101"/>
                      <w:sz w:val="28"/>
                    </w:rPr>
                    <w:t>i</w:t>
                  </w:r>
                  <w:r>
                    <w:rPr>
                      <w:rFonts w:ascii="Arial"/>
                      <w:b/>
                      <w:i/>
                      <w:color w:val="F3F4F4"/>
                      <w:sz w:val="28"/>
                    </w:rPr>
                    <w:t xml:space="preserve"> </w:t>
                  </w:r>
                  <w:r>
                    <w:rPr>
                      <w:rFonts w:ascii="Arial"/>
                      <w:b/>
                      <w:i/>
                      <w:color w:val="F3F4F4"/>
                      <w:spacing w:val="12"/>
                      <w:sz w:val="28"/>
                    </w:rPr>
                    <w:t xml:space="preserve"> </w:t>
                  </w:r>
                  <w:proofErr w:type="spellStart"/>
                  <w:r>
                    <w:rPr>
                      <w:rFonts w:ascii="Arial"/>
                      <w:b/>
                      <w:i/>
                      <w:color w:val="F3F4F4"/>
                      <w:spacing w:val="-54"/>
                      <w:w w:val="109"/>
                      <w:sz w:val="28"/>
                    </w:rPr>
                    <w:t>r</w:t>
                  </w:r>
                  <w:r>
                    <w:rPr>
                      <w:rFonts w:ascii="Arial"/>
                      <w:b/>
                      <w:i/>
                      <w:color w:val="F3F4F4"/>
                      <w:w w:val="92"/>
                      <w:sz w:val="28"/>
                    </w:rPr>
                    <w:t>n</w:t>
                  </w:r>
                  <w:proofErr w:type="spellEnd"/>
                  <w:r>
                    <w:rPr>
                      <w:rFonts w:ascii="Arial"/>
                      <w:b/>
                      <w:i/>
                      <w:color w:val="F3F4F4"/>
                      <w:spacing w:val="-21"/>
                      <w:sz w:val="28"/>
                    </w:rPr>
                    <w:t xml:space="preserve"> </w:t>
                  </w:r>
                  <w:proofErr w:type="spellStart"/>
                  <w:r>
                    <w:rPr>
                      <w:rFonts w:ascii="Arial"/>
                      <w:b/>
                      <w:i/>
                      <w:color w:val="F3F4F4"/>
                      <w:spacing w:val="-38"/>
                      <w:w w:val="95"/>
                      <w:sz w:val="28"/>
                    </w:rPr>
                    <w:t>e</w:t>
                  </w:r>
                  <w:r>
                    <w:rPr>
                      <w:rFonts w:ascii="Arial"/>
                      <w:b/>
                      <w:i/>
                      <w:color w:val="F3F4F4"/>
                      <w:w w:val="86"/>
                      <w:sz w:val="28"/>
                    </w:rPr>
                    <w:t>c</w:t>
                  </w:r>
                  <w:proofErr w:type="spellEnd"/>
                  <w:r>
                    <w:rPr>
                      <w:rFonts w:ascii="Arial"/>
                      <w:b/>
                      <w:i/>
                      <w:color w:val="F3F4F4"/>
                      <w:spacing w:val="-7"/>
                      <w:sz w:val="28"/>
                    </w:rPr>
                    <w:t xml:space="preserve"> </w:t>
                  </w:r>
                  <w:r>
                    <w:rPr>
                      <w:rFonts w:ascii="Arial"/>
                      <w:b/>
                      <w:i/>
                      <w:color w:val="F3F4F4"/>
                      <w:spacing w:val="-147"/>
                      <w:w w:val="95"/>
                      <w:sz w:val="28"/>
                    </w:rPr>
                    <w:t>m</w:t>
                  </w:r>
                  <w:r>
                    <w:rPr>
                      <w:rFonts w:ascii="Arial"/>
                      <w:b/>
                      <w:i/>
                      <w:color w:val="F3F4F4"/>
                      <w:w w:val="95"/>
                      <w:sz w:val="28"/>
                    </w:rPr>
                    <w:t>e</w:t>
                  </w:r>
                  <w:r>
                    <w:rPr>
                      <w:rFonts w:ascii="Arial"/>
                      <w:b/>
                      <w:i/>
                      <w:color w:val="F3F4F4"/>
                      <w:sz w:val="28"/>
                    </w:rPr>
                    <w:t xml:space="preserve"> </w:t>
                  </w:r>
                  <w:r>
                    <w:rPr>
                      <w:rFonts w:ascii="Arial"/>
                      <w:b/>
                      <w:i/>
                      <w:color w:val="F3F4F4"/>
                      <w:spacing w:val="10"/>
                      <w:sz w:val="28"/>
                    </w:rPr>
                    <w:t xml:space="preserve"> </w:t>
                  </w:r>
                  <w:r>
                    <w:rPr>
                      <w:rFonts w:ascii="Arial"/>
                      <w:b/>
                      <w:i/>
                      <w:color w:val="F3F4F4"/>
                      <w:w w:val="95"/>
                      <w:sz w:val="28"/>
                    </w:rPr>
                    <w:t>e</w:t>
                  </w:r>
                  <w:r>
                    <w:rPr>
                      <w:rFonts w:ascii="Arial"/>
                      <w:b/>
                      <w:i/>
                      <w:color w:val="F3F4F4"/>
                      <w:sz w:val="28"/>
                    </w:rPr>
                    <w:t xml:space="preserve"> </w:t>
                  </w:r>
                  <w:r>
                    <w:rPr>
                      <w:rFonts w:ascii="Arial"/>
                      <w:b/>
                      <w:i/>
                      <w:color w:val="F3F4F4"/>
                      <w:spacing w:val="12"/>
                      <w:sz w:val="28"/>
                    </w:rPr>
                    <w:t xml:space="preserve"> </w:t>
                  </w:r>
                  <w:r>
                    <w:rPr>
                      <w:rFonts w:ascii="Arial"/>
                      <w:b/>
                      <w:i/>
                      <w:color w:val="F3F4F4"/>
                      <w:w w:val="92"/>
                      <w:sz w:val="28"/>
                    </w:rPr>
                    <w:t>n</w:t>
                  </w:r>
                  <w:r>
                    <w:rPr>
                      <w:rFonts w:ascii="Arial"/>
                      <w:b/>
                      <w:i/>
                      <w:color w:val="F3F4F4"/>
                      <w:sz w:val="28"/>
                    </w:rPr>
                    <w:t xml:space="preserve"> </w:t>
                  </w:r>
                  <w:r>
                    <w:rPr>
                      <w:rFonts w:ascii="Arial"/>
                      <w:b/>
                      <w:i/>
                      <w:color w:val="F3F4F4"/>
                      <w:spacing w:val="12"/>
                      <w:sz w:val="28"/>
                    </w:rPr>
                    <w:t xml:space="preserve"> </w:t>
                  </w:r>
                  <w:r>
                    <w:rPr>
                      <w:rFonts w:ascii="Arial"/>
                      <w:b/>
                      <w:i/>
                      <w:color w:val="F3F4F4"/>
                      <w:w w:val="124"/>
                      <w:sz w:val="28"/>
                    </w:rPr>
                    <w:t>t</w:t>
                  </w:r>
                  <w:r>
                    <w:rPr>
                      <w:rFonts w:ascii="Arial"/>
                      <w:b/>
                      <w:i/>
                      <w:color w:val="F3F4F4"/>
                      <w:sz w:val="28"/>
                    </w:rPr>
                    <w:t xml:space="preserve"> </w:t>
                  </w:r>
                  <w:r>
                    <w:rPr>
                      <w:rFonts w:ascii="Arial"/>
                      <w:b/>
                      <w:i/>
                      <w:color w:val="F3F4F4"/>
                      <w:spacing w:val="12"/>
                      <w:sz w:val="28"/>
                    </w:rPr>
                    <w:t xml:space="preserve"> </w:t>
                  </w:r>
                  <w:r>
                    <w:rPr>
                      <w:rFonts w:ascii="Arial"/>
                      <w:b/>
                      <w:i/>
                      <w:color w:val="F3F4F4"/>
                      <w:w w:val="86"/>
                      <w:sz w:val="28"/>
                    </w:rPr>
                    <w:t>s</w:t>
                  </w:r>
                </w:p>
              </w:txbxContent>
            </v:textbox>
            <w10:wrap anchorx="page"/>
          </v:shape>
        </w:pict>
      </w:r>
      <w:r>
        <w:pict w14:anchorId="6A35B350">
          <v:shape id="docshape1443" o:spid="_x0000_s2407" type="#_x0000_t202" style="position:absolute;left:0;text-align:left;margin-left:52.7pt;margin-top:11.55pt;width:45.35pt;height:81.4pt;z-index:-251547136;mso-position-horizontal-relative:page" filled="f" stroked="f">
            <v:textbox style="mso-next-textbox:#docshape1443" inset="0,0,0,0">
              <w:txbxContent>
                <w:p w14:paraId="0DAA9CE3" w14:textId="77777777" w:rsidR="0055291C" w:rsidRDefault="00F23C61">
                  <w:pPr>
                    <w:spacing w:line="1628" w:lineRule="exact"/>
                    <w:rPr>
                      <w:rFonts w:ascii="Arial"/>
                      <w:b/>
                      <w:i/>
                      <w:sz w:val="145"/>
                    </w:rPr>
                  </w:pPr>
                  <w:r>
                    <w:rPr>
                      <w:rFonts w:ascii="Arial"/>
                      <w:b/>
                      <w:i/>
                      <w:color w:val="00ACA1"/>
                      <w:w w:val="86"/>
                      <w:sz w:val="145"/>
                    </w:rPr>
                    <w:t>R</w:t>
                  </w:r>
                </w:p>
              </w:txbxContent>
            </v:textbox>
            <w10:wrap anchorx="page"/>
          </v:shape>
        </w:pict>
      </w:r>
      <w:r w:rsidR="00DF5997">
        <w:rPr>
          <w:rFonts w:ascii="ＭＳ ゴシック" w:eastAsia="ＭＳ ゴシック" w:hAnsi="ＭＳ ゴシック" w:cs="ＭＳ ゴシック" w:hint="eastAsia"/>
          <w:b/>
          <w:i/>
          <w:color w:val="00ACA1"/>
          <w:sz w:val="24"/>
          <w:lang w:eastAsia="ja-JP"/>
        </w:rPr>
        <w:t>はじめに</w:t>
      </w:r>
    </w:p>
    <w:p w14:paraId="755066F6" w14:textId="4386D051" w:rsidR="0055291C" w:rsidRDefault="00DF5997" w:rsidP="00DF5997">
      <w:pPr>
        <w:spacing w:before="1" w:line="364" w:lineRule="auto"/>
        <w:ind w:left="1166" w:right="1128" w:firstLineChars="100" w:firstLine="220"/>
        <w:jc w:val="both"/>
        <w:rPr>
          <w:rFonts w:ascii="Arial"/>
          <w:b/>
          <w:i/>
          <w:sz w:val="24"/>
          <w:lang w:eastAsia="ja-JP"/>
        </w:rPr>
      </w:pPr>
      <w:r>
        <w:rPr>
          <w:rFonts w:ascii="ＭＳ ゴシック" w:eastAsia="ＭＳ ゴシック" w:hAnsi="ＭＳ ゴシック" w:cs="ＭＳ ゴシック" w:hint="eastAsia"/>
          <w:lang w:eastAsia="ja-JP"/>
        </w:rPr>
        <w:t>報告書は、説明責任を果たしステークホルダーとの効果的な関わりを確保するために極めて重要となります。この章では、他の章で規定されている様々な報告要件を要約し、</w:t>
      </w:r>
      <w:r>
        <w:rPr>
          <w:lang w:eastAsia="ja-JP"/>
        </w:rPr>
        <w:t xml:space="preserve"> </w:t>
      </w:r>
      <w:r>
        <w:rPr>
          <w:rFonts w:ascii="ＭＳ ゴシック" w:eastAsia="ＭＳ ゴシック" w:hAnsi="ＭＳ ゴシック" w:cs="ＭＳ ゴシック" w:hint="eastAsia"/>
          <w:lang w:eastAsia="ja-JP"/>
        </w:rPr>
        <w:t>報告に関する追加的な考慮事項を明らかにします。</w:t>
      </w:r>
      <w:r>
        <w:rPr>
          <w:lang w:eastAsia="ja-JP"/>
        </w:rPr>
        <w:t xml:space="preserve"> </w:t>
      </w:r>
      <w:r>
        <w:rPr>
          <w:rFonts w:ascii="ＭＳ ゴシック" w:eastAsia="ＭＳ ゴシック" w:hAnsi="ＭＳ ゴシック" w:cs="ＭＳ ゴシック" w:hint="eastAsia"/>
          <w:lang w:eastAsia="ja-JP"/>
        </w:rPr>
        <w:t>これは、信頼できる報告の枠組みを提供し、報告されたデータの利用者が情報に基づいた意思決定を行えるようにするためのものです。報告される情報は、主要な</w:t>
      </w:r>
      <w:r w:rsidR="00DA47C0">
        <w:rPr>
          <w:rFonts w:ascii="ＭＳ ゴシック" w:eastAsia="ＭＳ ゴシック" w:hAnsi="ＭＳ ゴシック" w:cs="ＭＳ ゴシック" w:hint="eastAsia"/>
          <w:lang w:eastAsia="ja-JP"/>
        </w:rPr>
        <w:t>算出５</w:t>
      </w:r>
      <w:r>
        <w:rPr>
          <w:rFonts w:ascii="ＭＳ ゴシック" w:eastAsia="ＭＳ ゴシック" w:hAnsi="ＭＳ ゴシック" w:cs="ＭＳ ゴシック" w:hint="eastAsia"/>
          <w:lang w:eastAsia="ja-JP"/>
        </w:rPr>
        <w:t>原則（妥当性、正確性、</w:t>
      </w:r>
      <w:r>
        <w:rPr>
          <w:lang w:eastAsia="ja-JP"/>
        </w:rPr>
        <w:t xml:space="preserve"> </w:t>
      </w:r>
      <w:r>
        <w:rPr>
          <w:rFonts w:ascii="ＭＳ ゴシック" w:eastAsia="ＭＳ ゴシック" w:hAnsi="ＭＳ ゴシック" w:cs="ＭＳ ゴシック" w:hint="eastAsia"/>
          <w:lang w:eastAsia="ja-JP"/>
        </w:rPr>
        <w:t>完全性、一貫性、透明性）に基づくことが不可欠です。</w:t>
      </w:r>
    </w:p>
    <w:p w14:paraId="288AD89D" w14:textId="77777777" w:rsidR="0055291C" w:rsidRDefault="0055291C">
      <w:pPr>
        <w:pStyle w:val="a3"/>
        <w:spacing w:before="8"/>
        <w:rPr>
          <w:rFonts w:ascii="Arial"/>
          <w:b/>
          <w:i/>
          <w:sz w:val="36"/>
          <w:lang w:eastAsia="ja-JP"/>
        </w:rPr>
      </w:pPr>
    </w:p>
    <w:p w14:paraId="71A4D294" w14:textId="5FE3D6B1" w:rsidR="0055291C" w:rsidRDefault="00570DAA">
      <w:pPr>
        <w:pStyle w:val="a5"/>
        <w:numPr>
          <w:ilvl w:val="2"/>
          <w:numId w:val="29"/>
        </w:numPr>
        <w:tabs>
          <w:tab w:val="left" w:pos="1887"/>
        </w:tabs>
        <w:ind w:hanging="721"/>
        <w:jc w:val="both"/>
        <w:rPr>
          <w:rFonts w:ascii="Arial"/>
          <w:b/>
          <w:i/>
          <w:sz w:val="24"/>
        </w:rPr>
      </w:pPr>
      <w:r>
        <w:rPr>
          <w:rFonts w:ascii="ＭＳ ゴシック" w:eastAsia="ＭＳ ゴシック" w:hAnsi="ＭＳ ゴシック" w:cs="ＭＳ ゴシック" w:hint="eastAsia"/>
          <w:b/>
          <w:i/>
          <w:color w:val="00ACA1"/>
          <w:sz w:val="24"/>
          <w:lang w:eastAsia="ja-JP"/>
        </w:rPr>
        <w:t>要求事項</w:t>
      </w:r>
    </w:p>
    <w:p w14:paraId="5B2F65E9" w14:textId="2526018D" w:rsidR="0055291C" w:rsidRDefault="0055291C">
      <w:pPr>
        <w:pStyle w:val="a3"/>
        <w:spacing w:before="6"/>
        <w:rPr>
          <w:rFonts w:ascii="Arial"/>
          <w:b/>
          <w:i/>
          <w:sz w:val="18"/>
        </w:rPr>
      </w:pPr>
    </w:p>
    <w:p w14:paraId="44657615" w14:textId="77777777" w:rsidR="0055291C" w:rsidRDefault="0055291C">
      <w:pPr>
        <w:rPr>
          <w:rFonts w:ascii="Arial"/>
          <w:sz w:val="18"/>
        </w:rPr>
        <w:sectPr w:rsidR="0055291C">
          <w:headerReference w:type="default" r:id="rId305"/>
          <w:footerReference w:type="even" r:id="rId306"/>
          <w:footerReference w:type="default" r:id="rId307"/>
          <w:pgSz w:w="12240" w:h="15840"/>
          <w:pgMar w:top="0" w:right="0" w:bottom="1040" w:left="0" w:header="0" w:footer="859" w:gutter="0"/>
          <w:pgNumType w:start="101"/>
          <w:cols w:space="720"/>
        </w:sectPr>
      </w:pPr>
    </w:p>
    <w:p w14:paraId="38017BF7" w14:textId="63C60299" w:rsidR="0055291C" w:rsidRPr="00570DAA" w:rsidRDefault="00570DAA" w:rsidP="00570DAA">
      <w:pPr>
        <w:spacing w:before="99" w:line="278" w:lineRule="auto"/>
        <w:rPr>
          <w:rFonts w:ascii="Arial" w:hAnsi="Arial"/>
          <w:b/>
          <w:i/>
          <w:sz w:val="21"/>
        </w:rPr>
      </w:pPr>
      <w:r>
        <w:rPr>
          <w:noProof/>
          <w:sz w:val="18"/>
        </w:rPr>
        <mc:AlternateContent>
          <mc:Choice Requires="wps">
            <w:drawing>
              <wp:anchor distT="0" distB="0" distL="114300" distR="114300" simplePos="0" relativeHeight="251510272" behindDoc="0" locked="0" layoutInCell="1" allowOverlap="1" wp14:anchorId="6F61E7B1" wp14:editId="63EFA8C9">
                <wp:simplePos x="0" y="0"/>
                <wp:positionH relativeFrom="column">
                  <wp:posOffset>787400</wp:posOffset>
                </wp:positionH>
                <wp:positionV relativeFrom="paragraph">
                  <wp:posOffset>106680</wp:posOffset>
                </wp:positionV>
                <wp:extent cx="6305550" cy="2749550"/>
                <wp:effectExtent l="0" t="0" r="0" b="0"/>
                <wp:wrapNone/>
                <wp:docPr id="118" name="四角形: 角を丸くする 118"/>
                <wp:cNvGraphicFramePr/>
                <a:graphic xmlns:a="http://schemas.openxmlformats.org/drawingml/2006/main">
                  <a:graphicData uri="http://schemas.microsoft.com/office/word/2010/wordprocessingShape">
                    <wps:wsp>
                      <wps:cNvSpPr/>
                      <wps:spPr>
                        <a:xfrm>
                          <a:off x="0" y="0"/>
                          <a:ext cx="6305550" cy="2749550"/>
                        </a:xfrm>
                        <a:prstGeom prst="roundRect">
                          <a:avLst>
                            <a:gd name="adj" fmla="val 6453"/>
                          </a:avLst>
                        </a:prstGeom>
                        <a:solidFill>
                          <a:srgbClr val="70029C">
                            <a:alpha val="25098"/>
                          </a:srgbClr>
                        </a:solidFill>
                        <a:ln w="25400" cap="flat" cmpd="sng" algn="ctr">
                          <a:noFill/>
                          <a:prstDash val="solid"/>
                        </a:ln>
                        <a:effectLst/>
                      </wps:spPr>
                      <wps:txbx>
                        <w:txbxContent>
                          <w:p w14:paraId="2FDEC412" w14:textId="77777777" w:rsidR="00A37974" w:rsidRPr="00A37974" w:rsidRDefault="00A37974" w:rsidP="00A37974">
                            <w:pPr>
                              <w:spacing w:line="276" w:lineRule="auto"/>
                              <w:rPr>
                                <w:b/>
                                <w:bCs/>
                                <w:i/>
                                <w:iCs/>
                                <w:color w:val="000000" w:themeColor="text1"/>
                                <w:sz w:val="19"/>
                                <w:szCs w:val="19"/>
                                <w:lang w:eastAsia="ja-JP"/>
                              </w:rPr>
                            </w:pPr>
                            <w:r w:rsidRPr="00A37974">
                              <w:rPr>
                                <w:rFonts w:ascii="ＭＳ ゴシック" w:eastAsia="ＭＳ ゴシック" w:hAnsi="ＭＳ ゴシック" w:cs="ＭＳ ゴシック" w:hint="eastAsia"/>
                                <w:b/>
                                <w:bCs/>
                                <w:i/>
                                <w:iCs/>
                                <w:color w:val="000000" w:themeColor="text1"/>
                                <w:sz w:val="19"/>
                                <w:szCs w:val="19"/>
                                <w:lang w:eastAsia="ja-JP"/>
                              </w:rPr>
                              <w:t>企業は、</w:t>
                            </w:r>
                            <w:r w:rsidRPr="00A37974">
                              <w:rPr>
                                <w:b/>
                                <w:bCs/>
                                <w:i/>
                                <w:iCs/>
                                <w:color w:val="000000" w:themeColor="text1"/>
                                <w:sz w:val="19"/>
                                <w:szCs w:val="19"/>
                                <w:lang w:eastAsia="ja-JP"/>
                              </w:rPr>
                              <w:t>GHG</w:t>
                            </w:r>
                            <w:r w:rsidRPr="00A37974">
                              <w:rPr>
                                <w:rFonts w:ascii="ＭＳ ゴシック" w:eastAsia="ＭＳ ゴシック" w:hAnsi="ＭＳ ゴシック" w:cs="ＭＳ ゴシック" w:hint="eastAsia"/>
                                <w:b/>
                                <w:bCs/>
                                <w:i/>
                                <w:iCs/>
                                <w:color w:val="000000" w:themeColor="text1"/>
                                <w:sz w:val="19"/>
                                <w:szCs w:val="19"/>
                                <w:lang w:eastAsia="ja-JP"/>
                              </w:rPr>
                              <w:t>プロトコル製品基準に適合していることを確認するために以下の情報を公開しなくてはならない。</w:t>
                            </w:r>
                          </w:p>
                          <w:p w14:paraId="1014AAE0" w14:textId="5A9A1499" w:rsidR="00A37974" w:rsidRPr="001D3803" w:rsidRDefault="00A37974" w:rsidP="00A37974">
                            <w:pPr>
                              <w:spacing w:line="276" w:lineRule="auto"/>
                              <w:rPr>
                                <w:b/>
                                <w:bCs/>
                                <w:i/>
                                <w:iCs/>
                                <w:color w:val="70029C"/>
                                <w:sz w:val="19"/>
                                <w:szCs w:val="19"/>
                                <w:lang w:eastAsia="ja-JP"/>
                              </w:rPr>
                            </w:pPr>
                            <w:r w:rsidRPr="001D3803">
                              <w:rPr>
                                <w:rFonts w:ascii="ＭＳ ゴシック" w:eastAsia="ＭＳ ゴシック" w:hAnsi="ＭＳ ゴシック" w:cs="ＭＳ ゴシック" w:hint="eastAsia"/>
                                <w:b/>
                                <w:bCs/>
                                <w:i/>
                                <w:iCs/>
                                <w:color w:val="70029C"/>
                                <w:sz w:val="19"/>
                                <w:szCs w:val="19"/>
                                <w:lang w:eastAsia="ja-JP"/>
                              </w:rPr>
                              <w:t>一般的な情報と</w:t>
                            </w:r>
                            <w:r w:rsidRPr="001D3803">
                              <w:rPr>
                                <w:b/>
                                <w:bCs/>
                                <w:i/>
                                <w:iCs/>
                                <w:color w:val="70029C"/>
                                <w:sz w:val="19"/>
                                <w:szCs w:val="19"/>
                                <w:lang w:eastAsia="ja-JP"/>
                              </w:rPr>
                              <w:t>Scope</w:t>
                            </w:r>
                          </w:p>
                          <w:p w14:paraId="5AC26BE4" w14:textId="77777777" w:rsidR="00A37974" w:rsidRPr="00A37974" w:rsidRDefault="00A37974">
                            <w:pPr>
                              <w:pStyle w:val="a5"/>
                              <w:numPr>
                                <w:ilvl w:val="0"/>
                                <w:numId w:val="89"/>
                              </w:numPr>
                              <w:spacing w:line="276" w:lineRule="auto"/>
                              <w:rPr>
                                <w:b/>
                                <w:bCs/>
                                <w:i/>
                                <w:iCs/>
                                <w:color w:val="000000" w:themeColor="text1"/>
                                <w:sz w:val="19"/>
                                <w:szCs w:val="19"/>
                                <w:lang w:eastAsia="ja-JP"/>
                              </w:rPr>
                            </w:pPr>
                            <w:r w:rsidRPr="00A37974">
                              <w:rPr>
                                <w:rFonts w:ascii="ＭＳ ゴシック" w:eastAsia="ＭＳ ゴシック" w:hAnsi="ＭＳ ゴシック" w:cs="ＭＳ ゴシック" w:hint="eastAsia"/>
                                <w:b/>
                                <w:bCs/>
                                <w:i/>
                                <w:iCs/>
                                <w:color w:val="000000" w:themeColor="text1"/>
                                <w:sz w:val="19"/>
                                <w:szCs w:val="19"/>
                                <w:lang w:eastAsia="ja-JP"/>
                              </w:rPr>
                              <w:t>問い合わせ先</w:t>
                            </w:r>
                          </w:p>
                          <w:p w14:paraId="452C4748" w14:textId="77777777" w:rsidR="00A37974" w:rsidRPr="00A37974" w:rsidRDefault="00A37974">
                            <w:pPr>
                              <w:pStyle w:val="a5"/>
                              <w:numPr>
                                <w:ilvl w:val="0"/>
                                <w:numId w:val="89"/>
                              </w:numPr>
                              <w:spacing w:line="276" w:lineRule="auto"/>
                              <w:rPr>
                                <w:b/>
                                <w:bCs/>
                                <w:i/>
                                <w:iCs/>
                                <w:color w:val="000000" w:themeColor="text1"/>
                                <w:sz w:val="19"/>
                                <w:szCs w:val="19"/>
                                <w:lang w:eastAsia="ja-JP"/>
                              </w:rPr>
                            </w:pPr>
                            <w:r w:rsidRPr="00A37974">
                              <w:rPr>
                                <w:rFonts w:ascii="ＭＳ ゴシック" w:eastAsia="ＭＳ ゴシック" w:hAnsi="ＭＳ ゴシック" w:cs="ＭＳ ゴシック" w:hint="eastAsia"/>
                                <w:b/>
                                <w:bCs/>
                                <w:i/>
                                <w:iCs/>
                                <w:color w:val="000000" w:themeColor="text1"/>
                                <w:sz w:val="19"/>
                                <w:szCs w:val="19"/>
                                <w:lang w:eastAsia="ja-JP"/>
                              </w:rPr>
                              <w:t>対象製品の名称と説明</w:t>
                            </w:r>
                          </w:p>
                          <w:p w14:paraId="36065AD3" w14:textId="77777777" w:rsidR="00A37974" w:rsidRPr="00A37974" w:rsidRDefault="00A37974">
                            <w:pPr>
                              <w:pStyle w:val="a5"/>
                              <w:numPr>
                                <w:ilvl w:val="0"/>
                                <w:numId w:val="89"/>
                              </w:numPr>
                              <w:spacing w:line="276" w:lineRule="auto"/>
                              <w:rPr>
                                <w:b/>
                                <w:bCs/>
                                <w:i/>
                                <w:iCs/>
                                <w:color w:val="000000" w:themeColor="text1"/>
                                <w:sz w:val="19"/>
                                <w:szCs w:val="19"/>
                                <w:lang w:eastAsia="ja-JP"/>
                              </w:rPr>
                            </w:pPr>
                            <w:r w:rsidRPr="00A37974">
                              <w:rPr>
                                <w:rFonts w:ascii="ＭＳ ゴシック" w:eastAsia="ＭＳ ゴシック" w:hAnsi="ＭＳ ゴシック" w:cs="ＭＳ ゴシック" w:hint="eastAsia"/>
                                <w:b/>
                                <w:bCs/>
                                <w:i/>
                                <w:iCs/>
                                <w:color w:val="000000" w:themeColor="text1"/>
                                <w:sz w:val="19"/>
                                <w:szCs w:val="19"/>
                                <w:lang w:eastAsia="ja-JP"/>
                              </w:rPr>
                              <w:t>分析単位と参照フロー</w:t>
                            </w:r>
                          </w:p>
                          <w:p w14:paraId="40C49A5D" w14:textId="635875B4" w:rsidR="00A37974" w:rsidRPr="00A37974" w:rsidRDefault="00A37974">
                            <w:pPr>
                              <w:pStyle w:val="a5"/>
                              <w:numPr>
                                <w:ilvl w:val="0"/>
                                <w:numId w:val="89"/>
                              </w:numPr>
                              <w:spacing w:line="276" w:lineRule="auto"/>
                              <w:rPr>
                                <w:b/>
                                <w:bCs/>
                                <w:i/>
                                <w:iCs/>
                                <w:color w:val="000000" w:themeColor="text1"/>
                                <w:sz w:val="19"/>
                                <w:szCs w:val="19"/>
                                <w:lang w:eastAsia="ja-JP"/>
                              </w:rPr>
                            </w:pPr>
                            <w:r w:rsidRPr="00A37974">
                              <w:rPr>
                                <w:rFonts w:ascii="ＭＳ ゴシック" w:eastAsia="ＭＳ ゴシック" w:hAnsi="ＭＳ ゴシック" w:cs="ＭＳ ゴシック" w:hint="eastAsia"/>
                                <w:b/>
                                <w:bCs/>
                                <w:i/>
                                <w:iCs/>
                                <w:color w:val="000000" w:themeColor="text1"/>
                                <w:sz w:val="19"/>
                                <w:szCs w:val="19"/>
                                <w:lang w:eastAsia="ja-JP"/>
                              </w:rPr>
                              <w:t>報告書のタイプ：ゆりかごから墓場までか、または</w:t>
                            </w:r>
                            <w:r>
                              <w:rPr>
                                <w:rFonts w:ascii="ＭＳ ゴシック" w:eastAsia="ＭＳ ゴシック" w:hAnsi="ＭＳ ゴシック" w:cs="ＭＳ ゴシック" w:hint="eastAsia"/>
                                <w:b/>
                                <w:bCs/>
                                <w:i/>
                                <w:iCs/>
                                <w:color w:val="000000" w:themeColor="text1"/>
                                <w:sz w:val="19"/>
                                <w:szCs w:val="19"/>
                                <w:lang w:eastAsia="ja-JP"/>
                              </w:rPr>
                              <w:t>生産から出荷</w:t>
                            </w:r>
                            <w:r w:rsidRPr="00A37974">
                              <w:rPr>
                                <w:rFonts w:ascii="ＭＳ ゴシック" w:eastAsia="ＭＳ ゴシック" w:hAnsi="ＭＳ ゴシック" w:cs="ＭＳ ゴシック" w:hint="eastAsia"/>
                                <w:b/>
                                <w:bCs/>
                                <w:i/>
                                <w:iCs/>
                                <w:color w:val="000000" w:themeColor="text1"/>
                                <w:sz w:val="19"/>
                                <w:szCs w:val="19"/>
                                <w:lang w:eastAsia="ja-JP"/>
                              </w:rPr>
                              <w:t>までか</w:t>
                            </w:r>
                          </w:p>
                          <w:p w14:paraId="67A486E9" w14:textId="77777777" w:rsidR="00A37974" w:rsidRPr="00A37974" w:rsidRDefault="00A37974">
                            <w:pPr>
                              <w:pStyle w:val="a5"/>
                              <w:numPr>
                                <w:ilvl w:val="0"/>
                                <w:numId w:val="89"/>
                              </w:numPr>
                              <w:spacing w:line="276" w:lineRule="auto"/>
                              <w:rPr>
                                <w:b/>
                                <w:bCs/>
                                <w:i/>
                                <w:iCs/>
                                <w:color w:val="000000" w:themeColor="text1"/>
                                <w:sz w:val="19"/>
                                <w:szCs w:val="19"/>
                                <w:lang w:eastAsia="ja-JP"/>
                              </w:rPr>
                            </w:pPr>
                            <w:r w:rsidRPr="00A37974">
                              <w:rPr>
                                <w:rFonts w:ascii="ＭＳ ゴシック" w:eastAsia="ＭＳ ゴシック" w:hAnsi="ＭＳ ゴシック" w:cs="ＭＳ ゴシック" w:hint="eastAsia"/>
                                <w:b/>
                                <w:bCs/>
                                <w:i/>
                                <w:iCs/>
                                <w:color w:val="000000" w:themeColor="text1"/>
                                <w:sz w:val="19"/>
                                <w:szCs w:val="19"/>
                                <w:lang w:eastAsia="ja-JP"/>
                              </w:rPr>
                              <w:t>排出量に含まれる追加的な温室効果ガス</w:t>
                            </w:r>
                          </w:p>
                          <w:p w14:paraId="629AE55A" w14:textId="77777777" w:rsidR="00A37974" w:rsidRDefault="00A37974">
                            <w:pPr>
                              <w:pStyle w:val="a5"/>
                              <w:numPr>
                                <w:ilvl w:val="0"/>
                                <w:numId w:val="89"/>
                              </w:numPr>
                              <w:spacing w:line="276" w:lineRule="auto"/>
                              <w:rPr>
                                <w:b/>
                                <w:bCs/>
                                <w:i/>
                                <w:iCs/>
                                <w:color w:val="000000" w:themeColor="text1"/>
                                <w:sz w:val="19"/>
                                <w:szCs w:val="19"/>
                                <w:lang w:eastAsia="ja-JP"/>
                              </w:rPr>
                            </w:pPr>
                            <w:r w:rsidRPr="00A37974">
                              <w:rPr>
                                <w:rFonts w:ascii="ＭＳ ゴシック" w:eastAsia="ＭＳ ゴシック" w:hAnsi="ＭＳ ゴシック" w:cs="ＭＳ ゴシック" w:hint="eastAsia"/>
                                <w:b/>
                                <w:bCs/>
                                <w:i/>
                                <w:iCs/>
                                <w:color w:val="000000" w:themeColor="text1"/>
                                <w:sz w:val="19"/>
                                <w:szCs w:val="19"/>
                                <w:lang w:eastAsia="ja-JP"/>
                              </w:rPr>
                              <w:t>使用した製品規則やセクター固有のガイダンス</w:t>
                            </w:r>
                            <w:r w:rsidRPr="00A37974">
                              <w:rPr>
                                <w:b/>
                                <w:bCs/>
                                <w:i/>
                                <w:iCs/>
                                <w:color w:val="000000" w:themeColor="text1"/>
                                <w:sz w:val="19"/>
                                <w:szCs w:val="19"/>
                                <w:lang w:eastAsia="ja-JP"/>
                              </w:rPr>
                              <w:t xml:space="preserve"> </w:t>
                            </w:r>
                          </w:p>
                          <w:p w14:paraId="501AE170" w14:textId="77777777" w:rsidR="00A37974" w:rsidRPr="00A37974" w:rsidRDefault="00A37974">
                            <w:pPr>
                              <w:pStyle w:val="a5"/>
                              <w:numPr>
                                <w:ilvl w:val="0"/>
                                <w:numId w:val="89"/>
                              </w:numPr>
                              <w:spacing w:line="276" w:lineRule="auto"/>
                              <w:rPr>
                                <w:b/>
                                <w:bCs/>
                                <w:i/>
                                <w:iCs/>
                                <w:color w:val="000000" w:themeColor="text1"/>
                                <w:sz w:val="19"/>
                                <w:szCs w:val="19"/>
                                <w:lang w:eastAsia="ja-JP"/>
                              </w:rPr>
                            </w:pPr>
                            <w:r w:rsidRPr="00A37974">
                              <w:rPr>
                                <w:rFonts w:ascii="ＭＳ ゴシック" w:eastAsia="ＭＳ ゴシック" w:hAnsi="ＭＳ ゴシック" w:cs="ＭＳ ゴシック" w:hint="eastAsia"/>
                                <w:b/>
                                <w:bCs/>
                                <w:i/>
                                <w:iCs/>
                                <w:color w:val="000000" w:themeColor="text1"/>
                                <w:sz w:val="19"/>
                                <w:szCs w:val="19"/>
                                <w:lang w:eastAsia="ja-JP"/>
                              </w:rPr>
                              <w:t>報告書作成日およびバージョン</w:t>
                            </w:r>
                          </w:p>
                          <w:p w14:paraId="58749102" w14:textId="77777777" w:rsidR="00A37974" w:rsidRPr="00A37974" w:rsidRDefault="00A37974">
                            <w:pPr>
                              <w:pStyle w:val="a5"/>
                              <w:numPr>
                                <w:ilvl w:val="0"/>
                                <w:numId w:val="89"/>
                              </w:numPr>
                              <w:spacing w:line="276" w:lineRule="auto"/>
                              <w:rPr>
                                <w:b/>
                                <w:bCs/>
                                <w:i/>
                                <w:iCs/>
                                <w:color w:val="000000" w:themeColor="text1"/>
                                <w:sz w:val="19"/>
                                <w:szCs w:val="19"/>
                                <w:lang w:eastAsia="ja-JP"/>
                              </w:rPr>
                            </w:pPr>
                            <w:r w:rsidRPr="00A37974">
                              <w:rPr>
                                <w:rFonts w:ascii="ＭＳ ゴシック" w:eastAsia="ＭＳ ゴシック" w:hAnsi="ＭＳ ゴシック" w:cs="ＭＳ ゴシック" w:hint="eastAsia"/>
                                <w:b/>
                                <w:bCs/>
                                <w:i/>
                                <w:iCs/>
                                <w:color w:val="000000" w:themeColor="text1"/>
                                <w:sz w:val="19"/>
                                <w:szCs w:val="19"/>
                                <w:lang w:eastAsia="ja-JP"/>
                              </w:rPr>
                              <w:t>過去の報告書へのリンクと手法の変更の説明</w:t>
                            </w:r>
                          </w:p>
                          <w:p w14:paraId="5F753DAA" w14:textId="40C81FB1" w:rsidR="00A37974" w:rsidRPr="00A37974" w:rsidRDefault="00A37974">
                            <w:pPr>
                              <w:pStyle w:val="a5"/>
                              <w:numPr>
                                <w:ilvl w:val="0"/>
                                <w:numId w:val="89"/>
                              </w:numPr>
                              <w:spacing w:line="276" w:lineRule="auto"/>
                              <w:rPr>
                                <w:b/>
                                <w:bCs/>
                                <w:i/>
                                <w:iCs/>
                                <w:color w:val="000000" w:themeColor="text1"/>
                                <w:sz w:val="19"/>
                                <w:szCs w:val="19"/>
                                <w:lang w:eastAsia="ja-JP"/>
                              </w:rPr>
                            </w:pPr>
                            <w:r w:rsidRPr="00A37974">
                              <w:rPr>
                                <w:rFonts w:ascii="ＭＳ ゴシック" w:eastAsia="ＭＳ ゴシック" w:hAnsi="ＭＳ ゴシック" w:cs="ＭＳ ゴシック" w:hint="eastAsia"/>
                                <w:b/>
                                <w:bCs/>
                                <w:i/>
                                <w:iCs/>
                                <w:color w:val="000000" w:themeColor="text1"/>
                                <w:sz w:val="19"/>
                                <w:szCs w:val="19"/>
                                <w:lang w:eastAsia="ja-JP"/>
                              </w:rPr>
                              <w:t>製品比較を含めた、報告書の様々な潜在的用途の制限を記載した免責事項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F61E7B1" id="四角形: 角を丸くする 118" o:spid="_x0000_s1141" style="position:absolute;margin-left:62pt;margin-top:8.4pt;width:496.5pt;height:216.5pt;z-index:251510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42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" fillcolor="#70029c" stroked="f" strokeweight="2pt">
                <v:fill opacity="16448f"/>
                <v:textbox>
                  <w:txbxContent>
                    <w:p w14:paraId="2FDEC412" w14:textId="77777777" w:rsidR="00A37974" w:rsidRPr="00A37974" w:rsidRDefault="00A37974" w:rsidP="00A37974">
                      <w:pPr>
                        <w:spacing w:line="276" w:lineRule="auto"/>
                        <w:rPr>
                          <w:b/>
                          <w:bCs/>
                          <w:i/>
                          <w:iCs/>
                          <w:color w:val="000000" w:themeColor="text1"/>
                          <w:sz w:val="19"/>
                          <w:szCs w:val="19"/>
                          <w:lang w:eastAsia="ja-JP"/>
                        </w:rPr>
                      </w:pPr>
                      <w:r w:rsidRPr="00A37974">
                        <w:rPr>
                          <w:rFonts w:ascii="ＭＳ ゴシック" w:eastAsia="ＭＳ ゴシック" w:hAnsi="ＭＳ ゴシック" w:cs="ＭＳ ゴシック" w:hint="eastAsia"/>
                          <w:b/>
                          <w:bCs/>
                          <w:i/>
                          <w:iCs/>
                          <w:color w:val="000000" w:themeColor="text1"/>
                          <w:sz w:val="19"/>
                          <w:szCs w:val="19"/>
                          <w:lang w:eastAsia="ja-JP"/>
                        </w:rPr>
                        <w:t>企業は、</w:t>
                      </w:r>
                      <w:r w:rsidRPr="00A37974">
                        <w:rPr>
                          <w:b/>
                          <w:bCs/>
                          <w:i/>
                          <w:iCs/>
                          <w:color w:val="000000" w:themeColor="text1"/>
                          <w:sz w:val="19"/>
                          <w:szCs w:val="19"/>
                          <w:lang w:eastAsia="ja-JP"/>
                        </w:rPr>
                        <w:t>GHG</w:t>
                      </w:r>
                      <w:r w:rsidRPr="00A37974">
                        <w:rPr>
                          <w:rFonts w:ascii="ＭＳ ゴシック" w:eastAsia="ＭＳ ゴシック" w:hAnsi="ＭＳ ゴシック" w:cs="ＭＳ ゴシック" w:hint="eastAsia"/>
                          <w:b/>
                          <w:bCs/>
                          <w:i/>
                          <w:iCs/>
                          <w:color w:val="000000" w:themeColor="text1"/>
                          <w:sz w:val="19"/>
                          <w:szCs w:val="19"/>
                          <w:lang w:eastAsia="ja-JP"/>
                        </w:rPr>
                        <w:t>プロトコル製品基準に適合していることを確認するために以下の情報を公開しなくてはならない。</w:t>
                      </w:r>
                    </w:p>
                    <w:p w14:paraId="1014AAE0" w14:textId="5A9A1499" w:rsidR="00A37974" w:rsidRPr="001D3803" w:rsidRDefault="00A37974" w:rsidP="00A37974">
                      <w:pPr>
                        <w:spacing w:line="276" w:lineRule="auto"/>
                        <w:rPr>
                          <w:b/>
                          <w:bCs/>
                          <w:i/>
                          <w:iCs/>
                          <w:color w:val="70029C"/>
                          <w:sz w:val="19"/>
                          <w:szCs w:val="19"/>
                          <w:lang w:eastAsia="ja-JP"/>
                        </w:rPr>
                      </w:pPr>
                      <w:r w:rsidRPr="001D3803">
                        <w:rPr>
                          <w:rFonts w:ascii="ＭＳ ゴシック" w:eastAsia="ＭＳ ゴシック" w:hAnsi="ＭＳ ゴシック" w:cs="ＭＳ ゴシック" w:hint="eastAsia"/>
                          <w:b/>
                          <w:bCs/>
                          <w:i/>
                          <w:iCs/>
                          <w:color w:val="70029C"/>
                          <w:sz w:val="19"/>
                          <w:szCs w:val="19"/>
                          <w:lang w:eastAsia="ja-JP"/>
                        </w:rPr>
                        <w:t>一般的な情報と</w:t>
                      </w:r>
                      <w:r w:rsidRPr="001D3803">
                        <w:rPr>
                          <w:b/>
                          <w:bCs/>
                          <w:i/>
                          <w:iCs/>
                          <w:color w:val="70029C"/>
                          <w:sz w:val="19"/>
                          <w:szCs w:val="19"/>
                          <w:lang w:eastAsia="ja-JP"/>
                        </w:rPr>
                        <w:t>Scope</w:t>
                      </w:r>
                    </w:p>
                    <w:p w14:paraId="5AC26BE4" w14:textId="77777777" w:rsidR="00A37974" w:rsidRPr="00A37974" w:rsidRDefault="00A37974">
                      <w:pPr>
                        <w:pStyle w:val="a5"/>
                        <w:numPr>
                          <w:ilvl w:val="0"/>
                          <w:numId w:val="89"/>
                        </w:numPr>
                        <w:spacing w:line="276" w:lineRule="auto"/>
                        <w:rPr>
                          <w:b/>
                          <w:bCs/>
                          <w:i/>
                          <w:iCs/>
                          <w:color w:val="000000" w:themeColor="text1"/>
                          <w:sz w:val="19"/>
                          <w:szCs w:val="19"/>
                          <w:lang w:eastAsia="ja-JP"/>
                        </w:rPr>
                      </w:pPr>
                      <w:r w:rsidRPr="00A37974">
                        <w:rPr>
                          <w:rFonts w:ascii="ＭＳ ゴシック" w:eastAsia="ＭＳ ゴシック" w:hAnsi="ＭＳ ゴシック" w:cs="ＭＳ ゴシック" w:hint="eastAsia"/>
                          <w:b/>
                          <w:bCs/>
                          <w:i/>
                          <w:iCs/>
                          <w:color w:val="000000" w:themeColor="text1"/>
                          <w:sz w:val="19"/>
                          <w:szCs w:val="19"/>
                          <w:lang w:eastAsia="ja-JP"/>
                        </w:rPr>
                        <w:t>問い合わせ先</w:t>
                      </w:r>
                    </w:p>
                    <w:p w14:paraId="452C4748" w14:textId="77777777" w:rsidR="00A37974" w:rsidRPr="00A37974" w:rsidRDefault="00A37974">
                      <w:pPr>
                        <w:pStyle w:val="a5"/>
                        <w:numPr>
                          <w:ilvl w:val="0"/>
                          <w:numId w:val="89"/>
                        </w:numPr>
                        <w:spacing w:line="276" w:lineRule="auto"/>
                        <w:rPr>
                          <w:b/>
                          <w:bCs/>
                          <w:i/>
                          <w:iCs/>
                          <w:color w:val="000000" w:themeColor="text1"/>
                          <w:sz w:val="19"/>
                          <w:szCs w:val="19"/>
                          <w:lang w:eastAsia="ja-JP"/>
                        </w:rPr>
                      </w:pPr>
                      <w:r w:rsidRPr="00A37974">
                        <w:rPr>
                          <w:rFonts w:ascii="ＭＳ ゴシック" w:eastAsia="ＭＳ ゴシック" w:hAnsi="ＭＳ ゴシック" w:cs="ＭＳ ゴシック" w:hint="eastAsia"/>
                          <w:b/>
                          <w:bCs/>
                          <w:i/>
                          <w:iCs/>
                          <w:color w:val="000000" w:themeColor="text1"/>
                          <w:sz w:val="19"/>
                          <w:szCs w:val="19"/>
                          <w:lang w:eastAsia="ja-JP"/>
                        </w:rPr>
                        <w:t>対象製品の名称と説明</w:t>
                      </w:r>
                    </w:p>
                    <w:p w14:paraId="36065AD3" w14:textId="77777777" w:rsidR="00A37974" w:rsidRPr="00A37974" w:rsidRDefault="00A37974">
                      <w:pPr>
                        <w:pStyle w:val="a5"/>
                        <w:numPr>
                          <w:ilvl w:val="0"/>
                          <w:numId w:val="89"/>
                        </w:numPr>
                        <w:spacing w:line="276" w:lineRule="auto"/>
                        <w:rPr>
                          <w:b/>
                          <w:bCs/>
                          <w:i/>
                          <w:iCs/>
                          <w:color w:val="000000" w:themeColor="text1"/>
                          <w:sz w:val="19"/>
                          <w:szCs w:val="19"/>
                          <w:lang w:eastAsia="ja-JP"/>
                        </w:rPr>
                      </w:pPr>
                      <w:r w:rsidRPr="00A37974">
                        <w:rPr>
                          <w:rFonts w:ascii="ＭＳ ゴシック" w:eastAsia="ＭＳ ゴシック" w:hAnsi="ＭＳ ゴシック" w:cs="ＭＳ ゴシック" w:hint="eastAsia"/>
                          <w:b/>
                          <w:bCs/>
                          <w:i/>
                          <w:iCs/>
                          <w:color w:val="000000" w:themeColor="text1"/>
                          <w:sz w:val="19"/>
                          <w:szCs w:val="19"/>
                          <w:lang w:eastAsia="ja-JP"/>
                        </w:rPr>
                        <w:t>分析単位と参照フロー</w:t>
                      </w:r>
                    </w:p>
                    <w:p w14:paraId="40C49A5D" w14:textId="635875B4" w:rsidR="00A37974" w:rsidRPr="00A37974" w:rsidRDefault="00A37974">
                      <w:pPr>
                        <w:pStyle w:val="a5"/>
                        <w:numPr>
                          <w:ilvl w:val="0"/>
                          <w:numId w:val="89"/>
                        </w:numPr>
                        <w:spacing w:line="276" w:lineRule="auto"/>
                        <w:rPr>
                          <w:b/>
                          <w:bCs/>
                          <w:i/>
                          <w:iCs/>
                          <w:color w:val="000000" w:themeColor="text1"/>
                          <w:sz w:val="19"/>
                          <w:szCs w:val="19"/>
                          <w:lang w:eastAsia="ja-JP"/>
                        </w:rPr>
                      </w:pPr>
                      <w:r w:rsidRPr="00A37974">
                        <w:rPr>
                          <w:rFonts w:ascii="ＭＳ ゴシック" w:eastAsia="ＭＳ ゴシック" w:hAnsi="ＭＳ ゴシック" w:cs="ＭＳ ゴシック" w:hint="eastAsia"/>
                          <w:b/>
                          <w:bCs/>
                          <w:i/>
                          <w:iCs/>
                          <w:color w:val="000000" w:themeColor="text1"/>
                          <w:sz w:val="19"/>
                          <w:szCs w:val="19"/>
                          <w:lang w:eastAsia="ja-JP"/>
                        </w:rPr>
                        <w:t>報告書のタイプ：ゆりかごから墓場までか、または</w:t>
                      </w:r>
                      <w:r>
                        <w:rPr>
                          <w:rFonts w:ascii="ＭＳ ゴシック" w:eastAsia="ＭＳ ゴシック" w:hAnsi="ＭＳ ゴシック" w:cs="ＭＳ ゴシック" w:hint="eastAsia"/>
                          <w:b/>
                          <w:bCs/>
                          <w:i/>
                          <w:iCs/>
                          <w:color w:val="000000" w:themeColor="text1"/>
                          <w:sz w:val="19"/>
                          <w:szCs w:val="19"/>
                          <w:lang w:eastAsia="ja-JP"/>
                        </w:rPr>
                        <w:t>生産から出荷</w:t>
                      </w:r>
                      <w:r w:rsidRPr="00A37974">
                        <w:rPr>
                          <w:rFonts w:ascii="ＭＳ ゴシック" w:eastAsia="ＭＳ ゴシック" w:hAnsi="ＭＳ ゴシック" w:cs="ＭＳ ゴシック" w:hint="eastAsia"/>
                          <w:b/>
                          <w:bCs/>
                          <w:i/>
                          <w:iCs/>
                          <w:color w:val="000000" w:themeColor="text1"/>
                          <w:sz w:val="19"/>
                          <w:szCs w:val="19"/>
                          <w:lang w:eastAsia="ja-JP"/>
                        </w:rPr>
                        <w:t>までか</w:t>
                      </w:r>
                    </w:p>
                    <w:p w14:paraId="67A486E9" w14:textId="77777777" w:rsidR="00A37974" w:rsidRPr="00A37974" w:rsidRDefault="00A37974">
                      <w:pPr>
                        <w:pStyle w:val="a5"/>
                        <w:numPr>
                          <w:ilvl w:val="0"/>
                          <w:numId w:val="89"/>
                        </w:numPr>
                        <w:spacing w:line="276" w:lineRule="auto"/>
                        <w:rPr>
                          <w:b/>
                          <w:bCs/>
                          <w:i/>
                          <w:iCs/>
                          <w:color w:val="000000" w:themeColor="text1"/>
                          <w:sz w:val="19"/>
                          <w:szCs w:val="19"/>
                          <w:lang w:eastAsia="ja-JP"/>
                        </w:rPr>
                      </w:pPr>
                      <w:r w:rsidRPr="00A37974">
                        <w:rPr>
                          <w:rFonts w:ascii="ＭＳ ゴシック" w:eastAsia="ＭＳ ゴシック" w:hAnsi="ＭＳ ゴシック" w:cs="ＭＳ ゴシック" w:hint="eastAsia"/>
                          <w:b/>
                          <w:bCs/>
                          <w:i/>
                          <w:iCs/>
                          <w:color w:val="000000" w:themeColor="text1"/>
                          <w:sz w:val="19"/>
                          <w:szCs w:val="19"/>
                          <w:lang w:eastAsia="ja-JP"/>
                        </w:rPr>
                        <w:t>排出量に含まれる追加的な温室効果ガス</w:t>
                      </w:r>
                    </w:p>
                    <w:p w14:paraId="629AE55A" w14:textId="77777777" w:rsidR="00A37974" w:rsidRDefault="00A37974">
                      <w:pPr>
                        <w:pStyle w:val="a5"/>
                        <w:numPr>
                          <w:ilvl w:val="0"/>
                          <w:numId w:val="89"/>
                        </w:numPr>
                        <w:spacing w:line="276" w:lineRule="auto"/>
                        <w:rPr>
                          <w:b/>
                          <w:bCs/>
                          <w:i/>
                          <w:iCs/>
                          <w:color w:val="000000" w:themeColor="text1"/>
                          <w:sz w:val="19"/>
                          <w:szCs w:val="19"/>
                          <w:lang w:eastAsia="ja-JP"/>
                        </w:rPr>
                      </w:pPr>
                      <w:r w:rsidRPr="00A37974">
                        <w:rPr>
                          <w:rFonts w:ascii="ＭＳ ゴシック" w:eastAsia="ＭＳ ゴシック" w:hAnsi="ＭＳ ゴシック" w:cs="ＭＳ ゴシック" w:hint="eastAsia"/>
                          <w:b/>
                          <w:bCs/>
                          <w:i/>
                          <w:iCs/>
                          <w:color w:val="000000" w:themeColor="text1"/>
                          <w:sz w:val="19"/>
                          <w:szCs w:val="19"/>
                          <w:lang w:eastAsia="ja-JP"/>
                        </w:rPr>
                        <w:t>使用した製品規則やセクター固有のガイダンス</w:t>
                      </w:r>
                      <w:r w:rsidRPr="00A37974">
                        <w:rPr>
                          <w:b/>
                          <w:bCs/>
                          <w:i/>
                          <w:iCs/>
                          <w:color w:val="000000" w:themeColor="text1"/>
                          <w:sz w:val="19"/>
                          <w:szCs w:val="19"/>
                          <w:lang w:eastAsia="ja-JP"/>
                        </w:rPr>
                        <w:t xml:space="preserve"> </w:t>
                      </w:r>
                    </w:p>
                    <w:p w14:paraId="501AE170" w14:textId="77777777" w:rsidR="00A37974" w:rsidRPr="00A37974" w:rsidRDefault="00A37974">
                      <w:pPr>
                        <w:pStyle w:val="a5"/>
                        <w:numPr>
                          <w:ilvl w:val="0"/>
                          <w:numId w:val="89"/>
                        </w:numPr>
                        <w:spacing w:line="276" w:lineRule="auto"/>
                        <w:rPr>
                          <w:b/>
                          <w:bCs/>
                          <w:i/>
                          <w:iCs/>
                          <w:color w:val="000000" w:themeColor="text1"/>
                          <w:sz w:val="19"/>
                          <w:szCs w:val="19"/>
                          <w:lang w:eastAsia="ja-JP"/>
                        </w:rPr>
                      </w:pPr>
                      <w:r w:rsidRPr="00A37974">
                        <w:rPr>
                          <w:rFonts w:ascii="ＭＳ ゴシック" w:eastAsia="ＭＳ ゴシック" w:hAnsi="ＭＳ ゴシック" w:cs="ＭＳ ゴシック" w:hint="eastAsia"/>
                          <w:b/>
                          <w:bCs/>
                          <w:i/>
                          <w:iCs/>
                          <w:color w:val="000000" w:themeColor="text1"/>
                          <w:sz w:val="19"/>
                          <w:szCs w:val="19"/>
                          <w:lang w:eastAsia="ja-JP"/>
                        </w:rPr>
                        <w:t>報告書作成日およびバージョン</w:t>
                      </w:r>
                    </w:p>
                    <w:p w14:paraId="58749102" w14:textId="77777777" w:rsidR="00A37974" w:rsidRPr="00A37974" w:rsidRDefault="00A37974">
                      <w:pPr>
                        <w:pStyle w:val="a5"/>
                        <w:numPr>
                          <w:ilvl w:val="0"/>
                          <w:numId w:val="89"/>
                        </w:numPr>
                        <w:spacing w:line="276" w:lineRule="auto"/>
                        <w:rPr>
                          <w:b/>
                          <w:bCs/>
                          <w:i/>
                          <w:iCs/>
                          <w:color w:val="000000" w:themeColor="text1"/>
                          <w:sz w:val="19"/>
                          <w:szCs w:val="19"/>
                          <w:lang w:eastAsia="ja-JP"/>
                        </w:rPr>
                      </w:pPr>
                      <w:r w:rsidRPr="00A37974">
                        <w:rPr>
                          <w:rFonts w:ascii="ＭＳ ゴシック" w:eastAsia="ＭＳ ゴシック" w:hAnsi="ＭＳ ゴシック" w:cs="ＭＳ ゴシック" w:hint="eastAsia"/>
                          <w:b/>
                          <w:bCs/>
                          <w:i/>
                          <w:iCs/>
                          <w:color w:val="000000" w:themeColor="text1"/>
                          <w:sz w:val="19"/>
                          <w:szCs w:val="19"/>
                          <w:lang w:eastAsia="ja-JP"/>
                        </w:rPr>
                        <w:t>過去の報告書へのリンクと手法の変更の説明</w:t>
                      </w:r>
                    </w:p>
                    <w:p w14:paraId="5F753DAA" w14:textId="40C81FB1" w:rsidR="00A37974" w:rsidRPr="00A37974" w:rsidRDefault="00A37974">
                      <w:pPr>
                        <w:pStyle w:val="a5"/>
                        <w:numPr>
                          <w:ilvl w:val="0"/>
                          <w:numId w:val="89"/>
                        </w:numPr>
                        <w:spacing w:line="276" w:lineRule="auto"/>
                        <w:rPr>
                          <w:b/>
                          <w:bCs/>
                          <w:i/>
                          <w:iCs/>
                          <w:color w:val="000000" w:themeColor="text1"/>
                          <w:sz w:val="19"/>
                          <w:szCs w:val="19"/>
                          <w:lang w:eastAsia="ja-JP"/>
                        </w:rPr>
                      </w:pPr>
                      <w:r w:rsidRPr="00A37974">
                        <w:rPr>
                          <w:rFonts w:ascii="ＭＳ ゴシック" w:eastAsia="ＭＳ ゴシック" w:hAnsi="ＭＳ ゴシック" w:cs="ＭＳ ゴシック" w:hint="eastAsia"/>
                          <w:b/>
                          <w:bCs/>
                          <w:i/>
                          <w:iCs/>
                          <w:color w:val="000000" w:themeColor="text1"/>
                          <w:sz w:val="19"/>
                          <w:szCs w:val="19"/>
                          <w:lang w:eastAsia="ja-JP"/>
                        </w:rPr>
                        <w:t>製品比較を含めた、報告書の様々な潜在的用途の制限を記載した免責事項</w:t>
                      </w:r>
                    </w:p>
                  </w:txbxContent>
                </v:textbox>
              </v:roundrect>
            </w:pict>
          </mc:Fallback>
        </mc:AlternateContent>
      </w:r>
    </w:p>
    <w:p w14:paraId="3102338D" w14:textId="024D1FB5" w:rsidR="0055291C" w:rsidRPr="00570DAA" w:rsidRDefault="00F23C61" w:rsidP="00570DAA">
      <w:pPr>
        <w:tabs>
          <w:tab w:val="left" w:pos="990"/>
        </w:tabs>
        <w:spacing w:before="99" w:line="278" w:lineRule="auto"/>
        <w:ind w:right="2349"/>
        <w:rPr>
          <w:rFonts w:ascii="Arial"/>
          <w:b/>
          <w:i/>
          <w:color w:val="545456"/>
          <w:sz w:val="21"/>
        </w:rPr>
        <w:sectPr w:rsidR="0055291C" w:rsidRPr="00570DAA">
          <w:type w:val="continuous"/>
          <w:pgSz w:w="12240" w:h="15840"/>
          <w:pgMar w:top="740" w:right="0" w:bottom="280" w:left="0" w:header="0" w:footer="859" w:gutter="0"/>
          <w:cols w:num="2" w:space="720" w:equalWidth="0">
            <w:col w:w="5703" w:space="40"/>
            <w:col w:w="6497"/>
          </w:cols>
        </w:sectPr>
      </w:pPr>
      <w:r w:rsidRPr="00570DAA">
        <w:rPr>
          <w:rFonts w:ascii="Arial" w:hAnsi="Arial"/>
          <w:b/>
          <w:i/>
          <w:color w:val="545456"/>
          <w:spacing w:val="-3"/>
          <w:w w:val="98"/>
          <w:sz w:val="21"/>
        </w:rPr>
        <w:br w:type="column"/>
      </w:r>
    </w:p>
    <w:p w14:paraId="3C806AD6" w14:textId="77777777" w:rsidR="0055291C" w:rsidRDefault="0055291C">
      <w:pPr>
        <w:pStyle w:val="a3"/>
        <w:rPr>
          <w:rFonts w:ascii="Arial"/>
          <w:b/>
          <w:i/>
          <w:sz w:val="20"/>
        </w:rPr>
      </w:pPr>
    </w:p>
    <w:p w14:paraId="258F5994" w14:textId="3F4FAD0C" w:rsidR="0055291C" w:rsidRDefault="0055291C">
      <w:pPr>
        <w:pStyle w:val="a3"/>
        <w:rPr>
          <w:rFonts w:ascii="Arial"/>
          <w:b/>
          <w:i/>
          <w:sz w:val="20"/>
        </w:rPr>
      </w:pPr>
    </w:p>
    <w:p w14:paraId="076C4156" w14:textId="5B9828B3" w:rsidR="0055291C" w:rsidRDefault="0055291C">
      <w:pPr>
        <w:pStyle w:val="a3"/>
        <w:rPr>
          <w:rFonts w:ascii="Arial"/>
          <w:b/>
          <w:i/>
          <w:sz w:val="20"/>
        </w:rPr>
      </w:pPr>
    </w:p>
    <w:p w14:paraId="5F13270E" w14:textId="7BCA3E96" w:rsidR="0055291C" w:rsidRDefault="0055291C">
      <w:pPr>
        <w:pStyle w:val="a3"/>
        <w:rPr>
          <w:rFonts w:ascii="Arial"/>
          <w:b/>
          <w:i/>
          <w:sz w:val="20"/>
        </w:rPr>
      </w:pPr>
    </w:p>
    <w:p w14:paraId="7CCE215E" w14:textId="77777777" w:rsidR="0055291C" w:rsidRDefault="0055291C">
      <w:pPr>
        <w:rPr>
          <w:rFonts w:ascii="Arial"/>
          <w:sz w:val="20"/>
        </w:rPr>
        <w:sectPr w:rsidR="0055291C">
          <w:headerReference w:type="even" r:id="rId308"/>
          <w:pgSz w:w="12240" w:h="15840"/>
          <w:pgMar w:top="620" w:right="0" w:bottom="1040" w:left="0" w:header="0" w:footer="859" w:gutter="0"/>
          <w:cols w:space="720"/>
        </w:sectPr>
      </w:pPr>
    </w:p>
    <w:p w14:paraId="26B22B01" w14:textId="6EAE6EA3" w:rsidR="0055291C" w:rsidRPr="001D3803" w:rsidRDefault="003A5BA6">
      <w:pPr>
        <w:spacing w:line="278" w:lineRule="auto"/>
        <w:jc w:val="both"/>
        <w:rPr>
          <w:rFonts w:ascii="ＭＳ ゴシック" w:eastAsia="ＭＳ ゴシック" w:hAnsi="ＭＳ ゴシック" w:cs="ＭＳ ゴシック"/>
          <w:sz w:val="21"/>
          <w:lang w:eastAsia="ja-JP"/>
        </w:rPr>
        <w:sectPr w:rsidR="0055291C" w:rsidRPr="001D3803">
          <w:type w:val="continuous"/>
          <w:pgSz w:w="12240" w:h="15840"/>
          <w:pgMar w:top="740" w:right="0" w:bottom="280" w:left="0" w:header="0" w:footer="859" w:gutter="0"/>
          <w:cols w:num="2" w:space="720" w:equalWidth="0">
            <w:col w:w="5662" w:space="40"/>
            <w:col w:w="6538"/>
          </w:cols>
        </w:sectPr>
      </w:pPr>
      <w:r>
        <w:rPr>
          <w:noProof/>
          <w:sz w:val="18"/>
        </w:rPr>
        <mc:AlternateContent>
          <mc:Choice Requires="wps">
            <w:drawing>
              <wp:anchor distT="0" distB="0" distL="114300" distR="114300" simplePos="0" relativeHeight="251515392" behindDoc="0" locked="0" layoutInCell="1" allowOverlap="1" wp14:anchorId="176A0080" wp14:editId="3CC45B4E">
                <wp:simplePos x="0" y="0"/>
                <wp:positionH relativeFrom="column">
                  <wp:posOffset>742950</wp:posOffset>
                </wp:positionH>
                <wp:positionV relativeFrom="paragraph">
                  <wp:posOffset>95250</wp:posOffset>
                </wp:positionV>
                <wp:extent cx="6305550" cy="6584950"/>
                <wp:effectExtent l="0" t="0" r="0" b="6350"/>
                <wp:wrapNone/>
                <wp:docPr id="119" name="四角形: 角を丸くする 119"/>
                <wp:cNvGraphicFramePr/>
                <a:graphic xmlns:a="http://schemas.openxmlformats.org/drawingml/2006/main">
                  <a:graphicData uri="http://schemas.microsoft.com/office/word/2010/wordprocessingShape">
                    <wps:wsp>
                      <wps:cNvSpPr/>
                      <wps:spPr>
                        <a:xfrm>
                          <a:off x="0" y="0"/>
                          <a:ext cx="6305550" cy="6584950"/>
                        </a:xfrm>
                        <a:prstGeom prst="roundRect">
                          <a:avLst>
                            <a:gd name="adj" fmla="val 3130"/>
                          </a:avLst>
                        </a:prstGeom>
                        <a:solidFill>
                          <a:srgbClr val="70029C">
                            <a:alpha val="25098"/>
                          </a:srgbClr>
                        </a:solidFill>
                        <a:ln w="25400" cap="flat" cmpd="sng" algn="ctr">
                          <a:noFill/>
                          <a:prstDash val="solid"/>
                        </a:ln>
                        <a:effectLst/>
                      </wps:spPr>
                      <wps:txbx>
                        <w:txbxContent>
                          <w:p w14:paraId="076018DD" w14:textId="7ACDFEC3" w:rsidR="001D3803" w:rsidRDefault="001D3803" w:rsidP="003A5BA6">
                            <w:pPr>
                              <w:spacing w:line="276" w:lineRule="auto"/>
                              <w:rPr>
                                <w:rFonts w:eastAsiaTheme="minorEastAsia"/>
                                <w:b/>
                                <w:bCs/>
                                <w:i/>
                                <w:iCs/>
                                <w:color w:val="70029C"/>
                                <w:sz w:val="19"/>
                                <w:szCs w:val="19"/>
                                <w:lang w:eastAsia="ja-JP"/>
                              </w:rPr>
                            </w:pPr>
                            <w:r w:rsidRPr="001D3803">
                              <w:rPr>
                                <w:rFonts w:eastAsiaTheme="minorEastAsia" w:hint="eastAsia"/>
                                <w:b/>
                                <w:bCs/>
                                <w:i/>
                                <w:iCs/>
                                <w:color w:val="70029C"/>
                                <w:sz w:val="19"/>
                                <w:szCs w:val="19"/>
                                <w:lang w:eastAsia="ja-JP"/>
                              </w:rPr>
                              <w:t>算出範囲の設定</w:t>
                            </w:r>
                          </w:p>
                          <w:p w14:paraId="308AE2F2" w14:textId="77777777" w:rsidR="001D3803" w:rsidRPr="001D3803" w:rsidRDefault="001D3803">
                            <w:pPr>
                              <w:pStyle w:val="a5"/>
                              <w:numPr>
                                <w:ilvl w:val="0"/>
                                <w:numId w:val="90"/>
                              </w:numPr>
                              <w:spacing w:line="276" w:lineRule="auto"/>
                              <w:rPr>
                                <w:rFonts w:eastAsiaTheme="minorEastAsia"/>
                                <w:b/>
                                <w:bCs/>
                                <w:i/>
                                <w:iCs/>
                                <w:color w:val="70029C"/>
                                <w:sz w:val="19"/>
                                <w:szCs w:val="19"/>
                                <w:lang w:eastAsia="ja-JP"/>
                              </w:rPr>
                            </w:pPr>
                            <w:r w:rsidRPr="001D3803">
                              <w:rPr>
                                <w:rFonts w:ascii="ＭＳ ゴシック" w:eastAsiaTheme="minorEastAsia" w:hAnsi="ＭＳ ゴシック" w:cs="ＭＳ ゴシック" w:hint="eastAsia"/>
                                <w:b/>
                                <w:bCs/>
                                <w:i/>
                                <w:iCs/>
                                <w:color w:val="000000" w:themeColor="text1"/>
                                <w:sz w:val="19"/>
                                <w:szCs w:val="19"/>
                                <w:lang w:eastAsia="ja-JP"/>
                              </w:rPr>
                              <w:t>ライフサイクルステージの定義と説明</w:t>
                            </w:r>
                            <w:r w:rsidRPr="001D3803">
                              <w:rPr>
                                <w:rFonts w:eastAsiaTheme="minorEastAsia"/>
                                <w:b/>
                                <w:bCs/>
                                <w:i/>
                                <w:iCs/>
                                <w:color w:val="000000" w:themeColor="text1"/>
                                <w:sz w:val="19"/>
                                <w:szCs w:val="19"/>
                                <w:lang w:eastAsia="ja-JP"/>
                              </w:rPr>
                              <w:t xml:space="preserve"> </w:t>
                            </w:r>
                          </w:p>
                          <w:p w14:paraId="4091BC70" w14:textId="07F99C57" w:rsidR="001D3803" w:rsidRPr="001D3803" w:rsidRDefault="001D3803">
                            <w:pPr>
                              <w:pStyle w:val="a5"/>
                              <w:numPr>
                                <w:ilvl w:val="0"/>
                                <w:numId w:val="90"/>
                              </w:numPr>
                              <w:spacing w:line="276" w:lineRule="auto"/>
                              <w:rPr>
                                <w:rFonts w:eastAsiaTheme="minorEastAsia"/>
                                <w:b/>
                                <w:bCs/>
                                <w:i/>
                                <w:iCs/>
                                <w:color w:val="70029C"/>
                                <w:sz w:val="19"/>
                                <w:szCs w:val="19"/>
                                <w:lang w:eastAsia="ja-JP"/>
                              </w:rPr>
                            </w:pPr>
                            <w:r w:rsidRPr="001D3803">
                              <w:rPr>
                                <w:rFonts w:eastAsiaTheme="minorEastAsia" w:hint="eastAsia"/>
                                <w:b/>
                                <w:bCs/>
                                <w:i/>
                                <w:iCs/>
                                <w:color w:val="000000" w:themeColor="text1"/>
                                <w:sz w:val="19"/>
                                <w:szCs w:val="19"/>
                                <w:lang w:eastAsia="ja-JP"/>
                              </w:rPr>
                              <w:t>報告書に含まれる帰属プロセスを含む</w:t>
                            </w:r>
                            <w:r w:rsidR="001E02F9">
                              <w:rPr>
                                <w:rFonts w:eastAsiaTheme="minorEastAsia" w:hint="eastAsia"/>
                                <w:b/>
                                <w:bCs/>
                                <w:i/>
                                <w:iCs/>
                                <w:color w:val="000000" w:themeColor="text1"/>
                                <w:sz w:val="19"/>
                                <w:szCs w:val="19"/>
                                <w:lang w:eastAsia="ja-JP"/>
                              </w:rPr>
                              <w:t>工程表</w:t>
                            </w:r>
                          </w:p>
                          <w:p w14:paraId="53443172" w14:textId="77777777" w:rsidR="001D3803" w:rsidRPr="001D3803" w:rsidRDefault="001D3803">
                            <w:pPr>
                              <w:pStyle w:val="a5"/>
                              <w:numPr>
                                <w:ilvl w:val="0"/>
                                <w:numId w:val="90"/>
                              </w:numPr>
                              <w:spacing w:line="276" w:lineRule="auto"/>
                              <w:rPr>
                                <w:rFonts w:eastAsiaTheme="minorEastAsia"/>
                                <w:b/>
                                <w:bCs/>
                                <w:i/>
                                <w:iCs/>
                                <w:color w:val="70029C"/>
                                <w:sz w:val="19"/>
                                <w:szCs w:val="19"/>
                                <w:lang w:eastAsia="ja-JP"/>
                              </w:rPr>
                            </w:pPr>
                            <w:r w:rsidRPr="001D3803">
                              <w:rPr>
                                <w:rFonts w:eastAsiaTheme="minorEastAsia" w:hint="eastAsia"/>
                                <w:b/>
                                <w:bCs/>
                                <w:i/>
                                <w:iCs/>
                                <w:color w:val="000000" w:themeColor="text1"/>
                                <w:sz w:val="19"/>
                                <w:szCs w:val="19"/>
                                <w:lang w:eastAsia="ja-JP"/>
                              </w:rPr>
                              <w:t>報告書に含まれる非帰属プロセス</w:t>
                            </w:r>
                            <w:r w:rsidRPr="001D3803">
                              <w:rPr>
                                <w:rFonts w:eastAsiaTheme="minorEastAsia"/>
                                <w:b/>
                                <w:bCs/>
                                <w:i/>
                                <w:iCs/>
                                <w:color w:val="000000" w:themeColor="text1"/>
                                <w:sz w:val="19"/>
                                <w:szCs w:val="19"/>
                                <w:lang w:eastAsia="ja-JP"/>
                              </w:rPr>
                              <w:t xml:space="preserve"> </w:t>
                            </w:r>
                          </w:p>
                          <w:p w14:paraId="126EAE38" w14:textId="77777777" w:rsidR="001D3803" w:rsidRPr="001D3803" w:rsidRDefault="001D3803">
                            <w:pPr>
                              <w:pStyle w:val="a5"/>
                              <w:numPr>
                                <w:ilvl w:val="0"/>
                                <w:numId w:val="90"/>
                              </w:numPr>
                              <w:spacing w:line="276" w:lineRule="auto"/>
                              <w:rPr>
                                <w:rFonts w:eastAsiaTheme="minorEastAsia"/>
                                <w:b/>
                                <w:bCs/>
                                <w:i/>
                                <w:iCs/>
                                <w:color w:val="70029C"/>
                                <w:sz w:val="19"/>
                                <w:szCs w:val="19"/>
                                <w:lang w:eastAsia="ja-JP"/>
                              </w:rPr>
                            </w:pPr>
                            <w:r w:rsidRPr="001D3803">
                              <w:rPr>
                                <w:rFonts w:eastAsiaTheme="minorEastAsia" w:hint="eastAsia"/>
                                <w:b/>
                                <w:bCs/>
                                <w:i/>
                                <w:iCs/>
                                <w:color w:val="000000" w:themeColor="text1"/>
                                <w:sz w:val="19"/>
                                <w:szCs w:val="19"/>
                                <w:lang w:eastAsia="ja-JP"/>
                              </w:rPr>
                              <w:t>除外された帰属プロセスおよびその正当な理由</w:t>
                            </w:r>
                            <w:r w:rsidRPr="001D3803">
                              <w:rPr>
                                <w:rFonts w:eastAsiaTheme="minorEastAsia"/>
                                <w:b/>
                                <w:bCs/>
                                <w:i/>
                                <w:iCs/>
                                <w:color w:val="000000" w:themeColor="text1"/>
                                <w:sz w:val="19"/>
                                <w:szCs w:val="19"/>
                                <w:lang w:eastAsia="ja-JP"/>
                              </w:rPr>
                              <w:t xml:space="preserve"> </w:t>
                            </w:r>
                          </w:p>
                          <w:p w14:paraId="219095DB" w14:textId="3B1AA883" w:rsidR="001D3803" w:rsidRPr="001D3803" w:rsidRDefault="001D3803">
                            <w:pPr>
                              <w:pStyle w:val="a5"/>
                              <w:numPr>
                                <w:ilvl w:val="0"/>
                                <w:numId w:val="90"/>
                              </w:numPr>
                              <w:spacing w:line="276" w:lineRule="auto"/>
                              <w:rPr>
                                <w:rFonts w:eastAsiaTheme="minorEastAsia"/>
                                <w:b/>
                                <w:bCs/>
                                <w:i/>
                                <w:iCs/>
                                <w:color w:val="70029C"/>
                                <w:sz w:val="19"/>
                                <w:szCs w:val="19"/>
                                <w:lang w:eastAsia="ja-JP"/>
                              </w:rPr>
                            </w:pPr>
                            <w:r w:rsidRPr="001D3803">
                              <w:rPr>
                                <w:rFonts w:eastAsiaTheme="minorEastAsia" w:hint="eastAsia"/>
                                <w:b/>
                                <w:bCs/>
                                <w:i/>
                                <w:iCs/>
                                <w:color w:val="000000" w:themeColor="text1"/>
                                <w:sz w:val="19"/>
                                <w:szCs w:val="19"/>
                                <w:lang w:eastAsia="ja-JP"/>
                              </w:rPr>
                              <w:t>該当する場合、</w:t>
                            </w:r>
                            <w:r w:rsidR="001E02F9">
                              <w:rPr>
                                <w:rFonts w:eastAsiaTheme="minorEastAsia" w:hint="eastAsia"/>
                                <w:b/>
                                <w:bCs/>
                                <w:i/>
                                <w:iCs/>
                                <w:color w:val="000000" w:themeColor="text1"/>
                                <w:sz w:val="19"/>
                                <w:szCs w:val="19"/>
                                <w:lang w:eastAsia="ja-JP"/>
                              </w:rPr>
                              <w:t>生産から出荷</w:t>
                            </w:r>
                            <w:r w:rsidRPr="001D3803">
                              <w:rPr>
                                <w:rFonts w:eastAsiaTheme="minorEastAsia" w:hint="eastAsia"/>
                                <w:b/>
                                <w:bCs/>
                                <w:i/>
                                <w:iCs/>
                                <w:color w:val="000000" w:themeColor="text1"/>
                                <w:sz w:val="19"/>
                                <w:szCs w:val="19"/>
                                <w:lang w:eastAsia="ja-JP"/>
                              </w:rPr>
                              <w:t>までの境界の正当な根拠</w:t>
                            </w:r>
                            <w:r w:rsidRPr="001D3803">
                              <w:rPr>
                                <w:rFonts w:eastAsiaTheme="minorEastAsia"/>
                                <w:b/>
                                <w:bCs/>
                                <w:i/>
                                <w:iCs/>
                                <w:color w:val="000000" w:themeColor="text1"/>
                                <w:sz w:val="19"/>
                                <w:szCs w:val="19"/>
                                <w:lang w:eastAsia="ja-JP"/>
                              </w:rPr>
                              <w:t xml:space="preserve"> </w:t>
                            </w:r>
                          </w:p>
                          <w:p w14:paraId="565178DF" w14:textId="77777777" w:rsidR="001D3803" w:rsidRPr="001D3803" w:rsidRDefault="001D3803">
                            <w:pPr>
                              <w:pStyle w:val="a5"/>
                              <w:numPr>
                                <w:ilvl w:val="0"/>
                                <w:numId w:val="90"/>
                              </w:numPr>
                              <w:spacing w:line="276" w:lineRule="auto"/>
                              <w:rPr>
                                <w:rFonts w:eastAsiaTheme="minorEastAsia"/>
                                <w:b/>
                                <w:bCs/>
                                <w:i/>
                                <w:iCs/>
                                <w:color w:val="70029C"/>
                                <w:sz w:val="19"/>
                                <w:szCs w:val="19"/>
                                <w:lang w:eastAsia="ja-JP"/>
                              </w:rPr>
                            </w:pPr>
                            <w:r w:rsidRPr="001D3803">
                              <w:rPr>
                                <w:rFonts w:eastAsiaTheme="minorEastAsia" w:hint="eastAsia"/>
                                <w:b/>
                                <w:bCs/>
                                <w:i/>
                                <w:iCs/>
                                <w:color w:val="000000" w:themeColor="text1"/>
                                <w:sz w:val="19"/>
                                <w:szCs w:val="19"/>
                                <w:lang w:eastAsia="ja-JP"/>
                              </w:rPr>
                              <w:t>期間</w:t>
                            </w:r>
                            <w:r w:rsidRPr="001D3803">
                              <w:rPr>
                                <w:rFonts w:eastAsiaTheme="minorEastAsia"/>
                                <w:b/>
                                <w:bCs/>
                                <w:i/>
                                <w:iCs/>
                                <w:color w:val="000000" w:themeColor="text1"/>
                                <w:sz w:val="19"/>
                                <w:szCs w:val="19"/>
                                <w:lang w:eastAsia="ja-JP"/>
                              </w:rPr>
                              <w:t xml:space="preserve"> </w:t>
                            </w:r>
                          </w:p>
                          <w:p w14:paraId="31D51303" w14:textId="19E93A5D" w:rsidR="001D3803" w:rsidRPr="003D29F0" w:rsidRDefault="001D3803">
                            <w:pPr>
                              <w:pStyle w:val="a5"/>
                              <w:numPr>
                                <w:ilvl w:val="0"/>
                                <w:numId w:val="90"/>
                              </w:numPr>
                              <w:spacing w:line="276" w:lineRule="auto"/>
                              <w:rPr>
                                <w:rFonts w:eastAsiaTheme="minorEastAsia"/>
                                <w:b/>
                                <w:bCs/>
                                <w:i/>
                                <w:iCs/>
                                <w:color w:val="70029C"/>
                                <w:sz w:val="19"/>
                                <w:szCs w:val="19"/>
                                <w:lang w:eastAsia="ja-JP"/>
                              </w:rPr>
                            </w:pPr>
                            <w:r w:rsidRPr="001D3803">
                              <w:rPr>
                                <w:rFonts w:eastAsiaTheme="minorEastAsia" w:hint="eastAsia"/>
                                <w:b/>
                                <w:bCs/>
                                <w:i/>
                                <w:iCs/>
                                <w:color w:val="000000" w:themeColor="text1"/>
                                <w:sz w:val="19"/>
                                <w:szCs w:val="19"/>
                                <w:lang w:eastAsia="ja-JP"/>
                              </w:rPr>
                              <w:t>該当する場合、土地利用変化による影響の算出に使用した方法</w:t>
                            </w:r>
                          </w:p>
                          <w:p w14:paraId="2370BDF4" w14:textId="77777777" w:rsidR="003D29F0" w:rsidRPr="001D3803" w:rsidRDefault="003D29F0" w:rsidP="003D29F0">
                            <w:pPr>
                              <w:pStyle w:val="a5"/>
                              <w:spacing w:line="276" w:lineRule="auto"/>
                              <w:ind w:left="420" w:firstLine="0"/>
                              <w:rPr>
                                <w:rFonts w:eastAsiaTheme="minorEastAsia"/>
                                <w:b/>
                                <w:bCs/>
                                <w:i/>
                                <w:iCs/>
                                <w:color w:val="70029C"/>
                                <w:sz w:val="19"/>
                                <w:szCs w:val="19"/>
                                <w:lang w:eastAsia="ja-JP"/>
                              </w:rPr>
                            </w:pPr>
                          </w:p>
                          <w:p w14:paraId="06C92F84" w14:textId="77777777" w:rsidR="001D3803" w:rsidRDefault="001D3803" w:rsidP="003A5BA6">
                            <w:pPr>
                              <w:spacing w:line="276" w:lineRule="auto"/>
                              <w:rPr>
                                <w:rFonts w:eastAsiaTheme="minorEastAsia"/>
                                <w:b/>
                                <w:bCs/>
                                <w:i/>
                                <w:iCs/>
                                <w:color w:val="70029C"/>
                                <w:sz w:val="19"/>
                                <w:szCs w:val="19"/>
                                <w:lang w:eastAsia="ja-JP"/>
                              </w:rPr>
                            </w:pPr>
                            <w:r w:rsidRPr="001D3803">
                              <w:rPr>
                                <w:rFonts w:eastAsiaTheme="minorEastAsia" w:hint="eastAsia"/>
                                <w:b/>
                                <w:bCs/>
                                <w:i/>
                                <w:iCs/>
                                <w:color w:val="70029C"/>
                                <w:sz w:val="19"/>
                                <w:szCs w:val="19"/>
                                <w:lang w:eastAsia="ja-JP"/>
                              </w:rPr>
                              <w:t>割り当て</w:t>
                            </w:r>
                          </w:p>
                          <w:p w14:paraId="44E5E390" w14:textId="77777777" w:rsidR="001D3803" w:rsidRPr="001D3803" w:rsidRDefault="001D3803">
                            <w:pPr>
                              <w:pStyle w:val="a5"/>
                              <w:numPr>
                                <w:ilvl w:val="0"/>
                                <w:numId w:val="91"/>
                              </w:numPr>
                              <w:spacing w:line="276" w:lineRule="auto"/>
                              <w:rPr>
                                <w:rFonts w:eastAsiaTheme="minorEastAsia"/>
                                <w:b/>
                                <w:bCs/>
                                <w:i/>
                                <w:iCs/>
                                <w:color w:val="70029C"/>
                                <w:sz w:val="19"/>
                                <w:szCs w:val="19"/>
                                <w:lang w:eastAsia="ja-JP"/>
                              </w:rPr>
                            </w:pPr>
                            <w:r w:rsidRPr="001D3803">
                              <w:rPr>
                                <w:rFonts w:ascii="ＭＳ ゴシック" w:eastAsiaTheme="minorEastAsia" w:hAnsi="ＭＳ ゴシック" w:cs="ＭＳ ゴシック" w:hint="eastAsia"/>
                                <w:b/>
                                <w:bCs/>
                                <w:i/>
                                <w:iCs/>
                                <w:color w:val="000000" w:themeColor="text1"/>
                                <w:sz w:val="19"/>
                                <w:szCs w:val="19"/>
                                <w:lang w:eastAsia="ja-JP"/>
                              </w:rPr>
                              <w:t>副産物やリサイクルによる排出量割り当てを回避または実行するために使用した方法の開示と正当化</w:t>
                            </w:r>
                          </w:p>
                          <w:p w14:paraId="0BAB09EA" w14:textId="37340E03" w:rsidR="001D3803" w:rsidRPr="003D29F0" w:rsidRDefault="001D3803">
                            <w:pPr>
                              <w:pStyle w:val="a5"/>
                              <w:numPr>
                                <w:ilvl w:val="0"/>
                                <w:numId w:val="91"/>
                              </w:numPr>
                              <w:spacing w:line="276" w:lineRule="auto"/>
                              <w:rPr>
                                <w:rFonts w:eastAsiaTheme="minorEastAsia"/>
                                <w:b/>
                                <w:bCs/>
                                <w:i/>
                                <w:iCs/>
                                <w:color w:val="70029C"/>
                                <w:sz w:val="19"/>
                                <w:szCs w:val="19"/>
                                <w:lang w:eastAsia="ja-JP"/>
                              </w:rPr>
                            </w:pPr>
                            <w:r w:rsidRPr="001D3803">
                              <w:rPr>
                                <w:rFonts w:eastAsiaTheme="minorEastAsia" w:hint="eastAsia"/>
                                <w:b/>
                                <w:bCs/>
                                <w:i/>
                                <w:iCs/>
                                <w:color w:val="000000" w:themeColor="text1"/>
                                <w:sz w:val="19"/>
                                <w:szCs w:val="19"/>
                                <w:lang w:eastAsia="ja-JP"/>
                              </w:rPr>
                              <w:t>クローズドループ近似法を用いる場合、使用済み製品とは別々に計算した消息不明の排出</w:t>
                            </w:r>
                          </w:p>
                          <w:p w14:paraId="630A50CB" w14:textId="77777777" w:rsidR="003D29F0" w:rsidRPr="001D3803" w:rsidRDefault="003D29F0" w:rsidP="003D29F0">
                            <w:pPr>
                              <w:pStyle w:val="a5"/>
                              <w:spacing w:line="276" w:lineRule="auto"/>
                              <w:ind w:left="420" w:firstLine="0"/>
                              <w:rPr>
                                <w:rFonts w:eastAsiaTheme="minorEastAsia"/>
                                <w:b/>
                                <w:bCs/>
                                <w:i/>
                                <w:iCs/>
                                <w:color w:val="70029C"/>
                                <w:sz w:val="19"/>
                                <w:szCs w:val="19"/>
                                <w:lang w:eastAsia="ja-JP"/>
                              </w:rPr>
                            </w:pPr>
                          </w:p>
                          <w:p w14:paraId="7589BC09" w14:textId="77777777" w:rsidR="001D3803" w:rsidRDefault="001D3803" w:rsidP="003A5BA6">
                            <w:pPr>
                              <w:spacing w:line="276" w:lineRule="auto"/>
                              <w:rPr>
                                <w:rFonts w:eastAsiaTheme="minorEastAsia"/>
                                <w:b/>
                                <w:bCs/>
                                <w:i/>
                                <w:iCs/>
                                <w:color w:val="000000" w:themeColor="text1"/>
                                <w:sz w:val="19"/>
                                <w:szCs w:val="19"/>
                                <w:lang w:eastAsia="ja-JP"/>
                              </w:rPr>
                            </w:pPr>
                            <w:r w:rsidRPr="001D3803">
                              <w:rPr>
                                <w:rFonts w:eastAsiaTheme="minorEastAsia" w:hint="eastAsia"/>
                                <w:b/>
                                <w:bCs/>
                                <w:i/>
                                <w:iCs/>
                                <w:color w:val="70029C"/>
                                <w:sz w:val="19"/>
                                <w:szCs w:val="19"/>
                                <w:lang w:eastAsia="ja-JP"/>
                              </w:rPr>
                              <w:t>データ収集と品質</w:t>
                            </w:r>
                          </w:p>
                          <w:p w14:paraId="3AE2104D" w14:textId="1DCA756F" w:rsidR="001D3803" w:rsidRDefault="001D3803">
                            <w:pPr>
                              <w:pStyle w:val="a5"/>
                              <w:numPr>
                                <w:ilvl w:val="0"/>
                                <w:numId w:val="92"/>
                              </w:numPr>
                              <w:spacing w:line="276" w:lineRule="auto"/>
                              <w:rPr>
                                <w:rFonts w:eastAsiaTheme="minorEastAsia"/>
                                <w:b/>
                                <w:bCs/>
                                <w:i/>
                                <w:iCs/>
                                <w:color w:val="000000" w:themeColor="text1"/>
                                <w:sz w:val="19"/>
                                <w:szCs w:val="19"/>
                                <w:lang w:eastAsia="ja-JP"/>
                              </w:rPr>
                            </w:pPr>
                            <w:r w:rsidRPr="001D3803">
                              <w:rPr>
                                <w:rFonts w:ascii="ＭＳ ゴシック" w:eastAsiaTheme="minorEastAsia" w:hAnsi="ＭＳ ゴシック" w:cs="ＭＳ ゴシック" w:hint="eastAsia"/>
                                <w:b/>
                                <w:bCs/>
                                <w:i/>
                                <w:iCs/>
                                <w:color w:val="000000" w:themeColor="text1"/>
                                <w:sz w:val="19"/>
                                <w:szCs w:val="19"/>
                                <w:lang w:eastAsia="ja-JP"/>
                              </w:rPr>
                              <w:t>重要なプロセスについて、データソース、データの質、およびデータの質を改善するために取られた取り組みに関する説</w:t>
                            </w:r>
                            <w:r w:rsidRPr="001D3803">
                              <w:rPr>
                                <w:rFonts w:eastAsiaTheme="minorEastAsia" w:hint="eastAsia"/>
                                <w:b/>
                                <w:bCs/>
                                <w:i/>
                                <w:iCs/>
                                <w:color w:val="000000" w:themeColor="text1"/>
                                <w:sz w:val="19"/>
                                <w:szCs w:val="19"/>
                                <w:lang w:eastAsia="ja-JP"/>
                              </w:rPr>
                              <w:t>明文</w:t>
                            </w:r>
                          </w:p>
                          <w:p w14:paraId="7B07D632" w14:textId="77777777" w:rsidR="003D29F0" w:rsidRPr="001D3803" w:rsidRDefault="003D29F0" w:rsidP="003D29F0">
                            <w:pPr>
                              <w:pStyle w:val="a5"/>
                              <w:spacing w:line="276" w:lineRule="auto"/>
                              <w:ind w:left="420" w:firstLine="0"/>
                              <w:rPr>
                                <w:rFonts w:eastAsiaTheme="minorEastAsia"/>
                                <w:b/>
                                <w:bCs/>
                                <w:i/>
                                <w:iCs/>
                                <w:color w:val="000000" w:themeColor="text1"/>
                                <w:sz w:val="19"/>
                                <w:szCs w:val="19"/>
                                <w:lang w:eastAsia="ja-JP"/>
                              </w:rPr>
                            </w:pPr>
                          </w:p>
                          <w:p w14:paraId="481211EC" w14:textId="77777777" w:rsidR="001D3803" w:rsidRDefault="001D3803" w:rsidP="003A5BA6">
                            <w:pPr>
                              <w:spacing w:line="276" w:lineRule="auto"/>
                              <w:rPr>
                                <w:rFonts w:eastAsiaTheme="minorEastAsia"/>
                                <w:b/>
                                <w:bCs/>
                                <w:i/>
                                <w:iCs/>
                                <w:color w:val="70029C"/>
                                <w:sz w:val="19"/>
                                <w:szCs w:val="19"/>
                                <w:lang w:eastAsia="ja-JP"/>
                              </w:rPr>
                            </w:pPr>
                            <w:r w:rsidRPr="001D3803">
                              <w:rPr>
                                <w:rFonts w:eastAsiaTheme="minorEastAsia" w:hint="eastAsia"/>
                                <w:b/>
                                <w:bCs/>
                                <w:i/>
                                <w:iCs/>
                                <w:color w:val="70029C"/>
                                <w:sz w:val="19"/>
                                <w:szCs w:val="19"/>
                                <w:lang w:eastAsia="ja-JP"/>
                              </w:rPr>
                              <w:t>不確実性</w:t>
                            </w:r>
                          </w:p>
                          <w:p w14:paraId="2444B603" w14:textId="288D1958" w:rsidR="001D3803" w:rsidRPr="001D3803" w:rsidRDefault="001D3803">
                            <w:pPr>
                              <w:pStyle w:val="a5"/>
                              <w:numPr>
                                <w:ilvl w:val="0"/>
                                <w:numId w:val="92"/>
                              </w:numPr>
                              <w:spacing w:line="276" w:lineRule="auto"/>
                              <w:rPr>
                                <w:rFonts w:eastAsiaTheme="minorEastAsia"/>
                                <w:b/>
                                <w:bCs/>
                                <w:i/>
                                <w:iCs/>
                                <w:color w:val="000000" w:themeColor="text1"/>
                                <w:sz w:val="19"/>
                                <w:szCs w:val="19"/>
                                <w:lang w:eastAsia="ja-JP"/>
                              </w:rPr>
                            </w:pPr>
                            <w:r w:rsidRPr="001D3803">
                              <w:rPr>
                                <w:rFonts w:ascii="ＭＳ ゴシック" w:eastAsiaTheme="minorEastAsia" w:hAnsi="ＭＳ ゴシック" w:cs="ＭＳ ゴシック" w:hint="eastAsia"/>
                                <w:b/>
                                <w:bCs/>
                                <w:i/>
                                <w:iCs/>
                                <w:color w:val="000000" w:themeColor="text1"/>
                                <w:sz w:val="19"/>
                                <w:szCs w:val="19"/>
                                <w:lang w:eastAsia="ja-JP"/>
                              </w:rPr>
                              <w:t>報告書の不確実性と方法論の選択に関する定性的な記述。方法論的な選択肢は以下の通り。</w:t>
                            </w:r>
                          </w:p>
                          <w:p w14:paraId="7B074B28" w14:textId="77777777" w:rsidR="001D3803" w:rsidRPr="001D3803" w:rsidRDefault="001D3803" w:rsidP="003A5BA6">
                            <w:pPr>
                              <w:spacing w:line="276" w:lineRule="auto"/>
                              <w:rPr>
                                <w:rFonts w:eastAsiaTheme="minorEastAsia"/>
                                <w:b/>
                                <w:bCs/>
                                <w:i/>
                                <w:iCs/>
                                <w:color w:val="000000" w:themeColor="text1"/>
                                <w:sz w:val="19"/>
                                <w:szCs w:val="19"/>
                                <w:lang w:eastAsia="ja-JP"/>
                              </w:rPr>
                            </w:pPr>
                            <w:r w:rsidRPr="001D3803">
                              <w:rPr>
                                <w:rFonts w:eastAsiaTheme="minorEastAsia" w:hint="eastAsia"/>
                                <w:b/>
                                <w:bCs/>
                                <w:i/>
                                <w:iCs/>
                                <w:color w:val="000000" w:themeColor="text1"/>
                                <w:sz w:val="19"/>
                                <w:szCs w:val="19"/>
                                <w:lang w:eastAsia="ja-JP"/>
                              </w:rPr>
                              <w:t>・使用および使用済み製品のプロファイル　　　　・リサイクルによる配分を含む配分方法</w:t>
                            </w:r>
                          </w:p>
                          <w:p w14:paraId="0A513DDC" w14:textId="58D01FC3" w:rsidR="003D29F0" w:rsidRDefault="001D3803" w:rsidP="003A5BA6">
                            <w:pPr>
                              <w:spacing w:line="276" w:lineRule="auto"/>
                              <w:rPr>
                                <w:rFonts w:eastAsiaTheme="minorEastAsia"/>
                                <w:b/>
                                <w:bCs/>
                                <w:i/>
                                <w:iCs/>
                                <w:color w:val="000000" w:themeColor="text1"/>
                                <w:sz w:val="19"/>
                                <w:szCs w:val="19"/>
                                <w:lang w:eastAsia="ja-JP"/>
                              </w:rPr>
                            </w:pPr>
                            <w:r w:rsidRPr="001D3803">
                              <w:rPr>
                                <w:rFonts w:eastAsiaTheme="minorEastAsia" w:hint="eastAsia"/>
                                <w:b/>
                                <w:bCs/>
                                <w:i/>
                                <w:iCs/>
                                <w:color w:val="000000" w:themeColor="text1"/>
                                <w:sz w:val="19"/>
                                <w:szCs w:val="19"/>
                                <w:lang w:eastAsia="ja-JP"/>
                              </w:rPr>
                              <w:t>・使用した地球温暖化係数（</w:t>
                            </w:r>
                            <w:r w:rsidRPr="001D3803">
                              <w:rPr>
                                <w:rFonts w:eastAsiaTheme="minorEastAsia"/>
                                <w:b/>
                                <w:bCs/>
                                <w:i/>
                                <w:iCs/>
                                <w:color w:val="000000" w:themeColor="text1"/>
                                <w:sz w:val="19"/>
                                <w:szCs w:val="19"/>
                                <w:lang w:eastAsia="ja-JP"/>
                              </w:rPr>
                              <w:t>GWP</w:t>
                            </w:r>
                            <w:r w:rsidRPr="001D3803">
                              <w:rPr>
                                <w:rFonts w:eastAsiaTheme="minorEastAsia" w:hint="eastAsia"/>
                                <w:b/>
                                <w:bCs/>
                                <w:i/>
                                <w:iCs/>
                                <w:color w:val="000000" w:themeColor="text1"/>
                                <w:sz w:val="19"/>
                                <w:szCs w:val="19"/>
                                <w:lang w:eastAsia="ja-JP"/>
                              </w:rPr>
                              <w:t>）の出所</w:t>
                            </w:r>
                            <w:r w:rsidRPr="001D3803">
                              <w:rPr>
                                <w:rFonts w:eastAsiaTheme="minorEastAsia"/>
                                <w:b/>
                                <w:bCs/>
                                <w:i/>
                                <w:iCs/>
                                <w:color w:val="000000" w:themeColor="text1"/>
                                <w:sz w:val="19"/>
                                <w:szCs w:val="19"/>
                                <w:lang w:eastAsia="ja-JP"/>
                              </w:rPr>
                              <w:t xml:space="preserve"> </w:t>
                            </w:r>
                            <w:r w:rsidRPr="001D3803">
                              <w:rPr>
                                <w:rFonts w:eastAsiaTheme="minorEastAsia" w:hint="eastAsia"/>
                                <w:b/>
                                <w:bCs/>
                                <w:i/>
                                <w:iCs/>
                                <w:color w:val="000000" w:themeColor="text1"/>
                                <w:sz w:val="19"/>
                                <w:szCs w:val="19"/>
                                <w:lang w:eastAsia="ja-JP"/>
                              </w:rPr>
                              <w:t xml:space="preserve">　　　・計算モデル</w:t>
                            </w:r>
                          </w:p>
                          <w:p w14:paraId="435F4FD6" w14:textId="77777777" w:rsidR="003D29F0" w:rsidRDefault="003D29F0" w:rsidP="003A5BA6">
                            <w:pPr>
                              <w:spacing w:line="276" w:lineRule="auto"/>
                              <w:rPr>
                                <w:rFonts w:eastAsiaTheme="minorEastAsia"/>
                                <w:b/>
                                <w:bCs/>
                                <w:i/>
                                <w:iCs/>
                                <w:color w:val="000000" w:themeColor="text1"/>
                                <w:sz w:val="19"/>
                                <w:szCs w:val="19"/>
                                <w:lang w:eastAsia="ja-JP"/>
                              </w:rPr>
                            </w:pPr>
                          </w:p>
                          <w:p w14:paraId="6C46E4DE" w14:textId="77777777" w:rsidR="001D3803" w:rsidRDefault="001D3803" w:rsidP="003A5BA6">
                            <w:pPr>
                              <w:spacing w:line="276" w:lineRule="auto"/>
                              <w:rPr>
                                <w:rFonts w:eastAsiaTheme="minorEastAsia"/>
                                <w:b/>
                                <w:bCs/>
                                <w:i/>
                                <w:iCs/>
                                <w:color w:val="000000" w:themeColor="text1"/>
                                <w:sz w:val="19"/>
                                <w:szCs w:val="19"/>
                                <w:lang w:eastAsia="ja-JP"/>
                              </w:rPr>
                            </w:pPr>
                            <w:r w:rsidRPr="001D3803">
                              <w:rPr>
                                <w:rFonts w:eastAsiaTheme="minorEastAsia" w:hint="eastAsia"/>
                                <w:b/>
                                <w:bCs/>
                                <w:i/>
                                <w:iCs/>
                                <w:color w:val="70029C"/>
                                <w:sz w:val="19"/>
                                <w:szCs w:val="19"/>
                                <w:lang w:eastAsia="ja-JP"/>
                              </w:rPr>
                              <w:t>算出結果</w:t>
                            </w:r>
                          </w:p>
                          <w:p w14:paraId="5A945AFA" w14:textId="77777777" w:rsidR="001D3803" w:rsidRDefault="001D3803">
                            <w:pPr>
                              <w:pStyle w:val="a5"/>
                              <w:numPr>
                                <w:ilvl w:val="0"/>
                                <w:numId w:val="92"/>
                              </w:numPr>
                              <w:spacing w:line="276" w:lineRule="auto"/>
                              <w:rPr>
                                <w:rFonts w:eastAsiaTheme="minorEastAsia"/>
                                <w:b/>
                                <w:bCs/>
                                <w:i/>
                                <w:iCs/>
                                <w:color w:val="000000" w:themeColor="text1"/>
                                <w:sz w:val="19"/>
                                <w:szCs w:val="19"/>
                                <w:lang w:eastAsia="ja-JP"/>
                              </w:rPr>
                            </w:pPr>
                            <w:r w:rsidRPr="001D3803">
                              <w:rPr>
                                <w:rFonts w:ascii="ＭＳ ゴシック" w:eastAsiaTheme="minorEastAsia" w:hAnsi="ＭＳ ゴシック" w:cs="ＭＳ ゴシック" w:hint="eastAsia"/>
                                <w:b/>
                                <w:bCs/>
                                <w:i/>
                                <w:iCs/>
                                <w:color w:val="000000" w:themeColor="text1"/>
                                <w:sz w:val="19"/>
                                <w:szCs w:val="19"/>
                                <w:lang w:eastAsia="ja-JP"/>
                              </w:rPr>
                              <w:t>使用した</w:t>
                            </w:r>
                            <w:r w:rsidRPr="001D3803">
                              <w:rPr>
                                <w:rFonts w:eastAsiaTheme="minorEastAsia"/>
                                <w:b/>
                                <w:bCs/>
                                <w:i/>
                                <w:iCs/>
                                <w:color w:val="000000" w:themeColor="text1"/>
                                <w:sz w:val="19"/>
                                <w:szCs w:val="19"/>
                                <w:lang w:eastAsia="ja-JP"/>
                              </w:rPr>
                              <w:t>GWP</w:t>
                            </w:r>
                            <w:r w:rsidRPr="001D3803">
                              <w:rPr>
                                <w:rFonts w:eastAsiaTheme="minorEastAsia" w:hint="eastAsia"/>
                                <w:b/>
                                <w:bCs/>
                                <w:i/>
                                <w:iCs/>
                                <w:color w:val="000000" w:themeColor="text1"/>
                                <w:sz w:val="19"/>
                                <w:szCs w:val="19"/>
                                <w:lang w:eastAsia="ja-JP"/>
                              </w:rPr>
                              <w:t>係数の出典と日付</w:t>
                            </w:r>
                          </w:p>
                          <w:p w14:paraId="5E61D2A7" w14:textId="77777777" w:rsidR="001D3803" w:rsidRDefault="001D3803">
                            <w:pPr>
                              <w:pStyle w:val="a5"/>
                              <w:numPr>
                                <w:ilvl w:val="0"/>
                                <w:numId w:val="92"/>
                              </w:numPr>
                              <w:spacing w:line="276" w:lineRule="auto"/>
                              <w:rPr>
                                <w:rFonts w:eastAsiaTheme="minorEastAsia"/>
                                <w:b/>
                                <w:bCs/>
                                <w:i/>
                                <w:iCs/>
                                <w:color w:val="000000" w:themeColor="text1"/>
                                <w:sz w:val="19"/>
                                <w:szCs w:val="19"/>
                                <w:lang w:eastAsia="ja-JP"/>
                              </w:rPr>
                            </w:pPr>
                            <w:r w:rsidRPr="001D3803">
                              <w:rPr>
                                <w:rFonts w:eastAsiaTheme="minorEastAsia" w:hint="eastAsia"/>
                                <w:b/>
                                <w:bCs/>
                                <w:i/>
                                <w:iCs/>
                                <w:color w:val="000000" w:themeColor="text1"/>
                                <w:sz w:val="19"/>
                                <w:szCs w:val="19"/>
                                <w:lang w:eastAsia="ja-JP"/>
                              </w:rPr>
                              <w:t>生物起源の排出源、非生物起源の排出源、土地利用変化による影響など、算出範囲に含まれる全ての排出と除去を含む、分析単位あたりの排出量集計結果</w:t>
                            </w:r>
                          </w:p>
                          <w:p w14:paraId="0493380B" w14:textId="77777777" w:rsidR="001D3803" w:rsidRDefault="001D3803">
                            <w:pPr>
                              <w:pStyle w:val="a5"/>
                              <w:numPr>
                                <w:ilvl w:val="0"/>
                                <w:numId w:val="92"/>
                              </w:numPr>
                              <w:spacing w:line="276" w:lineRule="auto"/>
                              <w:rPr>
                                <w:rFonts w:eastAsiaTheme="minorEastAsia"/>
                                <w:b/>
                                <w:bCs/>
                                <w:i/>
                                <w:iCs/>
                                <w:color w:val="000000" w:themeColor="text1"/>
                                <w:sz w:val="19"/>
                                <w:szCs w:val="19"/>
                                <w:lang w:eastAsia="ja-JP"/>
                              </w:rPr>
                            </w:pPr>
                            <w:r w:rsidRPr="001D3803">
                              <w:rPr>
                                <w:rFonts w:eastAsiaTheme="minorEastAsia" w:hint="eastAsia"/>
                                <w:b/>
                                <w:bCs/>
                                <w:i/>
                                <w:iCs/>
                                <w:color w:val="000000" w:themeColor="text1"/>
                                <w:sz w:val="19"/>
                                <w:szCs w:val="19"/>
                                <w:lang w:eastAsia="ja-JP"/>
                              </w:rPr>
                              <w:t>ライフサイクルステージ別の総排出結果の割合</w:t>
                            </w:r>
                          </w:p>
                          <w:p w14:paraId="207F39C5" w14:textId="77777777" w:rsidR="001D3803" w:rsidRDefault="001D3803">
                            <w:pPr>
                              <w:pStyle w:val="a5"/>
                              <w:numPr>
                                <w:ilvl w:val="0"/>
                                <w:numId w:val="92"/>
                              </w:numPr>
                              <w:spacing w:line="276" w:lineRule="auto"/>
                              <w:rPr>
                                <w:rFonts w:eastAsiaTheme="minorEastAsia"/>
                                <w:b/>
                                <w:bCs/>
                                <w:i/>
                                <w:iCs/>
                                <w:color w:val="000000" w:themeColor="text1"/>
                                <w:sz w:val="19"/>
                                <w:szCs w:val="19"/>
                                <w:lang w:eastAsia="ja-JP"/>
                              </w:rPr>
                            </w:pPr>
                            <w:r w:rsidRPr="001D3803">
                              <w:rPr>
                                <w:rFonts w:eastAsiaTheme="minorEastAsia" w:hint="eastAsia"/>
                                <w:b/>
                                <w:bCs/>
                                <w:i/>
                                <w:iCs/>
                                <w:color w:val="000000" w:themeColor="text1"/>
                                <w:sz w:val="19"/>
                                <w:szCs w:val="19"/>
                                <w:lang w:eastAsia="ja-JP"/>
                              </w:rPr>
                              <w:t>該当する場合、生物起源と非生物起源を別々にした排出、削減量</w:t>
                            </w:r>
                          </w:p>
                          <w:p w14:paraId="346C4F36" w14:textId="77777777" w:rsidR="001D3803" w:rsidRDefault="001D3803">
                            <w:pPr>
                              <w:pStyle w:val="a5"/>
                              <w:numPr>
                                <w:ilvl w:val="0"/>
                                <w:numId w:val="92"/>
                              </w:numPr>
                              <w:spacing w:line="276" w:lineRule="auto"/>
                              <w:rPr>
                                <w:rFonts w:eastAsiaTheme="minorEastAsia"/>
                                <w:b/>
                                <w:bCs/>
                                <w:i/>
                                <w:iCs/>
                                <w:color w:val="000000" w:themeColor="text1"/>
                                <w:sz w:val="19"/>
                                <w:szCs w:val="19"/>
                                <w:lang w:eastAsia="ja-JP"/>
                              </w:rPr>
                            </w:pPr>
                            <w:r w:rsidRPr="001D3803">
                              <w:rPr>
                                <w:rFonts w:eastAsiaTheme="minorEastAsia" w:hint="eastAsia"/>
                                <w:b/>
                                <w:bCs/>
                                <w:i/>
                                <w:iCs/>
                                <w:color w:val="000000" w:themeColor="text1"/>
                                <w:sz w:val="19"/>
                                <w:szCs w:val="19"/>
                                <w:lang w:eastAsia="ja-JP"/>
                              </w:rPr>
                              <w:t>該当する場合、土地利用への影響を区分した記載</w:t>
                            </w:r>
                          </w:p>
                          <w:p w14:paraId="4BA578BD" w14:textId="68C94D7F" w:rsidR="001D3803" w:rsidRDefault="001E02F9">
                            <w:pPr>
                              <w:pStyle w:val="a5"/>
                              <w:numPr>
                                <w:ilvl w:val="0"/>
                                <w:numId w:val="92"/>
                              </w:numPr>
                              <w:spacing w:line="276" w:lineRule="auto"/>
                              <w:rPr>
                                <w:rFonts w:eastAsiaTheme="minorEastAsia"/>
                                <w:b/>
                                <w:bCs/>
                                <w:i/>
                                <w:iCs/>
                                <w:color w:val="000000" w:themeColor="text1"/>
                                <w:sz w:val="19"/>
                                <w:szCs w:val="19"/>
                                <w:lang w:eastAsia="ja-JP"/>
                              </w:rPr>
                            </w:pPr>
                            <w:r>
                              <w:rPr>
                                <w:rFonts w:eastAsiaTheme="minorEastAsia" w:hint="eastAsia"/>
                                <w:b/>
                                <w:bCs/>
                                <w:i/>
                                <w:iCs/>
                                <w:color w:val="000000" w:themeColor="text1"/>
                                <w:sz w:val="19"/>
                                <w:szCs w:val="19"/>
                                <w:lang w:eastAsia="ja-JP"/>
                              </w:rPr>
                              <w:t>生産から出荷</w:t>
                            </w:r>
                            <w:r w:rsidR="001D3803" w:rsidRPr="001D3803">
                              <w:rPr>
                                <w:rFonts w:eastAsiaTheme="minorEastAsia" w:hint="eastAsia"/>
                                <w:b/>
                                <w:bCs/>
                                <w:i/>
                                <w:iCs/>
                                <w:color w:val="000000" w:themeColor="text1"/>
                                <w:sz w:val="19"/>
                                <w:szCs w:val="19"/>
                                <w:lang w:eastAsia="ja-JP"/>
                              </w:rPr>
                              <w:t>までと、ゲートからゲートまでの算出結果を別々に記載する（あるいは、機密保持が制約となることを明確に示す）</w:t>
                            </w:r>
                          </w:p>
                          <w:p w14:paraId="7CD2151C" w14:textId="77777777" w:rsidR="001D3803" w:rsidRDefault="001D3803">
                            <w:pPr>
                              <w:pStyle w:val="a5"/>
                              <w:numPr>
                                <w:ilvl w:val="0"/>
                                <w:numId w:val="92"/>
                              </w:numPr>
                              <w:spacing w:line="276" w:lineRule="auto"/>
                              <w:rPr>
                                <w:rFonts w:eastAsiaTheme="minorEastAsia"/>
                                <w:b/>
                                <w:bCs/>
                                <w:i/>
                                <w:iCs/>
                                <w:color w:val="000000" w:themeColor="text1"/>
                                <w:sz w:val="19"/>
                                <w:szCs w:val="19"/>
                                <w:lang w:eastAsia="ja-JP"/>
                              </w:rPr>
                            </w:pPr>
                            <w:r w:rsidRPr="001D3803">
                              <w:rPr>
                                <w:rFonts w:eastAsiaTheme="minorEastAsia" w:hint="eastAsia"/>
                                <w:b/>
                                <w:bCs/>
                                <w:i/>
                                <w:iCs/>
                                <w:color w:val="000000" w:themeColor="text1"/>
                                <w:sz w:val="19"/>
                                <w:szCs w:val="19"/>
                                <w:lang w:eastAsia="ja-JP"/>
                              </w:rPr>
                              <w:t>製品またはその部品に含まれ、廃棄物処理中に大気中に放出されなかった炭素の量</w:t>
                            </w:r>
                          </w:p>
                          <w:p w14:paraId="296BEF2D" w14:textId="1169EA4D" w:rsidR="001D3803" w:rsidRDefault="001E02F9">
                            <w:pPr>
                              <w:pStyle w:val="a5"/>
                              <w:numPr>
                                <w:ilvl w:val="0"/>
                                <w:numId w:val="92"/>
                              </w:numPr>
                              <w:spacing w:line="276" w:lineRule="auto"/>
                              <w:rPr>
                                <w:rFonts w:eastAsiaTheme="minorEastAsia"/>
                                <w:b/>
                                <w:bCs/>
                                <w:i/>
                                <w:iCs/>
                                <w:color w:val="000000" w:themeColor="text1"/>
                                <w:sz w:val="19"/>
                                <w:szCs w:val="19"/>
                                <w:lang w:eastAsia="ja-JP"/>
                              </w:rPr>
                            </w:pPr>
                            <w:r>
                              <w:rPr>
                                <w:rFonts w:eastAsiaTheme="minorEastAsia" w:hint="eastAsia"/>
                                <w:b/>
                                <w:bCs/>
                                <w:i/>
                                <w:iCs/>
                                <w:color w:val="000000" w:themeColor="text1"/>
                                <w:sz w:val="19"/>
                                <w:szCs w:val="19"/>
                                <w:lang w:eastAsia="ja-JP"/>
                              </w:rPr>
                              <w:t>生産から出荷</w:t>
                            </w:r>
                            <w:r w:rsidR="001D3803" w:rsidRPr="001D3803">
                              <w:rPr>
                                <w:rFonts w:eastAsiaTheme="minorEastAsia" w:hint="eastAsia"/>
                                <w:b/>
                                <w:bCs/>
                                <w:i/>
                                <w:iCs/>
                                <w:color w:val="000000" w:themeColor="text1"/>
                                <w:sz w:val="19"/>
                                <w:szCs w:val="19"/>
                                <w:lang w:eastAsia="ja-JP"/>
                              </w:rPr>
                              <w:t>までの排出量では、中間製品に含まれる炭素の量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76A0080" id="四角形: 角を丸くする 119" o:spid="_x0000_s1142" style="position:absolute;left:0;text-align:left;margin-left:58.5pt;margin-top:7.5pt;width:496.5pt;height:518.5pt;z-index:251515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0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" fillcolor="#70029c" stroked="f" strokeweight="2pt">
                <v:fill opacity="16448f"/>
                <v:textbox>
                  <w:txbxContent>
                    <w:p w14:paraId="076018DD" w14:textId="7ACDFEC3" w:rsidR="001D3803" w:rsidRDefault="001D3803" w:rsidP="003A5BA6">
                      <w:pPr>
                        <w:spacing w:line="276" w:lineRule="auto"/>
                        <w:rPr>
                          <w:rFonts w:eastAsiaTheme="minorEastAsia"/>
                          <w:b/>
                          <w:bCs/>
                          <w:i/>
                          <w:iCs/>
                          <w:color w:val="70029C"/>
                          <w:sz w:val="19"/>
                          <w:szCs w:val="19"/>
                          <w:lang w:eastAsia="ja-JP"/>
                        </w:rPr>
                      </w:pPr>
                      <w:r w:rsidRPr="001D3803">
                        <w:rPr>
                          <w:rFonts w:eastAsiaTheme="minorEastAsia" w:hint="eastAsia"/>
                          <w:b/>
                          <w:bCs/>
                          <w:i/>
                          <w:iCs/>
                          <w:color w:val="70029C"/>
                          <w:sz w:val="19"/>
                          <w:szCs w:val="19"/>
                          <w:lang w:eastAsia="ja-JP"/>
                        </w:rPr>
                        <w:t>算出範囲の設定</w:t>
                      </w:r>
                    </w:p>
                    <w:p w14:paraId="308AE2F2" w14:textId="77777777" w:rsidR="001D3803" w:rsidRPr="001D3803" w:rsidRDefault="001D3803">
                      <w:pPr>
                        <w:pStyle w:val="a5"/>
                        <w:numPr>
                          <w:ilvl w:val="0"/>
                          <w:numId w:val="90"/>
                        </w:numPr>
                        <w:spacing w:line="276" w:lineRule="auto"/>
                        <w:rPr>
                          <w:rFonts w:eastAsiaTheme="minorEastAsia"/>
                          <w:b/>
                          <w:bCs/>
                          <w:i/>
                          <w:iCs/>
                          <w:color w:val="70029C"/>
                          <w:sz w:val="19"/>
                          <w:szCs w:val="19"/>
                          <w:lang w:eastAsia="ja-JP"/>
                        </w:rPr>
                      </w:pPr>
                      <w:r w:rsidRPr="001D3803">
                        <w:rPr>
                          <w:rFonts w:ascii="ＭＳ ゴシック" w:eastAsiaTheme="minorEastAsia" w:hAnsi="ＭＳ ゴシック" w:cs="ＭＳ ゴシック" w:hint="eastAsia"/>
                          <w:b/>
                          <w:bCs/>
                          <w:i/>
                          <w:iCs/>
                          <w:color w:val="000000" w:themeColor="text1"/>
                          <w:sz w:val="19"/>
                          <w:szCs w:val="19"/>
                          <w:lang w:eastAsia="ja-JP"/>
                        </w:rPr>
                        <w:t>ライフサイクルステージの定義と説明</w:t>
                      </w:r>
                      <w:r w:rsidRPr="001D3803">
                        <w:rPr>
                          <w:rFonts w:eastAsiaTheme="minorEastAsia"/>
                          <w:b/>
                          <w:bCs/>
                          <w:i/>
                          <w:iCs/>
                          <w:color w:val="000000" w:themeColor="text1"/>
                          <w:sz w:val="19"/>
                          <w:szCs w:val="19"/>
                          <w:lang w:eastAsia="ja-JP"/>
                        </w:rPr>
                        <w:t xml:space="preserve"> </w:t>
                      </w:r>
                    </w:p>
                    <w:p w14:paraId="4091BC70" w14:textId="07F99C57" w:rsidR="001D3803" w:rsidRPr="001D3803" w:rsidRDefault="001D3803">
                      <w:pPr>
                        <w:pStyle w:val="a5"/>
                        <w:numPr>
                          <w:ilvl w:val="0"/>
                          <w:numId w:val="90"/>
                        </w:numPr>
                        <w:spacing w:line="276" w:lineRule="auto"/>
                        <w:rPr>
                          <w:rFonts w:eastAsiaTheme="minorEastAsia"/>
                          <w:b/>
                          <w:bCs/>
                          <w:i/>
                          <w:iCs/>
                          <w:color w:val="70029C"/>
                          <w:sz w:val="19"/>
                          <w:szCs w:val="19"/>
                          <w:lang w:eastAsia="ja-JP"/>
                        </w:rPr>
                      </w:pPr>
                      <w:r w:rsidRPr="001D3803">
                        <w:rPr>
                          <w:rFonts w:eastAsiaTheme="minorEastAsia" w:hint="eastAsia"/>
                          <w:b/>
                          <w:bCs/>
                          <w:i/>
                          <w:iCs/>
                          <w:color w:val="000000" w:themeColor="text1"/>
                          <w:sz w:val="19"/>
                          <w:szCs w:val="19"/>
                          <w:lang w:eastAsia="ja-JP"/>
                        </w:rPr>
                        <w:t>報告書に含まれる帰属プロセスを含む</w:t>
                      </w:r>
                      <w:r w:rsidR="001E02F9">
                        <w:rPr>
                          <w:rFonts w:eastAsiaTheme="minorEastAsia" w:hint="eastAsia"/>
                          <w:b/>
                          <w:bCs/>
                          <w:i/>
                          <w:iCs/>
                          <w:color w:val="000000" w:themeColor="text1"/>
                          <w:sz w:val="19"/>
                          <w:szCs w:val="19"/>
                          <w:lang w:eastAsia="ja-JP"/>
                        </w:rPr>
                        <w:t>工程表</w:t>
                      </w:r>
                    </w:p>
                    <w:p w14:paraId="53443172" w14:textId="77777777" w:rsidR="001D3803" w:rsidRPr="001D3803" w:rsidRDefault="001D3803">
                      <w:pPr>
                        <w:pStyle w:val="a5"/>
                        <w:numPr>
                          <w:ilvl w:val="0"/>
                          <w:numId w:val="90"/>
                        </w:numPr>
                        <w:spacing w:line="276" w:lineRule="auto"/>
                        <w:rPr>
                          <w:rFonts w:eastAsiaTheme="minorEastAsia"/>
                          <w:b/>
                          <w:bCs/>
                          <w:i/>
                          <w:iCs/>
                          <w:color w:val="70029C"/>
                          <w:sz w:val="19"/>
                          <w:szCs w:val="19"/>
                          <w:lang w:eastAsia="ja-JP"/>
                        </w:rPr>
                      </w:pPr>
                      <w:r w:rsidRPr="001D3803">
                        <w:rPr>
                          <w:rFonts w:eastAsiaTheme="minorEastAsia" w:hint="eastAsia"/>
                          <w:b/>
                          <w:bCs/>
                          <w:i/>
                          <w:iCs/>
                          <w:color w:val="000000" w:themeColor="text1"/>
                          <w:sz w:val="19"/>
                          <w:szCs w:val="19"/>
                          <w:lang w:eastAsia="ja-JP"/>
                        </w:rPr>
                        <w:t>報告書に含まれる非帰属プロセス</w:t>
                      </w:r>
                      <w:r w:rsidRPr="001D3803">
                        <w:rPr>
                          <w:rFonts w:eastAsiaTheme="minorEastAsia"/>
                          <w:b/>
                          <w:bCs/>
                          <w:i/>
                          <w:iCs/>
                          <w:color w:val="000000" w:themeColor="text1"/>
                          <w:sz w:val="19"/>
                          <w:szCs w:val="19"/>
                          <w:lang w:eastAsia="ja-JP"/>
                        </w:rPr>
                        <w:t xml:space="preserve"> </w:t>
                      </w:r>
                    </w:p>
                    <w:p w14:paraId="126EAE38" w14:textId="77777777" w:rsidR="001D3803" w:rsidRPr="001D3803" w:rsidRDefault="001D3803">
                      <w:pPr>
                        <w:pStyle w:val="a5"/>
                        <w:numPr>
                          <w:ilvl w:val="0"/>
                          <w:numId w:val="90"/>
                        </w:numPr>
                        <w:spacing w:line="276" w:lineRule="auto"/>
                        <w:rPr>
                          <w:rFonts w:eastAsiaTheme="minorEastAsia"/>
                          <w:b/>
                          <w:bCs/>
                          <w:i/>
                          <w:iCs/>
                          <w:color w:val="70029C"/>
                          <w:sz w:val="19"/>
                          <w:szCs w:val="19"/>
                          <w:lang w:eastAsia="ja-JP"/>
                        </w:rPr>
                      </w:pPr>
                      <w:r w:rsidRPr="001D3803">
                        <w:rPr>
                          <w:rFonts w:eastAsiaTheme="minorEastAsia" w:hint="eastAsia"/>
                          <w:b/>
                          <w:bCs/>
                          <w:i/>
                          <w:iCs/>
                          <w:color w:val="000000" w:themeColor="text1"/>
                          <w:sz w:val="19"/>
                          <w:szCs w:val="19"/>
                          <w:lang w:eastAsia="ja-JP"/>
                        </w:rPr>
                        <w:t>除外された帰属プロセスおよびその正当な理由</w:t>
                      </w:r>
                      <w:r w:rsidRPr="001D3803">
                        <w:rPr>
                          <w:rFonts w:eastAsiaTheme="minorEastAsia"/>
                          <w:b/>
                          <w:bCs/>
                          <w:i/>
                          <w:iCs/>
                          <w:color w:val="000000" w:themeColor="text1"/>
                          <w:sz w:val="19"/>
                          <w:szCs w:val="19"/>
                          <w:lang w:eastAsia="ja-JP"/>
                        </w:rPr>
                        <w:t xml:space="preserve"> </w:t>
                      </w:r>
                    </w:p>
                    <w:p w14:paraId="219095DB" w14:textId="3B1AA883" w:rsidR="001D3803" w:rsidRPr="001D3803" w:rsidRDefault="001D3803">
                      <w:pPr>
                        <w:pStyle w:val="a5"/>
                        <w:numPr>
                          <w:ilvl w:val="0"/>
                          <w:numId w:val="90"/>
                        </w:numPr>
                        <w:spacing w:line="276" w:lineRule="auto"/>
                        <w:rPr>
                          <w:rFonts w:eastAsiaTheme="minorEastAsia"/>
                          <w:b/>
                          <w:bCs/>
                          <w:i/>
                          <w:iCs/>
                          <w:color w:val="70029C"/>
                          <w:sz w:val="19"/>
                          <w:szCs w:val="19"/>
                          <w:lang w:eastAsia="ja-JP"/>
                        </w:rPr>
                      </w:pPr>
                      <w:r w:rsidRPr="001D3803">
                        <w:rPr>
                          <w:rFonts w:eastAsiaTheme="minorEastAsia" w:hint="eastAsia"/>
                          <w:b/>
                          <w:bCs/>
                          <w:i/>
                          <w:iCs/>
                          <w:color w:val="000000" w:themeColor="text1"/>
                          <w:sz w:val="19"/>
                          <w:szCs w:val="19"/>
                          <w:lang w:eastAsia="ja-JP"/>
                        </w:rPr>
                        <w:t>該当する場合、</w:t>
                      </w:r>
                      <w:r w:rsidR="001E02F9">
                        <w:rPr>
                          <w:rFonts w:eastAsiaTheme="minorEastAsia" w:hint="eastAsia"/>
                          <w:b/>
                          <w:bCs/>
                          <w:i/>
                          <w:iCs/>
                          <w:color w:val="000000" w:themeColor="text1"/>
                          <w:sz w:val="19"/>
                          <w:szCs w:val="19"/>
                          <w:lang w:eastAsia="ja-JP"/>
                        </w:rPr>
                        <w:t>生産から出荷</w:t>
                      </w:r>
                      <w:r w:rsidRPr="001D3803">
                        <w:rPr>
                          <w:rFonts w:eastAsiaTheme="minorEastAsia" w:hint="eastAsia"/>
                          <w:b/>
                          <w:bCs/>
                          <w:i/>
                          <w:iCs/>
                          <w:color w:val="000000" w:themeColor="text1"/>
                          <w:sz w:val="19"/>
                          <w:szCs w:val="19"/>
                          <w:lang w:eastAsia="ja-JP"/>
                        </w:rPr>
                        <w:t>までの境界の正当な根拠</w:t>
                      </w:r>
                      <w:r w:rsidRPr="001D3803">
                        <w:rPr>
                          <w:rFonts w:eastAsiaTheme="minorEastAsia"/>
                          <w:b/>
                          <w:bCs/>
                          <w:i/>
                          <w:iCs/>
                          <w:color w:val="000000" w:themeColor="text1"/>
                          <w:sz w:val="19"/>
                          <w:szCs w:val="19"/>
                          <w:lang w:eastAsia="ja-JP"/>
                        </w:rPr>
                        <w:t xml:space="preserve"> </w:t>
                      </w:r>
                    </w:p>
                    <w:p w14:paraId="565178DF" w14:textId="77777777" w:rsidR="001D3803" w:rsidRPr="001D3803" w:rsidRDefault="001D3803">
                      <w:pPr>
                        <w:pStyle w:val="a5"/>
                        <w:numPr>
                          <w:ilvl w:val="0"/>
                          <w:numId w:val="90"/>
                        </w:numPr>
                        <w:spacing w:line="276" w:lineRule="auto"/>
                        <w:rPr>
                          <w:rFonts w:eastAsiaTheme="minorEastAsia"/>
                          <w:b/>
                          <w:bCs/>
                          <w:i/>
                          <w:iCs/>
                          <w:color w:val="70029C"/>
                          <w:sz w:val="19"/>
                          <w:szCs w:val="19"/>
                          <w:lang w:eastAsia="ja-JP"/>
                        </w:rPr>
                      </w:pPr>
                      <w:r w:rsidRPr="001D3803">
                        <w:rPr>
                          <w:rFonts w:eastAsiaTheme="minorEastAsia" w:hint="eastAsia"/>
                          <w:b/>
                          <w:bCs/>
                          <w:i/>
                          <w:iCs/>
                          <w:color w:val="000000" w:themeColor="text1"/>
                          <w:sz w:val="19"/>
                          <w:szCs w:val="19"/>
                          <w:lang w:eastAsia="ja-JP"/>
                        </w:rPr>
                        <w:t>期間</w:t>
                      </w:r>
                      <w:r w:rsidRPr="001D3803">
                        <w:rPr>
                          <w:rFonts w:eastAsiaTheme="minorEastAsia"/>
                          <w:b/>
                          <w:bCs/>
                          <w:i/>
                          <w:iCs/>
                          <w:color w:val="000000" w:themeColor="text1"/>
                          <w:sz w:val="19"/>
                          <w:szCs w:val="19"/>
                          <w:lang w:eastAsia="ja-JP"/>
                        </w:rPr>
                        <w:t xml:space="preserve"> </w:t>
                      </w:r>
                    </w:p>
                    <w:p w14:paraId="31D51303" w14:textId="19E93A5D" w:rsidR="001D3803" w:rsidRPr="003D29F0" w:rsidRDefault="001D3803">
                      <w:pPr>
                        <w:pStyle w:val="a5"/>
                        <w:numPr>
                          <w:ilvl w:val="0"/>
                          <w:numId w:val="90"/>
                        </w:numPr>
                        <w:spacing w:line="276" w:lineRule="auto"/>
                        <w:rPr>
                          <w:rFonts w:eastAsiaTheme="minorEastAsia"/>
                          <w:b/>
                          <w:bCs/>
                          <w:i/>
                          <w:iCs/>
                          <w:color w:val="70029C"/>
                          <w:sz w:val="19"/>
                          <w:szCs w:val="19"/>
                          <w:lang w:eastAsia="ja-JP"/>
                        </w:rPr>
                      </w:pPr>
                      <w:r w:rsidRPr="001D3803">
                        <w:rPr>
                          <w:rFonts w:eastAsiaTheme="minorEastAsia" w:hint="eastAsia"/>
                          <w:b/>
                          <w:bCs/>
                          <w:i/>
                          <w:iCs/>
                          <w:color w:val="000000" w:themeColor="text1"/>
                          <w:sz w:val="19"/>
                          <w:szCs w:val="19"/>
                          <w:lang w:eastAsia="ja-JP"/>
                        </w:rPr>
                        <w:t>該当する場合、土地利用変化による影響の算出に使用した方法</w:t>
                      </w:r>
                    </w:p>
                    <w:p w14:paraId="2370BDF4" w14:textId="77777777" w:rsidR="003D29F0" w:rsidRPr="001D3803" w:rsidRDefault="003D29F0" w:rsidP="003D29F0">
                      <w:pPr>
                        <w:pStyle w:val="a5"/>
                        <w:spacing w:line="276" w:lineRule="auto"/>
                        <w:ind w:left="420" w:firstLine="0"/>
                        <w:rPr>
                          <w:rFonts w:eastAsiaTheme="minorEastAsia"/>
                          <w:b/>
                          <w:bCs/>
                          <w:i/>
                          <w:iCs/>
                          <w:color w:val="70029C"/>
                          <w:sz w:val="19"/>
                          <w:szCs w:val="19"/>
                          <w:lang w:eastAsia="ja-JP"/>
                        </w:rPr>
                      </w:pPr>
                    </w:p>
                    <w:p w14:paraId="06C92F84" w14:textId="77777777" w:rsidR="001D3803" w:rsidRDefault="001D3803" w:rsidP="003A5BA6">
                      <w:pPr>
                        <w:spacing w:line="276" w:lineRule="auto"/>
                        <w:rPr>
                          <w:rFonts w:eastAsiaTheme="minorEastAsia"/>
                          <w:b/>
                          <w:bCs/>
                          <w:i/>
                          <w:iCs/>
                          <w:color w:val="70029C"/>
                          <w:sz w:val="19"/>
                          <w:szCs w:val="19"/>
                          <w:lang w:eastAsia="ja-JP"/>
                        </w:rPr>
                      </w:pPr>
                      <w:r w:rsidRPr="001D3803">
                        <w:rPr>
                          <w:rFonts w:eastAsiaTheme="minorEastAsia" w:hint="eastAsia"/>
                          <w:b/>
                          <w:bCs/>
                          <w:i/>
                          <w:iCs/>
                          <w:color w:val="70029C"/>
                          <w:sz w:val="19"/>
                          <w:szCs w:val="19"/>
                          <w:lang w:eastAsia="ja-JP"/>
                        </w:rPr>
                        <w:t>割り当て</w:t>
                      </w:r>
                    </w:p>
                    <w:p w14:paraId="44E5E390" w14:textId="77777777" w:rsidR="001D3803" w:rsidRPr="001D3803" w:rsidRDefault="001D3803">
                      <w:pPr>
                        <w:pStyle w:val="a5"/>
                        <w:numPr>
                          <w:ilvl w:val="0"/>
                          <w:numId w:val="91"/>
                        </w:numPr>
                        <w:spacing w:line="276" w:lineRule="auto"/>
                        <w:rPr>
                          <w:rFonts w:eastAsiaTheme="minorEastAsia"/>
                          <w:b/>
                          <w:bCs/>
                          <w:i/>
                          <w:iCs/>
                          <w:color w:val="70029C"/>
                          <w:sz w:val="19"/>
                          <w:szCs w:val="19"/>
                          <w:lang w:eastAsia="ja-JP"/>
                        </w:rPr>
                      </w:pPr>
                      <w:r w:rsidRPr="001D3803">
                        <w:rPr>
                          <w:rFonts w:ascii="ＭＳ ゴシック" w:eastAsiaTheme="minorEastAsia" w:hAnsi="ＭＳ ゴシック" w:cs="ＭＳ ゴシック" w:hint="eastAsia"/>
                          <w:b/>
                          <w:bCs/>
                          <w:i/>
                          <w:iCs/>
                          <w:color w:val="000000" w:themeColor="text1"/>
                          <w:sz w:val="19"/>
                          <w:szCs w:val="19"/>
                          <w:lang w:eastAsia="ja-JP"/>
                        </w:rPr>
                        <w:t>副産物やリサイクルによる排出量割り当てを回避または実行するために使用した方法の開示と正当化</w:t>
                      </w:r>
                    </w:p>
                    <w:p w14:paraId="0BAB09EA" w14:textId="37340E03" w:rsidR="001D3803" w:rsidRPr="003D29F0" w:rsidRDefault="001D3803">
                      <w:pPr>
                        <w:pStyle w:val="a5"/>
                        <w:numPr>
                          <w:ilvl w:val="0"/>
                          <w:numId w:val="91"/>
                        </w:numPr>
                        <w:spacing w:line="276" w:lineRule="auto"/>
                        <w:rPr>
                          <w:rFonts w:eastAsiaTheme="minorEastAsia"/>
                          <w:b/>
                          <w:bCs/>
                          <w:i/>
                          <w:iCs/>
                          <w:color w:val="70029C"/>
                          <w:sz w:val="19"/>
                          <w:szCs w:val="19"/>
                          <w:lang w:eastAsia="ja-JP"/>
                        </w:rPr>
                      </w:pPr>
                      <w:r w:rsidRPr="001D3803">
                        <w:rPr>
                          <w:rFonts w:eastAsiaTheme="minorEastAsia" w:hint="eastAsia"/>
                          <w:b/>
                          <w:bCs/>
                          <w:i/>
                          <w:iCs/>
                          <w:color w:val="000000" w:themeColor="text1"/>
                          <w:sz w:val="19"/>
                          <w:szCs w:val="19"/>
                          <w:lang w:eastAsia="ja-JP"/>
                        </w:rPr>
                        <w:t>クローズドループ近似法を用いる場合、使用済み製品とは別々に計算した消息不明の排出</w:t>
                      </w:r>
                    </w:p>
                    <w:p w14:paraId="630A50CB" w14:textId="77777777" w:rsidR="003D29F0" w:rsidRPr="001D3803" w:rsidRDefault="003D29F0" w:rsidP="003D29F0">
                      <w:pPr>
                        <w:pStyle w:val="a5"/>
                        <w:spacing w:line="276" w:lineRule="auto"/>
                        <w:ind w:left="420" w:firstLine="0"/>
                        <w:rPr>
                          <w:rFonts w:eastAsiaTheme="minorEastAsia"/>
                          <w:b/>
                          <w:bCs/>
                          <w:i/>
                          <w:iCs/>
                          <w:color w:val="70029C"/>
                          <w:sz w:val="19"/>
                          <w:szCs w:val="19"/>
                          <w:lang w:eastAsia="ja-JP"/>
                        </w:rPr>
                      </w:pPr>
                    </w:p>
                    <w:p w14:paraId="7589BC09" w14:textId="77777777" w:rsidR="001D3803" w:rsidRDefault="001D3803" w:rsidP="003A5BA6">
                      <w:pPr>
                        <w:spacing w:line="276" w:lineRule="auto"/>
                        <w:rPr>
                          <w:rFonts w:eastAsiaTheme="minorEastAsia"/>
                          <w:b/>
                          <w:bCs/>
                          <w:i/>
                          <w:iCs/>
                          <w:color w:val="000000" w:themeColor="text1"/>
                          <w:sz w:val="19"/>
                          <w:szCs w:val="19"/>
                          <w:lang w:eastAsia="ja-JP"/>
                        </w:rPr>
                      </w:pPr>
                      <w:r w:rsidRPr="001D3803">
                        <w:rPr>
                          <w:rFonts w:eastAsiaTheme="minorEastAsia" w:hint="eastAsia"/>
                          <w:b/>
                          <w:bCs/>
                          <w:i/>
                          <w:iCs/>
                          <w:color w:val="70029C"/>
                          <w:sz w:val="19"/>
                          <w:szCs w:val="19"/>
                          <w:lang w:eastAsia="ja-JP"/>
                        </w:rPr>
                        <w:t>データ収集と品質</w:t>
                      </w:r>
                    </w:p>
                    <w:p w14:paraId="3AE2104D" w14:textId="1DCA756F" w:rsidR="001D3803" w:rsidRDefault="001D3803">
                      <w:pPr>
                        <w:pStyle w:val="a5"/>
                        <w:numPr>
                          <w:ilvl w:val="0"/>
                          <w:numId w:val="92"/>
                        </w:numPr>
                        <w:spacing w:line="276" w:lineRule="auto"/>
                        <w:rPr>
                          <w:rFonts w:eastAsiaTheme="minorEastAsia"/>
                          <w:b/>
                          <w:bCs/>
                          <w:i/>
                          <w:iCs/>
                          <w:color w:val="000000" w:themeColor="text1"/>
                          <w:sz w:val="19"/>
                          <w:szCs w:val="19"/>
                          <w:lang w:eastAsia="ja-JP"/>
                        </w:rPr>
                      </w:pPr>
                      <w:r w:rsidRPr="001D3803">
                        <w:rPr>
                          <w:rFonts w:ascii="ＭＳ ゴシック" w:eastAsiaTheme="minorEastAsia" w:hAnsi="ＭＳ ゴシック" w:cs="ＭＳ ゴシック" w:hint="eastAsia"/>
                          <w:b/>
                          <w:bCs/>
                          <w:i/>
                          <w:iCs/>
                          <w:color w:val="000000" w:themeColor="text1"/>
                          <w:sz w:val="19"/>
                          <w:szCs w:val="19"/>
                          <w:lang w:eastAsia="ja-JP"/>
                        </w:rPr>
                        <w:t>重要なプロセスについて、データソース、データの質、およびデータの質を改善するために取られた取り組みに関する説</w:t>
                      </w:r>
                      <w:r w:rsidRPr="001D3803">
                        <w:rPr>
                          <w:rFonts w:eastAsiaTheme="minorEastAsia" w:hint="eastAsia"/>
                          <w:b/>
                          <w:bCs/>
                          <w:i/>
                          <w:iCs/>
                          <w:color w:val="000000" w:themeColor="text1"/>
                          <w:sz w:val="19"/>
                          <w:szCs w:val="19"/>
                          <w:lang w:eastAsia="ja-JP"/>
                        </w:rPr>
                        <w:t>明文</w:t>
                      </w:r>
                    </w:p>
                    <w:p w14:paraId="7B07D632" w14:textId="77777777" w:rsidR="003D29F0" w:rsidRPr="001D3803" w:rsidRDefault="003D29F0" w:rsidP="003D29F0">
                      <w:pPr>
                        <w:pStyle w:val="a5"/>
                        <w:spacing w:line="276" w:lineRule="auto"/>
                        <w:ind w:left="420" w:firstLine="0"/>
                        <w:rPr>
                          <w:rFonts w:eastAsiaTheme="minorEastAsia"/>
                          <w:b/>
                          <w:bCs/>
                          <w:i/>
                          <w:iCs/>
                          <w:color w:val="000000" w:themeColor="text1"/>
                          <w:sz w:val="19"/>
                          <w:szCs w:val="19"/>
                          <w:lang w:eastAsia="ja-JP"/>
                        </w:rPr>
                      </w:pPr>
                    </w:p>
                    <w:p w14:paraId="481211EC" w14:textId="77777777" w:rsidR="001D3803" w:rsidRDefault="001D3803" w:rsidP="003A5BA6">
                      <w:pPr>
                        <w:spacing w:line="276" w:lineRule="auto"/>
                        <w:rPr>
                          <w:rFonts w:eastAsiaTheme="minorEastAsia"/>
                          <w:b/>
                          <w:bCs/>
                          <w:i/>
                          <w:iCs/>
                          <w:color w:val="70029C"/>
                          <w:sz w:val="19"/>
                          <w:szCs w:val="19"/>
                          <w:lang w:eastAsia="ja-JP"/>
                        </w:rPr>
                      </w:pPr>
                      <w:r w:rsidRPr="001D3803">
                        <w:rPr>
                          <w:rFonts w:eastAsiaTheme="minorEastAsia" w:hint="eastAsia"/>
                          <w:b/>
                          <w:bCs/>
                          <w:i/>
                          <w:iCs/>
                          <w:color w:val="70029C"/>
                          <w:sz w:val="19"/>
                          <w:szCs w:val="19"/>
                          <w:lang w:eastAsia="ja-JP"/>
                        </w:rPr>
                        <w:t>不確実性</w:t>
                      </w:r>
                    </w:p>
                    <w:p w14:paraId="2444B603" w14:textId="288D1958" w:rsidR="001D3803" w:rsidRPr="001D3803" w:rsidRDefault="001D3803">
                      <w:pPr>
                        <w:pStyle w:val="a5"/>
                        <w:numPr>
                          <w:ilvl w:val="0"/>
                          <w:numId w:val="92"/>
                        </w:numPr>
                        <w:spacing w:line="276" w:lineRule="auto"/>
                        <w:rPr>
                          <w:rFonts w:eastAsiaTheme="minorEastAsia"/>
                          <w:b/>
                          <w:bCs/>
                          <w:i/>
                          <w:iCs/>
                          <w:color w:val="000000" w:themeColor="text1"/>
                          <w:sz w:val="19"/>
                          <w:szCs w:val="19"/>
                          <w:lang w:eastAsia="ja-JP"/>
                        </w:rPr>
                      </w:pPr>
                      <w:r w:rsidRPr="001D3803">
                        <w:rPr>
                          <w:rFonts w:ascii="ＭＳ ゴシック" w:eastAsiaTheme="minorEastAsia" w:hAnsi="ＭＳ ゴシック" w:cs="ＭＳ ゴシック" w:hint="eastAsia"/>
                          <w:b/>
                          <w:bCs/>
                          <w:i/>
                          <w:iCs/>
                          <w:color w:val="000000" w:themeColor="text1"/>
                          <w:sz w:val="19"/>
                          <w:szCs w:val="19"/>
                          <w:lang w:eastAsia="ja-JP"/>
                        </w:rPr>
                        <w:t>報告書の不確実性と方法論の選択に関する定性的な記述。方法論的な選択肢は以下の通り。</w:t>
                      </w:r>
                    </w:p>
                    <w:p w14:paraId="7B074B28" w14:textId="77777777" w:rsidR="001D3803" w:rsidRPr="001D3803" w:rsidRDefault="001D3803" w:rsidP="003A5BA6">
                      <w:pPr>
                        <w:spacing w:line="276" w:lineRule="auto"/>
                        <w:rPr>
                          <w:rFonts w:eastAsiaTheme="minorEastAsia"/>
                          <w:b/>
                          <w:bCs/>
                          <w:i/>
                          <w:iCs/>
                          <w:color w:val="000000" w:themeColor="text1"/>
                          <w:sz w:val="19"/>
                          <w:szCs w:val="19"/>
                          <w:lang w:eastAsia="ja-JP"/>
                        </w:rPr>
                      </w:pPr>
                      <w:r w:rsidRPr="001D3803">
                        <w:rPr>
                          <w:rFonts w:eastAsiaTheme="minorEastAsia" w:hint="eastAsia"/>
                          <w:b/>
                          <w:bCs/>
                          <w:i/>
                          <w:iCs/>
                          <w:color w:val="000000" w:themeColor="text1"/>
                          <w:sz w:val="19"/>
                          <w:szCs w:val="19"/>
                          <w:lang w:eastAsia="ja-JP"/>
                        </w:rPr>
                        <w:t>・使用および使用済み製品のプロファイル　　　　・リサイクルによる配分を含む配分方法</w:t>
                      </w:r>
                    </w:p>
                    <w:p w14:paraId="0A513DDC" w14:textId="58D01FC3" w:rsidR="003D29F0" w:rsidRDefault="001D3803" w:rsidP="003A5BA6">
                      <w:pPr>
                        <w:spacing w:line="276" w:lineRule="auto"/>
                        <w:rPr>
                          <w:rFonts w:eastAsiaTheme="minorEastAsia"/>
                          <w:b/>
                          <w:bCs/>
                          <w:i/>
                          <w:iCs/>
                          <w:color w:val="000000" w:themeColor="text1"/>
                          <w:sz w:val="19"/>
                          <w:szCs w:val="19"/>
                          <w:lang w:eastAsia="ja-JP"/>
                        </w:rPr>
                      </w:pPr>
                      <w:r w:rsidRPr="001D3803">
                        <w:rPr>
                          <w:rFonts w:eastAsiaTheme="minorEastAsia" w:hint="eastAsia"/>
                          <w:b/>
                          <w:bCs/>
                          <w:i/>
                          <w:iCs/>
                          <w:color w:val="000000" w:themeColor="text1"/>
                          <w:sz w:val="19"/>
                          <w:szCs w:val="19"/>
                          <w:lang w:eastAsia="ja-JP"/>
                        </w:rPr>
                        <w:t>・使用した地球温暖化係数（</w:t>
                      </w:r>
                      <w:r w:rsidRPr="001D3803">
                        <w:rPr>
                          <w:rFonts w:eastAsiaTheme="minorEastAsia"/>
                          <w:b/>
                          <w:bCs/>
                          <w:i/>
                          <w:iCs/>
                          <w:color w:val="000000" w:themeColor="text1"/>
                          <w:sz w:val="19"/>
                          <w:szCs w:val="19"/>
                          <w:lang w:eastAsia="ja-JP"/>
                        </w:rPr>
                        <w:t>GWP</w:t>
                      </w:r>
                      <w:r w:rsidRPr="001D3803">
                        <w:rPr>
                          <w:rFonts w:eastAsiaTheme="minorEastAsia" w:hint="eastAsia"/>
                          <w:b/>
                          <w:bCs/>
                          <w:i/>
                          <w:iCs/>
                          <w:color w:val="000000" w:themeColor="text1"/>
                          <w:sz w:val="19"/>
                          <w:szCs w:val="19"/>
                          <w:lang w:eastAsia="ja-JP"/>
                        </w:rPr>
                        <w:t>）の出所</w:t>
                      </w:r>
                      <w:r w:rsidRPr="001D3803">
                        <w:rPr>
                          <w:rFonts w:eastAsiaTheme="minorEastAsia"/>
                          <w:b/>
                          <w:bCs/>
                          <w:i/>
                          <w:iCs/>
                          <w:color w:val="000000" w:themeColor="text1"/>
                          <w:sz w:val="19"/>
                          <w:szCs w:val="19"/>
                          <w:lang w:eastAsia="ja-JP"/>
                        </w:rPr>
                        <w:t xml:space="preserve"> </w:t>
                      </w:r>
                      <w:r w:rsidRPr="001D3803">
                        <w:rPr>
                          <w:rFonts w:eastAsiaTheme="minorEastAsia" w:hint="eastAsia"/>
                          <w:b/>
                          <w:bCs/>
                          <w:i/>
                          <w:iCs/>
                          <w:color w:val="000000" w:themeColor="text1"/>
                          <w:sz w:val="19"/>
                          <w:szCs w:val="19"/>
                          <w:lang w:eastAsia="ja-JP"/>
                        </w:rPr>
                        <w:t xml:space="preserve">　　　・計算モデル</w:t>
                      </w:r>
                    </w:p>
                    <w:p w14:paraId="435F4FD6" w14:textId="77777777" w:rsidR="003D29F0" w:rsidRDefault="003D29F0" w:rsidP="003A5BA6">
                      <w:pPr>
                        <w:spacing w:line="276" w:lineRule="auto"/>
                        <w:rPr>
                          <w:rFonts w:eastAsiaTheme="minorEastAsia"/>
                          <w:b/>
                          <w:bCs/>
                          <w:i/>
                          <w:iCs/>
                          <w:color w:val="000000" w:themeColor="text1"/>
                          <w:sz w:val="19"/>
                          <w:szCs w:val="19"/>
                          <w:lang w:eastAsia="ja-JP"/>
                        </w:rPr>
                      </w:pPr>
                    </w:p>
                    <w:p w14:paraId="6C46E4DE" w14:textId="77777777" w:rsidR="001D3803" w:rsidRDefault="001D3803" w:rsidP="003A5BA6">
                      <w:pPr>
                        <w:spacing w:line="276" w:lineRule="auto"/>
                        <w:rPr>
                          <w:rFonts w:eastAsiaTheme="minorEastAsia"/>
                          <w:b/>
                          <w:bCs/>
                          <w:i/>
                          <w:iCs/>
                          <w:color w:val="000000" w:themeColor="text1"/>
                          <w:sz w:val="19"/>
                          <w:szCs w:val="19"/>
                          <w:lang w:eastAsia="ja-JP"/>
                        </w:rPr>
                      </w:pPr>
                      <w:r w:rsidRPr="001D3803">
                        <w:rPr>
                          <w:rFonts w:eastAsiaTheme="minorEastAsia" w:hint="eastAsia"/>
                          <w:b/>
                          <w:bCs/>
                          <w:i/>
                          <w:iCs/>
                          <w:color w:val="70029C"/>
                          <w:sz w:val="19"/>
                          <w:szCs w:val="19"/>
                          <w:lang w:eastAsia="ja-JP"/>
                        </w:rPr>
                        <w:t>算出結果</w:t>
                      </w:r>
                    </w:p>
                    <w:p w14:paraId="5A945AFA" w14:textId="77777777" w:rsidR="001D3803" w:rsidRDefault="001D3803">
                      <w:pPr>
                        <w:pStyle w:val="a5"/>
                        <w:numPr>
                          <w:ilvl w:val="0"/>
                          <w:numId w:val="92"/>
                        </w:numPr>
                        <w:spacing w:line="276" w:lineRule="auto"/>
                        <w:rPr>
                          <w:rFonts w:eastAsiaTheme="minorEastAsia"/>
                          <w:b/>
                          <w:bCs/>
                          <w:i/>
                          <w:iCs/>
                          <w:color w:val="000000" w:themeColor="text1"/>
                          <w:sz w:val="19"/>
                          <w:szCs w:val="19"/>
                          <w:lang w:eastAsia="ja-JP"/>
                        </w:rPr>
                      </w:pPr>
                      <w:r w:rsidRPr="001D3803">
                        <w:rPr>
                          <w:rFonts w:ascii="ＭＳ ゴシック" w:eastAsiaTheme="minorEastAsia" w:hAnsi="ＭＳ ゴシック" w:cs="ＭＳ ゴシック" w:hint="eastAsia"/>
                          <w:b/>
                          <w:bCs/>
                          <w:i/>
                          <w:iCs/>
                          <w:color w:val="000000" w:themeColor="text1"/>
                          <w:sz w:val="19"/>
                          <w:szCs w:val="19"/>
                          <w:lang w:eastAsia="ja-JP"/>
                        </w:rPr>
                        <w:t>使用した</w:t>
                      </w:r>
                      <w:r w:rsidRPr="001D3803">
                        <w:rPr>
                          <w:rFonts w:eastAsiaTheme="minorEastAsia"/>
                          <w:b/>
                          <w:bCs/>
                          <w:i/>
                          <w:iCs/>
                          <w:color w:val="000000" w:themeColor="text1"/>
                          <w:sz w:val="19"/>
                          <w:szCs w:val="19"/>
                          <w:lang w:eastAsia="ja-JP"/>
                        </w:rPr>
                        <w:t>GWP</w:t>
                      </w:r>
                      <w:r w:rsidRPr="001D3803">
                        <w:rPr>
                          <w:rFonts w:eastAsiaTheme="minorEastAsia" w:hint="eastAsia"/>
                          <w:b/>
                          <w:bCs/>
                          <w:i/>
                          <w:iCs/>
                          <w:color w:val="000000" w:themeColor="text1"/>
                          <w:sz w:val="19"/>
                          <w:szCs w:val="19"/>
                          <w:lang w:eastAsia="ja-JP"/>
                        </w:rPr>
                        <w:t>係数の出典と日付</w:t>
                      </w:r>
                    </w:p>
                    <w:p w14:paraId="5E61D2A7" w14:textId="77777777" w:rsidR="001D3803" w:rsidRDefault="001D3803">
                      <w:pPr>
                        <w:pStyle w:val="a5"/>
                        <w:numPr>
                          <w:ilvl w:val="0"/>
                          <w:numId w:val="92"/>
                        </w:numPr>
                        <w:spacing w:line="276" w:lineRule="auto"/>
                        <w:rPr>
                          <w:rFonts w:eastAsiaTheme="minorEastAsia"/>
                          <w:b/>
                          <w:bCs/>
                          <w:i/>
                          <w:iCs/>
                          <w:color w:val="000000" w:themeColor="text1"/>
                          <w:sz w:val="19"/>
                          <w:szCs w:val="19"/>
                          <w:lang w:eastAsia="ja-JP"/>
                        </w:rPr>
                      </w:pPr>
                      <w:r w:rsidRPr="001D3803">
                        <w:rPr>
                          <w:rFonts w:eastAsiaTheme="minorEastAsia" w:hint="eastAsia"/>
                          <w:b/>
                          <w:bCs/>
                          <w:i/>
                          <w:iCs/>
                          <w:color w:val="000000" w:themeColor="text1"/>
                          <w:sz w:val="19"/>
                          <w:szCs w:val="19"/>
                          <w:lang w:eastAsia="ja-JP"/>
                        </w:rPr>
                        <w:t>生物起源の排出源、非生物起源の排出源、土地利用変化による影響など、算出範囲に含まれる全ての排出と除去を含む、分析単位あたりの排出量集計結果</w:t>
                      </w:r>
                    </w:p>
                    <w:p w14:paraId="0493380B" w14:textId="77777777" w:rsidR="001D3803" w:rsidRDefault="001D3803">
                      <w:pPr>
                        <w:pStyle w:val="a5"/>
                        <w:numPr>
                          <w:ilvl w:val="0"/>
                          <w:numId w:val="92"/>
                        </w:numPr>
                        <w:spacing w:line="276" w:lineRule="auto"/>
                        <w:rPr>
                          <w:rFonts w:eastAsiaTheme="minorEastAsia"/>
                          <w:b/>
                          <w:bCs/>
                          <w:i/>
                          <w:iCs/>
                          <w:color w:val="000000" w:themeColor="text1"/>
                          <w:sz w:val="19"/>
                          <w:szCs w:val="19"/>
                          <w:lang w:eastAsia="ja-JP"/>
                        </w:rPr>
                      </w:pPr>
                      <w:r w:rsidRPr="001D3803">
                        <w:rPr>
                          <w:rFonts w:eastAsiaTheme="minorEastAsia" w:hint="eastAsia"/>
                          <w:b/>
                          <w:bCs/>
                          <w:i/>
                          <w:iCs/>
                          <w:color w:val="000000" w:themeColor="text1"/>
                          <w:sz w:val="19"/>
                          <w:szCs w:val="19"/>
                          <w:lang w:eastAsia="ja-JP"/>
                        </w:rPr>
                        <w:t>ライフサイクルステージ別の総排出結果の割合</w:t>
                      </w:r>
                    </w:p>
                    <w:p w14:paraId="207F39C5" w14:textId="77777777" w:rsidR="001D3803" w:rsidRDefault="001D3803">
                      <w:pPr>
                        <w:pStyle w:val="a5"/>
                        <w:numPr>
                          <w:ilvl w:val="0"/>
                          <w:numId w:val="92"/>
                        </w:numPr>
                        <w:spacing w:line="276" w:lineRule="auto"/>
                        <w:rPr>
                          <w:rFonts w:eastAsiaTheme="minorEastAsia"/>
                          <w:b/>
                          <w:bCs/>
                          <w:i/>
                          <w:iCs/>
                          <w:color w:val="000000" w:themeColor="text1"/>
                          <w:sz w:val="19"/>
                          <w:szCs w:val="19"/>
                          <w:lang w:eastAsia="ja-JP"/>
                        </w:rPr>
                      </w:pPr>
                      <w:r w:rsidRPr="001D3803">
                        <w:rPr>
                          <w:rFonts w:eastAsiaTheme="minorEastAsia" w:hint="eastAsia"/>
                          <w:b/>
                          <w:bCs/>
                          <w:i/>
                          <w:iCs/>
                          <w:color w:val="000000" w:themeColor="text1"/>
                          <w:sz w:val="19"/>
                          <w:szCs w:val="19"/>
                          <w:lang w:eastAsia="ja-JP"/>
                        </w:rPr>
                        <w:t>該当する場合、生物起源と非生物起源を別々にした排出、削減量</w:t>
                      </w:r>
                    </w:p>
                    <w:p w14:paraId="346C4F36" w14:textId="77777777" w:rsidR="001D3803" w:rsidRDefault="001D3803">
                      <w:pPr>
                        <w:pStyle w:val="a5"/>
                        <w:numPr>
                          <w:ilvl w:val="0"/>
                          <w:numId w:val="92"/>
                        </w:numPr>
                        <w:spacing w:line="276" w:lineRule="auto"/>
                        <w:rPr>
                          <w:rFonts w:eastAsiaTheme="minorEastAsia"/>
                          <w:b/>
                          <w:bCs/>
                          <w:i/>
                          <w:iCs/>
                          <w:color w:val="000000" w:themeColor="text1"/>
                          <w:sz w:val="19"/>
                          <w:szCs w:val="19"/>
                          <w:lang w:eastAsia="ja-JP"/>
                        </w:rPr>
                      </w:pPr>
                      <w:r w:rsidRPr="001D3803">
                        <w:rPr>
                          <w:rFonts w:eastAsiaTheme="minorEastAsia" w:hint="eastAsia"/>
                          <w:b/>
                          <w:bCs/>
                          <w:i/>
                          <w:iCs/>
                          <w:color w:val="000000" w:themeColor="text1"/>
                          <w:sz w:val="19"/>
                          <w:szCs w:val="19"/>
                          <w:lang w:eastAsia="ja-JP"/>
                        </w:rPr>
                        <w:t>該当する場合、土地利用への影響を区分した記載</w:t>
                      </w:r>
                    </w:p>
                    <w:p w14:paraId="4BA578BD" w14:textId="68C94D7F" w:rsidR="001D3803" w:rsidRDefault="001E02F9">
                      <w:pPr>
                        <w:pStyle w:val="a5"/>
                        <w:numPr>
                          <w:ilvl w:val="0"/>
                          <w:numId w:val="92"/>
                        </w:numPr>
                        <w:spacing w:line="276" w:lineRule="auto"/>
                        <w:rPr>
                          <w:rFonts w:eastAsiaTheme="minorEastAsia"/>
                          <w:b/>
                          <w:bCs/>
                          <w:i/>
                          <w:iCs/>
                          <w:color w:val="000000" w:themeColor="text1"/>
                          <w:sz w:val="19"/>
                          <w:szCs w:val="19"/>
                          <w:lang w:eastAsia="ja-JP"/>
                        </w:rPr>
                      </w:pPr>
                      <w:r>
                        <w:rPr>
                          <w:rFonts w:eastAsiaTheme="minorEastAsia" w:hint="eastAsia"/>
                          <w:b/>
                          <w:bCs/>
                          <w:i/>
                          <w:iCs/>
                          <w:color w:val="000000" w:themeColor="text1"/>
                          <w:sz w:val="19"/>
                          <w:szCs w:val="19"/>
                          <w:lang w:eastAsia="ja-JP"/>
                        </w:rPr>
                        <w:t>生産から出荷</w:t>
                      </w:r>
                      <w:r w:rsidR="001D3803" w:rsidRPr="001D3803">
                        <w:rPr>
                          <w:rFonts w:eastAsiaTheme="minorEastAsia" w:hint="eastAsia"/>
                          <w:b/>
                          <w:bCs/>
                          <w:i/>
                          <w:iCs/>
                          <w:color w:val="000000" w:themeColor="text1"/>
                          <w:sz w:val="19"/>
                          <w:szCs w:val="19"/>
                          <w:lang w:eastAsia="ja-JP"/>
                        </w:rPr>
                        <w:t>までと、ゲートからゲートまでの算出結果を別々に記載する（あるいは、機密保持が制約となることを明確に示す）</w:t>
                      </w:r>
                    </w:p>
                    <w:p w14:paraId="7CD2151C" w14:textId="77777777" w:rsidR="001D3803" w:rsidRDefault="001D3803">
                      <w:pPr>
                        <w:pStyle w:val="a5"/>
                        <w:numPr>
                          <w:ilvl w:val="0"/>
                          <w:numId w:val="92"/>
                        </w:numPr>
                        <w:spacing w:line="276" w:lineRule="auto"/>
                        <w:rPr>
                          <w:rFonts w:eastAsiaTheme="minorEastAsia"/>
                          <w:b/>
                          <w:bCs/>
                          <w:i/>
                          <w:iCs/>
                          <w:color w:val="000000" w:themeColor="text1"/>
                          <w:sz w:val="19"/>
                          <w:szCs w:val="19"/>
                          <w:lang w:eastAsia="ja-JP"/>
                        </w:rPr>
                      </w:pPr>
                      <w:r w:rsidRPr="001D3803">
                        <w:rPr>
                          <w:rFonts w:eastAsiaTheme="minorEastAsia" w:hint="eastAsia"/>
                          <w:b/>
                          <w:bCs/>
                          <w:i/>
                          <w:iCs/>
                          <w:color w:val="000000" w:themeColor="text1"/>
                          <w:sz w:val="19"/>
                          <w:szCs w:val="19"/>
                          <w:lang w:eastAsia="ja-JP"/>
                        </w:rPr>
                        <w:t>製品またはその部品に含まれ、廃棄物処理中に大気中に放出されなかった炭素の量</w:t>
                      </w:r>
                    </w:p>
                    <w:p w14:paraId="296BEF2D" w14:textId="1169EA4D" w:rsidR="001D3803" w:rsidRDefault="001E02F9">
                      <w:pPr>
                        <w:pStyle w:val="a5"/>
                        <w:numPr>
                          <w:ilvl w:val="0"/>
                          <w:numId w:val="92"/>
                        </w:numPr>
                        <w:spacing w:line="276" w:lineRule="auto"/>
                        <w:rPr>
                          <w:rFonts w:eastAsiaTheme="minorEastAsia"/>
                          <w:b/>
                          <w:bCs/>
                          <w:i/>
                          <w:iCs/>
                          <w:color w:val="000000" w:themeColor="text1"/>
                          <w:sz w:val="19"/>
                          <w:szCs w:val="19"/>
                          <w:lang w:eastAsia="ja-JP"/>
                        </w:rPr>
                      </w:pPr>
                      <w:r>
                        <w:rPr>
                          <w:rFonts w:eastAsiaTheme="minorEastAsia" w:hint="eastAsia"/>
                          <w:b/>
                          <w:bCs/>
                          <w:i/>
                          <w:iCs/>
                          <w:color w:val="000000" w:themeColor="text1"/>
                          <w:sz w:val="19"/>
                          <w:szCs w:val="19"/>
                          <w:lang w:eastAsia="ja-JP"/>
                        </w:rPr>
                        <w:t>生産から出荷</w:t>
                      </w:r>
                      <w:r w:rsidR="001D3803" w:rsidRPr="001D3803">
                        <w:rPr>
                          <w:rFonts w:eastAsiaTheme="minorEastAsia" w:hint="eastAsia"/>
                          <w:b/>
                          <w:bCs/>
                          <w:i/>
                          <w:iCs/>
                          <w:color w:val="000000" w:themeColor="text1"/>
                          <w:sz w:val="19"/>
                          <w:szCs w:val="19"/>
                          <w:lang w:eastAsia="ja-JP"/>
                        </w:rPr>
                        <w:t>までの排出量では、中間製品に含まれる炭素の量</w:t>
                      </w:r>
                    </w:p>
                  </w:txbxContent>
                </v:textbox>
              </v:roundrect>
            </w:pict>
          </mc:Fallback>
        </mc:AlternateContent>
      </w:r>
    </w:p>
    <w:p w14:paraId="1C289384" w14:textId="77777777" w:rsidR="0055291C" w:rsidRDefault="0055291C">
      <w:pPr>
        <w:pStyle w:val="a3"/>
        <w:rPr>
          <w:rFonts w:ascii="Arial"/>
          <w:b/>
          <w:i/>
          <w:sz w:val="20"/>
        </w:rPr>
      </w:pPr>
    </w:p>
    <w:p w14:paraId="5BAFF3BC" w14:textId="77777777" w:rsidR="0055291C" w:rsidRDefault="0055291C">
      <w:pPr>
        <w:pStyle w:val="a3"/>
        <w:rPr>
          <w:rFonts w:ascii="Arial"/>
          <w:b/>
          <w:i/>
          <w:sz w:val="20"/>
        </w:rPr>
      </w:pPr>
    </w:p>
    <w:p w14:paraId="082669C3" w14:textId="77777777" w:rsidR="0055291C" w:rsidRDefault="0055291C">
      <w:pPr>
        <w:pStyle w:val="a3"/>
        <w:rPr>
          <w:rFonts w:ascii="Arial"/>
          <w:b/>
          <w:i/>
          <w:sz w:val="20"/>
        </w:rPr>
      </w:pPr>
    </w:p>
    <w:p w14:paraId="44B417FC" w14:textId="77777777" w:rsidR="0055291C" w:rsidRDefault="0055291C">
      <w:pPr>
        <w:pStyle w:val="a3"/>
        <w:spacing w:before="1"/>
        <w:rPr>
          <w:rFonts w:ascii="Arial"/>
          <w:b/>
          <w:i/>
          <w:sz w:val="23"/>
        </w:rPr>
      </w:pPr>
    </w:p>
    <w:p w14:paraId="4C08F696" w14:textId="77777777" w:rsidR="0055291C" w:rsidRDefault="00000000">
      <w:pPr>
        <w:ind w:right="1121"/>
        <w:jc w:val="right"/>
        <w:rPr>
          <w:rFonts w:ascii="Arial"/>
          <w:i/>
          <w:sz w:val="19"/>
        </w:rPr>
      </w:pPr>
      <w:r>
        <w:pict w14:anchorId="37CF3D2C">
          <v:shape id="docshape1448" o:spid="_x0000_s2404" style="position:absolute;left:0;text-align:left;margin-left:580.75pt;margin-top:-47.8pt;width:31.3pt;height:285.85pt;z-index:251642368;mso-position-horizontal-relative:page" coordorigin="11615,-956" coordsize="626,5717" path="m12240,-956r-625,l11615,4534r3,131l11643,4732r67,25l11842,4760r398,l12240,-956xe" fillcolor="#7f3f98" stroked="f">
            <v:path arrowok="t"/>
            <w10:wrap anchorx="page"/>
          </v:shape>
        </w:pict>
      </w:r>
      <w:r w:rsidR="00F23C61">
        <w:rPr>
          <w:rFonts w:ascii="Arial"/>
          <w:b/>
          <w:i/>
          <w:color w:val="7F3F98"/>
          <w:sz w:val="19"/>
        </w:rPr>
        <w:t>CHAPTER</w:t>
      </w:r>
      <w:r w:rsidR="00F23C61">
        <w:rPr>
          <w:rFonts w:ascii="Arial"/>
          <w:b/>
          <w:i/>
          <w:color w:val="7F3F98"/>
          <w:spacing w:val="5"/>
          <w:sz w:val="19"/>
        </w:rPr>
        <w:t xml:space="preserve"> </w:t>
      </w:r>
      <w:r w:rsidR="00F23C61">
        <w:rPr>
          <w:rFonts w:ascii="Arial"/>
          <w:b/>
          <w:i/>
          <w:color w:val="7F3F98"/>
          <w:sz w:val="19"/>
        </w:rPr>
        <w:t>13</w:t>
      </w:r>
      <w:r w:rsidR="00F23C61">
        <w:rPr>
          <w:rFonts w:ascii="Arial"/>
          <w:b/>
          <w:i/>
          <w:color w:val="7F3F98"/>
          <w:spacing w:val="6"/>
          <w:sz w:val="19"/>
        </w:rPr>
        <w:t xml:space="preserve"> </w:t>
      </w:r>
      <w:r w:rsidR="00F23C61">
        <w:rPr>
          <w:rFonts w:ascii="Arial"/>
          <w:i/>
          <w:color w:val="545456"/>
          <w:sz w:val="19"/>
        </w:rPr>
        <w:t>Reporting</w:t>
      </w:r>
    </w:p>
    <w:p w14:paraId="0EE8C2BE" w14:textId="77777777" w:rsidR="0055291C" w:rsidRDefault="0055291C">
      <w:pPr>
        <w:pStyle w:val="a3"/>
        <w:rPr>
          <w:rFonts w:ascii="Arial"/>
          <w:i/>
          <w:sz w:val="20"/>
        </w:rPr>
      </w:pPr>
    </w:p>
    <w:p w14:paraId="1283BC3B" w14:textId="632D510B" w:rsidR="0055291C" w:rsidRDefault="0055291C">
      <w:pPr>
        <w:pStyle w:val="a3"/>
        <w:spacing w:before="9"/>
        <w:rPr>
          <w:rFonts w:ascii="Arial"/>
          <w:i/>
          <w:sz w:val="23"/>
        </w:rPr>
      </w:pPr>
    </w:p>
    <w:p w14:paraId="62D8E8AA" w14:textId="77777777" w:rsidR="0055291C" w:rsidRDefault="0055291C">
      <w:pPr>
        <w:rPr>
          <w:rFonts w:ascii="Arial"/>
          <w:sz w:val="23"/>
        </w:rPr>
        <w:sectPr w:rsidR="0055291C">
          <w:headerReference w:type="default" r:id="rId309"/>
          <w:footerReference w:type="default" r:id="rId310"/>
          <w:pgSz w:w="12240" w:h="15840"/>
          <w:pgMar w:top="0" w:right="0" w:bottom="0" w:left="0" w:header="0" w:footer="0" w:gutter="0"/>
          <w:cols w:space="720"/>
        </w:sectPr>
      </w:pPr>
    </w:p>
    <w:p w14:paraId="5B3D1216" w14:textId="08C17417" w:rsidR="0055291C" w:rsidRPr="003A5BA6" w:rsidRDefault="00F23C61" w:rsidP="003A5BA6">
      <w:pPr>
        <w:spacing w:before="99" w:line="278" w:lineRule="auto"/>
        <w:ind w:left="711" w:right="2009"/>
        <w:jc w:val="both"/>
        <w:rPr>
          <w:rFonts w:ascii="Arial"/>
          <w:b/>
          <w:i/>
          <w:sz w:val="21"/>
        </w:rPr>
      </w:pPr>
      <w:r>
        <w:br w:type="column"/>
      </w:r>
      <w:r w:rsidR="00000000">
        <w:pict w14:anchorId="27948FE8">
          <v:shape id="docshape1450" o:spid="_x0000_s2402" type="#_x0000_t202" style="position:absolute;left:0;text-align:left;margin-left:585.65pt;margin-top:-43.2pt;width:17.7pt;height:180.55pt;z-index:251643392;mso-position-horizontal-relative:page" filled="f" stroked="f">
            <v:textbox style="layout-flow:vertical;mso-layout-flow-alt:bottom-to-top;mso-next-textbox:#docshape1450" inset="0,0,0,0">
              <w:txbxContent>
                <w:p w14:paraId="00FAA921" w14:textId="77777777" w:rsidR="0055291C" w:rsidRDefault="00F23C61">
                  <w:pPr>
                    <w:spacing w:before="18"/>
                    <w:ind w:left="20"/>
                    <w:rPr>
                      <w:rFonts w:ascii="Arial"/>
                      <w:b/>
                      <w:i/>
                      <w:sz w:val="28"/>
                    </w:rPr>
                  </w:pPr>
                  <w:r>
                    <w:rPr>
                      <w:rFonts w:ascii="Arial"/>
                      <w:b/>
                      <w:i/>
                      <w:color w:val="F3F4F4"/>
                      <w:sz w:val="28"/>
                    </w:rPr>
                    <w:t>r</w:t>
                  </w:r>
                  <w:r>
                    <w:rPr>
                      <w:rFonts w:ascii="Arial"/>
                      <w:b/>
                      <w:i/>
                      <w:color w:val="F3F4F4"/>
                      <w:spacing w:val="79"/>
                      <w:sz w:val="28"/>
                    </w:rPr>
                    <w:t xml:space="preserve"> </w:t>
                  </w:r>
                  <w:r>
                    <w:rPr>
                      <w:rFonts w:ascii="Arial"/>
                      <w:b/>
                      <w:i/>
                      <w:color w:val="F3F4F4"/>
                      <w:sz w:val="28"/>
                    </w:rPr>
                    <w:t>e</w:t>
                  </w:r>
                  <w:r>
                    <w:rPr>
                      <w:rFonts w:ascii="Arial"/>
                      <w:b/>
                      <w:i/>
                      <w:color w:val="F3F4F4"/>
                      <w:spacing w:val="86"/>
                      <w:sz w:val="28"/>
                    </w:rPr>
                    <w:t xml:space="preserve"> </w:t>
                  </w:r>
                  <w:r>
                    <w:rPr>
                      <w:rFonts w:ascii="Arial"/>
                      <w:b/>
                      <w:i/>
                      <w:color w:val="F3F4F4"/>
                      <w:sz w:val="28"/>
                    </w:rPr>
                    <w:t>q</w:t>
                  </w:r>
                  <w:r>
                    <w:rPr>
                      <w:rFonts w:ascii="Arial"/>
                      <w:b/>
                      <w:i/>
                      <w:color w:val="F3F4F4"/>
                      <w:spacing w:val="86"/>
                      <w:sz w:val="28"/>
                    </w:rPr>
                    <w:t xml:space="preserve"> </w:t>
                  </w:r>
                  <w:r>
                    <w:rPr>
                      <w:rFonts w:ascii="Arial"/>
                      <w:b/>
                      <w:i/>
                      <w:color w:val="F3F4F4"/>
                      <w:sz w:val="28"/>
                    </w:rPr>
                    <w:t>u</w:t>
                  </w:r>
                  <w:r>
                    <w:rPr>
                      <w:rFonts w:ascii="Arial"/>
                      <w:b/>
                      <w:i/>
                      <w:color w:val="F3F4F4"/>
                      <w:spacing w:val="86"/>
                      <w:sz w:val="28"/>
                    </w:rPr>
                    <w:t xml:space="preserve"> </w:t>
                  </w:r>
                  <w:proofErr w:type="spellStart"/>
                  <w:r>
                    <w:rPr>
                      <w:rFonts w:ascii="Arial"/>
                      <w:b/>
                      <w:i/>
                      <w:color w:val="F3F4F4"/>
                      <w:sz w:val="28"/>
                    </w:rPr>
                    <w:t>i</w:t>
                  </w:r>
                  <w:proofErr w:type="spellEnd"/>
                  <w:r>
                    <w:rPr>
                      <w:rFonts w:ascii="Arial"/>
                      <w:b/>
                      <w:i/>
                      <w:color w:val="F3F4F4"/>
                      <w:spacing w:val="85"/>
                      <w:sz w:val="28"/>
                    </w:rPr>
                    <w:t xml:space="preserve"> </w:t>
                  </w:r>
                  <w:r>
                    <w:rPr>
                      <w:rFonts w:ascii="Arial"/>
                      <w:b/>
                      <w:i/>
                      <w:color w:val="F3F4F4"/>
                      <w:sz w:val="28"/>
                    </w:rPr>
                    <w:t>r</w:t>
                  </w:r>
                  <w:r>
                    <w:rPr>
                      <w:rFonts w:ascii="Arial"/>
                      <w:b/>
                      <w:i/>
                      <w:color w:val="F3F4F4"/>
                      <w:spacing w:val="80"/>
                      <w:sz w:val="28"/>
                    </w:rPr>
                    <w:t xml:space="preserve"> </w:t>
                  </w:r>
                  <w:r>
                    <w:rPr>
                      <w:rFonts w:ascii="Arial"/>
                      <w:b/>
                      <w:i/>
                      <w:color w:val="F3F4F4"/>
                      <w:sz w:val="28"/>
                    </w:rPr>
                    <w:t>e</w:t>
                  </w:r>
                  <w:r>
                    <w:rPr>
                      <w:rFonts w:ascii="Arial"/>
                      <w:b/>
                      <w:i/>
                      <w:color w:val="F3F4F4"/>
                      <w:spacing w:val="86"/>
                      <w:sz w:val="28"/>
                    </w:rPr>
                    <w:t xml:space="preserve"> </w:t>
                  </w:r>
                  <w:r>
                    <w:rPr>
                      <w:rFonts w:ascii="Arial"/>
                      <w:b/>
                      <w:i/>
                      <w:color w:val="F3F4F4"/>
                      <w:sz w:val="28"/>
                    </w:rPr>
                    <w:t>m</w:t>
                  </w:r>
                  <w:r>
                    <w:rPr>
                      <w:rFonts w:ascii="Arial"/>
                      <w:b/>
                      <w:i/>
                      <w:color w:val="F3F4F4"/>
                      <w:spacing w:val="86"/>
                      <w:sz w:val="28"/>
                    </w:rPr>
                    <w:t xml:space="preserve"> </w:t>
                  </w:r>
                  <w:r>
                    <w:rPr>
                      <w:rFonts w:ascii="Arial"/>
                      <w:b/>
                      <w:i/>
                      <w:color w:val="F3F4F4"/>
                      <w:sz w:val="28"/>
                    </w:rPr>
                    <w:t>e</w:t>
                  </w:r>
                  <w:r>
                    <w:rPr>
                      <w:rFonts w:ascii="Arial"/>
                      <w:b/>
                      <w:i/>
                      <w:color w:val="F3F4F4"/>
                      <w:spacing w:val="85"/>
                      <w:sz w:val="28"/>
                    </w:rPr>
                    <w:t xml:space="preserve"> </w:t>
                  </w:r>
                  <w:r>
                    <w:rPr>
                      <w:rFonts w:ascii="Arial"/>
                      <w:b/>
                      <w:i/>
                      <w:color w:val="F3F4F4"/>
                      <w:sz w:val="28"/>
                    </w:rPr>
                    <w:t>n</w:t>
                  </w:r>
                  <w:r>
                    <w:rPr>
                      <w:rFonts w:ascii="Arial"/>
                      <w:b/>
                      <w:i/>
                      <w:color w:val="F3F4F4"/>
                      <w:spacing w:val="86"/>
                      <w:sz w:val="28"/>
                    </w:rPr>
                    <w:t xml:space="preserve"> </w:t>
                  </w:r>
                  <w:r>
                    <w:rPr>
                      <w:rFonts w:ascii="Arial"/>
                      <w:b/>
                      <w:i/>
                      <w:color w:val="F3F4F4"/>
                      <w:w w:val="105"/>
                      <w:sz w:val="28"/>
                    </w:rPr>
                    <w:t xml:space="preserve">t  </w:t>
                  </w:r>
                  <w:r>
                    <w:rPr>
                      <w:rFonts w:ascii="Arial"/>
                      <w:b/>
                      <w:i/>
                      <w:color w:val="F3F4F4"/>
                      <w:sz w:val="28"/>
                    </w:rPr>
                    <w:t>s</w:t>
                  </w:r>
                </w:p>
              </w:txbxContent>
            </v:textbox>
            <w10:wrap anchorx="page"/>
          </v:shape>
        </w:pict>
      </w:r>
    </w:p>
    <w:p w14:paraId="50EBC7F5" w14:textId="77777777" w:rsidR="0055291C" w:rsidRDefault="0055291C">
      <w:pPr>
        <w:spacing w:line="278" w:lineRule="auto"/>
        <w:rPr>
          <w:rFonts w:ascii="Arial" w:hAnsi="Arial"/>
          <w:sz w:val="21"/>
        </w:rPr>
        <w:sectPr w:rsidR="0055291C">
          <w:type w:val="continuous"/>
          <w:pgSz w:w="12240" w:h="15840"/>
          <w:pgMar w:top="740" w:right="0" w:bottom="280" w:left="0" w:header="0" w:footer="0" w:gutter="0"/>
          <w:cols w:num="2" w:space="720" w:equalWidth="0">
            <w:col w:w="5675" w:space="40"/>
            <w:col w:w="6525"/>
          </w:cols>
        </w:sectPr>
      </w:pPr>
    </w:p>
    <w:p w14:paraId="0062E669" w14:textId="14423D3D" w:rsidR="0055291C" w:rsidRDefault="00392065">
      <w:pPr>
        <w:spacing w:line="278" w:lineRule="auto"/>
        <w:rPr>
          <w:rFonts w:ascii="Arial" w:hAnsi="Arial"/>
          <w:sz w:val="21"/>
        </w:rPr>
        <w:sectPr w:rsidR="0055291C">
          <w:type w:val="continuous"/>
          <w:pgSz w:w="12240" w:h="15840"/>
          <w:pgMar w:top="740" w:right="0" w:bottom="280" w:left="0" w:header="0" w:footer="0" w:gutter="0"/>
          <w:cols w:space="720"/>
        </w:sectPr>
      </w:pPr>
      <w:r>
        <w:rPr>
          <w:noProof/>
          <w:sz w:val="18"/>
        </w:rPr>
        <mc:AlternateContent>
          <mc:Choice Requires="wps">
            <w:drawing>
              <wp:anchor distT="0" distB="0" distL="114300" distR="114300" simplePos="0" relativeHeight="251516416" behindDoc="0" locked="0" layoutInCell="1" allowOverlap="1" wp14:anchorId="1C5F2770" wp14:editId="2B83519F">
                <wp:simplePos x="0" y="0"/>
                <wp:positionH relativeFrom="column">
                  <wp:posOffset>590550</wp:posOffset>
                </wp:positionH>
                <wp:positionV relativeFrom="paragraph">
                  <wp:posOffset>193040</wp:posOffset>
                </wp:positionV>
                <wp:extent cx="6375400" cy="3771900"/>
                <wp:effectExtent l="0" t="0" r="6350" b="0"/>
                <wp:wrapNone/>
                <wp:docPr id="120" name="四角形: 角を丸くする 120"/>
                <wp:cNvGraphicFramePr/>
                <a:graphic xmlns:a="http://schemas.openxmlformats.org/drawingml/2006/main">
                  <a:graphicData uri="http://schemas.microsoft.com/office/word/2010/wordprocessingShape">
                    <wps:wsp>
                      <wps:cNvSpPr/>
                      <wps:spPr>
                        <a:xfrm>
                          <a:off x="0" y="0"/>
                          <a:ext cx="6375400" cy="3771900"/>
                        </a:xfrm>
                        <a:prstGeom prst="roundRect">
                          <a:avLst>
                            <a:gd name="adj" fmla="val 3591"/>
                          </a:avLst>
                        </a:prstGeom>
                        <a:solidFill>
                          <a:srgbClr val="70029C">
                            <a:alpha val="25098"/>
                          </a:srgbClr>
                        </a:solidFill>
                        <a:ln w="25400" cap="flat" cmpd="sng" algn="ctr">
                          <a:noFill/>
                          <a:prstDash val="solid"/>
                        </a:ln>
                        <a:effectLst/>
                      </wps:spPr>
                      <wps:txbx>
                        <w:txbxContent>
                          <w:p w14:paraId="0BED2475" w14:textId="2D125611" w:rsidR="003A5BA6" w:rsidRPr="003A5BA6" w:rsidRDefault="003A5BA6" w:rsidP="003A5BA6">
                            <w:pPr>
                              <w:spacing w:line="276" w:lineRule="auto"/>
                              <w:rPr>
                                <w:rFonts w:eastAsiaTheme="minorEastAsia"/>
                                <w:b/>
                                <w:bCs/>
                                <w:i/>
                                <w:iCs/>
                                <w:color w:val="70029C"/>
                                <w:sz w:val="19"/>
                                <w:szCs w:val="19"/>
                                <w:lang w:eastAsia="ja-JP"/>
                              </w:rPr>
                            </w:pPr>
                            <w:r w:rsidRPr="003A5BA6">
                              <w:rPr>
                                <w:rFonts w:eastAsiaTheme="minorEastAsia" w:hint="eastAsia"/>
                                <w:b/>
                                <w:bCs/>
                                <w:i/>
                                <w:iCs/>
                                <w:color w:val="70029C"/>
                                <w:sz w:val="19"/>
                                <w:szCs w:val="19"/>
                                <w:lang w:eastAsia="ja-JP"/>
                              </w:rPr>
                              <w:t>保証</w:t>
                            </w:r>
                          </w:p>
                          <w:p w14:paraId="239C6363" w14:textId="1A57DFE2" w:rsidR="003A5BA6" w:rsidRPr="003A5BA6" w:rsidRDefault="003A5BA6">
                            <w:pPr>
                              <w:pStyle w:val="a5"/>
                              <w:numPr>
                                <w:ilvl w:val="0"/>
                                <w:numId w:val="93"/>
                              </w:numPr>
                              <w:spacing w:line="276" w:lineRule="auto"/>
                              <w:rPr>
                                <w:rFonts w:eastAsiaTheme="minorEastAsia"/>
                                <w:b/>
                                <w:bCs/>
                                <w:i/>
                                <w:iCs/>
                                <w:color w:val="000000" w:themeColor="text1"/>
                                <w:sz w:val="19"/>
                                <w:szCs w:val="19"/>
                                <w:lang w:eastAsia="ja-JP"/>
                              </w:rPr>
                            </w:pPr>
                            <w:r w:rsidRPr="003A5BA6">
                              <w:rPr>
                                <w:rFonts w:ascii="ＭＳ ゴシック" w:eastAsiaTheme="minorEastAsia" w:hAnsi="ＭＳ ゴシック" w:cs="ＭＳ ゴシック" w:hint="eastAsia"/>
                                <w:b/>
                                <w:bCs/>
                                <w:i/>
                                <w:iCs/>
                                <w:color w:val="000000" w:themeColor="text1"/>
                                <w:sz w:val="19"/>
                                <w:szCs w:val="19"/>
                                <w:lang w:eastAsia="ja-JP"/>
                              </w:rPr>
                              <w:t>以下を含む保証</w:t>
                            </w:r>
                          </w:p>
                          <w:p w14:paraId="419DA05C" w14:textId="77777777" w:rsidR="003A5BA6" w:rsidRPr="003A5BA6" w:rsidRDefault="003A5BA6" w:rsidP="003A5BA6">
                            <w:pPr>
                              <w:spacing w:line="276" w:lineRule="auto"/>
                              <w:rPr>
                                <w:rFonts w:eastAsiaTheme="minorEastAsia"/>
                                <w:b/>
                                <w:bCs/>
                                <w:i/>
                                <w:iCs/>
                                <w:color w:val="000000" w:themeColor="text1"/>
                                <w:sz w:val="19"/>
                                <w:szCs w:val="19"/>
                                <w:lang w:eastAsia="ja-JP"/>
                              </w:rPr>
                            </w:pPr>
                            <w:r w:rsidRPr="003A5BA6">
                              <w:rPr>
                                <w:rFonts w:eastAsiaTheme="minorEastAsia" w:hint="eastAsia"/>
                                <w:b/>
                                <w:bCs/>
                                <w:i/>
                                <w:iCs/>
                                <w:color w:val="000000" w:themeColor="text1"/>
                                <w:sz w:val="19"/>
                                <w:szCs w:val="19"/>
                                <w:lang w:eastAsia="ja-JP"/>
                              </w:rPr>
                              <w:t>・</w:t>
                            </w:r>
                            <w:r w:rsidRPr="003A5BA6">
                              <w:rPr>
                                <w:rFonts w:eastAsiaTheme="minorEastAsia"/>
                                <w:b/>
                                <w:bCs/>
                                <w:i/>
                                <w:iCs/>
                                <w:color w:val="000000" w:themeColor="text1"/>
                                <w:sz w:val="19"/>
                                <w:szCs w:val="19"/>
                                <w:lang w:eastAsia="ja-JP"/>
                              </w:rPr>
                              <w:t xml:space="preserve"> </w:t>
                            </w:r>
                            <w:r w:rsidRPr="003A5BA6">
                              <w:rPr>
                                <w:rFonts w:eastAsiaTheme="minorEastAsia" w:hint="eastAsia"/>
                                <w:b/>
                                <w:bCs/>
                                <w:i/>
                                <w:iCs/>
                                <w:color w:val="000000" w:themeColor="text1"/>
                                <w:sz w:val="19"/>
                                <w:szCs w:val="19"/>
                                <w:lang w:eastAsia="ja-JP"/>
                              </w:rPr>
                              <w:t>保証が企業と第三者のどちらによって行われたか。</w:t>
                            </w:r>
                          </w:p>
                          <w:p w14:paraId="571DC9A1" w14:textId="77777777" w:rsidR="003A5BA6" w:rsidRPr="003A5BA6" w:rsidRDefault="003A5BA6" w:rsidP="003A5BA6">
                            <w:pPr>
                              <w:spacing w:line="276" w:lineRule="auto"/>
                              <w:rPr>
                                <w:rFonts w:eastAsiaTheme="minorEastAsia"/>
                                <w:b/>
                                <w:bCs/>
                                <w:i/>
                                <w:iCs/>
                                <w:color w:val="000000" w:themeColor="text1"/>
                                <w:sz w:val="19"/>
                                <w:szCs w:val="19"/>
                                <w:lang w:eastAsia="ja-JP"/>
                              </w:rPr>
                            </w:pPr>
                            <w:r w:rsidRPr="003A5BA6">
                              <w:rPr>
                                <w:rFonts w:eastAsiaTheme="minorEastAsia" w:hint="eastAsia"/>
                                <w:b/>
                                <w:bCs/>
                                <w:i/>
                                <w:iCs/>
                                <w:color w:val="000000" w:themeColor="text1"/>
                                <w:sz w:val="19"/>
                                <w:szCs w:val="19"/>
                                <w:lang w:eastAsia="ja-JP"/>
                              </w:rPr>
                              <w:t>・</w:t>
                            </w:r>
                            <w:r w:rsidRPr="003A5BA6">
                              <w:rPr>
                                <w:rFonts w:eastAsiaTheme="minorEastAsia"/>
                                <w:b/>
                                <w:bCs/>
                                <w:i/>
                                <w:iCs/>
                                <w:color w:val="000000" w:themeColor="text1"/>
                                <w:sz w:val="19"/>
                                <w:szCs w:val="19"/>
                                <w:lang w:eastAsia="ja-JP"/>
                              </w:rPr>
                              <w:t xml:space="preserve"> </w:t>
                            </w:r>
                            <w:r w:rsidRPr="003A5BA6">
                              <w:rPr>
                                <w:rFonts w:eastAsiaTheme="minorEastAsia" w:hint="eastAsia"/>
                                <w:b/>
                                <w:bCs/>
                                <w:i/>
                                <w:iCs/>
                                <w:color w:val="000000" w:themeColor="text1"/>
                                <w:sz w:val="19"/>
                                <w:szCs w:val="19"/>
                                <w:lang w:eastAsia="ja-JP"/>
                              </w:rPr>
                              <w:t>保証意見又は重要なレビューを含む、達成された保証のレベル（限定的又は合理的）</w:t>
                            </w:r>
                          </w:p>
                          <w:p w14:paraId="2CCD0805" w14:textId="77777777" w:rsidR="003A5BA6" w:rsidRPr="003A5BA6" w:rsidRDefault="003A5BA6" w:rsidP="003A5BA6">
                            <w:pPr>
                              <w:spacing w:line="276" w:lineRule="auto"/>
                              <w:rPr>
                                <w:rFonts w:eastAsiaTheme="minorEastAsia"/>
                                <w:b/>
                                <w:bCs/>
                                <w:i/>
                                <w:iCs/>
                                <w:color w:val="000000" w:themeColor="text1"/>
                                <w:sz w:val="19"/>
                                <w:szCs w:val="19"/>
                                <w:lang w:eastAsia="ja-JP"/>
                              </w:rPr>
                            </w:pPr>
                            <w:r w:rsidRPr="003A5BA6">
                              <w:rPr>
                                <w:rFonts w:eastAsiaTheme="minorEastAsia" w:hint="eastAsia"/>
                                <w:b/>
                                <w:bCs/>
                                <w:i/>
                                <w:iCs/>
                                <w:color w:val="000000" w:themeColor="text1"/>
                                <w:sz w:val="19"/>
                                <w:szCs w:val="19"/>
                                <w:lang w:eastAsia="ja-JP"/>
                              </w:rPr>
                              <w:t>・</w:t>
                            </w:r>
                            <w:r w:rsidRPr="003A5BA6">
                              <w:rPr>
                                <w:rFonts w:eastAsiaTheme="minorEastAsia"/>
                                <w:b/>
                                <w:bCs/>
                                <w:i/>
                                <w:iCs/>
                                <w:color w:val="000000" w:themeColor="text1"/>
                                <w:sz w:val="19"/>
                                <w:szCs w:val="19"/>
                                <w:lang w:eastAsia="ja-JP"/>
                              </w:rPr>
                              <w:t xml:space="preserve"> </w:t>
                            </w:r>
                            <w:r w:rsidRPr="003A5BA6">
                              <w:rPr>
                                <w:rFonts w:eastAsiaTheme="minorEastAsia" w:hint="eastAsia"/>
                                <w:b/>
                                <w:bCs/>
                                <w:i/>
                                <w:iCs/>
                                <w:color w:val="000000" w:themeColor="text1"/>
                                <w:sz w:val="19"/>
                                <w:szCs w:val="19"/>
                                <w:lang w:eastAsia="ja-JP"/>
                              </w:rPr>
                              <w:t>保証プロセスの概要</w:t>
                            </w:r>
                          </w:p>
                          <w:p w14:paraId="50B97C2F" w14:textId="77777777" w:rsidR="003A5BA6" w:rsidRPr="003A5BA6" w:rsidRDefault="003A5BA6" w:rsidP="003A5BA6">
                            <w:pPr>
                              <w:spacing w:line="276" w:lineRule="auto"/>
                              <w:rPr>
                                <w:rFonts w:eastAsiaTheme="minorEastAsia"/>
                                <w:b/>
                                <w:bCs/>
                                <w:i/>
                                <w:iCs/>
                                <w:color w:val="000000" w:themeColor="text1"/>
                                <w:sz w:val="19"/>
                                <w:szCs w:val="19"/>
                                <w:lang w:eastAsia="ja-JP"/>
                              </w:rPr>
                            </w:pPr>
                            <w:r w:rsidRPr="003A5BA6">
                              <w:rPr>
                                <w:rFonts w:eastAsiaTheme="minorEastAsia" w:hint="eastAsia"/>
                                <w:b/>
                                <w:bCs/>
                                <w:i/>
                                <w:iCs/>
                                <w:color w:val="000000" w:themeColor="text1"/>
                                <w:sz w:val="19"/>
                                <w:szCs w:val="19"/>
                                <w:lang w:eastAsia="ja-JP"/>
                              </w:rPr>
                              <w:t>・</w:t>
                            </w:r>
                            <w:r w:rsidRPr="003A5BA6">
                              <w:rPr>
                                <w:rFonts w:eastAsiaTheme="minorEastAsia"/>
                                <w:b/>
                                <w:bCs/>
                                <w:i/>
                                <w:iCs/>
                                <w:color w:val="000000" w:themeColor="text1"/>
                                <w:sz w:val="19"/>
                                <w:szCs w:val="19"/>
                                <w:lang w:eastAsia="ja-JP"/>
                              </w:rPr>
                              <w:t xml:space="preserve"> </w:t>
                            </w:r>
                            <w:r w:rsidRPr="003A5BA6">
                              <w:rPr>
                                <w:rFonts w:eastAsiaTheme="minorEastAsia" w:hint="eastAsia"/>
                                <w:b/>
                                <w:bCs/>
                                <w:i/>
                                <w:iCs/>
                                <w:color w:val="000000" w:themeColor="text1"/>
                                <w:sz w:val="19"/>
                                <w:szCs w:val="19"/>
                                <w:lang w:eastAsia="ja-JP"/>
                              </w:rPr>
                              <w:t>保証提供者の保証能力</w:t>
                            </w:r>
                          </w:p>
                          <w:p w14:paraId="76DE0524" w14:textId="150F6B02" w:rsidR="003A5BA6" w:rsidRDefault="003A5BA6" w:rsidP="003A5BA6">
                            <w:pPr>
                              <w:spacing w:line="276" w:lineRule="auto"/>
                              <w:rPr>
                                <w:rFonts w:eastAsiaTheme="minorEastAsia"/>
                                <w:b/>
                                <w:bCs/>
                                <w:i/>
                                <w:iCs/>
                                <w:color w:val="000000" w:themeColor="text1"/>
                                <w:sz w:val="19"/>
                                <w:szCs w:val="19"/>
                                <w:lang w:eastAsia="ja-JP"/>
                              </w:rPr>
                            </w:pPr>
                            <w:r w:rsidRPr="003A5BA6">
                              <w:rPr>
                                <w:rFonts w:eastAsiaTheme="minorEastAsia" w:hint="eastAsia"/>
                                <w:b/>
                                <w:bCs/>
                                <w:i/>
                                <w:iCs/>
                                <w:color w:val="000000" w:themeColor="text1"/>
                                <w:sz w:val="19"/>
                                <w:szCs w:val="19"/>
                                <w:lang w:eastAsia="ja-JP"/>
                              </w:rPr>
                              <w:t>・</w:t>
                            </w:r>
                            <w:r w:rsidRPr="003A5BA6">
                              <w:rPr>
                                <w:rFonts w:eastAsiaTheme="minorEastAsia"/>
                                <w:b/>
                                <w:bCs/>
                                <w:i/>
                                <w:iCs/>
                                <w:color w:val="000000" w:themeColor="text1"/>
                                <w:sz w:val="19"/>
                                <w:szCs w:val="19"/>
                                <w:lang w:eastAsia="ja-JP"/>
                              </w:rPr>
                              <w:t xml:space="preserve"> </w:t>
                            </w:r>
                            <w:r w:rsidRPr="003A5BA6">
                              <w:rPr>
                                <w:rFonts w:eastAsiaTheme="minorEastAsia" w:hint="eastAsia"/>
                                <w:b/>
                                <w:bCs/>
                                <w:i/>
                                <w:iCs/>
                                <w:color w:val="000000" w:themeColor="text1"/>
                                <w:sz w:val="19"/>
                                <w:szCs w:val="19"/>
                                <w:lang w:eastAsia="ja-JP"/>
                              </w:rPr>
                              <w:t>第一者保証の場合、潜在的な利益相反がどのように回避されたか</w:t>
                            </w:r>
                          </w:p>
                          <w:p w14:paraId="0B88DE75" w14:textId="77777777" w:rsidR="003D29F0" w:rsidRPr="003A5BA6" w:rsidRDefault="003D29F0" w:rsidP="003A5BA6">
                            <w:pPr>
                              <w:spacing w:line="276" w:lineRule="auto"/>
                              <w:rPr>
                                <w:rFonts w:eastAsiaTheme="minorEastAsia"/>
                                <w:b/>
                                <w:bCs/>
                                <w:i/>
                                <w:iCs/>
                                <w:color w:val="000000" w:themeColor="text1"/>
                                <w:sz w:val="19"/>
                                <w:szCs w:val="19"/>
                                <w:lang w:eastAsia="ja-JP"/>
                              </w:rPr>
                            </w:pPr>
                          </w:p>
                          <w:p w14:paraId="3E782FC3" w14:textId="4FAFDEFF" w:rsidR="003A5BA6" w:rsidRPr="003A5BA6" w:rsidRDefault="003A5BA6" w:rsidP="003A5BA6">
                            <w:pPr>
                              <w:spacing w:line="276" w:lineRule="auto"/>
                              <w:rPr>
                                <w:rFonts w:eastAsiaTheme="minorEastAsia"/>
                                <w:b/>
                                <w:bCs/>
                                <w:i/>
                                <w:iCs/>
                                <w:color w:val="70029C"/>
                                <w:sz w:val="19"/>
                                <w:szCs w:val="19"/>
                                <w:lang w:eastAsia="ja-JP"/>
                              </w:rPr>
                            </w:pPr>
                            <w:r w:rsidRPr="003A5BA6">
                              <w:rPr>
                                <w:rFonts w:eastAsiaTheme="minorEastAsia" w:hint="eastAsia"/>
                                <w:b/>
                                <w:bCs/>
                                <w:i/>
                                <w:iCs/>
                                <w:color w:val="70029C"/>
                                <w:sz w:val="19"/>
                                <w:szCs w:val="19"/>
                                <w:lang w:eastAsia="ja-JP"/>
                              </w:rPr>
                              <w:t>削減目標の設定と在庫推移の把握</w:t>
                            </w:r>
                          </w:p>
                          <w:p w14:paraId="23CD2515" w14:textId="4F002D12" w:rsidR="003A5BA6" w:rsidRPr="003A5BA6" w:rsidRDefault="003A5BA6">
                            <w:pPr>
                              <w:pStyle w:val="a5"/>
                              <w:numPr>
                                <w:ilvl w:val="0"/>
                                <w:numId w:val="93"/>
                              </w:numPr>
                              <w:spacing w:line="276" w:lineRule="auto"/>
                              <w:rPr>
                                <w:rFonts w:eastAsiaTheme="minorEastAsia"/>
                                <w:b/>
                                <w:bCs/>
                                <w:i/>
                                <w:iCs/>
                                <w:color w:val="000000" w:themeColor="text1"/>
                                <w:sz w:val="19"/>
                                <w:szCs w:val="19"/>
                                <w:lang w:eastAsia="ja-JP"/>
                              </w:rPr>
                            </w:pPr>
                            <w:r w:rsidRPr="003A5BA6">
                              <w:rPr>
                                <w:rFonts w:ascii="ＭＳ ゴシック" w:eastAsiaTheme="minorEastAsia" w:hAnsi="ＭＳ ゴシック" w:cs="ＭＳ ゴシック" w:hint="eastAsia"/>
                                <w:b/>
                                <w:bCs/>
                                <w:i/>
                                <w:iCs/>
                                <w:color w:val="000000" w:themeColor="text1"/>
                                <w:sz w:val="19"/>
                                <w:szCs w:val="19"/>
                                <w:lang w:eastAsia="ja-JP"/>
                              </w:rPr>
                              <w:t>削減目標を報告する企業、および</w:t>
                            </w:r>
                            <w:r w:rsidRPr="003A5BA6">
                              <w:rPr>
                                <w:rFonts w:eastAsiaTheme="minorEastAsia"/>
                                <w:b/>
                                <w:bCs/>
                                <w:i/>
                                <w:iCs/>
                                <w:color w:val="000000" w:themeColor="text1"/>
                                <w:sz w:val="19"/>
                                <w:szCs w:val="19"/>
                                <w:lang w:eastAsia="ja-JP"/>
                              </w:rPr>
                              <w:t>/</w:t>
                            </w:r>
                            <w:r w:rsidRPr="003A5BA6">
                              <w:rPr>
                                <w:rFonts w:eastAsiaTheme="minorEastAsia" w:hint="eastAsia"/>
                                <w:b/>
                                <w:bCs/>
                                <w:i/>
                                <w:iCs/>
                                <w:color w:val="000000" w:themeColor="text1"/>
                                <w:sz w:val="19"/>
                                <w:szCs w:val="19"/>
                                <w:lang w:eastAsia="ja-JP"/>
                              </w:rPr>
                              <w:t>または、長期的なパフォーマンスを追跡する企業は、以下を含めなければならない</w:t>
                            </w:r>
                          </w:p>
                          <w:p w14:paraId="101456EC" w14:textId="5879181F" w:rsidR="003A5BA6" w:rsidRPr="003A5BA6" w:rsidRDefault="003A5BA6" w:rsidP="003A5BA6">
                            <w:pPr>
                              <w:spacing w:line="276" w:lineRule="auto"/>
                              <w:rPr>
                                <w:rFonts w:eastAsiaTheme="minorEastAsia"/>
                                <w:b/>
                                <w:bCs/>
                                <w:i/>
                                <w:iCs/>
                                <w:color w:val="000000" w:themeColor="text1"/>
                                <w:sz w:val="19"/>
                                <w:szCs w:val="19"/>
                                <w:lang w:eastAsia="ja-JP"/>
                              </w:rPr>
                            </w:pPr>
                            <w:r>
                              <w:rPr>
                                <w:rFonts w:eastAsiaTheme="minorEastAsia" w:hint="eastAsia"/>
                                <w:b/>
                                <w:bCs/>
                                <w:i/>
                                <w:iCs/>
                                <w:color w:val="000000" w:themeColor="text1"/>
                                <w:sz w:val="19"/>
                                <w:szCs w:val="19"/>
                                <w:lang w:eastAsia="ja-JP"/>
                              </w:rPr>
                              <w:t>・</w:t>
                            </w:r>
                            <w:r w:rsidRPr="003A5BA6">
                              <w:rPr>
                                <w:rFonts w:eastAsiaTheme="minorEastAsia" w:hint="eastAsia"/>
                                <w:b/>
                                <w:bCs/>
                                <w:i/>
                                <w:iCs/>
                                <w:color w:val="000000" w:themeColor="text1"/>
                                <w:sz w:val="19"/>
                                <w:szCs w:val="19"/>
                                <w:lang w:eastAsia="ja-JP"/>
                              </w:rPr>
                              <w:t>最新の報告書に記載されている基礎排出量と現在の排出量の結果</w:t>
                            </w:r>
                          </w:p>
                          <w:p w14:paraId="7757495D" w14:textId="5BFF0E71" w:rsidR="003A5BA6" w:rsidRPr="003A5BA6" w:rsidRDefault="003A5BA6" w:rsidP="003A5BA6">
                            <w:pPr>
                              <w:spacing w:line="276" w:lineRule="auto"/>
                              <w:rPr>
                                <w:rFonts w:eastAsiaTheme="minorEastAsia"/>
                                <w:b/>
                                <w:bCs/>
                                <w:i/>
                                <w:iCs/>
                                <w:color w:val="000000" w:themeColor="text1"/>
                                <w:sz w:val="19"/>
                                <w:szCs w:val="19"/>
                                <w:lang w:eastAsia="ja-JP"/>
                              </w:rPr>
                            </w:pPr>
                            <w:r>
                              <w:rPr>
                                <w:rFonts w:eastAsiaTheme="minorEastAsia" w:hint="eastAsia"/>
                                <w:b/>
                                <w:bCs/>
                                <w:i/>
                                <w:iCs/>
                                <w:color w:val="000000" w:themeColor="text1"/>
                                <w:sz w:val="19"/>
                                <w:szCs w:val="19"/>
                                <w:lang w:eastAsia="ja-JP"/>
                              </w:rPr>
                              <w:t>・</w:t>
                            </w:r>
                            <w:r w:rsidRPr="003A5BA6">
                              <w:rPr>
                                <w:rFonts w:eastAsiaTheme="minorEastAsia" w:hint="eastAsia"/>
                                <w:b/>
                                <w:bCs/>
                                <w:i/>
                                <w:iCs/>
                                <w:color w:val="000000" w:themeColor="text1"/>
                                <w:sz w:val="19"/>
                                <w:szCs w:val="19"/>
                                <w:lang w:eastAsia="ja-JP"/>
                              </w:rPr>
                              <w:t>削減目標が設定されている場合、その目標</w:t>
                            </w:r>
                          </w:p>
                          <w:p w14:paraId="6AA66660" w14:textId="7C1E2E65" w:rsidR="003A5BA6" w:rsidRPr="003A5BA6" w:rsidRDefault="003A5BA6" w:rsidP="003A5BA6">
                            <w:pPr>
                              <w:spacing w:line="276" w:lineRule="auto"/>
                              <w:rPr>
                                <w:rFonts w:eastAsiaTheme="minorEastAsia"/>
                                <w:b/>
                                <w:bCs/>
                                <w:i/>
                                <w:iCs/>
                                <w:color w:val="000000" w:themeColor="text1"/>
                                <w:sz w:val="19"/>
                                <w:szCs w:val="19"/>
                                <w:lang w:eastAsia="ja-JP"/>
                              </w:rPr>
                            </w:pPr>
                            <w:r>
                              <w:rPr>
                                <w:rFonts w:eastAsiaTheme="minorEastAsia" w:hint="eastAsia"/>
                                <w:b/>
                                <w:bCs/>
                                <w:i/>
                                <w:iCs/>
                                <w:color w:val="000000" w:themeColor="text1"/>
                                <w:sz w:val="19"/>
                                <w:szCs w:val="19"/>
                                <w:lang w:eastAsia="ja-JP"/>
                              </w:rPr>
                              <w:t>・</w:t>
                            </w:r>
                            <w:r w:rsidRPr="003A5BA6">
                              <w:rPr>
                                <w:rFonts w:eastAsiaTheme="minorEastAsia" w:hint="eastAsia"/>
                                <w:b/>
                                <w:bCs/>
                                <w:i/>
                                <w:iCs/>
                                <w:color w:val="000000" w:themeColor="text1"/>
                                <w:sz w:val="19"/>
                                <w:szCs w:val="19"/>
                                <w:lang w:eastAsia="ja-JP"/>
                              </w:rPr>
                              <w:t>基礎排出量が再計算された場合、</w:t>
                            </w:r>
                            <w:r w:rsidR="003D29F0">
                              <w:rPr>
                                <w:rFonts w:eastAsiaTheme="minorEastAsia" w:hint="eastAsia"/>
                                <w:b/>
                                <w:bCs/>
                                <w:i/>
                                <w:iCs/>
                                <w:color w:val="000000" w:themeColor="text1"/>
                                <w:sz w:val="19"/>
                                <w:szCs w:val="19"/>
                                <w:lang w:eastAsia="ja-JP"/>
                              </w:rPr>
                              <w:t>報告書</w:t>
                            </w:r>
                            <w:r w:rsidRPr="003A5BA6">
                              <w:rPr>
                                <w:rFonts w:eastAsiaTheme="minorEastAsia" w:hint="eastAsia"/>
                                <w:b/>
                                <w:bCs/>
                                <w:i/>
                                <w:iCs/>
                                <w:color w:val="000000" w:themeColor="text1"/>
                                <w:sz w:val="19"/>
                                <w:szCs w:val="19"/>
                                <w:lang w:eastAsia="ja-JP"/>
                              </w:rPr>
                              <w:t>に加えられた変更点</w:t>
                            </w:r>
                            <w:r w:rsidRPr="003A5BA6">
                              <w:rPr>
                                <w:rFonts w:eastAsiaTheme="minorEastAsia"/>
                                <w:b/>
                                <w:bCs/>
                                <w:i/>
                                <w:iCs/>
                                <w:color w:val="000000" w:themeColor="text1"/>
                                <w:sz w:val="19"/>
                                <w:szCs w:val="19"/>
                                <w:lang w:eastAsia="ja-JP"/>
                              </w:rPr>
                              <w:t xml:space="preserve"> </w:t>
                            </w:r>
                          </w:p>
                          <w:p w14:paraId="0CB258CE" w14:textId="00FE4D8D" w:rsidR="003A5BA6" w:rsidRPr="003A5BA6" w:rsidRDefault="003A5BA6" w:rsidP="003A5BA6">
                            <w:pPr>
                              <w:spacing w:line="276" w:lineRule="auto"/>
                              <w:rPr>
                                <w:rFonts w:eastAsiaTheme="minorEastAsia"/>
                                <w:b/>
                                <w:bCs/>
                                <w:i/>
                                <w:iCs/>
                                <w:color w:val="000000" w:themeColor="text1"/>
                                <w:sz w:val="19"/>
                                <w:szCs w:val="19"/>
                                <w:lang w:eastAsia="ja-JP"/>
                              </w:rPr>
                            </w:pPr>
                            <w:r>
                              <w:rPr>
                                <w:rFonts w:eastAsiaTheme="minorEastAsia" w:hint="eastAsia"/>
                                <w:b/>
                                <w:bCs/>
                                <w:i/>
                                <w:iCs/>
                                <w:color w:val="000000" w:themeColor="text1"/>
                                <w:sz w:val="19"/>
                                <w:szCs w:val="19"/>
                                <w:lang w:eastAsia="ja-JP"/>
                              </w:rPr>
                              <w:t>・</w:t>
                            </w:r>
                            <w:r w:rsidRPr="003A5BA6">
                              <w:rPr>
                                <w:rFonts w:eastAsiaTheme="minorEastAsia" w:hint="eastAsia"/>
                                <w:b/>
                                <w:bCs/>
                                <w:i/>
                                <w:iCs/>
                                <w:color w:val="000000" w:themeColor="text1"/>
                                <w:sz w:val="19"/>
                                <w:szCs w:val="19"/>
                                <w:lang w:eastAsia="ja-JP"/>
                              </w:rPr>
                              <w:t>再計算が必要な場合の判断に使用した閾値</w:t>
                            </w:r>
                          </w:p>
                          <w:p w14:paraId="310587D7" w14:textId="10F40D3D" w:rsidR="003A5BA6" w:rsidRPr="003A5BA6" w:rsidRDefault="003A5BA6" w:rsidP="003A5BA6">
                            <w:pPr>
                              <w:spacing w:line="276" w:lineRule="auto"/>
                              <w:rPr>
                                <w:rFonts w:eastAsiaTheme="minorEastAsia"/>
                                <w:b/>
                                <w:bCs/>
                                <w:i/>
                                <w:iCs/>
                                <w:color w:val="000000" w:themeColor="text1"/>
                                <w:sz w:val="19"/>
                                <w:szCs w:val="19"/>
                                <w:lang w:eastAsia="ja-JP"/>
                              </w:rPr>
                            </w:pPr>
                            <w:r>
                              <w:rPr>
                                <w:rFonts w:eastAsiaTheme="minorEastAsia" w:hint="eastAsia"/>
                                <w:b/>
                                <w:bCs/>
                                <w:i/>
                                <w:iCs/>
                                <w:color w:val="000000" w:themeColor="text1"/>
                                <w:sz w:val="19"/>
                                <w:szCs w:val="19"/>
                                <w:lang w:eastAsia="ja-JP"/>
                              </w:rPr>
                              <w:t>・</w:t>
                            </w:r>
                            <w:r w:rsidRPr="003A5BA6">
                              <w:rPr>
                                <w:rFonts w:eastAsiaTheme="minorEastAsia" w:hint="eastAsia"/>
                                <w:b/>
                                <w:bCs/>
                                <w:i/>
                                <w:iCs/>
                                <w:color w:val="000000" w:themeColor="text1"/>
                                <w:sz w:val="19"/>
                                <w:szCs w:val="19"/>
                                <w:lang w:eastAsia="ja-JP"/>
                              </w:rPr>
                              <w:t>基礎排出量の再計算の引き金となる重大な変化を特定、説明する適切な記述</w:t>
                            </w:r>
                          </w:p>
                          <w:p w14:paraId="3C391501" w14:textId="03FCF254" w:rsidR="003A5BA6" w:rsidRPr="003A5BA6" w:rsidRDefault="003A5BA6" w:rsidP="003A5BA6">
                            <w:pPr>
                              <w:spacing w:line="276" w:lineRule="auto"/>
                              <w:rPr>
                                <w:rFonts w:eastAsiaTheme="minorEastAsia"/>
                                <w:b/>
                                <w:bCs/>
                                <w:i/>
                                <w:iCs/>
                                <w:color w:val="000000" w:themeColor="text1"/>
                                <w:sz w:val="19"/>
                                <w:szCs w:val="19"/>
                                <w:lang w:eastAsia="ja-JP"/>
                              </w:rPr>
                            </w:pPr>
                            <w:r>
                              <w:rPr>
                                <w:rFonts w:eastAsiaTheme="minorEastAsia" w:hint="eastAsia"/>
                                <w:b/>
                                <w:bCs/>
                                <w:i/>
                                <w:iCs/>
                                <w:color w:val="000000" w:themeColor="text1"/>
                                <w:sz w:val="19"/>
                                <w:szCs w:val="19"/>
                                <w:lang w:eastAsia="ja-JP"/>
                              </w:rPr>
                              <w:t>・２</w:t>
                            </w:r>
                            <w:r w:rsidRPr="003A5BA6">
                              <w:rPr>
                                <w:rFonts w:eastAsiaTheme="minorEastAsia" w:hint="eastAsia"/>
                                <w:b/>
                                <w:bCs/>
                                <w:i/>
                                <w:iCs/>
                                <w:color w:val="000000" w:themeColor="text1"/>
                                <w:sz w:val="19"/>
                                <w:szCs w:val="19"/>
                                <w:lang w:eastAsia="ja-JP"/>
                              </w:rPr>
                              <w:t>つの</w:t>
                            </w:r>
                            <w:r w:rsidR="003D29F0">
                              <w:rPr>
                                <w:rFonts w:eastAsiaTheme="minorEastAsia" w:hint="eastAsia"/>
                                <w:b/>
                                <w:bCs/>
                                <w:i/>
                                <w:iCs/>
                                <w:color w:val="000000" w:themeColor="text1"/>
                                <w:sz w:val="19"/>
                                <w:szCs w:val="19"/>
                                <w:lang w:eastAsia="ja-JP"/>
                              </w:rPr>
                              <w:t>排出量</w:t>
                            </w:r>
                            <w:r w:rsidRPr="003A5BA6">
                              <w:rPr>
                                <w:rFonts w:eastAsiaTheme="minorEastAsia" w:hint="eastAsia"/>
                                <w:b/>
                                <w:bCs/>
                                <w:i/>
                                <w:iCs/>
                                <w:color w:val="000000" w:themeColor="text1"/>
                                <w:sz w:val="19"/>
                                <w:szCs w:val="19"/>
                                <w:lang w:eastAsia="ja-JP"/>
                              </w:rPr>
                              <w:t>の分析単位での経時変化率としての排出結果の変化</w:t>
                            </w:r>
                            <w:r w:rsidRPr="003A5BA6">
                              <w:rPr>
                                <w:rFonts w:eastAsiaTheme="minorEastAsia"/>
                                <w:b/>
                                <w:bCs/>
                                <w:i/>
                                <w:iCs/>
                                <w:color w:val="000000" w:themeColor="text1"/>
                                <w:sz w:val="19"/>
                                <w:szCs w:val="19"/>
                                <w:lang w:eastAsia="ja-JP"/>
                              </w:rPr>
                              <w:t xml:space="preserve"> </w:t>
                            </w:r>
                          </w:p>
                          <w:p w14:paraId="5C0B9ED6" w14:textId="671A9B78" w:rsidR="003A5BA6" w:rsidRPr="003A5BA6" w:rsidRDefault="003A5BA6" w:rsidP="003A5BA6">
                            <w:pPr>
                              <w:spacing w:line="276" w:lineRule="auto"/>
                              <w:rPr>
                                <w:rFonts w:eastAsiaTheme="minorEastAsia"/>
                                <w:b/>
                                <w:bCs/>
                                <w:i/>
                                <w:iCs/>
                                <w:color w:val="000000" w:themeColor="text1"/>
                                <w:sz w:val="19"/>
                                <w:szCs w:val="19"/>
                                <w:lang w:eastAsia="ja-JP"/>
                              </w:rPr>
                            </w:pPr>
                            <w:r>
                              <w:rPr>
                                <w:rFonts w:eastAsiaTheme="minorEastAsia" w:hint="eastAsia"/>
                                <w:b/>
                                <w:bCs/>
                                <w:i/>
                                <w:iCs/>
                                <w:color w:val="000000" w:themeColor="text1"/>
                                <w:sz w:val="19"/>
                                <w:szCs w:val="19"/>
                                <w:lang w:eastAsia="ja-JP"/>
                              </w:rPr>
                              <w:t>・</w:t>
                            </w:r>
                            <w:r w:rsidRPr="003A5BA6">
                              <w:rPr>
                                <w:rFonts w:eastAsiaTheme="minorEastAsia" w:hint="eastAsia"/>
                                <w:b/>
                                <w:bCs/>
                                <w:i/>
                                <w:iCs/>
                                <w:color w:val="000000" w:themeColor="text1"/>
                                <w:sz w:val="19"/>
                                <w:szCs w:val="19"/>
                                <w:lang w:eastAsia="ja-JP"/>
                              </w:rPr>
                              <w:t>算出結果に基づき、排出量を削減するために取られた措置の説明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5F2770" id="四角形: 角を丸くする 120" o:spid="_x0000_s1143" style="position:absolute;margin-left:46.5pt;margin-top:15.2pt;width:502pt;height:297pt;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3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" fillcolor="#70029c" stroked="f" strokeweight="2pt">
                <v:fill opacity="16448f"/>
                <v:textbox>
                  <w:txbxContent>
                    <w:p w14:paraId="0BED2475" w14:textId="2D125611" w:rsidR="003A5BA6" w:rsidRPr="003A5BA6" w:rsidRDefault="003A5BA6" w:rsidP="003A5BA6">
                      <w:pPr>
                        <w:spacing w:line="276" w:lineRule="auto"/>
                        <w:rPr>
                          <w:rFonts w:eastAsiaTheme="minorEastAsia"/>
                          <w:b/>
                          <w:bCs/>
                          <w:i/>
                          <w:iCs/>
                          <w:color w:val="70029C"/>
                          <w:sz w:val="19"/>
                          <w:szCs w:val="19"/>
                          <w:lang w:eastAsia="ja-JP"/>
                        </w:rPr>
                      </w:pPr>
                      <w:r w:rsidRPr="003A5BA6">
                        <w:rPr>
                          <w:rFonts w:eastAsiaTheme="minorEastAsia" w:hint="eastAsia"/>
                          <w:b/>
                          <w:bCs/>
                          <w:i/>
                          <w:iCs/>
                          <w:color w:val="70029C"/>
                          <w:sz w:val="19"/>
                          <w:szCs w:val="19"/>
                          <w:lang w:eastAsia="ja-JP"/>
                        </w:rPr>
                        <w:t>保証</w:t>
                      </w:r>
                    </w:p>
                    <w:p w14:paraId="239C6363" w14:textId="1A57DFE2" w:rsidR="003A5BA6" w:rsidRPr="003A5BA6" w:rsidRDefault="003A5BA6">
                      <w:pPr>
                        <w:pStyle w:val="a5"/>
                        <w:numPr>
                          <w:ilvl w:val="0"/>
                          <w:numId w:val="93"/>
                        </w:numPr>
                        <w:spacing w:line="276" w:lineRule="auto"/>
                        <w:rPr>
                          <w:rFonts w:eastAsiaTheme="minorEastAsia"/>
                          <w:b/>
                          <w:bCs/>
                          <w:i/>
                          <w:iCs/>
                          <w:color w:val="000000" w:themeColor="text1"/>
                          <w:sz w:val="19"/>
                          <w:szCs w:val="19"/>
                          <w:lang w:eastAsia="ja-JP"/>
                        </w:rPr>
                      </w:pPr>
                      <w:r w:rsidRPr="003A5BA6">
                        <w:rPr>
                          <w:rFonts w:ascii="ＭＳ ゴシック" w:eastAsiaTheme="minorEastAsia" w:hAnsi="ＭＳ ゴシック" w:cs="ＭＳ ゴシック" w:hint="eastAsia"/>
                          <w:b/>
                          <w:bCs/>
                          <w:i/>
                          <w:iCs/>
                          <w:color w:val="000000" w:themeColor="text1"/>
                          <w:sz w:val="19"/>
                          <w:szCs w:val="19"/>
                          <w:lang w:eastAsia="ja-JP"/>
                        </w:rPr>
                        <w:t>以下を含む保証</w:t>
                      </w:r>
                    </w:p>
                    <w:p w14:paraId="419DA05C" w14:textId="77777777" w:rsidR="003A5BA6" w:rsidRPr="003A5BA6" w:rsidRDefault="003A5BA6" w:rsidP="003A5BA6">
                      <w:pPr>
                        <w:spacing w:line="276" w:lineRule="auto"/>
                        <w:rPr>
                          <w:rFonts w:eastAsiaTheme="minorEastAsia"/>
                          <w:b/>
                          <w:bCs/>
                          <w:i/>
                          <w:iCs/>
                          <w:color w:val="000000" w:themeColor="text1"/>
                          <w:sz w:val="19"/>
                          <w:szCs w:val="19"/>
                          <w:lang w:eastAsia="ja-JP"/>
                        </w:rPr>
                      </w:pPr>
                      <w:r w:rsidRPr="003A5BA6">
                        <w:rPr>
                          <w:rFonts w:eastAsiaTheme="minorEastAsia" w:hint="eastAsia"/>
                          <w:b/>
                          <w:bCs/>
                          <w:i/>
                          <w:iCs/>
                          <w:color w:val="000000" w:themeColor="text1"/>
                          <w:sz w:val="19"/>
                          <w:szCs w:val="19"/>
                          <w:lang w:eastAsia="ja-JP"/>
                        </w:rPr>
                        <w:t>・</w:t>
                      </w:r>
                      <w:r w:rsidRPr="003A5BA6">
                        <w:rPr>
                          <w:rFonts w:eastAsiaTheme="minorEastAsia"/>
                          <w:b/>
                          <w:bCs/>
                          <w:i/>
                          <w:iCs/>
                          <w:color w:val="000000" w:themeColor="text1"/>
                          <w:sz w:val="19"/>
                          <w:szCs w:val="19"/>
                          <w:lang w:eastAsia="ja-JP"/>
                        </w:rPr>
                        <w:t xml:space="preserve"> </w:t>
                      </w:r>
                      <w:r w:rsidRPr="003A5BA6">
                        <w:rPr>
                          <w:rFonts w:eastAsiaTheme="minorEastAsia" w:hint="eastAsia"/>
                          <w:b/>
                          <w:bCs/>
                          <w:i/>
                          <w:iCs/>
                          <w:color w:val="000000" w:themeColor="text1"/>
                          <w:sz w:val="19"/>
                          <w:szCs w:val="19"/>
                          <w:lang w:eastAsia="ja-JP"/>
                        </w:rPr>
                        <w:t>保証が企業と第三者のどちらによって行われたか。</w:t>
                      </w:r>
                    </w:p>
                    <w:p w14:paraId="571DC9A1" w14:textId="77777777" w:rsidR="003A5BA6" w:rsidRPr="003A5BA6" w:rsidRDefault="003A5BA6" w:rsidP="003A5BA6">
                      <w:pPr>
                        <w:spacing w:line="276" w:lineRule="auto"/>
                        <w:rPr>
                          <w:rFonts w:eastAsiaTheme="minorEastAsia"/>
                          <w:b/>
                          <w:bCs/>
                          <w:i/>
                          <w:iCs/>
                          <w:color w:val="000000" w:themeColor="text1"/>
                          <w:sz w:val="19"/>
                          <w:szCs w:val="19"/>
                          <w:lang w:eastAsia="ja-JP"/>
                        </w:rPr>
                      </w:pPr>
                      <w:r w:rsidRPr="003A5BA6">
                        <w:rPr>
                          <w:rFonts w:eastAsiaTheme="minorEastAsia" w:hint="eastAsia"/>
                          <w:b/>
                          <w:bCs/>
                          <w:i/>
                          <w:iCs/>
                          <w:color w:val="000000" w:themeColor="text1"/>
                          <w:sz w:val="19"/>
                          <w:szCs w:val="19"/>
                          <w:lang w:eastAsia="ja-JP"/>
                        </w:rPr>
                        <w:t>・</w:t>
                      </w:r>
                      <w:r w:rsidRPr="003A5BA6">
                        <w:rPr>
                          <w:rFonts w:eastAsiaTheme="minorEastAsia"/>
                          <w:b/>
                          <w:bCs/>
                          <w:i/>
                          <w:iCs/>
                          <w:color w:val="000000" w:themeColor="text1"/>
                          <w:sz w:val="19"/>
                          <w:szCs w:val="19"/>
                          <w:lang w:eastAsia="ja-JP"/>
                        </w:rPr>
                        <w:t xml:space="preserve"> </w:t>
                      </w:r>
                      <w:r w:rsidRPr="003A5BA6">
                        <w:rPr>
                          <w:rFonts w:eastAsiaTheme="minorEastAsia" w:hint="eastAsia"/>
                          <w:b/>
                          <w:bCs/>
                          <w:i/>
                          <w:iCs/>
                          <w:color w:val="000000" w:themeColor="text1"/>
                          <w:sz w:val="19"/>
                          <w:szCs w:val="19"/>
                          <w:lang w:eastAsia="ja-JP"/>
                        </w:rPr>
                        <w:t>保証意見又は重要なレビューを含む、達成された保証のレベル（限定的又は合理的）</w:t>
                      </w:r>
                    </w:p>
                    <w:p w14:paraId="2CCD0805" w14:textId="77777777" w:rsidR="003A5BA6" w:rsidRPr="003A5BA6" w:rsidRDefault="003A5BA6" w:rsidP="003A5BA6">
                      <w:pPr>
                        <w:spacing w:line="276" w:lineRule="auto"/>
                        <w:rPr>
                          <w:rFonts w:eastAsiaTheme="minorEastAsia"/>
                          <w:b/>
                          <w:bCs/>
                          <w:i/>
                          <w:iCs/>
                          <w:color w:val="000000" w:themeColor="text1"/>
                          <w:sz w:val="19"/>
                          <w:szCs w:val="19"/>
                          <w:lang w:eastAsia="ja-JP"/>
                        </w:rPr>
                      </w:pPr>
                      <w:r w:rsidRPr="003A5BA6">
                        <w:rPr>
                          <w:rFonts w:eastAsiaTheme="minorEastAsia" w:hint="eastAsia"/>
                          <w:b/>
                          <w:bCs/>
                          <w:i/>
                          <w:iCs/>
                          <w:color w:val="000000" w:themeColor="text1"/>
                          <w:sz w:val="19"/>
                          <w:szCs w:val="19"/>
                          <w:lang w:eastAsia="ja-JP"/>
                        </w:rPr>
                        <w:t>・</w:t>
                      </w:r>
                      <w:r w:rsidRPr="003A5BA6">
                        <w:rPr>
                          <w:rFonts w:eastAsiaTheme="minorEastAsia"/>
                          <w:b/>
                          <w:bCs/>
                          <w:i/>
                          <w:iCs/>
                          <w:color w:val="000000" w:themeColor="text1"/>
                          <w:sz w:val="19"/>
                          <w:szCs w:val="19"/>
                          <w:lang w:eastAsia="ja-JP"/>
                        </w:rPr>
                        <w:t xml:space="preserve"> </w:t>
                      </w:r>
                      <w:r w:rsidRPr="003A5BA6">
                        <w:rPr>
                          <w:rFonts w:eastAsiaTheme="minorEastAsia" w:hint="eastAsia"/>
                          <w:b/>
                          <w:bCs/>
                          <w:i/>
                          <w:iCs/>
                          <w:color w:val="000000" w:themeColor="text1"/>
                          <w:sz w:val="19"/>
                          <w:szCs w:val="19"/>
                          <w:lang w:eastAsia="ja-JP"/>
                        </w:rPr>
                        <w:t>保証プロセスの概要</w:t>
                      </w:r>
                    </w:p>
                    <w:p w14:paraId="50B97C2F" w14:textId="77777777" w:rsidR="003A5BA6" w:rsidRPr="003A5BA6" w:rsidRDefault="003A5BA6" w:rsidP="003A5BA6">
                      <w:pPr>
                        <w:spacing w:line="276" w:lineRule="auto"/>
                        <w:rPr>
                          <w:rFonts w:eastAsiaTheme="minorEastAsia"/>
                          <w:b/>
                          <w:bCs/>
                          <w:i/>
                          <w:iCs/>
                          <w:color w:val="000000" w:themeColor="text1"/>
                          <w:sz w:val="19"/>
                          <w:szCs w:val="19"/>
                          <w:lang w:eastAsia="ja-JP"/>
                        </w:rPr>
                      </w:pPr>
                      <w:r w:rsidRPr="003A5BA6">
                        <w:rPr>
                          <w:rFonts w:eastAsiaTheme="minorEastAsia" w:hint="eastAsia"/>
                          <w:b/>
                          <w:bCs/>
                          <w:i/>
                          <w:iCs/>
                          <w:color w:val="000000" w:themeColor="text1"/>
                          <w:sz w:val="19"/>
                          <w:szCs w:val="19"/>
                          <w:lang w:eastAsia="ja-JP"/>
                        </w:rPr>
                        <w:t>・</w:t>
                      </w:r>
                      <w:r w:rsidRPr="003A5BA6">
                        <w:rPr>
                          <w:rFonts w:eastAsiaTheme="minorEastAsia"/>
                          <w:b/>
                          <w:bCs/>
                          <w:i/>
                          <w:iCs/>
                          <w:color w:val="000000" w:themeColor="text1"/>
                          <w:sz w:val="19"/>
                          <w:szCs w:val="19"/>
                          <w:lang w:eastAsia="ja-JP"/>
                        </w:rPr>
                        <w:t xml:space="preserve"> </w:t>
                      </w:r>
                      <w:r w:rsidRPr="003A5BA6">
                        <w:rPr>
                          <w:rFonts w:eastAsiaTheme="minorEastAsia" w:hint="eastAsia"/>
                          <w:b/>
                          <w:bCs/>
                          <w:i/>
                          <w:iCs/>
                          <w:color w:val="000000" w:themeColor="text1"/>
                          <w:sz w:val="19"/>
                          <w:szCs w:val="19"/>
                          <w:lang w:eastAsia="ja-JP"/>
                        </w:rPr>
                        <w:t>保証提供者の保証能力</w:t>
                      </w:r>
                    </w:p>
                    <w:p w14:paraId="76DE0524" w14:textId="150F6B02" w:rsidR="003A5BA6" w:rsidRDefault="003A5BA6" w:rsidP="003A5BA6">
                      <w:pPr>
                        <w:spacing w:line="276" w:lineRule="auto"/>
                        <w:rPr>
                          <w:rFonts w:eastAsiaTheme="minorEastAsia"/>
                          <w:b/>
                          <w:bCs/>
                          <w:i/>
                          <w:iCs/>
                          <w:color w:val="000000" w:themeColor="text1"/>
                          <w:sz w:val="19"/>
                          <w:szCs w:val="19"/>
                          <w:lang w:eastAsia="ja-JP"/>
                        </w:rPr>
                      </w:pPr>
                      <w:r w:rsidRPr="003A5BA6">
                        <w:rPr>
                          <w:rFonts w:eastAsiaTheme="minorEastAsia" w:hint="eastAsia"/>
                          <w:b/>
                          <w:bCs/>
                          <w:i/>
                          <w:iCs/>
                          <w:color w:val="000000" w:themeColor="text1"/>
                          <w:sz w:val="19"/>
                          <w:szCs w:val="19"/>
                          <w:lang w:eastAsia="ja-JP"/>
                        </w:rPr>
                        <w:t>・</w:t>
                      </w:r>
                      <w:r w:rsidRPr="003A5BA6">
                        <w:rPr>
                          <w:rFonts w:eastAsiaTheme="minorEastAsia"/>
                          <w:b/>
                          <w:bCs/>
                          <w:i/>
                          <w:iCs/>
                          <w:color w:val="000000" w:themeColor="text1"/>
                          <w:sz w:val="19"/>
                          <w:szCs w:val="19"/>
                          <w:lang w:eastAsia="ja-JP"/>
                        </w:rPr>
                        <w:t xml:space="preserve"> </w:t>
                      </w:r>
                      <w:r w:rsidRPr="003A5BA6">
                        <w:rPr>
                          <w:rFonts w:eastAsiaTheme="minorEastAsia" w:hint="eastAsia"/>
                          <w:b/>
                          <w:bCs/>
                          <w:i/>
                          <w:iCs/>
                          <w:color w:val="000000" w:themeColor="text1"/>
                          <w:sz w:val="19"/>
                          <w:szCs w:val="19"/>
                          <w:lang w:eastAsia="ja-JP"/>
                        </w:rPr>
                        <w:t>第一者保証の場合、潜在的な利益相反がどのように回避されたか</w:t>
                      </w:r>
                    </w:p>
                    <w:p w14:paraId="0B88DE75" w14:textId="77777777" w:rsidR="003D29F0" w:rsidRPr="003A5BA6" w:rsidRDefault="003D29F0" w:rsidP="003A5BA6">
                      <w:pPr>
                        <w:spacing w:line="276" w:lineRule="auto"/>
                        <w:rPr>
                          <w:rFonts w:eastAsiaTheme="minorEastAsia"/>
                          <w:b/>
                          <w:bCs/>
                          <w:i/>
                          <w:iCs/>
                          <w:color w:val="000000" w:themeColor="text1"/>
                          <w:sz w:val="19"/>
                          <w:szCs w:val="19"/>
                          <w:lang w:eastAsia="ja-JP"/>
                        </w:rPr>
                      </w:pPr>
                    </w:p>
                    <w:p w14:paraId="3E782FC3" w14:textId="4FAFDEFF" w:rsidR="003A5BA6" w:rsidRPr="003A5BA6" w:rsidRDefault="003A5BA6" w:rsidP="003A5BA6">
                      <w:pPr>
                        <w:spacing w:line="276" w:lineRule="auto"/>
                        <w:rPr>
                          <w:rFonts w:eastAsiaTheme="minorEastAsia"/>
                          <w:b/>
                          <w:bCs/>
                          <w:i/>
                          <w:iCs/>
                          <w:color w:val="70029C"/>
                          <w:sz w:val="19"/>
                          <w:szCs w:val="19"/>
                          <w:lang w:eastAsia="ja-JP"/>
                        </w:rPr>
                      </w:pPr>
                      <w:r w:rsidRPr="003A5BA6">
                        <w:rPr>
                          <w:rFonts w:eastAsiaTheme="minorEastAsia" w:hint="eastAsia"/>
                          <w:b/>
                          <w:bCs/>
                          <w:i/>
                          <w:iCs/>
                          <w:color w:val="70029C"/>
                          <w:sz w:val="19"/>
                          <w:szCs w:val="19"/>
                          <w:lang w:eastAsia="ja-JP"/>
                        </w:rPr>
                        <w:t>削減目標の設定と在庫推移の把握</w:t>
                      </w:r>
                    </w:p>
                    <w:p w14:paraId="23CD2515" w14:textId="4F002D12" w:rsidR="003A5BA6" w:rsidRPr="003A5BA6" w:rsidRDefault="003A5BA6">
                      <w:pPr>
                        <w:pStyle w:val="a5"/>
                        <w:numPr>
                          <w:ilvl w:val="0"/>
                          <w:numId w:val="93"/>
                        </w:numPr>
                        <w:spacing w:line="276" w:lineRule="auto"/>
                        <w:rPr>
                          <w:rFonts w:eastAsiaTheme="minorEastAsia"/>
                          <w:b/>
                          <w:bCs/>
                          <w:i/>
                          <w:iCs/>
                          <w:color w:val="000000" w:themeColor="text1"/>
                          <w:sz w:val="19"/>
                          <w:szCs w:val="19"/>
                          <w:lang w:eastAsia="ja-JP"/>
                        </w:rPr>
                      </w:pPr>
                      <w:r w:rsidRPr="003A5BA6">
                        <w:rPr>
                          <w:rFonts w:ascii="ＭＳ ゴシック" w:eastAsiaTheme="minorEastAsia" w:hAnsi="ＭＳ ゴシック" w:cs="ＭＳ ゴシック" w:hint="eastAsia"/>
                          <w:b/>
                          <w:bCs/>
                          <w:i/>
                          <w:iCs/>
                          <w:color w:val="000000" w:themeColor="text1"/>
                          <w:sz w:val="19"/>
                          <w:szCs w:val="19"/>
                          <w:lang w:eastAsia="ja-JP"/>
                        </w:rPr>
                        <w:t>削減目標を報告する企業、および</w:t>
                      </w:r>
                      <w:r w:rsidRPr="003A5BA6">
                        <w:rPr>
                          <w:rFonts w:eastAsiaTheme="minorEastAsia"/>
                          <w:b/>
                          <w:bCs/>
                          <w:i/>
                          <w:iCs/>
                          <w:color w:val="000000" w:themeColor="text1"/>
                          <w:sz w:val="19"/>
                          <w:szCs w:val="19"/>
                          <w:lang w:eastAsia="ja-JP"/>
                        </w:rPr>
                        <w:t>/</w:t>
                      </w:r>
                      <w:r w:rsidRPr="003A5BA6">
                        <w:rPr>
                          <w:rFonts w:eastAsiaTheme="minorEastAsia" w:hint="eastAsia"/>
                          <w:b/>
                          <w:bCs/>
                          <w:i/>
                          <w:iCs/>
                          <w:color w:val="000000" w:themeColor="text1"/>
                          <w:sz w:val="19"/>
                          <w:szCs w:val="19"/>
                          <w:lang w:eastAsia="ja-JP"/>
                        </w:rPr>
                        <w:t>または、長期的なパフォーマンスを追跡する企業は、以下を含めなければならない</w:t>
                      </w:r>
                    </w:p>
                    <w:p w14:paraId="101456EC" w14:textId="5879181F" w:rsidR="003A5BA6" w:rsidRPr="003A5BA6" w:rsidRDefault="003A5BA6" w:rsidP="003A5BA6">
                      <w:pPr>
                        <w:spacing w:line="276" w:lineRule="auto"/>
                        <w:rPr>
                          <w:rFonts w:eastAsiaTheme="minorEastAsia"/>
                          <w:b/>
                          <w:bCs/>
                          <w:i/>
                          <w:iCs/>
                          <w:color w:val="000000" w:themeColor="text1"/>
                          <w:sz w:val="19"/>
                          <w:szCs w:val="19"/>
                          <w:lang w:eastAsia="ja-JP"/>
                        </w:rPr>
                      </w:pPr>
                      <w:r>
                        <w:rPr>
                          <w:rFonts w:eastAsiaTheme="minorEastAsia" w:hint="eastAsia"/>
                          <w:b/>
                          <w:bCs/>
                          <w:i/>
                          <w:iCs/>
                          <w:color w:val="000000" w:themeColor="text1"/>
                          <w:sz w:val="19"/>
                          <w:szCs w:val="19"/>
                          <w:lang w:eastAsia="ja-JP"/>
                        </w:rPr>
                        <w:t>・</w:t>
                      </w:r>
                      <w:r w:rsidRPr="003A5BA6">
                        <w:rPr>
                          <w:rFonts w:eastAsiaTheme="minorEastAsia" w:hint="eastAsia"/>
                          <w:b/>
                          <w:bCs/>
                          <w:i/>
                          <w:iCs/>
                          <w:color w:val="000000" w:themeColor="text1"/>
                          <w:sz w:val="19"/>
                          <w:szCs w:val="19"/>
                          <w:lang w:eastAsia="ja-JP"/>
                        </w:rPr>
                        <w:t>最新の報告書に記載されている基礎排出量と現在の排出量の結果</w:t>
                      </w:r>
                    </w:p>
                    <w:p w14:paraId="7757495D" w14:textId="5BFF0E71" w:rsidR="003A5BA6" w:rsidRPr="003A5BA6" w:rsidRDefault="003A5BA6" w:rsidP="003A5BA6">
                      <w:pPr>
                        <w:spacing w:line="276" w:lineRule="auto"/>
                        <w:rPr>
                          <w:rFonts w:eastAsiaTheme="minorEastAsia"/>
                          <w:b/>
                          <w:bCs/>
                          <w:i/>
                          <w:iCs/>
                          <w:color w:val="000000" w:themeColor="text1"/>
                          <w:sz w:val="19"/>
                          <w:szCs w:val="19"/>
                          <w:lang w:eastAsia="ja-JP"/>
                        </w:rPr>
                      </w:pPr>
                      <w:r>
                        <w:rPr>
                          <w:rFonts w:eastAsiaTheme="minorEastAsia" w:hint="eastAsia"/>
                          <w:b/>
                          <w:bCs/>
                          <w:i/>
                          <w:iCs/>
                          <w:color w:val="000000" w:themeColor="text1"/>
                          <w:sz w:val="19"/>
                          <w:szCs w:val="19"/>
                          <w:lang w:eastAsia="ja-JP"/>
                        </w:rPr>
                        <w:t>・</w:t>
                      </w:r>
                      <w:r w:rsidRPr="003A5BA6">
                        <w:rPr>
                          <w:rFonts w:eastAsiaTheme="minorEastAsia" w:hint="eastAsia"/>
                          <w:b/>
                          <w:bCs/>
                          <w:i/>
                          <w:iCs/>
                          <w:color w:val="000000" w:themeColor="text1"/>
                          <w:sz w:val="19"/>
                          <w:szCs w:val="19"/>
                          <w:lang w:eastAsia="ja-JP"/>
                        </w:rPr>
                        <w:t>削減目標が設定されている場合、その目標</w:t>
                      </w:r>
                    </w:p>
                    <w:p w14:paraId="6AA66660" w14:textId="7C1E2E65" w:rsidR="003A5BA6" w:rsidRPr="003A5BA6" w:rsidRDefault="003A5BA6" w:rsidP="003A5BA6">
                      <w:pPr>
                        <w:spacing w:line="276" w:lineRule="auto"/>
                        <w:rPr>
                          <w:rFonts w:eastAsiaTheme="minorEastAsia"/>
                          <w:b/>
                          <w:bCs/>
                          <w:i/>
                          <w:iCs/>
                          <w:color w:val="000000" w:themeColor="text1"/>
                          <w:sz w:val="19"/>
                          <w:szCs w:val="19"/>
                          <w:lang w:eastAsia="ja-JP"/>
                        </w:rPr>
                      </w:pPr>
                      <w:r>
                        <w:rPr>
                          <w:rFonts w:eastAsiaTheme="minorEastAsia" w:hint="eastAsia"/>
                          <w:b/>
                          <w:bCs/>
                          <w:i/>
                          <w:iCs/>
                          <w:color w:val="000000" w:themeColor="text1"/>
                          <w:sz w:val="19"/>
                          <w:szCs w:val="19"/>
                          <w:lang w:eastAsia="ja-JP"/>
                        </w:rPr>
                        <w:t>・</w:t>
                      </w:r>
                      <w:r w:rsidRPr="003A5BA6">
                        <w:rPr>
                          <w:rFonts w:eastAsiaTheme="minorEastAsia" w:hint="eastAsia"/>
                          <w:b/>
                          <w:bCs/>
                          <w:i/>
                          <w:iCs/>
                          <w:color w:val="000000" w:themeColor="text1"/>
                          <w:sz w:val="19"/>
                          <w:szCs w:val="19"/>
                          <w:lang w:eastAsia="ja-JP"/>
                        </w:rPr>
                        <w:t>基礎排出量が再計算された場合、</w:t>
                      </w:r>
                      <w:r w:rsidR="003D29F0">
                        <w:rPr>
                          <w:rFonts w:eastAsiaTheme="minorEastAsia" w:hint="eastAsia"/>
                          <w:b/>
                          <w:bCs/>
                          <w:i/>
                          <w:iCs/>
                          <w:color w:val="000000" w:themeColor="text1"/>
                          <w:sz w:val="19"/>
                          <w:szCs w:val="19"/>
                          <w:lang w:eastAsia="ja-JP"/>
                        </w:rPr>
                        <w:t>報告書</w:t>
                      </w:r>
                      <w:r w:rsidRPr="003A5BA6">
                        <w:rPr>
                          <w:rFonts w:eastAsiaTheme="minorEastAsia" w:hint="eastAsia"/>
                          <w:b/>
                          <w:bCs/>
                          <w:i/>
                          <w:iCs/>
                          <w:color w:val="000000" w:themeColor="text1"/>
                          <w:sz w:val="19"/>
                          <w:szCs w:val="19"/>
                          <w:lang w:eastAsia="ja-JP"/>
                        </w:rPr>
                        <w:t>に加えられた変更点</w:t>
                      </w:r>
                      <w:r w:rsidRPr="003A5BA6">
                        <w:rPr>
                          <w:rFonts w:eastAsiaTheme="minorEastAsia"/>
                          <w:b/>
                          <w:bCs/>
                          <w:i/>
                          <w:iCs/>
                          <w:color w:val="000000" w:themeColor="text1"/>
                          <w:sz w:val="19"/>
                          <w:szCs w:val="19"/>
                          <w:lang w:eastAsia="ja-JP"/>
                        </w:rPr>
                        <w:t xml:space="preserve"> </w:t>
                      </w:r>
                    </w:p>
                    <w:p w14:paraId="0CB258CE" w14:textId="00FE4D8D" w:rsidR="003A5BA6" w:rsidRPr="003A5BA6" w:rsidRDefault="003A5BA6" w:rsidP="003A5BA6">
                      <w:pPr>
                        <w:spacing w:line="276" w:lineRule="auto"/>
                        <w:rPr>
                          <w:rFonts w:eastAsiaTheme="minorEastAsia"/>
                          <w:b/>
                          <w:bCs/>
                          <w:i/>
                          <w:iCs/>
                          <w:color w:val="000000" w:themeColor="text1"/>
                          <w:sz w:val="19"/>
                          <w:szCs w:val="19"/>
                          <w:lang w:eastAsia="ja-JP"/>
                        </w:rPr>
                      </w:pPr>
                      <w:r>
                        <w:rPr>
                          <w:rFonts w:eastAsiaTheme="minorEastAsia" w:hint="eastAsia"/>
                          <w:b/>
                          <w:bCs/>
                          <w:i/>
                          <w:iCs/>
                          <w:color w:val="000000" w:themeColor="text1"/>
                          <w:sz w:val="19"/>
                          <w:szCs w:val="19"/>
                          <w:lang w:eastAsia="ja-JP"/>
                        </w:rPr>
                        <w:t>・</w:t>
                      </w:r>
                      <w:r w:rsidRPr="003A5BA6">
                        <w:rPr>
                          <w:rFonts w:eastAsiaTheme="minorEastAsia" w:hint="eastAsia"/>
                          <w:b/>
                          <w:bCs/>
                          <w:i/>
                          <w:iCs/>
                          <w:color w:val="000000" w:themeColor="text1"/>
                          <w:sz w:val="19"/>
                          <w:szCs w:val="19"/>
                          <w:lang w:eastAsia="ja-JP"/>
                        </w:rPr>
                        <w:t>再計算が必要な場合の判断に使用した閾値</w:t>
                      </w:r>
                    </w:p>
                    <w:p w14:paraId="310587D7" w14:textId="10F40D3D" w:rsidR="003A5BA6" w:rsidRPr="003A5BA6" w:rsidRDefault="003A5BA6" w:rsidP="003A5BA6">
                      <w:pPr>
                        <w:spacing w:line="276" w:lineRule="auto"/>
                        <w:rPr>
                          <w:rFonts w:eastAsiaTheme="minorEastAsia"/>
                          <w:b/>
                          <w:bCs/>
                          <w:i/>
                          <w:iCs/>
                          <w:color w:val="000000" w:themeColor="text1"/>
                          <w:sz w:val="19"/>
                          <w:szCs w:val="19"/>
                          <w:lang w:eastAsia="ja-JP"/>
                        </w:rPr>
                      </w:pPr>
                      <w:r>
                        <w:rPr>
                          <w:rFonts w:eastAsiaTheme="minorEastAsia" w:hint="eastAsia"/>
                          <w:b/>
                          <w:bCs/>
                          <w:i/>
                          <w:iCs/>
                          <w:color w:val="000000" w:themeColor="text1"/>
                          <w:sz w:val="19"/>
                          <w:szCs w:val="19"/>
                          <w:lang w:eastAsia="ja-JP"/>
                        </w:rPr>
                        <w:t>・</w:t>
                      </w:r>
                      <w:r w:rsidRPr="003A5BA6">
                        <w:rPr>
                          <w:rFonts w:eastAsiaTheme="minorEastAsia" w:hint="eastAsia"/>
                          <w:b/>
                          <w:bCs/>
                          <w:i/>
                          <w:iCs/>
                          <w:color w:val="000000" w:themeColor="text1"/>
                          <w:sz w:val="19"/>
                          <w:szCs w:val="19"/>
                          <w:lang w:eastAsia="ja-JP"/>
                        </w:rPr>
                        <w:t>基礎排出量の再計算の引き金となる重大な変化を特定、説明する適切な記述</w:t>
                      </w:r>
                    </w:p>
                    <w:p w14:paraId="3C391501" w14:textId="03FCF254" w:rsidR="003A5BA6" w:rsidRPr="003A5BA6" w:rsidRDefault="003A5BA6" w:rsidP="003A5BA6">
                      <w:pPr>
                        <w:spacing w:line="276" w:lineRule="auto"/>
                        <w:rPr>
                          <w:rFonts w:eastAsiaTheme="minorEastAsia"/>
                          <w:b/>
                          <w:bCs/>
                          <w:i/>
                          <w:iCs/>
                          <w:color w:val="000000" w:themeColor="text1"/>
                          <w:sz w:val="19"/>
                          <w:szCs w:val="19"/>
                          <w:lang w:eastAsia="ja-JP"/>
                        </w:rPr>
                      </w:pPr>
                      <w:r>
                        <w:rPr>
                          <w:rFonts w:eastAsiaTheme="minorEastAsia" w:hint="eastAsia"/>
                          <w:b/>
                          <w:bCs/>
                          <w:i/>
                          <w:iCs/>
                          <w:color w:val="000000" w:themeColor="text1"/>
                          <w:sz w:val="19"/>
                          <w:szCs w:val="19"/>
                          <w:lang w:eastAsia="ja-JP"/>
                        </w:rPr>
                        <w:t>・２</w:t>
                      </w:r>
                      <w:r w:rsidRPr="003A5BA6">
                        <w:rPr>
                          <w:rFonts w:eastAsiaTheme="minorEastAsia" w:hint="eastAsia"/>
                          <w:b/>
                          <w:bCs/>
                          <w:i/>
                          <w:iCs/>
                          <w:color w:val="000000" w:themeColor="text1"/>
                          <w:sz w:val="19"/>
                          <w:szCs w:val="19"/>
                          <w:lang w:eastAsia="ja-JP"/>
                        </w:rPr>
                        <w:t>つの</w:t>
                      </w:r>
                      <w:r w:rsidR="003D29F0">
                        <w:rPr>
                          <w:rFonts w:eastAsiaTheme="minorEastAsia" w:hint="eastAsia"/>
                          <w:b/>
                          <w:bCs/>
                          <w:i/>
                          <w:iCs/>
                          <w:color w:val="000000" w:themeColor="text1"/>
                          <w:sz w:val="19"/>
                          <w:szCs w:val="19"/>
                          <w:lang w:eastAsia="ja-JP"/>
                        </w:rPr>
                        <w:t>排出量</w:t>
                      </w:r>
                      <w:r w:rsidRPr="003A5BA6">
                        <w:rPr>
                          <w:rFonts w:eastAsiaTheme="minorEastAsia" w:hint="eastAsia"/>
                          <w:b/>
                          <w:bCs/>
                          <w:i/>
                          <w:iCs/>
                          <w:color w:val="000000" w:themeColor="text1"/>
                          <w:sz w:val="19"/>
                          <w:szCs w:val="19"/>
                          <w:lang w:eastAsia="ja-JP"/>
                        </w:rPr>
                        <w:t>の分析単位での経時変化率としての排出結果の変化</w:t>
                      </w:r>
                      <w:r w:rsidRPr="003A5BA6">
                        <w:rPr>
                          <w:rFonts w:eastAsiaTheme="minorEastAsia"/>
                          <w:b/>
                          <w:bCs/>
                          <w:i/>
                          <w:iCs/>
                          <w:color w:val="000000" w:themeColor="text1"/>
                          <w:sz w:val="19"/>
                          <w:szCs w:val="19"/>
                          <w:lang w:eastAsia="ja-JP"/>
                        </w:rPr>
                        <w:t xml:space="preserve"> </w:t>
                      </w:r>
                    </w:p>
                    <w:p w14:paraId="5C0B9ED6" w14:textId="671A9B78" w:rsidR="003A5BA6" w:rsidRPr="003A5BA6" w:rsidRDefault="003A5BA6" w:rsidP="003A5BA6">
                      <w:pPr>
                        <w:spacing w:line="276" w:lineRule="auto"/>
                        <w:rPr>
                          <w:rFonts w:eastAsiaTheme="minorEastAsia"/>
                          <w:b/>
                          <w:bCs/>
                          <w:i/>
                          <w:iCs/>
                          <w:color w:val="000000" w:themeColor="text1"/>
                          <w:sz w:val="19"/>
                          <w:szCs w:val="19"/>
                          <w:lang w:eastAsia="ja-JP"/>
                        </w:rPr>
                      </w:pPr>
                      <w:r>
                        <w:rPr>
                          <w:rFonts w:eastAsiaTheme="minorEastAsia" w:hint="eastAsia"/>
                          <w:b/>
                          <w:bCs/>
                          <w:i/>
                          <w:iCs/>
                          <w:color w:val="000000" w:themeColor="text1"/>
                          <w:sz w:val="19"/>
                          <w:szCs w:val="19"/>
                          <w:lang w:eastAsia="ja-JP"/>
                        </w:rPr>
                        <w:t>・</w:t>
                      </w:r>
                      <w:r w:rsidRPr="003A5BA6">
                        <w:rPr>
                          <w:rFonts w:eastAsiaTheme="minorEastAsia" w:hint="eastAsia"/>
                          <w:b/>
                          <w:bCs/>
                          <w:i/>
                          <w:iCs/>
                          <w:color w:val="000000" w:themeColor="text1"/>
                          <w:sz w:val="19"/>
                          <w:szCs w:val="19"/>
                          <w:lang w:eastAsia="ja-JP"/>
                        </w:rPr>
                        <w:t>算出結果に基づき、排出量を削減するために取られた措置の説明</w:t>
                      </w:r>
                    </w:p>
                  </w:txbxContent>
                </v:textbox>
              </v:roundrect>
            </w:pict>
          </mc:Fallback>
        </mc:AlternateContent>
      </w:r>
      <w:r w:rsidR="00000000">
        <w:pict w14:anchorId="09617507">
          <v:group id="docshapegroup1451" o:spid="_x0000_s2399" style="position:absolute;margin-left:47.95pt;margin-top:322pt;width:500.6pt;height:313.6pt;z-index:251641344;mso-position-horizontal-relative:page;mso-position-vertical-relative:text" coordorigin="1134,1491" coordsize="10012,6272">
            <v:shape id="docshape1452" o:spid="_x0000_s2401" type="#_x0000_t75" style="position:absolute;left:1133;top:1491;width:10012;height:6272">
              <v:imagedata r:id="rId311" o:title=""/>
            </v:shape>
            <v:shape id="docshape1453" o:spid="_x0000_s2400" type="#_x0000_t202" style="position:absolute;left:10741;top:6907;width:390;height:180" filled="f" stroked="f">
              <v:textbox style="mso-next-textbox:#docshape1453" inset="0,0,0,0">
                <w:txbxContent>
                  <w:p w14:paraId="788DF4ED" w14:textId="77777777" w:rsidR="0055291C" w:rsidRDefault="00F23C61">
                    <w:pPr>
                      <w:spacing w:before="1" w:line="178" w:lineRule="exact"/>
                      <w:rPr>
                        <w:sz w:val="16"/>
                      </w:rPr>
                    </w:pPr>
                    <w:r>
                      <w:rPr>
                        <w:color w:val="FFFFFF"/>
                        <w:w w:val="105"/>
                        <w:sz w:val="16"/>
                      </w:rPr>
                      <w:t>[103]</w:t>
                    </w:r>
                  </w:p>
                </w:txbxContent>
              </v:textbox>
            </v:shape>
            <w10:wrap anchorx="page"/>
          </v:group>
        </w:pict>
      </w:r>
    </w:p>
    <w:p w14:paraId="6D2E0CE7" w14:textId="77777777" w:rsidR="0055291C" w:rsidRDefault="0055291C">
      <w:pPr>
        <w:pStyle w:val="a3"/>
        <w:rPr>
          <w:rFonts w:ascii="Arial"/>
          <w:b/>
          <w:i/>
          <w:sz w:val="20"/>
        </w:rPr>
      </w:pPr>
    </w:p>
    <w:p w14:paraId="1AB1F40E" w14:textId="77777777" w:rsidR="0055291C" w:rsidRDefault="0055291C">
      <w:pPr>
        <w:pStyle w:val="a3"/>
        <w:rPr>
          <w:rFonts w:ascii="Arial"/>
          <w:b/>
          <w:i/>
          <w:sz w:val="20"/>
        </w:rPr>
      </w:pPr>
    </w:p>
    <w:p w14:paraId="37EC81CC" w14:textId="77777777" w:rsidR="0055291C" w:rsidRDefault="0055291C">
      <w:pPr>
        <w:pStyle w:val="a3"/>
        <w:rPr>
          <w:rFonts w:ascii="Arial"/>
          <w:b/>
          <w:i/>
          <w:sz w:val="20"/>
        </w:rPr>
      </w:pPr>
    </w:p>
    <w:p w14:paraId="073C383E" w14:textId="77777777" w:rsidR="0055291C" w:rsidRDefault="0055291C">
      <w:pPr>
        <w:pStyle w:val="a3"/>
        <w:spacing w:before="3"/>
        <w:rPr>
          <w:rFonts w:ascii="Arial"/>
          <w:b/>
          <w:i/>
          <w:sz w:val="28"/>
        </w:rPr>
      </w:pPr>
    </w:p>
    <w:p w14:paraId="2C4660CA" w14:textId="77777777" w:rsidR="0055291C" w:rsidRDefault="0055291C">
      <w:pPr>
        <w:rPr>
          <w:rFonts w:ascii="Arial"/>
          <w:sz w:val="28"/>
        </w:rPr>
        <w:sectPr w:rsidR="0055291C">
          <w:headerReference w:type="even" r:id="rId312"/>
          <w:footerReference w:type="even" r:id="rId313"/>
          <w:footerReference w:type="default" r:id="rId314"/>
          <w:pgSz w:w="12240" w:h="15840"/>
          <w:pgMar w:top="620" w:right="0" w:bottom="1040" w:left="0" w:header="0" w:footer="859" w:gutter="0"/>
          <w:pgNumType w:start="104"/>
          <w:cols w:space="720"/>
        </w:sectPr>
      </w:pPr>
    </w:p>
    <w:p w14:paraId="22FBFD0D" w14:textId="0A1D8740" w:rsidR="0055291C" w:rsidRDefault="00392065" w:rsidP="00CF41CD">
      <w:pPr>
        <w:pStyle w:val="3"/>
        <w:numPr>
          <w:ilvl w:val="2"/>
          <w:numId w:val="29"/>
        </w:numPr>
        <w:tabs>
          <w:tab w:val="left" w:pos="993"/>
        </w:tabs>
        <w:spacing w:before="98"/>
        <w:ind w:left="993" w:firstLine="0"/>
      </w:pPr>
      <w:r>
        <w:rPr>
          <w:rFonts w:ascii="ＭＳ 明朝" w:eastAsia="ＭＳ 明朝" w:hAnsi="ＭＳ 明朝" w:cs="ＭＳ 明朝" w:hint="eastAsia"/>
          <w:color w:val="00ACA1"/>
          <w:lang w:eastAsia="ja-JP"/>
        </w:rPr>
        <w:t>ガイダンス</w:t>
      </w:r>
    </w:p>
    <w:p w14:paraId="3827A321" w14:textId="48E9DF5F" w:rsidR="0055291C" w:rsidRDefault="00F11853" w:rsidP="00CF41CD">
      <w:pPr>
        <w:pStyle w:val="7"/>
        <w:numPr>
          <w:ilvl w:val="2"/>
          <w:numId w:val="27"/>
        </w:numPr>
        <w:tabs>
          <w:tab w:val="left" w:pos="993"/>
        </w:tabs>
        <w:spacing w:before="42"/>
        <w:ind w:left="993" w:firstLine="0"/>
        <w:jc w:val="left"/>
      </w:pPr>
      <w:r>
        <w:rPr>
          <w:rFonts w:ascii="ＭＳ 明朝" w:eastAsia="ＭＳ 明朝" w:hAnsi="ＭＳ 明朝" w:cs="ＭＳ 明朝" w:hint="eastAsia"/>
          <w:color w:val="00B8B1"/>
          <w:w w:val="95"/>
          <w:lang w:eastAsia="ja-JP"/>
        </w:rPr>
        <w:t>公表の目的</w:t>
      </w:r>
    </w:p>
    <w:p w14:paraId="63AA06CC" w14:textId="2F737F82" w:rsidR="0055291C" w:rsidRDefault="00F11853" w:rsidP="00CF41CD">
      <w:pPr>
        <w:pStyle w:val="a3"/>
        <w:tabs>
          <w:tab w:val="left" w:pos="993"/>
        </w:tabs>
        <w:spacing w:before="62" w:line="312" w:lineRule="auto"/>
        <w:ind w:left="993" w:right="-12" w:firstLineChars="200" w:firstLine="380"/>
        <w:rPr>
          <w:lang w:eastAsia="ja-JP"/>
        </w:rPr>
      </w:pPr>
      <w:r>
        <w:rPr>
          <w:lang w:eastAsia="ja-JP"/>
        </w:rPr>
        <w:t>GHG</w:t>
      </w:r>
      <w:r>
        <w:rPr>
          <w:rFonts w:ascii="ＭＳ ゴシック" w:eastAsia="ＭＳ ゴシック" w:hAnsi="ＭＳ ゴシック" w:cs="ＭＳ ゴシック" w:hint="eastAsia"/>
          <w:lang w:eastAsia="ja-JP"/>
        </w:rPr>
        <w:t>プロトコル製品規格に準拠した</w:t>
      </w:r>
      <w:r>
        <w:rPr>
          <w:lang w:eastAsia="ja-JP"/>
        </w:rPr>
        <w:t>GHG</w:t>
      </w:r>
      <w:r>
        <w:rPr>
          <w:rFonts w:ascii="ＭＳ ゴシック" w:eastAsia="ＭＳ ゴシック" w:hAnsi="ＭＳ ゴシック" w:cs="ＭＳ ゴシック" w:hint="eastAsia"/>
          <w:lang w:eastAsia="ja-JP"/>
        </w:rPr>
        <w:t>報告書を作成することの包括的な目標は、製品のライフサイクル全体にわたって</w:t>
      </w:r>
      <w:r>
        <w:rPr>
          <w:lang w:eastAsia="ja-JP"/>
        </w:rPr>
        <w:t>GHG</w:t>
      </w:r>
      <w:r>
        <w:rPr>
          <w:rFonts w:ascii="ＭＳ ゴシック" w:eastAsia="ＭＳ ゴシック" w:hAnsi="ＭＳ ゴシック" w:cs="ＭＳ ゴシック" w:hint="eastAsia"/>
          <w:lang w:eastAsia="ja-JP"/>
        </w:rPr>
        <w:t>排出量削減を追求する積極的な推進力を生み出すことにあります。報告書の作成から結果の報告までの全プロセスは、削減機会の理解を深めるだけでなく、排出量の優先順位付けと削減に向けた関係者からのインプットを促進し活用できるように設計されています。対象者と具体的なビジネス目標を特定することが最初のステップであり、報告はこの目標を達成するための最後のステップです。</w:t>
      </w:r>
    </w:p>
    <w:p w14:paraId="0CD3A9D6" w14:textId="326753B5" w:rsidR="0055291C" w:rsidRDefault="00F11853" w:rsidP="00CF41CD">
      <w:pPr>
        <w:pStyle w:val="a3"/>
        <w:tabs>
          <w:tab w:val="left" w:pos="993"/>
        </w:tabs>
        <w:spacing w:before="140" w:line="312" w:lineRule="auto"/>
        <w:ind w:left="993" w:right="56" w:firstLineChars="100" w:firstLine="190"/>
        <w:rPr>
          <w:lang w:eastAsia="ja-JP"/>
        </w:rPr>
      </w:pPr>
      <w:r w:rsidRPr="00F11853">
        <w:rPr>
          <w:rFonts w:ascii="ＭＳ ゴシック" w:eastAsia="ＭＳ ゴシック" w:hAnsi="ＭＳ ゴシック" w:cs="ＭＳ ゴシック" w:hint="eastAsia"/>
          <w:color w:val="545456"/>
          <w:lang w:eastAsia="ja-JP"/>
        </w:rPr>
        <w:t>以下の項では、規格の他の部分に含まれていないいくつかの報告要件を</w:t>
      </w:r>
      <w:r w:rsidR="00CF41CD">
        <w:rPr>
          <w:rFonts w:ascii="ＭＳ ゴシック" w:eastAsia="ＭＳ ゴシック" w:hAnsi="ＭＳ ゴシック" w:cs="ＭＳ ゴシック" w:hint="eastAsia"/>
          <w:color w:val="545456"/>
          <w:lang w:eastAsia="ja-JP"/>
        </w:rPr>
        <w:t>満たす</w:t>
      </w:r>
      <w:r w:rsidRPr="00F11853">
        <w:rPr>
          <w:rFonts w:ascii="ＭＳ ゴシック" w:eastAsia="ＭＳ ゴシック" w:hAnsi="ＭＳ ゴシック" w:cs="ＭＳ ゴシック" w:hint="eastAsia"/>
          <w:color w:val="545456"/>
          <w:lang w:eastAsia="ja-JP"/>
        </w:rPr>
        <w:t>ためのガイダンスを</w:t>
      </w:r>
      <w:r w:rsidR="00CF41CD">
        <w:rPr>
          <w:rFonts w:ascii="ＭＳ ゴシック" w:eastAsia="ＭＳ ゴシック" w:hAnsi="ＭＳ ゴシック" w:cs="ＭＳ ゴシック" w:hint="eastAsia"/>
          <w:color w:val="545456"/>
          <w:lang w:eastAsia="ja-JP"/>
        </w:rPr>
        <w:t>説明します</w:t>
      </w:r>
      <w:r w:rsidRPr="00CF41CD">
        <w:rPr>
          <w:color w:val="545456"/>
          <w:vertAlign w:val="superscript"/>
          <w:lang w:eastAsia="ja-JP"/>
        </w:rPr>
        <w:t>1</w:t>
      </w:r>
      <w:r w:rsidRPr="00F11853">
        <w:rPr>
          <w:rFonts w:ascii="ＭＳ ゴシック" w:eastAsia="ＭＳ ゴシック" w:hAnsi="ＭＳ ゴシック" w:cs="ＭＳ ゴシック" w:hint="eastAsia"/>
          <w:color w:val="545456"/>
          <w:lang w:eastAsia="ja-JP"/>
        </w:rPr>
        <w:t>。</w:t>
      </w:r>
    </w:p>
    <w:p w14:paraId="0E3D847E" w14:textId="4C155B05" w:rsidR="0055291C" w:rsidRPr="00CF41CD" w:rsidRDefault="00765986" w:rsidP="00CF41CD">
      <w:pPr>
        <w:rPr>
          <w:sz w:val="20"/>
          <w:lang w:eastAsia="ja-JP"/>
        </w:rPr>
      </w:pPr>
      <w:r>
        <w:rPr>
          <w:rFonts w:ascii="Arial"/>
          <w:b/>
          <w:noProof/>
          <w:sz w:val="29"/>
          <w:lang w:eastAsia="ja-JP"/>
        </w:rPr>
        <mc:AlternateContent>
          <mc:Choice Requires="wpg">
            <w:drawing>
              <wp:anchor distT="0" distB="0" distL="114300" distR="114300" simplePos="0" relativeHeight="251517440" behindDoc="0" locked="0" layoutInCell="1" allowOverlap="1" wp14:anchorId="044F0B26" wp14:editId="67DF15CE">
                <wp:simplePos x="0" y="0"/>
                <wp:positionH relativeFrom="column">
                  <wp:posOffset>673100</wp:posOffset>
                </wp:positionH>
                <wp:positionV relativeFrom="paragraph">
                  <wp:posOffset>126365</wp:posOffset>
                </wp:positionV>
                <wp:extent cx="6649085" cy="3549650"/>
                <wp:effectExtent l="0" t="0" r="0" b="0"/>
                <wp:wrapNone/>
                <wp:docPr id="124" name="グループ化 124"/>
                <wp:cNvGraphicFramePr/>
                <a:graphic xmlns:a="http://schemas.openxmlformats.org/drawingml/2006/main">
                  <a:graphicData uri="http://schemas.microsoft.com/office/word/2010/wordprocessingGroup">
                    <wpg:wgp>
                      <wpg:cNvGrpSpPr/>
                      <wpg:grpSpPr>
                        <a:xfrm>
                          <a:off x="0" y="0"/>
                          <a:ext cx="6649085" cy="3549650"/>
                          <a:chOff x="0" y="0"/>
                          <a:chExt cx="6649085" cy="3549650"/>
                        </a:xfrm>
                      </wpg:grpSpPr>
                      <pic:pic xmlns:pic="http://schemas.openxmlformats.org/drawingml/2006/picture">
                        <pic:nvPicPr>
                          <pic:cNvPr id="122" name="図 122"/>
                          <pic:cNvPicPr>
                            <a:picLocks noChangeAspect="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349250"/>
                            <a:ext cx="6649085" cy="3200400"/>
                          </a:xfrm>
                          <a:prstGeom prst="rect">
                            <a:avLst/>
                          </a:prstGeom>
                          <a:noFill/>
                          <a:ln>
                            <a:noFill/>
                          </a:ln>
                        </pic:spPr>
                      </pic:pic>
                      <wps:wsp>
                        <wps:cNvPr id="123" name="テキスト ボックス 123"/>
                        <wps:cNvSpPr txBox="1"/>
                        <wps:spPr>
                          <a:xfrm>
                            <a:off x="120650" y="0"/>
                            <a:ext cx="6115050" cy="285750"/>
                          </a:xfrm>
                          <a:prstGeom prst="rect">
                            <a:avLst/>
                          </a:prstGeom>
                          <a:solidFill>
                            <a:schemeClr val="lt1"/>
                          </a:solidFill>
                          <a:ln w="6350">
                            <a:noFill/>
                          </a:ln>
                        </wps:spPr>
                        <wps:txbx>
                          <w:txbxContent>
                            <w:p w14:paraId="1D03A1EC" w14:textId="4CAC1ABA" w:rsidR="00765986" w:rsidRDefault="00765986">
                              <w:pPr>
                                <w:rPr>
                                  <w:lang w:eastAsia="ja-JP"/>
                                </w:rPr>
                              </w:pPr>
                              <w:r>
                                <w:rPr>
                                  <w:rFonts w:ascii="ＭＳ ゴシック" w:eastAsia="ＭＳ ゴシック" w:hAnsi="ＭＳ ゴシック" w:cs="ＭＳ ゴシック" w:hint="eastAsia"/>
                                  <w:b/>
                                  <w:color w:val="00ACA1"/>
                                  <w:w w:val="95"/>
                                  <w:sz w:val="20"/>
                                  <w:lang w:eastAsia="ja-JP"/>
                                </w:rPr>
                                <w:t>表</w:t>
                              </w:r>
                              <w:r>
                                <w:rPr>
                                  <w:rFonts w:ascii="Arial"/>
                                  <w:b/>
                                  <w:color w:val="00ACA1"/>
                                  <w:spacing w:val="13"/>
                                  <w:w w:val="95"/>
                                  <w:sz w:val="20"/>
                                  <w:lang w:eastAsia="ja-JP"/>
                                </w:rPr>
                                <w:t xml:space="preserve"> </w:t>
                              </w:r>
                              <w:r>
                                <w:rPr>
                                  <w:rFonts w:ascii="Arial"/>
                                  <w:b/>
                                  <w:color w:val="00ACA1"/>
                                  <w:w w:val="95"/>
                                  <w:sz w:val="20"/>
                                  <w:lang w:eastAsia="ja-JP"/>
                                </w:rPr>
                                <w:t>[13.1]</w:t>
                              </w:r>
                              <w:r>
                                <w:rPr>
                                  <w:rFonts w:ascii="Arial"/>
                                  <w:b/>
                                  <w:color w:val="00ACA1"/>
                                  <w:spacing w:val="13"/>
                                  <w:w w:val="95"/>
                                  <w:sz w:val="20"/>
                                  <w:lang w:eastAsia="ja-JP"/>
                                </w:rPr>
                                <w:t xml:space="preserve"> </w:t>
                              </w:r>
                              <w:r w:rsidRPr="004E51CE">
                                <w:rPr>
                                  <w:rFonts w:ascii="ＭＳ ゴシック" w:eastAsia="ＭＳ ゴシック" w:hAnsi="ＭＳ ゴシック" w:cs="ＭＳ ゴシック" w:hint="eastAsia"/>
                                  <w:b/>
                                  <w:bCs/>
                                  <w:sz w:val="19"/>
                                  <w:szCs w:val="19"/>
                                  <w:lang w:eastAsia="ja-JP"/>
                                </w:rPr>
                                <w:t>一般に公開された製品</w:t>
                              </w:r>
                              <w:r w:rsidRPr="004E51CE">
                                <w:rPr>
                                  <w:b/>
                                  <w:bCs/>
                                  <w:sz w:val="19"/>
                                  <w:szCs w:val="19"/>
                                  <w:lang w:eastAsia="ja-JP"/>
                                </w:rPr>
                                <w:t>GHG</w:t>
                              </w:r>
                              <w:r w:rsidRPr="004E51CE">
                                <w:rPr>
                                  <w:rFonts w:ascii="ＭＳ ゴシック" w:eastAsia="ＭＳ ゴシック" w:hAnsi="ＭＳ ゴシック" w:cs="ＭＳ ゴシック" w:hint="eastAsia"/>
                                  <w:b/>
                                  <w:bCs/>
                                  <w:sz w:val="19"/>
                                  <w:szCs w:val="19"/>
                                  <w:lang w:eastAsia="ja-JP"/>
                                </w:rPr>
                                <w:t>インベントリ報告書の潜在的な対象者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4F0B26" id="グループ化 124" o:spid="_x0000_s1144" style="position:absolute;margin-left:53pt;margin-top:9.95pt;width:523.55pt;height:279.5pt;z-index:251517440" coordsize="66490,35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">
                <v:shape id="図 122" o:spid="_x0000_s1145" type="#_x0000_t75" style="position:absolute;top:3492;width:66490;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">
                  <v:imagedata r:id="rId316" o:title=""/>
                </v:shape>
                <v:shape id="テキスト ボックス 123" o:spid="_x0000_s1146" type="#_x0000_t202" style="position:absolute;left:1206;width:61151;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" fillcolor="white [3201]" stroked="f" strokeweight=".5pt">
                  <v:textbox>
                    <w:txbxContent>
                      <w:p w14:paraId="1D03A1EC" w14:textId="4CAC1ABA" w:rsidR="00765986" w:rsidRDefault="00765986">
                        <w:pPr>
                          <w:rPr>
                            <w:lang w:eastAsia="ja-JP"/>
                          </w:rPr>
                        </w:pPr>
                        <w:r>
                          <w:rPr>
                            <w:rFonts w:ascii="ＭＳ ゴシック" w:eastAsia="ＭＳ ゴシック" w:hAnsi="ＭＳ ゴシック" w:cs="ＭＳ ゴシック" w:hint="eastAsia"/>
                            <w:b/>
                            <w:color w:val="00ACA1"/>
                            <w:w w:val="95"/>
                            <w:sz w:val="20"/>
                            <w:lang w:eastAsia="ja-JP"/>
                          </w:rPr>
                          <w:t>表</w:t>
                        </w:r>
                        <w:r>
                          <w:rPr>
                            <w:rFonts w:ascii="Arial"/>
                            <w:b/>
                            <w:color w:val="00ACA1"/>
                            <w:spacing w:val="13"/>
                            <w:w w:val="95"/>
                            <w:sz w:val="20"/>
                            <w:lang w:eastAsia="ja-JP"/>
                          </w:rPr>
                          <w:t xml:space="preserve"> </w:t>
                        </w:r>
                        <w:r>
                          <w:rPr>
                            <w:rFonts w:ascii="Arial"/>
                            <w:b/>
                            <w:color w:val="00ACA1"/>
                            <w:w w:val="95"/>
                            <w:sz w:val="20"/>
                            <w:lang w:eastAsia="ja-JP"/>
                          </w:rPr>
                          <w:t>[13.1]</w:t>
                        </w:r>
                        <w:r>
                          <w:rPr>
                            <w:rFonts w:ascii="Arial"/>
                            <w:b/>
                            <w:color w:val="00ACA1"/>
                            <w:spacing w:val="13"/>
                            <w:w w:val="95"/>
                            <w:sz w:val="20"/>
                            <w:lang w:eastAsia="ja-JP"/>
                          </w:rPr>
                          <w:t xml:space="preserve"> </w:t>
                        </w:r>
                        <w:r w:rsidRPr="004E51CE">
                          <w:rPr>
                            <w:rFonts w:ascii="ＭＳ ゴシック" w:eastAsia="ＭＳ ゴシック" w:hAnsi="ＭＳ ゴシック" w:cs="ＭＳ ゴシック" w:hint="eastAsia"/>
                            <w:b/>
                            <w:bCs/>
                            <w:sz w:val="19"/>
                            <w:szCs w:val="19"/>
                            <w:lang w:eastAsia="ja-JP"/>
                          </w:rPr>
                          <w:t>一般に公開された製品</w:t>
                        </w:r>
                        <w:r w:rsidRPr="004E51CE">
                          <w:rPr>
                            <w:b/>
                            <w:bCs/>
                            <w:sz w:val="19"/>
                            <w:szCs w:val="19"/>
                            <w:lang w:eastAsia="ja-JP"/>
                          </w:rPr>
                          <w:t>GHG</w:t>
                        </w:r>
                        <w:r w:rsidRPr="004E51CE">
                          <w:rPr>
                            <w:rFonts w:ascii="ＭＳ ゴシック" w:eastAsia="ＭＳ ゴシック" w:hAnsi="ＭＳ ゴシック" w:cs="ＭＳ ゴシック" w:hint="eastAsia"/>
                            <w:b/>
                            <w:bCs/>
                            <w:sz w:val="19"/>
                            <w:szCs w:val="19"/>
                            <w:lang w:eastAsia="ja-JP"/>
                          </w:rPr>
                          <w:t>インベントリ報告書の潜在的な対象者</w:t>
                        </w:r>
                      </w:p>
                    </w:txbxContent>
                  </v:textbox>
                </v:shape>
              </v:group>
            </w:pict>
          </mc:Fallback>
        </mc:AlternateContent>
      </w:r>
      <w:r w:rsidR="00F23C61">
        <w:rPr>
          <w:lang w:eastAsia="ja-JP"/>
        </w:rPr>
        <w:br w:type="column"/>
      </w:r>
    </w:p>
    <w:p w14:paraId="69108055" w14:textId="4FB1AE87" w:rsidR="0055291C" w:rsidRDefault="00CF41CD">
      <w:pPr>
        <w:pStyle w:val="a3"/>
        <w:spacing w:before="1" w:line="312" w:lineRule="auto"/>
        <w:ind w:left="297" w:right="1338"/>
      </w:pPr>
      <w:r>
        <w:rPr>
          <w:rFonts w:ascii="ＭＳ ゴシック" w:eastAsia="ＭＳ ゴシック" w:hAnsi="ＭＳ ゴシック" w:cs="ＭＳ ゴシック" w:hint="eastAsia"/>
          <w:color w:val="545456"/>
          <w:lang w:eastAsia="ja-JP"/>
        </w:rPr>
        <w:t>これには追加的な</w:t>
      </w:r>
      <w:r w:rsidRPr="00F11853">
        <w:rPr>
          <w:rFonts w:ascii="ＭＳ ゴシック" w:eastAsia="ＭＳ ゴシック" w:hAnsi="ＭＳ ゴシック" w:cs="ＭＳ ゴシック" w:hint="eastAsia"/>
          <w:color w:val="545456"/>
          <w:lang w:eastAsia="ja-JP"/>
        </w:rPr>
        <w:t>報告要素のリストが含まれて</w:t>
      </w:r>
      <w:r>
        <w:rPr>
          <w:rFonts w:ascii="ＭＳ ゴシック" w:eastAsia="ＭＳ ゴシック" w:hAnsi="ＭＳ ゴシック" w:cs="ＭＳ ゴシック" w:hint="eastAsia"/>
          <w:color w:val="545456"/>
          <w:lang w:eastAsia="ja-JP"/>
        </w:rPr>
        <w:t>いるほか</w:t>
      </w:r>
      <w:r w:rsidRPr="00F11853">
        <w:rPr>
          <w:rFonts w:ascii="ＭＳ ゴシック" w:eastAsia="ＭＳ ゴシック" w:hAnsi="ＭＳ ゴシック" w:cs="ＭＳ ゴシック" w:hint="eastAsia"/>
          <w:color w:val="545456"/>
          <w:lang w:eastAsia="ja-JP"/>
        </w:rPr>
        <w:t>、企業が</w:t>
      </w:r>
      <w:r>
        <w:rPr>
          <w:rFonts w:ascii="ＭＳ ゴシック" w:eastAsia="ＭＳ ゴシック" w:hAnsi="ＭＳ ゴシック" w:cs="ＭＳ ゴシック" w:hint="eastAsia"/>
          <w:color w:val="545456"/>
          <w:lang w:eastAsia="ja-JP"/>
        </w:rPr>
        <w:t>報告書</w:t>
      </w:r>
      <w:r w:rsidRPr="00F11853">
        <w:rPr>
          <w:rFonts w:ascii="ＭＳ ゴシック" w:eastAsia="ＭＳ ゴシック" w:hAnsi="ＭＳ ゴシック" w:cs="ＭＳ ゴシック" w:hint="eastAsia"/>
          <w:color w:val="545456"/>
          <w:lang w:eastAsia="ja-JP"/>
        </w:rPr>
        <w:t>を整理するのに役立つ報告テンプレートが</w:t>
      </w:r>
      <w:r w:rsidRPr="00F11853">
        <w:rPr>
          <w:color w:val="545456"/>
          <w:lang w:eastAsia="ja-JP"/>
        </w:rPr>
        <w:t>(www.ghgprotocol.org)</w:t>
      </w:r>
      <w:r w:rsidRPr="00F11853">
        <w:rPr>
          <w:rFonts w:ascii="ＭＳ ゴシック" w:eastAsia="ＭＳ ゴシック" w:hAnsi="ＭＳ ゴシック" w:cs="ＭＳ ゴシック" w:hint="eastAsia"/>
          <w:color w:val="545456"/>
          <w:lang w:eastAsia="ja-JP"/>
        </w:rPr>
        <w:t>に提供されています。</w:t>
      </w:r>
    </w:p>
    <w:p w14:paraId="39181D50" w14:textId="0188285A" w:rsidR="0055291C" w:rsidRDefault="00CF41CD">
      <w:pPr>
        <w:pStyle w:val="7"/>
        <w:numPr>
          <w:ilvl w:val="2"/>
          <w:numId w:val="27"/>
        </w:numPr>
        <w:tabs>
          <w:tab w:val="left" w:pos="1018"/>
        </w:tabs>
        <w:spacing w:before="128"/>
        <w:ind w:left="1017" w:hanging="721"/>
        <w:jc w:val="left"/>
      </w:pPr>
      <w:r>
        <w:rPr>
          <w:rFonts w:ascii="ＭＳ 明朝" w:eastAsia="ＭＳ 明朝" w:hAnsi="ＭＳ 明朝" w:cs="ＭＳ 明朝" w:hint="eastAsia"/>
          <w:color w:val="00B8B1"/>
          <w:w w:val="95"/>
          <w:lang w:eastAsia="ja-JP"/>
        </w:rPr>
        <w:t>閲覧者の特定</w:t>
      </w:r>
    </w:p>
    <w:p w14:paraId="6600A1B8" w14:textId="640D6F91" w:rsidR="0055291C" w:rsidRDefault="00CF41CD" w:rsidP="00765986">
      <w:pPr>
        <w:pStyle w:val="a3"/>
        <w:spacing w:before="2" w:line="312" w:lineRule="auto"/>
        <w:ind w:left="297" w:right="1140" w:firstLineChars="100" w:firstLine="190"/>
        <w:rPr>
          <w:lang w:eastAsia="ja-JP"/>
        </w:rPr>
      </w:pPr>
      <w:r>
        <w:rPr>
          <w:rFonts w:ascii="ＭＳ ゴシック" w:eastAsia="ＭＳ ゴシック" w:hAnsi="ＭＳ ゴシック" w:cs="ＭＳ ゴシック" w:hint="eastAsia"/>
          <w:lang w:eastAsia="ja-JP"/>
        </w:rPr>
        <w:t>企業が目的を設定し、報告書を作成する際には、最初から閲覧者を念頭に置いておくことが重要です。報告書を作成すること</w:t>
      </w:r>
      <w:r w:rsidR="004E51CE">
        <w:rPr>
          <w:rFonts w:ascii="ＭＳ ゴシック" w:eastAsia="ＭＳ ゴシック" w:hAnsi="ＭＳ ゴシック" w:cs="ＭＳ ゴシック" w:hint="eastAsia"/>
          <w:lang w:eastAsia="ja-JP"/>
        </w:rPr>
        <w:t>は</w:t>
      </w:r>
      <w:r>
        <w:rPr>
          <w:rFonts w:ascii="ＭＳ ゴシック" w:eastAsia="ＭＳ ゴシック" w:hAnsi="ＭＳ ゴシック" w:cs="ＭＳ ゴシック" w:hint="eastAsia"/>
          <w:lang w:eastAsia="ja-JP"/>
        </w:rPr>
        <w:t>、閲覧者と有意義な関係を築く重要な機会です。利用者が、様々な</w:t>
      </w:r>
      <w:r w:rsidR="00DA47C0">
        <w:rPr>
          <w:rFonts w:ascii="ＭＳ ゴシック" w:eastAsia="ＭＳ ゴシック" w:hAnsi="ＭＳ ゴシック" w:cs="ＭＳ ゴシック" w:hint="eastAsia"/>
          <w:lang w:eastAsia="ja-JP"/>
        </w:rPr>
        <w:t>算出</w:t>
      </w:r>
      <w:r>
        <w:rPr>
          <w:rFonts w:ascii="ＭＳ ゴシック" w:eastAsia="ＭＳ ゴシック" w:hAnsi="ＭＳ ゴシック" w:cs="ＭＳ ゴシック" w:hint="eastAsia"/>
          <w:lang w:eastAsia="ja-JP"/>
        </w:rPr>
        <w:t>上の意思決定の目的、背景、根拠を理解し、</w:t>
      </w:r>
      <w:r w:rsidR="004E51CE">
        <w:rPr>
          <w:rFonts w:ascii="ＭＳ ゴシック" w:eastAsia="ＭＳ ゴシック" w:hAnsi="ＭＳ ゴシック" w:cs="ＭＳ ゴシック" w:hint="eastAsia"/>
          <w:lang w:eastAsia="ja-JP"/>
        </w:rPr>
        <w:t>算出</w:t>
      </w:r>
      <w:r>
        <w:rPr>
          <w:rFonts w:ascii="ＭＳ ゴシック" w:eastAsia="ＭＳ ゴシック" w:hAnsi="ＭＳ ゴシック" w:cs="ＭＳ ゴシック" w:hint="eastAsia"/>
          <w:lang w:eastAsia="ja-JP"/>
        </w:rPr>
        <w:t>結果の限界や潜在的な利用方法を理解できるようにすることは、</w:t>
      </w:r>
      <w:r w:rsidR="004E51CE">
        <w:rPr>
          <w:rFonts w:ascii="ＭＳ ゴシック" w:eastAsia="ＭＳ ゴシック" w:hAnsi="ＭＳ ゴシック" w:cs="ＭＳ ゴシック" w:hint="eastAsia"/>
          <w:lang w:eastAsia="ja-JP"/>
        </w:rPr>
        <w:t>報告書内</w:t>
      </w:r>
      <w:r>
        <w:rPr>
          <w:rFonts w:ascii="ＭＳ ゴシック" w:eastAsia="ＭＳ ゴシック" w:hAnsi="ＭＳ ゴシック" w:cs="ＭＳ ゴシック" w:hint="eastAsia"/>
          <w:lang w:eastAsia="ja-JP"/>
        </w:rPr>
        <w:t>で企業が取り組むべき目的の一例で</w:t>
      </w:r>
      <w:r w:rsidR="004E51CE">
        <w:rPr>
          <w:rFonts w:ascii="ＭＳ ゴシック" w:eastAsia="ＭＳ ゴシック" w:hAnsi="ＭＳ ゴシック" w:cs="ＭＳ ゴシック" w:hint="eastAsia"/>
          <w:lang w:eastAsia="ja-JP"/>
        </w:rPr>
        <w:t>す</w:t>
      </w:r>
      <w:r>
        <w:rPr>
          <w:rFonts w:ascii="ＭＳ ゴシック" w:eastAsia="ＭＳ ゴシック" w:hAnsi="ＭＳ ゴシック" w:cs="ＭＳ ゴシック" w:hint="eastAsia"/>
          <w:lang w:eastAsia="ja-JP"/>
        </w:rPr>
        <w:t>。</w:t>
      </w:r>
    </w:p>
    <w:p w14:paraId="4148FF1D"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925" w:space="40"/>
            <w:col w:w="6275"/>
          </w:cols>
        </w:sectPr>
      </w:pPr>
    </w:p>
    <w:p w14:paraId="286FCB43" w14:textId="77777777" w:rsidR="0055291C" w:rsidRDefault="0055291C">
      <w:pPr>
        <w:pStyle w:val="a3"/>
        <w:rPr>
          <w:sz w:val="20"/>
          <w:lang w:eastAsia="ja-JP"/>
        </w:rPr>
      </w:pPr>
    </w:p>
    <w:p w14:paraId="11A91E03" w14:textId="1AA5A5BA" w:rsidR="0055291C" w:rsidRPr="00765986" w:rsidRDefault="0055291C">
      <w:pPr>
        <w:pStyle w:val="a3"/>
        <w:spacing w:before="6"/>
        <w:rPr>
          <w:rFonts w:eastAsiaTheme="minorEastAsia"/>
          <w:sz w:val="24"/>
          <w:lang w:eastAsia="ja-JP"/>
        </w:rPr>
      </w:pPr>
    </w:p>
    <w:p w14:paraId="1FF11B1B" w14:textId="7C29D3D2" w:rsidR="0055291C" w:rsidRDefault="00765986">
      <w:pPr>
        <w:spacing w:before="99"/>
        <w:ind w:left="1181"/>
        <w:rPr>
          <w:rFonts w:ascii="Arial"/>
          <w:b/>
          <w:sz w:val="20"/>
          <w:lang w:eastAsia="ja-JP"/>
        </w:rPr>
      </w:pPr>
      <w:bookmarkStart w:id="12" w:name="_bookmark1"/>
      <w:bookmarkEnd w:id="12"/>
      <w:r>
        <w:rPr>
          <w:rFonts w:ascii="Arial"/>
          <w:b/>
          <w:sz w:val="20"/>
          <w:lang w:eastAsia="ja-JP"/>
        </w:rPr>
        <w:t xml:space="preserve"> </w:t>
      </w:r>
    </w:p>
    <w:p w14:paraId="7FA98F41" w14:textId="30F1ECC7" w:rsidR="0055291C" w:rsidRDefault="0055291C">
      <w:pPr>
        <w:pStyle w:val="a3"/>
        <w:spacing w:before="2"/>
        <w:rPr>
          <w:rFonts w:ascii="Arial"/>
          <w:b/>
          <w:sz w:val="29"/>
          <w:lang w:eastAsia="ja-JP"/>
        </w:rPr>
      </w:pPr>
    </w:p>
    <w:p w14:paraId="4C3BE9FB" w14:textId="2F2E9E9F" w:rsidR="0055291C" w:rsidRDefault="0055291C" w:rsidP="00FD4138">
      <w:pPr>
        <w:pStyle w:val="5"/>
        <w:tabs>
          <w:tab w:val="left" w:pos="5167"/>
        </w:tabs>
        <w:ind w:left="1218"/>
        <w:rPr>
          <w:lang w:eastAsia="ja-JP"/>
        </w:rPr>
        <w:sectPr w:rsidR="0055291C">
          <w:type w:val="continuous"/>
          <w:pgSz w:w="12240" w:h="15840"/>
          <w:pgMar w:top="740" w:right="0" w:bottom="280" w:left="0" w:header="0" w:footer="859" w:gutter="0"/>
          <w:cols w:num="2" w:space="720" w:equalWidth="0">
            <w:col w:w="3995" w:space="40"/>
            <w:col w:w="8205"/>
          </w:cols>
        </w:sectPr>
      </w:pPr>
    </w:p>
    <w:p w14:paraId="318C2670" w14:textId="77777777" w:rsidR="0055291C" w:rsidRDefault="0055291C">
      <w:pPr>
        <w:pStyle w:val="a3"/>
        <w:rPr>
          <w:sz w:val="20"/>
          <w:lang w:eastAsia="ja-JP"/>
        </w:rPr>
      </w:pPr>
    </w:p>
    <w:p w14:paraId="68AB71E0" w14:textId="77777777" w:rsidR="0055291C" w:rsidRDefault="0055291C">
      <w:pPr>
        <w:pStyle w:val="a3"/>
        <w:rPr>
          <w:sz w:val="20"/>
          <w:lang w:eastAsia="ja-JP"/>
        </w:rPr>
      </w:pPr>
    </w:p>
    <w:p w14:paraId="143C7A64" w14:textId="77777777" w:rsidR="0055291C" w:rsidRDefault="0055291C">
      <w:pPr>
        <w:pStyle w:val="a3"/>
        <w:rPr>
          <w:sz w:val="20"/>
          <w:lang w:eastAsia="ja-JP"/>
        </w:rPr>
      </w:pPr>
    </w:p>
    <w:p w14:paraId="6F3003E6" w14:textId="77777777" w:rsidR="0055291C" w:rsidRDefault="0055291C">
      <w:pPr>
        <w:pStyle w:val="a3"/>
        <w:spacing w:before="4"/>
        <w:rPr>
          <w:sz w:val="24"/>
          <w:lang w:eastAsia="ja-JP"/>
        </w:rPr>
      </w:pPr>
    </w:p>
    <w:p w14:paraId="201289E4" w14:textId="77777777" w:rsidR="0055291C" w:rsidRDefault="00000000">
      <w:pPr>
        <w:spacing w:before="1"/>
        <w:ind w:right="1121"/>
        <w:jc w:val="right"/>
        <w:rPr>
          <w:rFonts w:ascii="Arial"/>
          <w:i/>
          <w:sz w:val="19"/>
          <w:lang w:eastAsia="ja-JP"/>
        </w:rPr>
      </w:pPr>
      <w:r>
        <w:pict w14:anchorId="138F4438">
          <v:shape id="docshape1463" o:spid="_x0000_s2385" style="position:absolute;left:0;text-align:left;margin-left:580.75pt;margin-top:-47.75pt;width:31.3pt;height:285.85pt;z-index:251644416;mso-position-horizontal-relative:page" coordorigin="11615,-955" coordsize="626,5717" path="m12240,-955r-625,l11615,4535r3,131l11643,4733r67,25l11842,4761r398,l12240,-955xe" fillcolor="#00aca1" stroked="f">
            <v:path arrowok="t"/>
            <w10:wrap anchorx="page"/>
          </v:shape>
        </w:pict>
      </w:r>
      <w:r w:rsidR="00F23C61">
        <w:rPr>
          <w:rFonts w:ascii="Arial"/>
          <w:b/>
          <w:i/>
          <w:color w:val="7F3F98"/>
          <w:sz w:val="19"/>
          <w:lang w:eastAsia="ja-JP"/>
        </w:rPr>
        <w:t>CHAPTER</w:t>
      </w:r>
      <w:r w:rsidR="00F23C61">
        <w:rPr>
          <w:rFonts w:ascii="Arial"/>
          <w:b/>
          <w:i/>
          <w:color w:val="7F3F98"/>
          <w:spacing w:val="5"/>
          <w:sz w:val="19"/>
          <w:lang w:eastAsia="ja-JP"/>
        </w:rPr>
        <w:t xml:space="preserve"> </w:t>
      </w:r>
      <w:r w:rsidR="00F23C61">
        <w:rPr>
          <w:rFonts w:ascii="Arial"/>
          <w:b/>
          <w:i/>
          <w:color w:val="7F3F98"/>
          <w:sz w:val="19"/>
          <w:lang w:eastAsia="ja-JP"/>
        </w:rPr>
        <w:t>13</w:t>
      </w:r>
      <w:r w:rsidR="00F23C61">
        <w:rPr>
          <w:rFonts w:ascii="Arial"/>
          <w:b/>
          <w:i/>
          <w:color w:val="7F3F98"/>
          <w:spacing w:val="6"/>
          <w:sz w:val="19"/>
          <w:lang w:eastAsia="ja-JP"/>
        </w:rPr>
        <w:t xml:space="preserve"> </w:t>
      </w:r>
      <w:r w:rsidR="00F23C61">
        <w:rPr>
          <w:rFonts w:ascii="Arial"/>
          <w:i/>
          <w:color w:val="545456"/>
          <w:sz w:val="19"/>
          <w:lang w:eastAsia="ja-JP"/>
        </w:rPr>
        <w:t>Reporting</w:t>
      </w:r>
    </w:p>
    <w:p w14:paraId="0240A2B5" w14:textId="77777777" w:rsidR="0055291C" w:rsidRDefault="0055291C">
      <w:pPr>
        <w:pStyle w:val="a3"/>
        <w:rPr>
          <w:rFonts w:ascii="Arial"/>
          <w:i/>
          <w:sz w:val="20"/>
          <w:lang w:eastAsia="ja-JP"/>
        </w:rPr>
      </w:pPr>
    </w:p>
    <w:p w14:paraId="04AEBA0C" w14:textId="77777777" w:rsidR="0055291C" w:rsidRDefault="0055291C">
      <w:pPr>
        <w:pStyle w:val="a3"/>
        <w:spacing w:before="7"/>
        <w:rPr>
          <w:rFonts w:ascii="Arial"/>
          <w:i/>
          <w:sz w:val="24"/>
          <w:lang w:eastAsia="ja-JP"/>
        </w:rPr>
      </w:pPr>
    </w:p>
    <w:p w14:paraId="3E240BFE" w14:textId="31868FE3" w:rsidR="0055291C" w:rsidRDefault="00F23C61">
      <w:pPr>
        <w:pStyle w:val="6"/>
        <w:ind w:left="6315"/>
        <w:rPr>
          <w:lang w:eastAsia="ja-JP"/>
        </w:rPr>
      </w:pPr>
      <w:r>
        <w:rPr>
          <w:color w:val="00ACA1"/>
          <w:w w:val="95"/>
          <w:lang w:eastAsia="ja-JP"/>
        </w:rPr>
        <w:t>Box</w:t>
      </w:r>
      <w:r>
        <w:rPr>
          <w:color w:val="00ACA1"/>
          <w:spacing w:val="6"/>
          <w:w w:val="95"/>
          <w:lang w:eastAsia="ja-JP"/>
        </w:rPr>
        <w:t xml:space="preserve"> </w:t>
      </w:r>
      <w:r>
        <w:rPr>
          <w:color w:val="00ACA1"/>
          <w:w w:val="95"/>
          <w:lang w:eastAsia="ja-JP"/>
        </w:rPr>
        <w:t>[13.1]</w:t>
      </w:r>
      <w:r>
        <w:rPr>
          <w:color w:val="00ACA1"/>
          <w:spacing w:val="6"/>
          <w:w w:val="95"/>
          <w:lang w:eastAsia="ja-JP"/>
        </w:rPr>
        <w:t xml:space="preserve"> </w:t>
      </w:r>
      <w:r w:rsidR="00B13C36">
        <w:rPr>
          <w:rFonts w:ascii="ＭＳ 明朝" w:eastAsia="ＭＳ 明朝" w:hAnsi="ＭＳ 明朝" w:cs="ＭＳ 明朝" w:hint="eastAsia"/>
          <w:color w:val="545456"/>
          <w:w w:val="95"/>
          <w:lang w:eastAsia="ja-JP"/>
        </w:rPr>
        <w:t>免責事項の例</w:t>
      </w:r>
    </w:p>
    <w:p w14:paraId="07ECF180" w14:textId="489D1B3F" w:rsidR="0055291C" w:rsidRPr="00765986" w:rsidRDefault="00000000" w:rsidP="00765986">
      <w:pPr>
        <w:pStyle w:val="a3"/>
        <w:spacing w:before="62" w:line="312" w:lineRule="auto"/>
        <w:ind w:left="1133" w:right="6354" w:firstLineChars="100" w:firstLine="190"/>
        <w:rPr>
          <w:rFonts w:ascii="ＭＳ ゴシック" w:eastAsia="ＭＳ ゴシック" w:hAnsi="ＭＳ ゴシック" w:cs="ＭＳ ゴシック"/>
          <w:lang w:eastAsia="ja-JP"/>
        </w:rPr>
      </w:pPr>
      <w:r>
        <w:pict w14:anchorId="7A38CD51">
          <v:group id="docshapegroup1464" o:spid="_x0000_s2382" style="position:absolute;left:0;text-align:left;margin-left:314.85pt;margin-top:11.85pt;width:241.1pt;height:171.7pt;z-index:251645440;mso-position-horizontal-relative:page" coordorigin="6297,237" coordsize="4822,3191">
            <v:shape id="docshape1465" o:spid="_x0000_s2384" style="position:absolute;left:6297;top:236;width:4822;height:3191" coordorigin="6297,237" coordsize="4822,3191" path="m10892,237r-4368,l6393,240r-67,25l6301,333r-4,131l6297,3200r4,132l6326,3399r67,25l6524,3427r4368,l11023,3424r68,-25l11115,3332r4,-132l11119,464r-4,-131l11091,265r-68,-25l10892,237xe" fillcolor="#e4f3f1" stroked="f">
              <v:path arrowok="t"/>
            </v:shape>
            <v:shape id="docshape1466" o:spid="_x0000_s2383" type="#_x0000_t202" style="position:absolute;left:6297;top:236;width:4822;height:3191" filled="f" stroked="f">
              <v:textbox style="mso-next-textbox:#docshape1466" inset="0,0,0,0">
                <w:txbxContent>
                  <w:p w14:paraId="31828141" w14:textId="77777777" w:rsidR="0055291C" w:rsidRDefault="0055291C">
                    <w:pPr>
                      <w:spacing w:before="5"/>
                    </w:pPr>
                  </w:p>
                  <w:p w14:paraId="76A56BC2" w14:textId="09A6FE19" w:rsidR="0055291C" w:rsidRPr="00B13C36" w:rsidRDefault="00B13C36">
                    <w:pPr>
                      <w:spacing w:line="328" w:lineRule="auto"/>
                      <w:ind w:left="226" w:right="298"/>
                      <w:rPr>
                        <w:sz w:val="19"/>
                        <w:szCs w:val="19"/>
                        <w:lang w:eastAsia="ja-JP"/>
                      </w:rPr>
                    </w:pPr>
                    <w:r w:rsidRPr="00B13C36">
                      <w:rPr>
                        <w:rFonts w:ascii="ＭＳ ゴシック" w:eastAsia="ＭＳ ゴシック" w:hAnsi="ＭＳ ゴシック" w:cs="ＭＳ ゴシック" w:hint="eastAsia"/>
                        <w:sz w:val="19"/>
                        <w:szCs w:val="19"/>
                        <w:lang w:eastAsia="ja-JP"/>
                      </w:rPr>
                      <w:t>本レポートに記載されている結果は、</w:t>
                    </w:r>
                    <w:r w:rsidRPr="00B13C36">
                      <w:rPr>
                        <w:sz w:val="19"/>
                        <w:szCs w:val="19"/>
                        <w:lang w:eastAsia="ja-JP"/>
                      </w:rPr>
                      <w:t>X</w:t>
                    </w:r>
                    <w:r w:rsidRPr="00B13C36">
                      <w:rPr>
                        <w:rFonts w:ascii="ＭＳ ゴシック" w:eastAsia="ＭＳ ゴシック" w:hAnsi="ＭＳ ゴシック" w:cs="ＭＳ ゴシック" w:hint="eastAsia"/>
                        <w:sz w:val="19"/>
                        <w:szCs w:val="19"/>
                        <w:lang w:eastAsia="ja-JP"/>
                      </w:rPr>
                      <w:t>社の仮定および慣行に基づくものであり、他社および製品との比較可能性を示すものではありません。類似の製品であっても、分析単位、使用段階と最終段階のプロファイル、およびデータの質の違いにより、結果が</w:t>
                    </w:r>
                    <w:r>
                      <w:rPr>
                        <w:rFonts w:ascii="ＭＳ ゴシック" w:eastAsia="ＭＳ ゴシック" w:hAnsi="ＭＳ ゴシック" w:cs="ＭＳ ゴシック" w:hint="eastAsia"/>
                        <w:sz w:val="19"/>
                        <w:szCs w:val="19"/>
                        <w:lang w:eastAsia="ja-JP"/>
                      </w:rPr>
                      <w:t>比較できない</w:t>
                    </w:r>
                    <w:r w:rsidRPr="00B13C36">
                      <w:rPr>
                        <w:rFonts w:ascii="ＭＳ ゴシック" w:eastAsia="ＭＳ ゴシック" w:hAnsi="ＭＳ ゴシック" w:cs="ＭＳ ゴシック" w:hint="eastAsia"/>
                        <w:sz w:val="19"/>
                        <w:szCs w:val="19"/>
                        <w:lang w:eastAsia="ja-JP"/>
                      </w:rPr>
                      <w:t>可能性があります。用語集や</w:t>
                    </w:r>
                    <w:r w:rsidRPr="00B13C36">
                      <w:rPr>
                        <w:sz w:val="19"/>
                        <w:szCs w:val="19"/>
                        <w:lang w:eastAsia="ja-JP"/>
                      </w:rPr>
                      <w:t>GHG</w:t>
                    </w:r>
                    <w:r>
                      <w:rPr>
                        <w:rFonts w:ascii="ＭＳ ゴシック" w:eastAsia="ＭＳ ゴシック" w:hAnsi="ＭＳ ゴシック" w:cs="ＭＳ ゴシック" w:hint="eastAsia"/>
                        <w:sz w:val="19"/>
                        <w:szCs w:val="19"/>
                        <w:lang w:eastAsia="ja-JP"/>
                      </w:rPr>
                      <w:t>算出</w:t>
                    </w:r>
                    <w:r w:rsidRPr="00B13C36">
                      <w:rPr>
                        <w:rFonts w:ascii="ＭＳ ゴシック" w:eastAsia="ＭＳ ゴシック" w:hAnsi="ＭＳ ゴシック" w:cs="ＭＳ ゴシック" w:hint="eastAsia"/>
                        <w:sz w:val="19"/>
                        <w:szCs w:val="19"/>
                        <w:lang w:eastAsia="ja-JP"/>
                      </w:rPr>
                      <w:t>プロセスの詳細については、</w:t>
                    </w:r>
                    <w:r w:rsidRPr="00B13C36">
                      <w:rPr>
                        <w:sz w:val="19"/>
                        <w:szCs w:val="19"/>
                        <w:lang w:eastAsia="ja-JP"/>
                      </w:rPr>
                      <w:t>GHG</w:t>
                    </w:r>
                    <w:r w:rsidRPr="00B13C36">
                      <w:rPr>
                        <w:rFonts w:ascii="ＭＳ ゴシック" w:eastAsia="ＭＳ ゴシック" w:hAnsi="ＭＳ ゴシック" w:cs="ＭＳ ゴシック" w:hint="eastAsia"/>
                        <w:sz w:val="19"/>
                        <w:szCs w:val="19"/>
                        <w:lang w:eastAsia="ja-JP"/>
                      </w:rPr>
                      <w:t>プ</w:t>
                    </w:r>
                    <w:r w:rsidRPr="00B13C36">
                      <w:rPr>
                        <w:sz w:val="19"/>
                        <w:szCs w:val="19"/>
                        <w:lang w:eastAsia="ja-JP"/>
                      </w:rPr>
                      <w:t xml:space="preserve"> </w:t>
                    </w:r>
                    <w:r w:rsidRPr="00B13C36">
                      <w:rPr>
                        <w:rFonts w:ascii="ＭＳ ゴシック" w:eastAsia="ＭＳ ゴシック" w:hAnsi="ＭＳ ゴシック" w:cs="ＭＳ ゴシック" w:hint="eastAsia"/>
                        <w:sz w:val="19"/>
                        <w:szCs w:val="19"/>
                        <w:lang w:eastAsia="ja-JP"/>
                      </w:rPr>
                      <w:t>ロトコル製品ライフサイクル</w:t>
                    </w:r>
                    <w:r w:rsidR="00DA47C0">
                      <w:rPr>
                        <w:rFonts w:ascii="ＭＳ ゴシック" w:eastAsia="ＭＳ ゴシック" w:hAnsi="ＭＳ ゴシック" w:cs="ＭＳ ゴシック" w:hint="eastAsia"/>
                        <w:sz w:val="19"/>
                        <w:szCs w:val="19"/>
                        <w:lang w:eastAsia="ja-JP"/>
                      </w:rPr>
                      <w:t>算出</w:t>
                    </w:r>
                    <w:r w:rsidRPr="00B13C36">
                      <w:rPr>
                        <w:rFonts w:ascii="ＭＳ ゴシック" w:eastAsia="ＭＳ ゴシック" w:hAnsi="ＭＳ ゴシック" w:cs="ＭＳ ゴシック" w:hint="eastAsia"/>
                        <w:sz w:val="19"/>
                        <w:szCs w:val="19"/>
                        <w:lang w:eastAsia="ja-JP"/>
                      </w:rPr>
                      <w:t>および報告基準（</w:t>
                    </w:r>
                    <w:r w:rsidRPr="00B13C36">
                      <w:rPr>
                        <w:sz w:val="19"/>
                        <w:szCs w:val="19"/>
                        <w:lang w:eastAsia="ja-JP"/>
                      </w:rPr>
                      <w:t>www.ghgprotocol.org</w:t>
                    </w:r>
                    <w:r w:rsidRPr="00B13C36">
                      <w:rPr>
                        <w:rFonts w:ascii="ＭＳ ゴシック" w:eastAsia="ＭＳ ゴシック" w:hAnsi="ＭＳ ゴシック" w:cs="ＭＳ ゴシック" w:hint="eastAsia"/>
                        <w:sz w:val="19"/>
                        <w:szCs w:val="19"/>
                        <w:lang w:eastAsia="ja-JP"/>
                      </w:rPr>
                      <w:t>）を参照してください。</w:t>
                    </w:r>
                  </w:p>
                </w:txbxContent>
              </v:textbox>
            </v:shape>
            <w10:wrap anchorx="page"/>
          </v:group>
        </w:pict>
      </w:r>
      <w:r>
        <w:pict w14:anchorId="7029865F">
          <v:shape id="docshape1467" o:spid="_x0000_s2381" type="#_x0000_t202" style="position:absolute;left:0;text-align:left;margin-left:585.65pt;margin-top:34.25pt;width:17.7pt;height:119.1pt;z-index:251646464;mso-position-horizontal-relative:page" filled="f" stroked="f">
            <v:textbox style="layout-flow:vertical;mso-layout-flow-alt:bottom-to-top;mso-next-textbox:#docshape1467" inset="0,0,0,0">
              <w:txbxContent>
                <w:p w14:paraId="535AA4C9"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v:shape>
        </w:pict>
      </w:r>
      <w:r w:rsidR="00765986">
        <w:rPr>
          <w:rFonts w:ascii="ＭＳ ゴシック" w:eastAsia="ＭＳ ゴシック" w:hAnsi="ＭＳ ゴシック" w:cs="ＭＳ ゴシック" w:hint="eastAsia"/>
          <w:lang w:eastAsia="ja-JP"/>
        </w:rPr>
        <w:t>公開は、一様な要求事項を持つ一様な読者が存在する</w:t>
      </w:r>
      <w:r w:rsidR="00765986">
        <w:rPr>
          <w:lang w:eastAsia="ja-JP"/>
        </w:rPr>
        <w:t xml:space="preserve"> </w:t>
      </w:r>
      <w:r w:rsidR="00765986">
        <w:rPr>
          <w:rFonts w:ascii="ＭＳ ゴシック" w:eastAsia="ＭＳ ゴシック" w:hAnsi="ＭＳ ゴシック" w:cs="ＭＳ ゴシック" w:hint="eastAsia"/>
          <w:lang w:eastAsia="ja-JP"/>
        </w:rPr>
        <w:t>ことを意味しないことを認識することが重要です。</w:t>
      </w:r>
      <w:r w:rsidR="00765986">
        <w:rPr>
          <w:lang w:eastAsia="ja-JP"/>
        </w:rPr>
        <w:t xml:space="preserve"> </w:t>
      </w:r>
      <w:r w:rsidR="00765986">
        <w:rPr>
          <w:rFonts w:ascii="ＭＳ ゴシック" w:eastAsia="ＭＳ ゴシック" w:hAnsi="ＭＳ ゴシック" w:cs="ＭＳ ゴシック" w:hint="eastAsia"/>
          <w:lang w:eastAsia="ja-JP"/>
        </w:rPr>
        <w:t>表</w:t>
      </w:r>
      <w:r w:rsidR="00765986">
        <w:rPr>
          <w:lang w:eastAsia="ja-JP"/>
        </w:rPr>
        <w:t>13.1</w:t>
      </w:r>
      <w:r w:rsidR="00765986">
        <w:rPr>
          <w:rFonts w:ascii="ＭＳ ゴシック" w:eastAsia="ＭＳ ゴシック" w:hAnsi="ＭＳ ゴシック" w:cs="ＭＳ ゴシック" w:hint="eastAsia"/>
          <w:lang w:eastAsia="ja-JP"/>
        </w:rPr>
        <w:t>に、報告書の明確な対象者と、報告要件がどのように対象者のニーズに対応するかを示しています。ここで記されていない他の対象者であっても、製品基準の報告要件に従って作成された報告書に価値を見出す可能性があるため</w:t>
      </w:r>
      <w:r w:rsidR="00765986">
        <w:rPr>
          <w:lang w:eastAsia="ja-JP"/>
        </w:rPr>
        <w:t xml:space="preserve"> </w:t>
      </w:r>
      <w:r w:rsidR="00765986">
        <w:rPr>
          <w:rFonts w:ascii="ＭＳ ゴシック" w:eastAsia="ＭＳ ゴシック" w:hAnsi="ＭＳ ゴシック" w:cs="ＭＳ ゴシック" w:hint="eastAsia"/>
          <w:lang w:eastAsia="ja-JP"/>
        </w:rPr>
        <w:t>、これは包括的なリストではありません。</w:t>
      </w:r>
    </w:p>
    <w:p w14:paraId="27F964B6" w14:textId="4C0D3FFD" w:rsidR="0055291C" w:rsidRDefault="00B13C36">
      <w:pPr>
        <w:pStyle w:val="7"/>
        <w:numPr>
          <w:ilvl w:val="2"/>
          <w:numId w:val="27"/>
        </w:numPr>
        <w:tabs>
          <w:tab w:val="left" w:pos="1854"/>
        </w:tabs>
        <w:spacing w:before="127"/>
        <w:ind w:hanging="721"/>
        <w:jc w:val="left"/>
      </w:pPr>
      <w:r>
        <w:rPr>
          <w:rFonts w:ascii="ＭＳ 明朝" w:eastAsia="ＭＳ 明朝" w:hAnsi="ＭＳ 明朝" w:cs="ＭＳ 明朝" w:hint="eastAsia"/>
          <w:color w:val="00B8B1"/>
          <w:lang w:eastAsia="ja-JP"/>
        </w:rPr>
        <w:t>免責事項</w:t>
      </w:r>
    </w:p>
    <w:p w14:paraId="25997036" w14:textId="70323E3E" w:rsidR="0055291C" w:rsidRDefault="00B13C36" w:rsidP="00B13C36">
      <w:pPr>
        <w:pStyle w:val="a3"/>
        <w:spacing w:before="63" w:line="312" w:lineRule="auto"/>
        <w:ind w:left="1133" w:right="6354" w:firstLineChars="100" w:firstLine="190"/>
        <w:rPr>
          <w:lang w:eastAsia="ja-JP"/>
        </w:rPr>
      </w:pPr>
      <w:r>
        <w:rPr>
          <w:rFonts w:ascii="ＭＳ ゴシック" w:eastAsia="ＭＳ ゴシック" w:hAnsi="ＭＳ ゴシック" w:cs="ＭＳ ゴシック" w:hint="eastAsia"/>
          <w:lang w:eastAsia="ja-JP"/>
        </w:rPr>
        <w:t>免責事項の提示により、読者が算出結果の範囲と意図する目的を理解し、報告書の限界を認識できるようにします</w:t>
      </w:r>
      <w:r>
        <w:rPr>
          <w:lang w:eastAsia="ja-JP"/>
        </w:rPr>
        <w:t xml:space="preserve"> </w:t>
      </w:r>
      <w:r>
        <w:rPr>
          <w:rFonts w:ascii="ＭＳ ゴシック" w:eastAsia="ＭＳ ゴシック" w:hAnsi="ＭＳ ゴシック" w:cs="ＭＳ ゴシック" w:hint="eastAsia"/>
          <w:lang w:eastAsia="ja-JP"/>
        </w:rPr>
        <w:t>（例として、B</w:t>
      </w:r>
      <w:r>
        <w:rPr>
          <w:rFonts w:ascii="ＭＳ ゴシック" w:eastAsia="ＭＳ ゴシック" w:hAnsi="ＭＳ ゴシック" w:cs="ＭＳ ゴシック"/>
          <w:lang w:eastAsia="ja-JP"/>
        </w:rPr>
        <w:t>ox</w:t>
      </w:r>
      <w:r>
        <w:rPr>
          <w:lang w:eastAsia="ja-JP"/>
        </w:rPr>
        <w:t>13.1</w:t>
      </w:r>
      <w:r>
        <w:rPr>
          <w:rFonts w:ascii="ＭＳ ゴシック" w:eastAsia="ＭＳ ゴシック" w:hAnsi="ＭＳ ゴシック" w:cs="ＭＳ ゴシック" w:hint="eastAsia"/>
          <w:lang w:eastAsia="ja-JP"/>
        </w:rPr>
        <w:t>を</w:t>
      </w:r>
      <w:r>
        <w:rPr>
          <w:lang w:eastAsia="ja-JP"/>
        </w:rPr>
        <w:t xml:space="preserve"> </w:t>
      </w:r>
      <w:r>
        <w:rPr>
          <w:rFonts w:ascii="ＭＳ ゴシック" w:eastAsia="ＭＳ ゴシック" w:hAnsi="ＭＳ ゴシック" w:cs="ＭＳ ゴシック" w:hint="eastAsia"/>
          <w:lang w:eastAsia="ja-JP"/>
        </w:rPr>
        <w:t>参照）。</w:t>
      </w:r>
    </w:p>
    <w:p w14:paraId="0A729625" w14:textId="63AF5AD3" w:rsidR="0055291C" w:rsidRDefault="00B13C36">
      <w:pPr>
        <w:pStyle w:val="7"/>
        <w:numPr>
          <w:ilvl w:val="2"/>
          <w:numId w:val="27"/>
        </w:numPr>
        <w:tabs>
          <w:tab w:val="left" w:pos="1854"/>
        </w:tabs>
        <w:spacing w:before="129"/>
        <w:ind w:hanging="721"/>
        <w:jc w:val="left"/>
      </w:pPr>
      <w:r>
        <w:rPr>
          <w:rFonts w:ascii="ＭＳ 明朝" w:eastAsia="ＭＳ 明朝" w:hAnsi="ＭＳ 明朝" w:cs="ＭＳ 明朝" w:hint="eastAsia"/>
          <w:color w:val="00B8B1"/>
          <w:w w:val="95"/>
          <w:lang w:eastAsia="ja-JP"/>
        </w:rPr>
        <w:t>結果の活用</w:t>
      </w:r>
    </w:p>
    <w:p w14:paraId="68F6CAB4" w14:textId="2FB2ED02" w:rsidR="0055291C" w:rsidRDefault="00F23C61" w:rsidP="00B13C36">
      <w:pPr>
        <w:pStyle w:val="a3"/>
        <w:spacing w:before="62" w:line="312" w:lineRule="auto"/>
        <w:ind w:left="1133" w:right="6514" w:firstLineChars="100" w:firstLine="190"/>
        <w:rPr>
          <w:lang w:eastAsia="ja-JP"/>
        </w:rPr>
      </w:pPr>
      <w:r>
        <w:rPr>
          <w:noProof/>
        </w:rPr>
        <w:drawing>
          <wp:anchor distT="0" distB="0" distL="0" distR="0" simplePos="0" relativeHeight="251514368" behindDoc="0" locked="0" layoutInCell="1" allowOverlap="1" wp14:anchorId="0414E4B9" wp14:editId="216863AB">
            <wp:simplePos x="0" y="0"/>
            <wp:positionH relativeFrom="page">
              <wp:posOffset>720001</wp:posOffset>
            </wp:positionH>
            <wp:positionV relativeFrom="paragraph">
              <wp:posOffset>1008429</wp:posOffset>
            </wp:positionV>
            <wp:extent cx="7052398" cy="4266298"/>
            <wp:effectExtent l="0" t="0" r="0" b="0"/>
            <wp:wrapNone/>
            <wp:docPr id="39"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04.jpeg"/>
                    <pic:cNvPicPr/>
                  </pic:nvPicPr>
                  <pic:blipFill>
                    <a:blip r:embed="rId317" cstate="print"/>
                    <a:stretch>
                      <a:fillRect/>
                    </a:stretch>
                  </pic:blipFill>
                  <pic:spPr>
                    <a:xfrm>
                      <a:off x="0" y="0"/>
                      <a:ext cx="7052398" cy="4266298"/>
                    </a:xfrm>
                    <a:prstGeom prst="rect">
                      <a:avLst/>
                    </a:prstGeom>
                  </pic:spPr>
                </pic:pic>
              </a:graphicData>
            </a:graphic>
          </wp:anchor>
        </w:drawing>
      </w:r>
      <w:r w:rsidR="00B13C36">
        <w:rPr>
          <w:rFonts w:ascii="ＭＳ ゴシック" w:eastAsia="ＭＳ ゴシック" w:hAnsi="ＭＳ ゴシック" w:cs="ＭＳ ゴシック" w:hint="eastAsia"/>
          <w:lang w:eastAsia="ja-JP"/>
        </w:rPr>
        <w:t>公開された報告書の閲覧者は、報告された結果として、</w:t>
      </w:r>
      <w:r w:rsidR="00B13C36">
        <w:rPr>
          <w:lang w:eastAsia="ja-JP"/>
        </w:rPr>
        <w:t xml:space="preserve"> </w:t>
      </w:r>
      <w:r w:rsidR="00B13C36">
        <w:rPr>
          <w:rFonts w:ascii="ＭＳ ゴシック" w:eastAsia="ＭＳ ゴシック" w:hAnsi="ＭＳ ゴシック" w:cs="ＭＳ ゴシック" w:hint="eastAsia"/>
          <w:lang w:eastAsia="ja-JP"/>
        </w:rPr>
        <w:t>その製品に関連する</w:t>
      </w:r>
      <w:r w:rsidR="00B13C36">
        <w:rPr>
          <w:lang w:eastAsia="ja-JP"/>
        </w:rPr>
        <w:t>GHG</w:t>
      </w:r>
      <w:r w:rsidR="00B13C36">
        <w:rPr>
          <w:rFonts w:ascii="ＭＳ ゴシック" w:eastAsia="ＭＳ ゴシック" w:hAnsi="ＭＳ ゴシック" w:cs="ＭＳ ゴシック" w:hint="eastAsia"/>
          <w:lang w:eastAsia="ja-JP"/>
        </w:rPr>
        <w:t>排出量を削減するために、</w:t>
      </w:r>
      <w:r w:rsidR="00B13C36">
        <w:rPr>
          <w:lang w:eastAsia="ja-JP"/>
        </w:rPr>
        <w:t xml:space="preserve"> </w:t>
      </w:r>
      <w:r w:rsidR="00B13C36">
        <w:rPr>
          <w:rFonts w:ascii="ＭＳ ゴシック" w:eastAsia="ＭＳ ゴシック" w:hAnsi="ＭＳ ゴシック" w:cs="ＭＳ ゴシック" w:hint="eastAsia"/>
          <w:lang w:eastAsia="ja-JP"/>
        </w:rPr>
        <w:t>企業が何をしているか、あるいは何を計画しているかについて最も関心を持つでしょう。</w:t>
      </w:r>
      <w:r>
        <w:rPr>
          <w:color w:val="545456"/>
          <w:spacing w:val="10"/>
          <w:lang w:eastAsia="ja-JP"/>
        </w:rPr>
        <w:t xml:space="preserve"> </w:t>
      </w:r>
      <w:r w:rsidR="00B13C36">
        <w:rPr>
          <w:rFonts w:ascii="ＭＳ ゴシック" w:eastAsia="ＭＳ ゴシック" w:hAnsi="ＭＳ ゴシック" w:cs="ＭＳ ゴシック" w:hint="eastAsia"/>
          <w:color w:val="545456"/>
          <w:spacing w:val="10"/>
          <w:lang w:eastAsia="ja-JP"/>
        </w:rPr>
        <w:t>加えて、</w:t>
      </w:r>
    </w:p>
    <w:p w14:paraId="5ECB3D3F" w14:textId="77777777" w:rsidR="0055291C" w:rsidRDefault="0055291C">
      <w:pPr>
        <w:spacing w:line="312" w:lineRule="auto"/>
        <w:rPr>
          <w:lang w:eastAsia="ja-JP"/>
        </w:rPr>
        <w:sectPr w:rsidR="0055291C">
          <w:headerReference w:type="default" r:id="rId318"/>
          <w:pgSz w:w="12240" w:h="15840"/>
          <w:pgMar w:top="0" w:right="0" w:bottom="1040" w:left="0" w:header="0" w:footer="859" w:gutter="0"/>
          <w:cols w:space="720"/>
        </w:sectPr>
      </w:pPr>
    </w:p>
    <w:p w14:paraId="35F97C45" w14:textId="77777777" w:rsidR="0055291C" w:rsidRDefault="0055291C">
      <w:pPr>
        <w:pStyle w:val="a3"/>
        <w:rPr>
          <w:sz w:val="20"/>
          <w:lang w:eastAsia="ja-JP"/>
        </w:rPr>
      </w:pPr>
    </w:p>
    <w:p w14:paraId="3F212980" w14:textId="77777777" w:rsidR="0055291C" w:rsidRDefault="0055291C">
      <w:pPr>
        <w:pStyle w:val="a3"/>
        <w:rPr>
          <w:sz w:val="20"/>
          <w:lang w:eastAsia="ja-JP"/>
        </w:rPr>
      </w:pPr>
    </w:p>
    <w:p w14:paraId="7641E372" w14:textId="77777777" w:rsidR="0055291C" w:rsidRDefault="0055291C">
      <w:pPr>
        <w:pStyle w:val="a3"/>
        <w:rPr>
          <w:sz w:val="20"/>
          <w:lang w:eastAsia="ja-JP"/>
        </w:rPr>
      </w:pPr>
    </w:p>
    <w:p w14:paraId="58BF8559" w14:textId="77777777" w:rsidR="0055291C" w:rsidRDefault="0055291C">
      <w:pPr>
        <w:pStyle w:val="a3"/>
        <w:rPr>
          <w:sz w:val="20"/>
          <w:lang w:eastAsia="ja-JP"/>
        </w:rPr>
      </w:pPr>
    </w:p>
    <w:p w14:paraId="466B87C4" w14:textId="77777777" w:rsidR="0055291C" w:rsidRDefault="0055291C">
      <w:pPr>
        <w:rPr>
          <w:sz w:val="20"/>
          <w:lang w:eastAsia="ja-JP"/>
        </w:rPr>
        <w:sectPr w:rsidR="0055291C">
          <w:headerReference w:type="even" r:id="rId319"/>
          <w:footerReference w:type="even" r:id="rId320"/>
          <w:footerReference w:type="default" r:id="rId321"/>
          <w:pgSz w:w="12240" w:h="15840"/>
          <w:pgMar w:top="620" w:right="0" w:bottom="1040" w:left="0" w:header="0" w:footer="859" w:gutter="0"/>
          <w:pgNumType w:start="106"/>
          <w:cols w:space="720"/>
        </w:sectPr>
      </w:pPr>
    </w:p>
    <w:p w14:paraId="26443B47" w14:textId="77777777" w:rsidR="0055291C" w:rsidRDefault="0055291C">
      <w:pPr>
        <w:pStyle w:val="a3"/>
        <w:spacing w:before="9"/>
        <w:rPr>
          <w:sz w:val="22"/>
          <w:lang w:eastAsia="ja-JP"/>
        </w:rPr>
      </w:pPr>
    </w:p>
    <w:p w14:paraId="5CB0B34D" w14:textId="4FB1D6CE" w:rsidR="0055291C" w:rsidRDefault="00B13C36" w:rsidP="004373BA">
      <w:pPr>
        <w:pStyle w:val="a3"/>
        <w:spacing w:before="3" w:line="312" w:lineRule="auto"/>
        <w:ind w:left="851" w:right="242"/>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利用者は、製品のユーザーや消費者として、排出量への影響を減らすために何ができるかに関心があるかもしれ</w:t>
      </w:r>
      <w:r w:rsidR="00747AC8">
        <w:rPr>
          <w:rFonts w:ascii="ＭＳ ゴシック" w:eastAsia="ＭＳ ゴシック" w:hAnsi="ＭＳ ゴシック" w:cs="ＭＳ ゴシック" w:hint="eastAsia"/>
          <w:lang w:eastAsia="ja-JP"/>
        </w:rPr>
        <w:t>ません</w:t>
      </w:r>
      <w:r>
        <w:rPr>
          <w:rFonts w:ascii="ＭＳ ゴシック" w:eastAsia="ＭＳ ゴシック" w:hAnsi="ＭＳ ゴシック" w:cs="ＭＳ ゴシック" w:hint="eastAsia"/>
          <w:lang w:eastAsia="ja-JP"/>
        </w:rPr>
        <w:t>。したがって、企業は、</w:t>
      </w:r>
      <w:r w:rsidR="00747AC8">
        <w:rPr>
          <w:rFonts w:ascii="ＭＳ ゴシック" w:eastAsia="ＭＳ ゴシック" w:hAnsi="ＭＳ ゴシック" w:cs="ＭＳ ゴシック" w:hint="eastAsia"/>
          <w:lang w:eastAsia="ja-JP"/>
        </w:rPr>
        <w:t>算出</w:t>
      </w:r>
      <w:r>
        <w:rPr>
          <w:rFonts w:ascii="ＭＳ ゴシック" w:eastAsia="ＭＳ ゴシック" w:hAnsi="ＭＳ ゴシック" w:cs="ＭＳ ゴシック" w:hint="eastAsia"/>
          <w:lang w:eastAsia="ja-JP"/>
        </w:rPr>
        <w:t>の結果に基づいて排出量を削減するために、自社が計画している対策と、顧客やユーザーが実施できる対策について、</w:t>
      </w:r>
      <w:r>
        <w:rPr>
          <w:lang w:eastAsia="ja-JP"/>
        </w:rPr>
        <w:t xml:space="preserve"> </w:t>
      </w:r>
      <w:r>
        <w:rPr>
          <w:rFonts w:ascii="ＭＳ ゴシック" w:eastAsia="ＭＳ ゴシック" w:hAnsi="ＭＳ ゴシック" w:cs="ＭＳ ゴシック" w:hint="eastAsia"/>
          <w:lang w:eastAsia="ja-JP"/>
        </w:rPr>
        <w:t>ステークホルダーに知らせるべきで</w:t>
      </w:r>
      <w:r w:rsidR="00747AC8">
        <w:rPr>
          <w:rFonts w:ascii="ＭＳ ゴシック" w:eastAsia="ＭＳ ゴシック" w:hAnsi="ＭＳ ゴシック" w:cs="ＭＳ ゴシック" w:hint="eastAsia"/>
          <w:lang w:eastAsia="ja-JP"/>
        </w:rPr>
        <w:t>す</w:t>
      </w:r>
      <w:r>
        <w:rPr>
          <w:rFonts w:ascii="ＭＳ ゴシック" w:eastAsia="ＭＳ ゴシック" w:hAnsi="ＭＳ ゴシック" w:cs="ＭＳ ゴシック" w:hint="eastAsia"/>
          <w:lang w:eastAsia="ja-JP"/>
        </w:rPr>
        <w:t>。</w:t>
      </w:r>
      <w:r>
        <w:rPr>
          <w:lang w:eastAsia="ja-JP"/>
        </w:rPr>
        <w:t xml:space="preserve"> </w:t>
      </w:r>
      <w:r>
        <w:rPr>
          <w:rFonts w:ascii="ＭＳ ゴシック" w:eastAsia="ＭＳ ゴシック" w:hAnsi="ＭＳ ゴシック" w:cs="ＭＳ ゴシック" w:hint="eastAsia"/>
          <w:lang w:eastAsia="ja-JP"/>
        </w:rPr>
        <w:t>また、</w:t>
      </w:r>
      <w:r w:rsidR="00747AC8">
        <w:rPr>
          <w:rFonts w:ascii="ＭＳ ゴシック" w:eastAsia="ＭＳ ゴシック" w:hAnsi="ＭＳ ゴシック" w:cs="ＭＳ ゴシック" w:hint="eastAsia"/>
          <w:lang w:eastAsia="ja-JP"/>
        </w:rPr>
        <w:t>排出</w:t>
      </w:r>
      <w:r>
        <w:rPr>
          <w:rFonts w:ascii="ＭＳ ゴシック" w:eastAsia="ＭＳ ゴシック" w:hAnsi="ＭＳ ゴシック" w:cs="ＭＳ ゴシック" w:hint="eastAsia"/>
          <w:lang w:eastAsia="ja-JP"/>
        </w:rPr>
        <w:t>後の報告である場合、達成された削減の概要を提供する</w:t>
      </w:r>
      <w:r w:rsidR="00747AC8">
        <w:rPr>
          <w:rFonts w:ascii="ＭＳ ゴシック" w:eastAsia="ＭＳ ゴシック" w:hAnsi="ＭＳ ゴシック" w:cs="ＭＳ ゴシック" w:hint="eastAsia"/>
          <w:lang w:eastAsia="ja-JP"/>
        </w:rPr>
        <w:t>べきです</w:t>
      </w:r>
      <w:r>
        <w:rPr>
          <w:rFonts w:ascii="ＭＳ ゴシック" w:eastAsia="ＭＳ ゴシック" w:hAnsi="ＭＳ ゴシック" w:cs="ＭＳ ゴシック" w:hint="eastAsia"/>
          <w:lang w:eastAsia="ja-JP"/>
        </w:rPr>
        <w:t>。</w:t>
      </w:r>
      <w:r>
        <w:rPr>
          <w:lang w:eastAsia="ja-JP"/>
        </w:rPr>
        <w:t xml:space="preserve"> </w:t>
      </w:r>
      <w:r>
        <w:rPr>
          <w:rFonts w:ascii="ＭＳ ゴシック" w:eastAsia="ＭＳ ゴシック" w:hAnsi="ＭＳ ゴシック" w:cs="ＭＳ ゴシック" w:hint="eastAsia"/>
          <w:lang w:eastAsia="ja-JP"/>
        </w:rPr>
        <w:t>これは簡潔で、主要な取り組みや結果を強調するもので</w:t>
      </w:r>
      <w:r>
        <w:rPr>
          <w:lang w:eastAsia="ja-JP"/>
        </w:rPr>
        <w:t xml:space="preserve"> </w:t>
      </w:r>
      <w:r>
        <w:rPr>
          <w:rFonts w:ascii="ＭＳ ゴシック" w:eastAsia="ＭＳ ゴシック" w:hAnsi="ＭＳ ゴシック" w:cs="ＭＳ ゴシック" w:hint="eastAsia"/>
          <w:lang w:eastAsia="ja-JP"/>
        </w:rPr>
        <w:t>あるべきです。例としては、以下のようなものがあります。</w:t>
      </w:r>
    </w:p>
    <w:p w14:paraId="748A7553" w14:textId="77777777" w:rsidR="004373BA" w:rsidRDefault="004373BA" w:rsidP="004373BA">
      <w:pPr>
        <w:pStyle w:val="a3"/>
        <w:spacing w:before="3" w:line="312" w:lineRule="auto"/>
        <w:ind w:left="851" w:right="242"/>
        <w:rPr>
          <w:lang w:eastAsia="ja-JP"/>
        </w:rPr>
      </w:pPr>
    </w:p>
    <w:p w14:paraId="49BC41D1" w14:textId="2E724F81" w:rsidR="00747AC8" w:rsidRPr="00747AC8" w:rsidRDefault="00747AC8" w:rsidP="004373BA">
      <w:pPr>
        <w:pStyle w:val="a5"/>
        <w:numPr>
          <w:ilvl w:val="1"/>
          <w:numId w:val="28"/>
        </w:numPr>
        <w:tabs>
          <w:tab w:val="left" w:pos="1382"/>
        </w:tabs>
        <w:spacing w:line="309" w:lineRule="auto"/>
        <w:ind w:left="851" w:right="242" w:hanging="260"/>
        <w:rPr>
          <w:rFonts w:ascii="Arial" w:hAnsi="Arial"/>
          <w:b/>
          <w:color w:val="00ACA1"/>
          <w:sz w:val="19"/>
          <w:szCs w:val="19"/>
          <w:lang w:eastAsia="ja-JP"/>
        </w:rPr>
      </w:pPr>
      <w:r w:rsidRPr="00747AC8">
        <w:rPr>
          <w:rFonts w:ascii="ＭＳ ゴシック" w:eastAsia="ＭＳ ゴシック" w:hAnsi="ＭＳ ゴシック" w:cs="ＭＳ ゴシック" w:hint="eastAsia"/>
          <w:sz w:val="19"/>
          <w:szCs w:val="19"/>
          <w:lang w:eastAsia="ja-JP"/>
        </w:rPr>
        <w:t>いくつかの主要な排出源に削減を集中させる計画</w:t>
      </w:r>
    </w:p>
    <w:p w14:paraId="5CCDDA81" w14:textId="173ED5C4" w:rsidR="0055291C" w:rsidRDefault="00747AC8" w:rsidP="004373BA">
      <w:pPr>
        <w:pStyle w:val="a5"/>
        <w:numPr>
          <w:ilvl w:val="1"/>
          <w:numId w:val="28"/>
        </w:numPr>
        <w:tabs>
          <w:tab w:val="left" w:pos="1382"/>
        </w:tabs>
        <w:spacing w:line="309" w:lineRule="auto"/>
        <w:ind w:left="851" w:right="242" w:hanging="260"/>
        <w:rPr>
          <w:rFonts w:ascii="Arial" w:hAnsi="Arial"/>
          <w:b/>
          <w:color w:val="00ACA1"/>
          <w:sz w:val="20"/>
          <w:lang w:eastAsia="ja-JP"/>
        </w:rPr>
      </w:pPr>
      <w:r w:rsidRPr="00747AC8">
        <w:rPr>
          <w:rFonts w:ascii="ＭＳ ゴシック" w:eastAsia="ＭＳ ゴシック" w:hAnsi="ＭＳ ゴシック" w:cs="ＭＳ ゴシック" w:hint="eastAsia"/>
          <w:sz w:val="19"/>
          <w:szCs w:val="19"/>
          <w:lang w:eastAsia="ja-JP"/>
        </w:rPr>
        <w:t>ユーザー</w:t>
      </w:r>
      <w:r>
        <w:rPr>
          <w:rFonts w:ascii="ＭＳ ゴシック" w:eastAsia="ＭＳ ゴシック" w:hAnsi="ＭＳ ゴシック" w:cs="ＭＳ ゴシック" w:hint="eastAsia"/>
          <w:sz w:val="19"/>
          <w:szCs w:val="19"/>
          <w:lang w:eastAsia="ja-JP"/>
        </w:rPr>
        <w:t>や</w:t>
      </w:r>
      <w:r w:rsidRPr="00747AC8">
        <w:rPr>
          <w:rFonts w:ascii="ＭＳ ゴシック" w:eastAsia="ＭＳ ゴシック" w:hAnsi="ＭＳ ゴシック" w:cs="ＭＳ ゴシック" w:hint="eastAsia"/>
          <w:sz w:val="19"/>
          <w:szCs w:val="19"/>
          <w:lang w:eastAsia="ja-JP"/>
        </w:rPr>
        <w:t>消費者が主要な排出源をどのように削減できるかについての情報（例：再利用、メーカーの使用説明書に従う</w:t>
      </w:r>
      <w:r>
        <w:rPr>
          <w:rFonts w:ascii="ＭＳ ゴシック" w:eastAsia="ＭＳ ゴシック" w:hAnsi="ＭＳ ゴシック" w:cs="ＭＳ ゴシック" w:hint="eastAsia"/>
          <w:sz w:val="19"/>
          <w:szCs w:val="19"/>
          <w:lang w:eastAsia="ja-JP"/>
        </w:rPr>
        <w:t>こと</w:t>
      </w:r>
      <w:r w:rsidRPr="00747AC8">
        <w:rPr>
          <w:rFonts w:ascii="ＭＳ ゴシック" w:eastAsia="ＭＳ ゴシック" w:hAnsi="ＭＳ ゴシック" w:cs="ＭＳ ゴシック" w:hint="eastAsia"/>
          <w:sz w:val="19"/>
          <w:szCs w:val="19"/>
          <w:lang w:eastAsia="ja-JP"/>
        </w:rPr>
        <w:t>、グリーン電力の購入など）、</w:t>
      </w:r>
    </w:p>
    <w:p w14:paraId="60447323" w14:textId="77777777" w:rsidR="0055291C" w:rsidRDefault="00F23C61">
      <w:pPr>
        <w:spacing w:before="7"/>
        <w:rPr>
          <w:sz w:val="21"/>
          <w:lang w:eastAsia="ja-JP"/>
        </w:rPr>
      </w:pPr>
      <w:r>
        <w:rPr>
          <w:lang w:eastAsia="ja-JP"/>
        </w:rPr>
        <w:br w:type="column"/>
      </w:r>
    </w:p>
    <w:p w14:paraId="3D01E240" w14:textId="1358A11A" w:rsidR="0055291C" w:rsidRDefault="00747AC8" w:rsidP="004373BA">
      <w:pPr>
        <w:pStyle w:val="a5"/>
        <w:numPr>
          <w:ilvl w:val="0"/>
          <w:numId w:val="30"/>
        </w:numPr>
        <w:tabs>
          <w:tab w:val="left" w:pos="426"/>
        </w:tabs>
        <w:spacing w:before="1" w:line="309" w:lineRule="auto"/>
        <w:ind w:left="564" w:right="901"/>
        <w:rPr>
          <w:sz w:val="19"/>
          <w:lang w:eastAsia="ja-JP"/>
        </w:rPr>
      </w:pPr>
      <w:r w:rsidRPr="00747AC8">
        <w:rPr>
          <w:rFonts w:ascii="ＭＳ ゴシック" w:eastAsia="ＭＳ ゴシック" w:hAnsi="ＭＳ ゴシック" w:cs="ＭＳ ゴシック" w:hint="eastAsia"/>
          <w:sz w:val="19"/>
          <w:szCs w:val="19"/>
          <w:lang w:eastAsia="ja-JP"/>
        </w:rPr>
        <w:t>過去の</w:t>
      </w:r>
      <w:r>
        <w:rPr>
          <w:rFonts w:ascii="ＭＳ ゴシック" w:eastAsia="ＭＳ ゴシック" w:hAnsi="ＭＳ ゴシック" w:cs="ＭＳ ゴシック" w:hint="eastAsia"/>
          <w:sz w:val="19"/>
          <w:szCs w:val="19"/>
          <w:lang w:eastAsia="ja-JP"/>
        </w:rPr>
        <w:t>算出</w:t>
      </w:r>
      <w:r w:rsidRPr="00747AC8">
        <w:rPr>
          <w:rFonts w:ascii="ＭＳ ゴシック" w:eastAsia="ＭＳ ゴシック" w:hAnsi="ＭＳ ゴシック" w:cs="ＭＳ ゴシック" w:hint="eastAsia"/>
          <w:sz w:val="19"/>
          <w:szCs w:val="19"/>
          <w:lang w:eastAsia="ja-JP"/>
        </w:rPr>
        <w:t>に基づく削減または増加の概要</w:t>
      </w:r>
      <w:r>
        <w:rPr>
          <w:rFonts w:ascii="ＭＳ ゴシック" w:eastAsia="ＭＳ ゴシック" w:hAnsi="ＭＳ ゴシック" w:cs="ＭＳ ゴシック" w:hint="eastAsia"/>
          <w:sz w:val="19"/>
          <w:szCs w:val="19"/>
          <w:lang w:eastAsia="ja-JP"/>
        </w:rPr>
        <w:t>のうち</w:t>
      </w:r>
      <w:r w:rsidRPr="00747AC8">
        <w:rPr>
          <w:rFonts w:ascii="ＭＳ ゴシック" w:eastAsia="ＭＳ ゴシック" w:hAnsi="ＭＳ ゴシック" w:cs="ＭＳ ゴシック" w:hint="eastAsia"/>
          <w:sz w:val="19"/>
          <w:szCs w:val="19"/>
          <w:lang w:eastAsia="ja-JP"/>
        </w:rPr>
        <w:t>、最も効果的な取り組みまたは排出量が増加した理由を強調するもの</w:t>
      </w:r>
    </w:p>
    <w:p w14:paraId="0C51979B" w14:textId="0ED4136A" w:rsidR="0055291C" w:rsidRDefault="00747AC8" w:rsidP="004373BA">
      <w:pPr>
        <w:pStyle w:val="a3"/>
        <w:tabs>
          <w:tab w:val="left" w:pos="426"/>
        </w:tabs>
        <w:spacing w:before="141" w:line="312" w:lineRule="auto"/>
        <w:ind w:left="304" w:right="901" w:firstLineChars="100" w:firstLine="190"/>
        <w:rPr>
          <w:lang w:eastAsia="ja-JP"/>
        </w:rPr>
      </w:pPr>
      <w:r>
        <w:rPr>
          <w:rFonts w:ascii="ＭＳ ゴシック" w:eastAsia="ＭＳ ゴシック" w:hAnsi="ＭＳ ゴシック" w:cs="ＭＳ ゴシック" w:hint="eastAsia"/>
          <w:lang w:eastAsia="ja-JP"/>
        </w:rPr>
        <w:t>削減報告期間中の排出量の増加は、その数値が削減では</w:t>
      </w:r>
      <w:r>
        <w:rPr>
          <w:lang w:eastAsia="ja-JP"/>
        </w:rPr>
        <w:t xml:space="preserve"> </w:t>
      </w:r>
      <w:r>
        <w:rPr>
          <w:rFonts w:ascii="ＭＳ ゴシック" w:eastAsia="ＭＳ ゴシック" w:hAnsi="ＭＳ ゴシック" w:cs="ＭＳ ゴシック" w:hint="eastAsia"/>
          <w:lang w:eastAsia="ja-JP"/>
        </w:rPr>
        <w:t>なく、増加であることを明確に示して報告すべきです。マ</w:t>
      </w:r>
      <w:r>
        <w:rPr>
          <w:lang w:eastAsia="ja-JP"/>
        </w:rPr>
        <w:t xml:space="preserve"> </w:t>
      </w:r>
      <w:r>
        <w:rPr>
          <w:rFonts w:ascii="ＭＳ ゴシック" w:eastAsia="ＭＳ ゴシック" w:hAnsi="ＭＳ ゴシック" w:cs="ＭＳ ゴシック" w:hint="eastAsia"/>
          <w:lang w:eastAsia="ja-JP"/>
        </w:rPr>
        <w:t>イナス記号は、報告書の閲覧者を混乱させる可能性があるため、使用すべきでは</w:t>
      </w:r>
      <w:r w:rsidR="004373BA">
        <w:rPr>
          <w:rFonts w:ascii="ＭＳ ゴシック" w:eastAsia="ＭＳ ゴシック" w:hAnsi="ＭＳ ゴシック" w:cs="ＭＳ ゴシック" w:hint="eastAsia"/>
          <w:lang w:eastAsia="ja-JP"/>
        </w:rPr>
        <w:t>ありません</w:t>
      </w:r>
      <w:r>
        <w:rPr>
          <w:rFonts w:ascii="ＭＳ ゴシック" w:eastAsia="ＭＳ ゴシック" w:hAnsi="ＭＳ ゴシック" w:cs="ＭＳ ゴシック" w:hint="eastAsia"/>
          <w:lang w:eastAsia="ja-JP"/>
        </w:rPr>
        <w:t xml:space="preserve">。　</w:t>
      </w:r>
      <w:r w:rsidR="00F23C61">
        <w:rPr>
          <w:color w:val="545456"/>
          <w:spacing w:val="-1"/>
          <w:lang w:eastAsia="ja-JP"/>
        </w:rPr>
        <w:t>.</w:t>
      </w:r>
    </w:p>
    <w:p w14:paraId="3131CD6E" w14:textId="0FDFDB22" w:rsidR="0055291C" w:rsidRDefault="004373BA" w:rsidP="004373BA">
      <w:pPr>
        <w:pStyle w:val="a3"/>
        <w:tabs>
          <w:tab w:val="left" w:pos="426"/>
        </w:tabs>
        <w:spacing w:before="141" w:line="312" w:lineRule="auto"/>
        <w:ind w:left="304" w:right="901" w:firstLineChars="100" w:firstLine="190"/>
        <w:rPr>
          <w:lang w:eastAsia="ja-JP"/>
        </w:rPr>
      </w:pPr>
      <w:r>
        <w:rPr>
          <w:rFonts w:ascii="ＭＳ ゴシック" w:eastAsia="ＭＳ ゴシック" w:hAnsi="ＭＳ ゴシック" w:cs="ＭＳ ゴシック" w:hint="eastAsia"/>
          <w:lang w:eastAsia="ja-JP"/>
        </w:rPr>
        <w:t>報告書を完成させるための重要なステップは、算出の目</w:t>
      </w:r>
      <w:r>
        <w:rPr>
          <w:lang w:eastAsia="ja-JP"/>
        </w:rPr>
        <w:t xml:space="preserve"> </w:t>
      </w:r>
      <w:r>
        <w:rPr>
          <w:rFonts w:ascii="ＭＳ ゴシック" w:eastAsia="ＭＳ ゴシック" w:hAnsi="ＭＳ ゴシック" w:cs="ＭＳ ゴシック" w:hint="eastAsia"/>
          <w:lang w:eastAsia="ja-JP"/>
        </w:rPr>
        <w:t>的と背景を確認し、排出結果から導き出される全体的な結論をまとめることにあります。このステップでは、報告書を作成する際に行使された、算出する上での主要な選択を評価し、製品ライフサイクル研究の意義と限界に関する視点を提供することが含まれます。また、企業は、この研究が果たすべき目的とその範囲外であった意思決定を明確にするべきです。</w:t>
      </w:r>
    </w:p>
    <w:p w14:paraId="5EA2D0AC"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912" w:space="40"/>
            <w:col w:w="6288"/>
          </w:cols>
        </w:sectPr>
      </w:pPr>
    </w:p>
    <w:p w14:paraId="272C3CEA" w14:textId="77777777" w:rsidR="0055291C" w:rsidRDefault="0055291C">
      <w:pPr>
        <w:pStyle w:val="a3"/>
        <w:spacing w:before="2" w:after="1"/>
        <w:rPr>
          <w:sz w:val="25"/>
          <w:lang w:eastAsia="ja-JP"/>
        </w:rPr>
      </w:pPr>
    </w:p>
    <w:p w14:paraId="67299C18" w14:textId="77777777" w:rsidR="0055291C" w:rsidRDefault="00F23C61">
      <w:pPr>
        <w:pStyle w:val="a3"/>
        <w:rPr>
          <w:sz w:val="20"/>
        </w:rPr>
      </w:pPr>
      <w:r>
        <w:rPr>
          <w:noProof/>
          <w:sz w:val="20"/>
        </w:rPr>
        <w:drawing>
          <wp:inline distT="0" distB="0" distL="0" distR="0" wp14:anchorId="3714BA2D" wp14:editId="7ECB3D43">
            <wp:extent cx="6919254" cy="4779264"/>
            <wp:effectExtent l="0" t="0" r="0" b="0"/>
            <wp:docPr id="41"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05.png"/>
                    <pic:cNvPicPr/>
                  </pic:nvPicPr>
                  <pic:blipFill>
                    <a:blip r:embed="rId322" cstate="print"/>
                    <a:stretch>
                      <a:fillRect/>
                    </a:stretch>
                  </pic:blipFill>
                  <pic:spPr>
                    <a:xfrm>
                      <a:off x="0" y="0"/>
                      <a:ext cx="6919254" cy="4779264"/>
                    </a:xfrm>
                    <a:prstGeom prst="rect">
                      <a:avLst/>
                    </a:prstGeom>
                  </pic:spPr>
                </pic:pic>
              </a:graphicData>
            </a:graphic>
          </wp:inline>
        </w:drawing>
      </w:r>
    </w:p>
    <w:p w14:paraId="425642AC" w14:textId="77777777" w:rsidR="0055291C" w:rsidRDefault="0055291C">
      <w:pPr>
        <w:rPr>
          <w:sz w:val="20"/>
        </w:rPr>
        <w:sectPr w:rsidR="0055291C">
          <w:type w:val="continuous"/>
          <w:pgSz w:w="12240" w:h="15840"/>
          <w:pgMar w:top="740" w:right="0" w:bottom="280" w:left="0" w:header="0" w:footer="859" w:gutter="0"/>
          <w:cols w:space="720"/>
        </w:sectPr>
      </w:pPr>
    </w:p>
    <w:p w14:paraId="0248A74A" w14:textId="77777777" w:rsidR="0055291C" w:rsidRDefault="0055291C">
      <w:pPr>
        <w:pStyle w:val="a3"/>
        <w:rPr>
          <w:sz w:val="20"/>
        </w:rPr>
      </w:pPr>
    </w:p>
    <w:p w14:paraId="38467D74" w14:textId="77777777" w:rsidR="0055291C" w:rsidRDefault="0055291C">
      <w:pPr>
        <w:pStyle w:val="a3"/>
        <w:rPr>
          <w:sz w:val="20"/>
        </w:rPr>
      </w:pPr>
    </w:p>
    <w:p w14:paraId="03478E22" w14:textId="77777777" w:rsidR="0055291C" w:rsidRDefault="0055291C">
      <w:pPr>
        <w:pStyle w:val="a3"/>
        <w:rPr>
          <w:sz w:val="20"/>
        </w:rPr>
      </w:pPr>
    </w:p>
    <w:p w14:paraId="6B24614D" w14:textId="77777777" w:rsidR="0055291C" w:rsidRDefault="0055291C">
      <w:pPr>
        <w:pStyle w:val="a3"/>
        <w:spacing w:before="4"/>
        <w:rPr>
          <w:sz w:val="24"/>
        </w:rPr>
      </w:pPr>
    </w:p>
    <w:p w14:paraId="6DB5B498" w14:textId="77777777" w:rsidR="0055291C" w:rsidRDefault="00000000">
      <w:pPr>
        <w:spacing w:before="1"/>
        <w:ind w:right="1121"/>
        <w:jc w:val="right"/>
        <w:rPr>
          <w:rFonts w:ascii="Arial"/>
          <w:i/>
          <w:sz w:val="19"/>
        </w:rPr>
      </w:pPr>
      <w:r>
        <w:pict w14:anchorId="2B4091C9">
          <v:shape id="docshape1472" o:spid="_x0000_s2380" style="position:absolute;left:0;text-align:left;margin-left:580.75pt;margin-top:-47.75pt;width:31.3pt;height:285.85pt;z-index:251647488;mso-position-horizontal-relative:page" coordorigin="11615,-955" coordsize="626,5717" path="m12240,-955r-625,l11615,4535r3,131l11643,4733r67,25l11842,4761r398,l12240,-955xe" fillcolor="#00aca1" stroked="f">
            <v:path arrowok="t"/>
            <w10:wrap anchorx="page"/>
          </v:shape>
        </w:pict>
      </w:r>
      <w:r w:rsidR="00F23C61">
        <w:rPr>
          <w:rFonts w:ascii="Arial"/>
          <w:b/>
          <w:i/>
          <w:color w:val="7F3F98"/>
          <w:sz w:val="19"/>
        </w:rPr>
        <w:t>CHAPTER</w:t>
      </w:r>
      <w:r w:rsidR="00F23C61">
        <w:rPr>
          <w:rFonts w:ascii="Arial"/>
          <w:b/>
          <w:i/>
          <w:color w:val="7F3F98"/>
          <w:spacing w:val="5"/>
          <w:sz w:val="19"/>
        </w:rPr>
        <w:t xml:space="preserve"> </w:t>
      </w:r>
      <w:r w:rsidR="00F23C61">
        <w:rPr>
          <w:rFonts w:ascii="Arial"/>
          <w:b/>
          <w:i/>
          <w:color w:val="7F3F98"/>
          <w:sz w:val="19"/>
        </w:rPr>
        <w:t>13</w:t>
      </w:r>
      <w:r w:rsidR="00F23C61">
        <w:rPr>
          <w:rFonts w:ascii="Arial"/>
          <w:b/>
          <w:i/>
          <w:color w:val="7F3F98"/>
          <w:spacing w:val="6"/>
          <w:sz w:val="19"/>
        </w:rPr>
        <w:t xml:space="preserve"> </w:t>
      </w:r>
      <w:r w:rsidR="00F23C61">
        <w:rPr>
          <w:rFonts w:ascii="Arial"/>
          <w:i/>
          <w:color w:val="545456"/>
          <w:sz w:val="19"/>
        </w:rPr>
        <w:t>Reporting</w:t>
      </w:r>
    </w:p>
    <w:p w14:paraId="6EDE1218" w14:textId="77777777" w:rsidR="0055291C" w:rsidRDefault="0055291C">
      <w:pPr>
        <w:pStyle w:val="a3"/>
        <w:rPr>
          <w:rFonts w:ascii="Arial"/>
          <w:i/>
          <w:sz w:val="20"/>
        </w:rPr>
      </w:pPr>
    </w:p>
    <w:p w14:paraId="58690BB1" w14:textId="77777777" w:rsidR="0055291C" w:rsidRDefault="0055291C">
      <w:pPr>
        <w:pStyle w:val="a3"/>
        <w:spacing w:before="7"/>
        <w:rPr>
          <w:rFonts w:ascii="Arial"/>
          <w:i/>
          <w:sz w:val="24"/>
        </w:rPr>
      </w:pPr>
    </w:p>
    <w:p w14:paraId="50F27192" w14:textId="77777777" w:rsidR="0055291C" w:rsidRDefault="0055291C">
      <w:pPr>
        <w:rPr>
          <w:rFonts w:ascii="Arial"/>
          <w:sz w:val="24"/>
        </w:rPr>
        <w:sectPr w:rsidR="0055291C">
          <w:headerReference w:type="default" r:id="rId323"/>
          <w:pgSz w:w="12240" w:h="15840"/>
          <w:pgMar w:top="0" w:right="0" w:bottom="1040" w:left="0" w:header="0" w:footer="859" w:gutter="0"/>
          <w:cols w:space="720"/>
        </w:sectPr>
      </w:pPr>
    </w:p>
    <w:p w14:paraId="7FFBD9EF" w14:textId="5ED4956D" w:rsidR="0055291C" w:rsidRDefault="004373BA" w:rsidP="00473235">
      <w:pPr>
        <w:pStyle w:val="7"/>
        <w:numPr>
          <w:ilvl w:val="2"/>
          <w:numId w:val="27"/>
        </w:numPr>
        <w:tabs>
          <w:tab w:val="left" w:pos="993"/>
        </w:tabs>
        <w:spacing w:before="99"/>
        <w:ind w:left="1134" w:rightChars="120" w:right="264" w:hanging="283"/>
        <w:jc w:val="left"/>
      </w:pPr>
      <w:r>
        <w:rPr>
          <w:rFonts w:ascii="ＭＳ 明朝" w:eastAsia="ＭＳ 明朝" w:hAnsi="ＭＳ 明朝" w:cs="ＭＳ 明朝" w:hint="eastAsia"/>
          <w:color w:val="00B8B1"/>
          <w:lang w:eastAsia="ja-JP"/>
        </w:rPr>
        <w:t>追加の報告</w:t>
      </w:r>
    </w:p>
    <w:p w14:paraId="7BE4953D" w14:textId="1646FA63" w:rsidR="0055291C" w:rsidRDefault="004373BA" w:rsidP="00473235">
      <w:pPr>
        <w:pStyle w:val="a3"/>
        <w:tabs>
          <w:tab w:val="left" w:pos="993"/>
        </w:tabs>
        <w:spacing w:before="62" w:line="312" w:lineRule="auto"/>
        <w:ind w:left="1134" w:rightChars="120" w:right="264" w:firstLineChars="100" w:firstLine="190"/>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必須の要素に加えて、企業は、潜在的な利用者のニーズ、特定の事業目標、または製品規格に準拠して開発された製品規則やセクターガイドラインの要件に適合する要素について報告することを検討すべきでしょう。これらの要素は、公開報告書に追加することも、要求に応じて入手できるようにすることもでき、以下を含むことができます。</w:t>
      </w:r>
    </w:p>
    <w:p w14:paraId="3C00646F" w14:textId="77777777" w:rsidR="002D3C68" w:rsidRDefault="002D3C68" w:rsidP="00473235">
      <w:pPr>
        <w:pStyle w:val="a3"/>
        <w:tabs>
          <w:tab w:val="left" w:pos="993"/>
        </w:tabs>
        <w:spacing w:before="62" w:line="312" w:lineRule="auto"/>
        <w:ind w:left="1134" w:rightChars="120" w:right="264" w:firstLineChars="100" w:firstLine="190"/>
        <w:rPr>
          <w:lang w:eastAsia="ja-JP"/>
        </w:rPr>
      </w:pPr>
    </w:p>
    <w:p w14:paraId="1566E86F" w14:textId="0FBC9D51" w:rsidR="00210AA5" w:rsidRPr="00210AA5" w:rsidRDefault="00210AA5" w:rsidP="002D3C68">
      <w:pPr>
        <w:pStyle w:val="a5"/>
        <w:numPr>
          <w:ilvl w:val="1"/>
          <w:numId w:val="30"/>
        </w:numPr>
        <w:tabs>
          <w:tab w:val="left" w:pos="993"/>
          <w:tab w:val="left" w:pos="1394"/>
        </w:tabs>
        <w:spacing w:line="304" w:lineRule="auto"/>
        <w:ind w:left="1134" w:rightChars="55" w:right="121" w:hanging="283"/>
        <w:rPr>
          <w:rFonts w:ascii="Arial" w:hAnsi="Arial"/>
          <w:b/>
          <w:color w:val="00ACA1"/>
          <w:sz w:val="19"/>
          <w:szCs w:val="19"/>
          <w:lang w:eastAsia="ja-JP"/>
        </w:rPr>
      </w:pPr>
      <w:r w:rsidRPr="00210AA5">
        <w:rPr>
          <w:sz w:val="19"/>
          <w:szCs w:val="19"/>
          <w:lang w:eastAsia="ja-JP"/>
        </w:rPr>
        <w:t>GHG</w:t>
      </w:r>
      <w:r w:rsidRPr="00210AA5">
        <w:rPr>
          <w:rFonts w:ascii="ＭＳ ゴシック" w:eastAsia="ＭＳ ゴシック" w:hAnsi="ＭＳ ゴシック" w:cs="ＭＳ ゴシック" w:hint="eastAsia"/>
          <w:sz w:val="19"/>
          <w:szCs w:val="19"/>
          <w:lang w:eastAsia="ja-JP"/>
        </w:rPr>
        <w:t>算出の実施により達成された事業目標</w:t>
      </w:r>
    </w:p>
    <w:p w14:paraId="2018391A" w14:textId="1C6F87BB" w:rsidR="00210AA5" w:rsidRPr="00210AA5" w:rsidRDefault="00210AA5" w:rsidP="002D3C68">
      <w:pPr>
        <w:pStyle w:val="a5"/>
        <w:numPr>
          <w:ilvl w:val="1"/>
          <w:numId w:val="30"/>
        </w:numPr>
        <w:tabs>
          <w:tab w:val="left" w:pos="993"/>
          <w:tab w:val="left" w:pos="1394"/>
        </w:tabs>
        <w:spacing w:line="304" w:lineRule="auto"/>
        <w:ind w:left="1134" w:rightChars="55" w:right="121" w:hanging="283"/>
        <w:rPr>
          <w:rFonts w:ascii="Arial" w:hAnsi="Arial"/>
          <w:b/>
          <w:color w:val="00ACA1"/>
          <w:sz w:val="19"/>
          <w:szCs w:val="19"/>
          <w:lang w:eastAsia="ja-JP"/>
        </w:rPr>
      </w:pPr>
      <w:r w:rsidRPr="00210AA5">
        <w:rPr>
          <w:rFonts w:ascii="ＭＳ ゴシック" w:eastAsia="ＭＳ ゴシック" w:hAnsi="ＭＳ ゴシック" w:cs="ＭＳ ゴシック" w:hint="eastAsia"/>
          <w:sz w:val="19"/>
          <w:szCs w:val="19"/>
          <w:lang w:eastAsia="ja-JP"/>
        </w:rPr>
        <w:t>算出の結果とその算出方法に関する</w:t>
      </w:r>
      <w:r w:rsidRPr="00210AA5">
        <w:rPr>
          <w:sz w:val="19"/>
          <w:szCs w:val="19"/>
          <w:lang w:eastAsia="ja-JP"/>
        </w:rPr>
        <w:t xml:space="preserve"> </w:t>
      </w:r>
      <w:r w:rsidRPr="00210AA5">
        <w:rPr>
          <w:rFonts w:ascii="ＭＳ ゴシック" w:eastAsia="ＭＳ ゴシック" w:hAnsi="ＭＳ ゴシック" w:cs="ＭＳ ゴシック" w:hint="eastAsia"/>
          <w:sz w:val="19"/>
          <w:szCs w:val="19"/>
          <w:lang w:eastAsia="ja-JP"/>
        </w:rPr>
        <w:t>その他の背景情報</w:t>
      </w:r>
    </w:p>
    <w:p w14:paraId="23BEE5D7" w14:textId="570CCAB3" w:rsidR="00210AA5" w:rsidRPr="00210AA5" w:rsidRDefault="00210AA5" w:rsidP="002D3C68">
      <w:pPr>
        <w:pStyle w:val="a5"/>
        <w:numPr>
          <w:ilvl w:val="1"/>
          <w:numId w:val="30"/>
        </w:numPr>
        <w:tabs>
          <w:tab w:val="left" w:pos="993"/>
          <w:tab w:val="left" w:pos="1394"/>
        </w:tabs>
        <w:spacing w:line="304" w:lineRule="auto"/>
        <w:ind w:left="1134" w:rightChars="55" w:right="121" w:hanging="283"/>
        <w:rPr>
          <w:rFonts w:ascii="Arial" w:hAnsi="Arial"/>
          <w:b/>
          <w:color w:val="00ACA1"/>
          <w:sz w:val="19"/>
          <w:szCs w:val="19"/>
          <w:lang w:eastAsia="ja-JP"/>
        </w:rPr>
      </w:pPr>
      <w:r w:rsidRPr="00210AA5">
        <w:rPr>
          <w:rFonts w:ascii="ＭＳ ゴシック" w:eastAsia="ＭＳ ゴシック" w:hAnsi="ＭＳ ゴシック" w:cs="ＭＳ ゴシック" w:hint="eastAsia"/>
          <w:sz w:val="19"/>
          <w:szCs w:val="19"/>
          <w:lang w:eastAsia="ja-JP"/>
        </w:rPr>
        <w:t>結果の</w:t>
      </w:r>
      <w:r w:rsidRPr="00210AA5">
        <w:rPr>
          <w:sz w:val="19"/>
          <w:szCs w:val="19"/>
          <w:lang w:eastAsia="ja-JP"/>
        </w:rPr>
        <w:t>SKU</w:t>
      </w:r>
      <w:r w:rsidRPr="00210AA5">
        <w:rPr>
          <w:rFonts w:ascii="ＭＳ ゴシック" w:eastAsia="ＭＳ ゴシック" w:hAnsi="ＭＳ ゴシック" w:cs="ＭＳ ゴシック" w:hint="eastAsia"/>
          <w:sz w:val="19"/>
          <w:szCs w:val="19"/>
          <w:lang w:eastAsia="ja-JP"/>
        </w:rPr>
        <w:t>、</w:t>
      </w:r>
      <w:r w:rsidRPr="00210AA5">
        <w:rPr>
          <w:sz w:val="19"/>
          <w:szCs w:val="19"/>
          <w:lang w:eastAsia="ja-JP"/>
        </w:rPr>
        <w:t>NAICS</w:t>
      </w:r>
      <w:r w:rsidRPr="00210AA5">
        <w:rPr>
          <w:rFonts w:ascii="ＭＳ ゴシック" w:eastAsia="ＭＳ ゴシック" w:hAnsi="ＭＳ ゴシック" w:cs="ＭＳ ゴシック" w:hint="eastAsia"/>
          <w:sz w:val="19"/>
          <w:szCs w:val="19"/>
          <w:lang w:eastAsia="ja-JP"/>
        </w:rPr>
        <w:t>コード、</w:t>
      </w:r>
      <w:r w:rsidRPr="00210AA5">
        <w:rPr>
          <w:sz w:val="19"/>
          <w:szCs w:val="19"/>
          <w:lang w:eastAsia="ja-JP"/>
        </w:rPr>
        <w:t>UNSPSC</w:t>
      </w:r>
      <w:r w:rsidRPr="00210AA5">
        <w:rPr>
          <w:rFonts w:ascii="ＭＳ ゴシック" w:eastAsia="ＭＳ ゴシック" w:hAnsi="ＭＳ ゴシック" w:cs="ＭＳ ゴシック" w:hint="eastAsia"/>
          <w:sz w:val="19"/>
          <w:szCs w:val="19"/>
          <w:lang w:eastAsia="ja-JP"/>
        </w:rPr>
        <w:t>コード、またはその他の製品</w:t>
      </w:r>
      <w:r w:rsidRPr="00210AA5">
        <w:rPr>
          <w:sz w:val="19"/>
          <w:szCs w:val="19"/>
          <w:lang w:eastAsia="ja-JP"/>
        </w:rPr>
        <w:t>/</w:t>
      </w:r>
      <w:r w:rsidRPr="00210AA5">
        <w:rPr>
          <w:rFonts w:ascii="ＭＳ ゴシック" w:eastAsia="ＭＳ ゴシック" w:hAnsi="ＭＳ ゴシック" w:cs="ＭＳ ゴシック" w:hint="eastAsia"/>
          <w:sz w:val="19"/>
          <w:szCs w:val="19"/>
          <w:lang w:eastAsia="ja-JP"/>
        </w:rPr>
        <w:t>サービス固有識別子の適切な使用に関する追加の免責事項</w:t>
      </w:r>
    </w:p>
    <w:p w14:paraId="586F3F95" w14:textId="20C9225A" w:rsidR="00210AA5" w:rsidRPr="00210AA5" w:rsidRDefault="00210AA5" w:rsidP="002D3C68">
      <w:pPr>
        <w:pStyle w:val="a5"/>
        <w:numPr>
          <w:ilvl w:val="1"/>
          <w:numId w:val="30"/>
        </w:numPr>
        <w:tabs>
          <w:tab w:val="left" w:pos="993"/>
          <w:tab w:val="left" w:pos="1394"/>
        </w:tabs>
        <w:spacing w:line="304" w:lineRule="auto"/>
        <w:ind w:left="1134" w:rightChars="55" w:right="121" w:hanging="283"/>
        <w:rPr>
          <w:rFonts w:ascii="Arial" w:hAnsi="Arial"/>
          <w:b/>
          <w:color w:val="00ACA1"/>
          <w:sz w:val="19"/>
          <w:szCs w:val="19"/>
          <w:lang w:eastAsia="ja-JP"/>
        </w:rPr>
      </w:pPr>
      <w:r w:rsidRPr="00210AA5">
        <w:rPr>
          <w:rFonts w:ascii="ＭＳ ゴシック" w:eastAsia="ＭＳ ゴシック" w:hAnsi="ＭＳ ゴシック" w:cs="ＭＳ ゴシック" w:hint="eastAsia"/>
          <w:sz w:val="19"/>
          <w:szCs w:val="19"/>
          <w:lang w:eastAsia="ja-JP"/>
        </w:rPr>
        <w:t>特定の分析単位を選択した理由に関する追加事項</w:t>
      </w:r>
    </w:p>
    <w:p w14:paraId="7CA3A026" w14:textId="77777777" w:rsidR="00210AA5" w:rsidRPr="00210AA5" w:rsidRDefault="00210AA5" w:rsidP="002D3C68">
      <w:pPr>
        <w:pStyle w:val="a5"/>
        <w:numPr>
          <w:ilvl w:val="1"/>
          <w:numId w:val="30"/>
        </w:numPr>
        <w:tabs>
          <w:tab w:val="left" w:pos="993"/>
          <w:tab w:val="left" w:pos="1394"/>
        </w:tabs>
        <w:spacing w:line="304" w:lineRule="auto"/>
        <w:ind w:left="1134" w:rightChars="55" w:right="121" w:hanging="283"/>
        <w:rPr>
          <w:rFonts w:ascii="Arial" w:hAnsi="Arial"/>
          <w:b/>
          <w:color w:val="00ACA1"/>
          <w:sz w:val="19"/>
          <w:szCs w:val="19"/>
          <w:lang w:eastAsia="ja-JP"/>
        </w:rPr>
      </w:pPr>
      <w:r w:rsidRPr="00210AA5">
        <w:rPr>
          <w:rFonts w:ascii="ＭＳ ゴシック" w:eastAsia="ＭＳ ゴシック" w:hAnsi="ＭＳ ゴシック" w:cs="ＭＳ ゴシック" w:hint="eastAsia"/>
          <w:sz w:val="19"/>
          <w:szCs w:val="19"/>
          <w:lang w:eastAsia="ja-JP"/>
        </w:rPr>
        <w:t>原材料の調達、生産、流通の各段階を行う国</w:t>
      </w:r>
    </w:p>
    <w:p w14:paraId="5B1BBA63" w14:textId="7619C033" w:rsidR="0055291C" w:rsidRPr="00210AA5" w:rsidRDefault="00210AA5" w:rsidP="002D3C68">
      <w:pPr>
        <w:pStyle w:val="a5"/>
        <w:numPr>
          <w:ilvl w:val="1"/>
          <w:numId w:val="30"/>
        </w:numPr>
        <w:tabs>
          <w:tab w:val="left" w:pos="993"/>
          <w:tab w:val="left" w:pos="1394"/>
        </w:tabs>
        <w:spacing w:line="304" w:lineRule="auto"/>
        <w:ind w:left="1134" w:rightChars="55" w:right="121" w:hanging="283"/>
        <w:rPr>
          <w:rFonts w:ascii="Arial" w:hAnsi="Arial"/>
          <w:b/>
          <w:color w:val="00ACA1"/>
          <w:sz w:val="19"/>
          <w:szCs w:val="19"/>
          <w:lang w:eastAsia="ja-JP"/>
        </w:rPr>
      </w:pPr>
      <w:r w:rsidRPr="00210AA5">
        <w:rPr>
          <w:rFonts w:ascii="ＭＳ ゴシック" w:eastAsia="ＭＳ ゴシック" w:hAnsi="ＭＳ ゴシック" w:cs="ＭＳ ゴシック" w:hint="eastAsia"/>
          <w:sz w:val="19"/>
          <w:szCs w:val="19"/>
          <w:lang w:eastAsia="ja-JP"/>
        </w:rPr>
        <w:t>サプライヤーから収集したデータに関する</w:t>
      </w:r>
      <w:r>
        <w:rPr>
          <w:rFonts w:ascii="ＭＳ ゴシック" w:eastAsia="ＭＳ ゴシック" w:hAnsi="ＭＳ ゴシック" w:cs="ＭＳ ゴシック" w:hint="eastAsia"/>
          <w:sz w:val="19"/>
          <w:szCs w:val="19"/>
          <w:lang w:eastAsia="ja-JP"/>
        </w:rPr>
        <w:t>以下のような</w:t>
      </w:r>
      <w:r w:rsidRPr="00210AA5">
        <w:rPr>
          <w:rFonts w:ascii="ＭＳ ゴシック" w:eastAsia="ＭＳ ゴシック" w:hAnsi="ＭＳ ゴシック" w:cs="ＭＳ ゴシック" w:hint="eastAsia"/>
          <w:sz w:val="19"/>
          <w:szCs w:val="19"/>
          <w:lang w:eastAsia="ja-JP"/>
        </w:rPr>
        <w:t>情報</w:t>
      </w:r>
    </w:p>
    <w:p w14:paraId="0F588F75" w14:textId="77777777" w:rsidR="00210AA5" w:rsidRPr="00210AA5" w:rsidRDefault="00210AA5" w:rsidP="002D3C68">
      <w:pPr>
        <w:pStyle w:val="a5"/>
        <w:numPr>
          <w:ilvl w:val="3"/>
          <w:numId w:val="30"/>
        </w:numPr>
        <w:tabs>
          <w:tab w:val="left" w:pos="993"/>
          <w:tab w:val="left" w:pos="1645"/>
        </w:tabs>
        <w:spacing w:before="39"/>
        <w:ind w:rightChars="55" w:right="121"/>
        <w:rPr>
          <w:sz w:val="19"/>
          <w:szCs w:val="19"/>
          <w:lang w:eastAsia="ja-JP"/>
        </w:rPr>
      </w:pPr>
      <w:r w:rsidRPr="00210AA5">
        <w:rPr>
          <w:rFonts w:ascii="ＭＳ ゴシック" w:eastAsia="ＭＳ ゴシック" w:hAnsi="ＭＳ ゴシック" w:cs="ＭＳ ゴシック" w:hint="eastAsia"/>
          <w:sz w:val="19"/>
          <w:szCs w:val="19"/>
          <w:lang w:eastAsia="ja-JP"/>
        </w:rPr>
        <w:t>サプライヤー調査によるエンゲージメント率</w:t>
      </w:r>
      <w:r w:rsidRPr="00210AA5">
        <w:rPr>
          <w:sz w:val="19"/>
          <w:szCs w:val="19"/>
          <w:lang w:eastAsia="ja-JP"/>
        </w:rPr>
        <w:t xml:space="preserve"> </w:t>
      </w:r>
    </w:p>
    <w:p w14:paraId="58791FED" w14:textId="30D685F6" w:rsidR="0055291C" w:rsidRPr="00210AA5" w:rsidRDefault="00210AA5" w:rsidP="002D3C68">
      <w:pPr>
        <w:pStyle w:val="a5"/>
        <w:numPr>
          <w:ilvl w:val="3"/>
          <w:numId w:val="30"/>
        </w:numPr>
        <w:tabs>
          <w:tab w:val="left" w:pos="993"/>
          <w:tab w:val="left" w:pos="1645"/>
        </w:tabs>
        <w:spacing w:before="39"/>
        <w:ind w:rightChars="55" w:right="121"/>
        <w:rPr>
          <w:sz w:val="19"/>
          <w:szCs w:val="19"/>
          <w:lang w:eastAsia="ja-JP"/>
        </w:rPr>
      </w:pPr>
      <w:r w:rsidRPr="00210AA5">
        <w:rPr>
          <w:rFonts w:ascii="ＭＳ ゴシック" w:eastAsia="ＭＳ ゴシック" w:hAnsi="ＭＳ ゴシック" w:cs="ＭＳ ゴシック" w:hint="eastAsia"/>
          <w:sz w:val="19"/>
          <w:szCs w:val="19"/>
          <w:lang w:eastAsia="ja-JP"/>
        </w:rPr>
        <w:t>データ収集の手法とソース</w:t>
      </w:r>
    </w:p>
    <w:p w14:paraId="1622E1F4" w14:textId="77777777" w:rsidR="00210AA5" w:rsidRPr="00210AA5" w:rsidRDefault="00210AA5" w:rsidP="002D3C68">
      <w:pPr>
        <w:pStyle w:val="a5"/>
        <w:numPr>
          <w:ilvl w:val="1"/>
          <w:numId w:val="30"/>
        </w:numPr>
        <w:tabs>
          <w:tab w:val="left" w:pos="993"/>
          <w:tab w:val="left" w:pos="1394"/>
        </w:tabs>
        <w:spacing w:line="304" w:lineRule="auto"/>
        <w:ind w:left="1134" w:rightChars="55" w:right="121" w:hanging="283"/>
        <w:rPr>
          <w:rFonts w:ascii="Arial" w:hAnsi="Arial"/>
          <w:b/>
          <w:color w:val="00ACA1"/>
          <w:sz w:val="19"/>
          <w:szCs w:val="19"/>
          <w:lang w:eastAsia="ja-JP"/>
        </w:rPr>
      </w:pPr>
      <w:r w:rsidRPr="00210AA5">
        <w:rPr>
          <w:rFonts w:ascii="ＭＳ ゴシック" w:eastAsia="ＭＳ ゴシック" w:hAnsi="ＭＳ ゴシック" w:cs="ＭＳ ゴシック" w:hint="eastAsia"/>
          <w:sz w:val="19"/>
          <w:szCs w:val="19"/>
          <w:lang w:eastAsia="ja-JP"/>
        </w:rPr>
        <w:t>定量的な不確実性評価</w:t>
      </w:r>
    </w:p>
    <w:p w14:paraId="53C61218" w14:textId="441C00C8" w:rsidR="00210AA5" w:rsidRPr="00210AA5" w:rsidRDefault="00210AA5" w:rsidP="002D3C68">
      <w:pPr>
        <w:pStyle w:val="a5"/>
        <w:numPr>
          <w:ilvl w:val="1"/>
          <w:numId w:val="30"/>
        </w:numPr>
        <w:tabs>
          <w:tab w:val="left" w:pos="993"/>
          <w:tab w:val="left" w:pos="1394"/>
        </w:tabs>
        <w:spacing w:line="304" w:lineRule="auto"/>
        <w:ind w:left="1134" w:rightChars="55" w:right="121" w:hanging="283"/>
        <w:rPr>
          <w:rFonts w:ascii="Arial" w:hAnsi="Arial"/>
          <w:b/>
          <w:color w:val="00ACA1"/>
          <w:sz w:val="19"/>
          <w:szCs w:val="19"/>
          <w:lang w:eastAsia="ja-JP"/>
        </w:rPr>
      </w:pPr>
      <w:r w:rsidRPr="00210AA5">
        <w:rPr>
          <w:rFonts w:ascii="ＭＳ ゴシック" w:eastAsia="ＭＳ ゴシック" w:hAnsi="ＭＳ ゴシック" w:cs="ＭＳ ゴシック" w:hint="eastAsia"/>
          <w:sz w:val="19"/>
          <w:szCs w:val="19"/>
          <w:lang w:eastAsia="ja-JP"/>
        </w:rPr>
        <w:t>調査対象製品に関連する可能性のある他の</w:t>
      </w:r>
      <w:r w:rsidRPr="00210AA5">
        <w:rPr>
          <w:sz w:val="19"/>
          <w:szCs w:val="19"/>
          <w:lang w:eastAsia="ja-JP"/>
        </w:rPr>
        <w:t>GHG</w:t>
      </w:r>
      <w:r w:rsidRPr="00210AA5">
        <w:rPr>
          <w:rFonts w:ascii="ＭＳ ゴシック" w:eastAsia="ＭＳ ゴシック" w:hAnsi="ＭＳ ゴシック" w:cs="ＭＳ ゴシック" w:hint="eastAsia"/>
          <w:sz w:val="19"/>
          <w:szCs w:val="19"/>
          <w:lang w:eastAsia="ja-JP"/>
        </w:rPr>
        <w:t>データ</w:t>
      </w:r>
    </w:p>
    <w:p w14:paraId="1E94D4D6" w14:textId="4C0D28BC" w:rsidR="00210AA5" w:rsidRPr="00473235" w:rsidRDefault="00210AA5" w:rsidP="002D3C68">
      <w:pPr>
        <w:pStyle w:val="a5"/>
        <w:numPr>
          <w:ilvl w:val="1"/>
          <w:numId w:val="30"/>
        </w:numPr>
        <w:tabs>
          <w:tab w:val="left" w:pos="993"/>
          <w:tab w:val="left" w:pos="1394"/>
        </w:tabs>
        <w:spacing w:line="304" w:lineRule="auto"/>
        <w:ind w:left="1134" w:rightChars="55" w:right="121" w:hanging="283"/>
        <w:rPr>
          <w:rFonts w:ascii="Arial" w:hAnsi="Arial"/>
          <w:b/>
          <w:color w:val="00ACA1"/>
          <w:sz w:val="19"/>
          <w:szCs w:val="19"/>
          <w:lang w:eastAsia="ja-JP"/>
        </w:rPr>
      </w:pPr>
      <w:r w:rsidRPr="00210AA5">
        <w:rPr>
          <w:sz w:val="19"/>
          <w:szCs w:val="19"/>
          <w:lang w:eastAsia="ja-JP"/>
        </w:rPr>
        <w:t>20</w:t>
      </w:r>
      <w:r w:rsidRPr="00210AA5">
        <w:rPr>
          <w:rFonts w:ascii="ＭＳ ゴシック" w:eastAsia="ＭＳ ゴシック" w:hAnsi="ＭＳ ゴシック" w:cs="ＭＳ ゴシック" w:hint="eastAsia"/>
          <w:sz w:val="19"/>
          <w:szCs w:val="19"/>
          <w:lang w:eastAsia="ja-JP"/>
        </w:rPr>
        <w:t>年または</w:t>
      </w:r>
      <w:r w:rsidRPr="00210AA5">
        <w:rPr>
          <w:sz w:val="19"/>
          <w:szCs w:val="19"/>
          <w:lang w:eastAsia="ja-JP"/>
        </w:rPr>
        <w:t>500</w:t>
      </w:r>
      <w:r w:rsidRPr="00210AA5">
        <w:rPr>
          <w:rFonts w:ascii="ＭＳ ゴシック" w:eastAsia="ＭＳ ゴシック" w:hAnsi="ＭＳ ゴシック" w:cs="ＭＳ ゴシック" w:hint="eastAsia"/>
          <w:sz w:val="19"/>
          <w:szCs w:val="19"/>
          <w:lang w:eastAsia="ja-JP"/>
        </w:rPr>
        <w:t>年の</w:t>
      </w:r>
      <w:r w:rsidRPr="00210AA5">
        <w:rPr>
          <w:sz w:val="19"/>
          <w:szCs w:val="19"/>
          <w:lang w:eastAsia="ja-JP"/>
        </w:rPr>
        <w:t>GWP</w:t>
      </w:r>
      <w:r w:rsidRPr="00210AA5">
        <w:rPr>
          <w:rFonts w:ascii="ＭＳ ゴシック" w:eastAsia="ＭＳ ゴシック" w:hAnsi="ＭＳ ゴシック" w:cs="ＭＳ ゴシック" w:hint="eastAsia"/>
          <w:sz w:val="19"/>
          <w:szCs w:val="19"/>
          <w:lang w:eastAsia="ja-JP"/>
        </w:rPr>
        <w:t>係数、あるいは地球</w:t>
      </w:r>
      <w:r w:rsidR="00473235">
        <w:rPr>
          <w:rFonts w:ascii="ＭＳ ゴシック" w:eastAsia="ＭＳ ゴシック" w:hAnsi="ＭＳ ゴシック" w:cs="ＭＳ ゴシック" w:hint="eastAsia"/>
          <w:sz w:val="19"/>
          <w:szCs w:val="19"/>
          <w:lang w:eastAsia="ja-JP"/>
        </w:rPr>
        <w:t>温度変化</w:t>
      </w:r>
      <w:r w:rsidRPr="00473235">
        <w:rPr>
          <w:rFonts w:ascii="ＭＳ ゴシック" w:eastAsia="ＭＳ ゴシック" w:hAnsi="ＭＳ ゴシック" w:cs="ＭＳ ゴシック" w:hint="eastAsia"/>
          <w:sz w:val="19"/>
          <w:szCs w:val="19"/>
          <w:lang w:eastAsia="ja-JP"/>
        </w:rPr>
        <w:t>係数（</w:t>
      </w:r>
      <w:r w:rsidRPr="00473235">
        <w:rPr>
          <w:sz w:val="19"/>
          <w:szCs w:val="19"/>
          <w:lang w:eastAsia="ja-JP"/>
        </w:rPr>
        <w:t>GTP</w:t>
      </w:r>
      <w:r w:rsidRPr="00473235">
        <w:rPr>
          <w:rFonts w:ascii="ＭＳ ゴシック" w:eastAsia="ＭＳ ゴシック" w:hAnsi="ＭＳ ゴシック" w:cs="ＭＳ ゴシック" w:hint="eastAsia"/>
          <w:sz w:val="19"/>
          <w:szCs w:val="19"/>
          <w:lang w:eastAsia="ja-JP"/>
        </w:rPr>
        <w:t>）など他の影響評価指標を用いた</w:t>
      </w:r>
      <w:r w:rsidR="00473235">
        <w:rPr>
          <w:rFonts w:ascii="ＭＳ ゴシック" w:eastAsia="ＭＳ ゴシック" w:hAnsi="ＭＳ ゴシック" w:cs="ＭＳ ゴシック" w:hint="eastAsia"/>
          <w:sz w:val="19"/>
          <w:szCs w:val="19"/>
          <w:lang w:eastAsia="ja-JP"/>
        </w:rPr>
        <w:t>算出</w:t>
      </w:r>
      <w:r w:rsidRPr="00473235">
        <w:rPr>
          <w:rFonts w:ascii="ＭＳ ゴシック" w:eastAsia="ＭＳ ゴシック" w:hAnsi="ＭＳ ゴシック" w:cs="ＭＳ ゴシック" w:hint="eastAsia"/>
          <w:sz w:val="19"/>
          <w:szCs w:val="19"/>
          <w:lang w:eastAsia="ja-JP"/>
        </w:rPr>
        <w:t>結果</w:t>
      </w:r>
    </w:p>
    <w:p w14:paraId="530D29E0" w14:textId="7985BEA9" w:rsidR="00210AA5" w:rsidRPr="00210AA5" w:rsidRDefault="00210AA5" w:rsidP="002D3C68">
      <w:pPr>
        <w:pStyle w:val="a5"/>
        <w:numPr>
          <w:ilvl w:val="1"/>
          <w:numId w:val="30"/>
        </w:numPr>
        <w:tabs>
          <w:tab w:val="left" w:pos="993"/>
          <w:tab w:val="left" w:pos="1394"/>
        </w:tabs>
        <w:spacing w:line="304" w:lineRule="auto"/>
        <w:ind w:left="1134" w:rightChars="55" w:right="121" w:hanging="283"/>
        <w:rPr>
          <w:rFonts w:ascii="Arial" w:hAnsi="Arial"/>
          <w:b/>
          <w:color w:val="00ACA1"/>
          <w:sz w:val="19"/>
          <w:szCs w:val="19"/>
          <w:lang w:eastAsia="ja-JP"/>
        </w:rPr>
      </w:pPr>
      <w:r w:rsidRPr="00210AA5">
        <w:rPr>
          <w:rFonts w:ascii="ＭＳ ゴシック" w:eastAsia="ＭＳ ゴシック" w:hAnsi="ＭＳ ゴシック" w:cs="ＭＳ ゴシック" w:hint="eastAsia"/>
          <w:sz w:val="19"/>
          <w:szCs w:val="19"/>
          <w:lang w:eastAsia="ja-JP"/>
        </w:rPr>
        <w:t>機能単位とそれに続く</w:t>
      </w:r>
      <w:r w:rsidR="00473235">
        <w:rPr>
          <w:rFonts w:ascii="ＭＳ ゴシック" w:eastAsia="ＭＳ ゴシック" w:hAnsi="ＭＳ ゴシック" w:cs="ＭＳ ゴシック" w:hint="eastAsia"/>
          <w:sz w:val="19"/>
          <w:szCs w:val="19"/>
          <w:lang w:eastAsia="ja-JP"/>
        </w:rPr>
        <w:t>算出</w:t>
      </w:r>
      <w:r w:rsidRPr="00210AA5">
        <w:rPr>
          <w:rFonts w:ascii="ＭＳ ゴシック" w:eastAsia="ＭＳ ゴシック" w:hAnsi="ＭＳ ゴシック" w:cs="ＭＳ ゴシック" w:hint="eastAsia"/>
          <w:sz w:val="19"/>
          <w:szCs w:val="19"/>
          <w:lang w:eastAsia="ja-JP"/>
        </w:rPr>
        <w:t>の結果が複数の製品品種（例えば、異なる風味や色）に適用される場合、</w:t>
      </w:r>
      <w:r w:rsidRPr="00210AA5">
        <w:rPr>
          <w:sz w:val="19"/>
          <w:szCs w:val="19"/>
          <w:lang w:eastAsia="ja-JP"/>
        </w:rPr>
        <w:t xml:space="preserve"> </w:t>
      </w:r>
      <w:r w:rsidRPr="00210AA5">
        <w:rPr>
          <w:rFonts w:ascii="ＭＳ ゴシック" w:eastAsia="ＭＳ ゴシック" w:hAnsi="ＭＳ ゴシック" w:cs="ＭＳ ゴシック" w:hint="eastAsia"/>
          <w:sz w:val="19"/>
          <w:szCs w:val="19"/>
          <w:lang w:eastAsia="ja-JP"/>
        </w:rPr>
        <w:t>それらの品種に関する情報</w:t>
      </w:r>
    </w:p>
    <w:p w14:paraId="3E00F1D3" w14:textId="574CA387" w:rsidR="00210AA5" w:rsidRPr="00210AA5" w:rsidRDefault="00473235" w:rsidP="002D3C68">
      <w:pPr>
        <w:pStyle w:val="a5"/>
        <w:numPr>
          <w:ilvl w:val="1"/>
          <w:numId w:val="30"/>
        </w:numPr>
        <w:tabs>
          <w:tab w:val="left" w:pos="993"/>
          <w:tab w:val="left" w:pos="1394"/>
        </w:tabs>
        <w:spacing w:line="304" w:lineRule="auto"/>
        <w:ind w:left="1134" w:rightChars="55" w:right="121" w:hanging="283"/>
        <w:rPr>
          <w:rFonts w:ascii="Arial" w:hAnsi="Arial"/>
          <w:b/>
          <w:color w:val="00ACA1"/>
          <w:sz w:val="19"/>
          <w:szCs w:val="19"/>
          <w:lang w:eastAsia="ja-JP"/>
        </w:rPr>
      </w:pPr>
      <w:r>
        <w:rPr>
          <w:rFonts w:ascii="ＭＳ ゴシック" w:eastAsia="ＭＳ ゴシック" w:hAnsi="ＭＳ ゴシック" w:cs="ＭＳ ゴシック" w:hint="eastAsia"/>
          <w:sz w:val="19"/>
          <w:szCs w:val="19"/>
          <w:lang w:eastAsia="ja-JP"/>
        </w:rPr>
        <w:t>算出</w:t>
      </w:r>
      <w:r w:rsidR="00210AA5" w:rsidRPr="00210AA5">
        <w:rPr>
          <w:rFonts w:ascii="ＭＳ ゴシック" w:eastAsia="ＭＳ ゴシック" w:hAnsi="ＭＳ ゴシック" w:cs="ＭＳ ゴシック" w:hint="eastAsia"/>
          <w:sz w:val="19"/>
          <w:szCs w:val="19"/>
          <w:lang w:eastAsia="ja-JP"/>
        </w:rPr>
        <w:t>結果とは別に報告された土地利用変化による間接的な影響</w:t>
      </w:r>
    </w:p>
    <w:p w14:paraId="2846F21A" w14:textId="5F0AEDF9" w:rsidR="0055291C" w:rsidRDefault="00210AA5" w:rsidP="002D3C68">
      <w:pPr>
        <w:pStyle w:val="a5"/>
        <w:numPr>
          <w:ilvl w:val="1"/>
          <w:numId w:val="30"/>
        </w:numPr>
        <w:tabs>
          <w:tab w:val="left" w:pos="993"/>
          <w:tab w:val="left" w:pos="1394"/>
        </w:tabs>
        <w:spacing w:line="304" w:lineRule="auto"/>
        <w:ind w:left="1134" w:rightChars="55" w:right="121" w:hanging="283"/>
        <w:rPr>
          <w:rFonts w:ascii="Arial" w:hAnsi="Arial"/>
          <w:b/>
          <w:color w:val="00ACA1"/>
          <w:sz w:val="20"/>
          <w:lang w:eastAsia="ja-JP"/>
        </w:rPr>
      </w:pPr>
      <w:r w:rsidRPr="00210AA5">
        <w:rPr>
          <w:sz w:val="19"/>
          <w:szCs w:val="19"/>
          <w:lang w:eastAsia="ja-JP"/>
        </w:rPr>
        <w:t xml:space="preserve">GHG </w:t>
      </w:r>
      <w:r w:rsidRPr="00210AA5">
        <w:rPr>
          <w:rFonts w:ascii="ＭＳ ゴシック" w:eastAsia="ＭＳ ゴシック" w:hAnsi="ＭＳ ゴシック" w:cs="ＭＳ ゴシック" w:hint="eastAsia"/>
          <w:sz w:val="19"/>
          <w:szCs w:val="19"/>
          <w:lang w:eastAsia="ja-JP"/>
        </w:rPr>
        <w:t>影響</w:t>
      </w:r>
      <w:r w:rsidR="002D3C68">
        <w:rPr>
          <w:rFonts w:ascii="ＭＳ ゴシック" w:eastAsia="ＭＳ ゴシック" w:hAnsi="ＭＳ ゴシック" w:cs="ＭＳ ゴシック" w:hint="eastAsia"/>
          <w:sz w:val="19"/>
          <w:szCs w:val="19"/>
          <w:lang w:eastAsia="ja-JP"/>
        </w:rPr>
        <w:t>に関する以下のような</w:t>
      </w:r>
      <w:r w:rsidRPr="00210AA5">
        <w:rPr>
          <w:rFonts w:ascii="ＭＳ ゴシック" w:eastAsia="ＭＳ ゴシック" w:hAnsi="ＭＳ ゴシック" w:cs="ＭＳ ゴシック" w:hint="eastAsia"/>
          <w:sz w:val="19"/>
          <w:szCs w:val="19"/>
          <w:lang w:eastAsia="ja-JP"/>
        </w:rPr>
        <w:t>追加的な集計</w:t>
      </w:r>
    </w:p>
    <w:p w14:paraId="24A69923" w14:textId="5F8349D5" w:rsidR="002D3C68" w:rsidRDefault="00473235" w:rsidP="002D3C68">
      <w:pPr>
        <w:pStyle w:val="a5"/>
        <w:numPr>
          <w:ilvl w:val="3"/>
          <w:numId w:val="30"/>
        </w:numPr>
        <w:tabs>
          <w:tab w:val="left" w:pos="993"/>
          <w:tab w:val="left" w:pos="1645"/>
        </w:tabs>
        <w:spacing w:line="312" w:lineRule="auto"/>
        <w:ind w:rightChars="55" w:right="121"/>
        <w:rPr>
          <w:sz w:val="19"/>
          <w:szCs w:val="19"/>
          <w:lang w:eastAsia="ja-JP"/>
        </w:rPr>
      </w:pPr>
      <w:r w:rsidRPr="00473235">
        <w:rPr>
          <w:rFonts w:ascii="ＭＳ ゴシック" w:eastAsia="ＭＳ ゴシック" w:hAnsi="ＭＳ ゴシック" w:cs="ＭＳ ゴシック" w:hint="eastAsia"/>
          <w:sz w:val="19"/>
          <w:szCs w:val="19"/>
          <w:lang w:eastAsia="ja-JP"/>
        </w:rPr>
        <w:t>すべての</w:t>
      </w:r>
      <w:r w:rsidRPr="00473235">
        <w:rPr>
          <w:sz w:val="19"/>
          <w:szCs w:val="19"/>
          <w:lang w:eastAsia="ja-JP"/>
        </w:rPr>
        <w:t>GHG</w:t>
      </w:r>
      <w:r w:rsidRPr="00473235">
        <w:rPr>
          <w:rFonts w:ascii="ＭＳ ゴシック" w:eastAsia="ＭＳ ゴシック" w:hAnsi="ＭＳ ゴシック" w:cs="ＭＳ ゴシック" w:hint="eastAsia"/>
          <w:sz w:val="19"/>
          <w:szCs w:val="19"/>
          <w:lang w:eastAsia="ja-JP"/>
        </w:rPr>
        <w:t>構成要素（すなわち、</w:t>
      </w:r>
      <w:r w:rsidRPr="00473235">
        <w:rPr>
          <w:sz w:val="19"/>
          <w:szCs w:val="19"/>
          <w:lang w:eastAsia="ja-JP"/>
        </w:rPr>
        <w:t>CO</w:t>
      </w:r>
      <w:r w:rsidRPr="002D3C68">
        <w:rPr>
          <w:sz w:val="19"/>
          <w:szCs w:val="19"/>
          <w:vertAlign w:val="subscript"/>
          <w:lang w:eastAsia="ja-JP"/>
        </w:rPr>
        <w:t>2</w:t>
      </w:r>
      <w:r w:rsidRPr="00473235">
        <w:rPr>
          <w:rFonts w:ascii="ＭＳ ゴシック" w:eastAsia="ＭＳ ゴシック" w:hAnsi="ＭＳ ゴシック" w:cs="ＭＳ ゴシック" w:hint="eastAsia"/>
          <w:sz w:val="19"/>
          <w:szCs w:val="19"/>
          <w:lang w:eastAsia="ja-JP"/>
        </w:rPr>
        <w:t>、</w:t>
      </w:r>
      <w:r w:rsidRPr="00473235">
        <w:rPr>
          <w:sz w:val="19"/>
          <w:szCs w:val="19"/>
          <w:lang w:eastAsia="ja-JP"/>
        </w:rPr>
        <w:t>N</w:t>
      </w:r>
      <w:r w:rsidRPr="002D3C68">
        <w:rPr>
          <w:sz w:val="19"/>
          <w:szCs w:val="19"/>
          <w:vertAlign w:val="subscript"/>
          <w:lang w:eastAsia="ja-JP"/>
        </w:rPr>
        <w:t>2</w:t>
      </w:r>
      <w:r w:rsidRPr="00473235">
        <w:rPr>
          <w:sz w:val="19"/>
          <w:szCs w:val="19"/>
          <w:lang w:eastAsia="ja-JP"/>
        </w:rPr>
        <w:t>O</w:t>
      </w:r>
      <w:r w:rsidRPr="00473235">
        <w:rPr>
          <w:rFonts w:ascii="ＭＳ ゴシック" w:eastAsia="ＭＳ ゴシック" w:hAnsi="ＭＳ ゴシック" w:cs="ＭＳ ゴシック" w:hint="eastAsia"/>
          <w:sz w:val="19"/>
          <w:szCs w:val="19"/>
          <w:lang w:eastAsia="ja-JP"/>
        </w:rPr>
        <w:t>、</w:t>
      </w:r>
      <w:r w:rsidRPr="00473235">
        <w:rPr>
          <w:sz w:val="19"/>
          <w:szCs w:val="19"/>
          <w:lang w:eastAsia="ja-JP"/>
        </w:rPr>
        <w:t>CH</w:t>
      </w:r>
      <w:r w:rsidRPr="002D3C68">
        <w:rPr>
          <w:sz w:val="19"/>
          <w:szCs w:val="19"/>
          <w:vertAlign w:val="subscript"/>
          <w:lang w:eastAsia="ja-JP"/>
        </w:rPr>
        <w:t>4</w:t>
      </w:r>
      <w:r w:rsidRPr="00473235">
        <w:rPr>
          <w:rFonts w:ascii="ＭＳ ゴシック" w:eastAsia="ＭＳ ゴシック" w:hAnsi="ＭＳ ゴシック" w:cs="ＭＳ ゴシック" w:hint="eastAsia"/>
          <w:sz w:val="19"/>
          <w:szCs w:val="19"/>
          <w:lang w:eastAsia="ja-JP"/>
        </w:rPr>
        <w:t>などのグラム</w:t>
      </w:r>
      <w:r w:rsidR="002D3C68">
        <w:rPr>
          <w:rFonts w:ascii="ＭＳ ゴシック" w:eastAsia="ＭＳ ゴシック" w:hAnsi="ＭＳ ゴシック" w:cs="ＭＳ ゴシック" w:hint="eastAsia"/>
          <w:sz w:val="19"/>
          <w:szCs w:val="19"/>
          <w:lang w:eastAsia="ja-JP"/>
        </w:rPr>
        <w:t>数</w:t>
      </w:r>
      <w:r w:rsidRPr="00473235">
        <w:rPr>
          <w:rFonts w:ascii="ＭＳ ゴシック" w:eastAsia="ＭＳ ゴシック" w:hAnsi="ＭＳ ゴシック" w:cs="ＭＳ ゴシック" w:hint="eastAsia"/>
          <w:sz w:val="19"/>
          <w:szCs w:val="19"/>
          <w:lang w:eastAsia="ja-JP"/>
        </w:rPr>
        <w:t>）の割合として報告され</w:t>
      </w:r>
      <w:r w:rsidR="002D3C68">
        <w:rPr>
          <w:rFonts w:ascii="ＭＳ ゴシック" w:eastAsia="ＭＳ ゴシック" w:hAnsi="ＭＳ ゴシック" w:cs="ＭＳ ゴシック" w:hint="eastAsia"/>
          <w:sz w:val="19"/>
          <w:szCs w:val="19"/>
          <w:lang w:eastAsia="ja-JP"/>
        </w:rPr>
        <w:t>る</w:t>
      </w:r>
      <w:r w:rsidR="002D3C68" w:rsidRPr="00473235">
        <w:rPr>
          <w:sz w:val="19"/>
          <w:szCs w:val="19"/>
          <w:lang w:eastAsia="ja-JP"/>
        </w:rPr>
        <w:t>CO</w:t>
      </w:r>
      <w:r w:rsidR="002D3C68" w:rsidRPr="002D3C68">
        <w:rPr>
          <w:sz w:val="19"/>
          <w:szCs w:val="19"/>
          <w:vertAlign w:val="subscript"/>
          <w:lang w:eastAsia="ja-JP"/>
        </w:rPr>
        <w:t>2</w:t>
      </w:r>
      <w:r w:rsidR="002D3C68" w:rsidRPr="00473235">
        <w:rPr>
          <w:sz w:val="19"/>
          <w:szCs w:val="19"/>
          <w:lang w:eastAsia="ja-JP"/>
        </w:rPr>
        <w:t xml:space="preserve"> e</w:t>
      </w:r>
      <w:r w:rsidR="002D3C68" w:rsidRPr="00473235">
        <w:rPr>
          <w:rFonts w:ascii="ＭＳ ゴシック" w:eastAsia="ＭＳ ゴシック" w:hAnsi="ＭＳ ゴシック" w:cs="ＭＳ ゴシック" w:hint="eastAsia"/>
          <w:sz w:val="19"/>
          <w:szCs w:val="19"/>
          <w:lang w:eastAsia="ja-JP"/>
        </w:rPr>
        <w:t>排出量</w:t>
      </w:r>
    </w:p>
    <w:p w14:paraId="6AC24E3F" w14:textId="60C5B2B2" w:rsidR="002D3C68" w:rsidRDefault="00473235" w:rsidP="002D3C68">
      <w:pPr>
        <w:pStyle w:val="a5"/>
        <w:numPr>
          <w:ilvl w:val="3"/>
          <w:numId w:val="30"/>
        </w:numPr>
        <w:tabs>
          <w:tab w:val="left" w:pos="993"/>
          <w:tab w:val="left" w:pos="1645"/>
        </w:tabs>
        <w:spacing w:line="312" w:lineRule="auto"/>
        <w:ind w:rightChars="55" w:right="121"/>
        <w:rPr>
          <w:sz w:val="19"/>
          <w:szCs w:val="19"/>
          <w:lang w:eastAsia="ja-JP"/>
        </w:rPr>
      </w:pPr>
      <w:r w:rsidRPr="00473235">
        <w:rPr>
          <w:rFonts w:ascii="ＭＳ ゴシック" w:eastAsia="ＭＳ ゴシック" w:hAnsi="ＭＳ ゴシック" w:cs="ＭＳ ゴシック" w:hint="eastAsia"/>
          <w:sz w:val="19"/>
          <w:szCs w:val="19"/>
          <w:lang w:eastAsia="ja-JP"/>
        </w:rPr>
        <w:t>特定の帰属プロセスや素材について</w:t>
      </w:r>
      <w:r w:rsidR="002D3C68">
        <w:rPr>
          <w:rFonts w:ascii="ＭＳ ゴシック" w:eastAsia="ＭＳ ゴシック" w:hAnsi="ＭＳ ゴシック" w:cs="ＭＳ ゴシック" w:hint="eastAsia"/>
          <w:sz w:val="19"/>
          <w:szCs w:val="19"/>
          <w:lang w:eastAsia="ja-JP"/>
        </w:rPr>
        <w:t>、</w:t>
      </w:r>
      <w:r w:rsidRPr="00473235">
        <w:rPr>
          <w:rFonts w:ascii="ＭＳ ゴシック" w:eastAsia="ＭＳ ゴシック" w:hAnsi="ＭＳ ゴシック" w:cs="ＭＳ ゴシック" w:hint="eastAsia"/>
          <w:sz w:val="19"/>
          <w:szCs w:val="19"/>
          <w:lang w:eastAsia="ja-JP"/>
        </w:rPr>
        <w:t>製品包装などのエネルギーおよびサービスの投入</w:t>
      </w:r>
    </w:p>
    <w:p w14:paraId="16E9F288" w14:textId="2D52507B" w:rsidR="0055291C" w:rsidRDefault="00473235" w:rsidP="002D3C68">
      <w:pPr>
        <w:pStyle w:val="a5"/>
        <w:numPr>
          <w:ilvl w:val="3"/>
          <w:numId w:val="30"/>
        </w:numPr>
        <w:tabs>
          <w:tab w:val="left" w:pos="993"/>
          <w:tab w:val="left" w:pos="1645"/>
        </w:tabs>
        <w:spacing w:line="312" w:lineRule="auto"/>
        <w:ind w:rightChars="55" w:right="121"/>
        <w:rPr>
          <w:lang w:eastAsia="ja-JP"/>
        </w:rPr>
      </w:pPr>
      <w:r w:rsidRPr="002D3C68">
        <w:rPr>
          <w:rFonts w:ascii="ＭＳ ゴシック" w:eastAsia="ＭＳ ゴシック" w:hAnsi="ＭＳ ゴシック" w:cs="ＭＳ ゴシック" w:hint="eastAsia"/>
          <w:sz w:val="19"/>
          <w:szCs w:val="19"/>
          <w:lang w:eastAsia="ja-JP"/>
        </w:rPr>
        <w:t>ライフサイクルを通して発生する輸送の総和</w:t>
      </w:r>
      <w:r w:rsidR="00F23C61">
        <w:rPr>
          <w:lang w:eastAsia="ja-JP"/>
        </w:rPr>
        <w:br w:type="column"/>
      </w:r>
    </w:p>
    <w:p w14:paraId="36B34AF1" w14:textId="77777777" w:rsidR="002D3C68" w:rsidRPr="00605825" w:rsidRDefault="002D3C68">
      <w:pPr>
        <w:pStyle w:val="a5"/>
        <w:numPr>
          <w:ilvl w:val="1"/>
          <w:numId w:val="94"/>
        </w:numPr>
        <w:tabs>
          <w:tab w:val="left" w:pos="799"/>
        </w:tabs>
        <w:spacing w:line="312" w:lineRule="auto"/>
        <w:ind w:left="851" w:right="879" w:hanging="284"/>
        <w:rPr>
          <w:rFonts w:ascii="Arial" w:hAnsi="Arial"/>
          <w:b/>
          <w:color w:val="545456"/>
          <w:sz w:val="19"/>
          <w:szCs w:val="19"/>
          <w:lang w:eastAsia="ja-JP"/>
        </w:rPr>
      </w:pPr>
      <w:r w:rsidRPr="00605825">
        <w:rPr>
          <w:rFonts w:ascii="ＭＳ ゴシック" w:eastAsia="ＭＳ ゴシック" w:hAnsi="ＭＳ ゴシック" w:cs="ＭＳ ゴシック" w:hint="eastAsia"/>
          <w:sz w:val="19"/>
          <w:szCs w:val="19"/>
          <w:lang w:eastAsia="ja-JP"/>
        </w:rPr>
        <w:t>遅延排出量に対する加重係数</w:t>
      </w:r>
    </w:p>
    <w:p w14:paraId="46EE0363" w14:textId="1F96B2E3" w:rsidR="002D3C68" w:rsidRPr="00605825" w:rsidRDefault="002D3C68">
      <w:pPr>
        <w:pStyle w:val="a5"/>
        <w:numPr>
          <w:ilvl w:val="1"/>
          <w:numId w:val="94"/>
        </w:numPr>
        <w:tabs>
          <w:tab w:val="left" w:pos="799"/>
        </w:tabs>
        <w:spacing w:line="312" w:lineRule="auto"/>
        <w:ind w:left="851" w:right="737" w:hanging="284"/>
        <w:rPr>
          <w:rFonts w:ascii="Arial" w:hAnsi="Arial"/>
          <w:b/>
          <w:color w:val="545456"/>
          <w:sz w:val="19"/>
          <w:szCs w:val="19"/>
          <w:lang w:eastAsia="ja-JP"/>
        </w:rPr>
      </w:pPr>
      <w:r w:rsidRPr="00605825">
        <w:rPr>
          <w:rFonts w:ascii="ＭＳ ゴシック" w:eastAsia="ＭＳ ゴシック" w:hAnsi="ＭＳ ゴシック" w:cs="ＭＳ ゴシック" w:hint="eastAsia"/>
          <w:sz w:val="19"/>
          <w:szCs w:val="19"/>
          <w:lang w:eastAsia="ja-JP"/>
        </w:rPr>
        <w:t>算出の境界外で購入または開発され、算出結果とは別に報告された</w:t>
      </w:r>
      <w:r w:rsidR="00605825">
        <w:rPr>
          <w:rFonts w:ascii="ＭＳ ゴシック" w:eastAsia="ＭＳ ゴシック" w:hAnsi="ＭＳ ゴシック" w:cs="ＭＳ ゴシック" w:hint="eastAsia"/>
          <w:sz w:val="19"/>
          <w:szCs w:val="19"/>
          <w:lang w:eastAsia="ja-JP"/>
        </w:rPr>
        <w:t>、以下のような</w:t>
      </w:r>
      <w:r w:rsidRPr="00605825">
        <w:rPr>
          <w:rFonts w:ascii="ＭＳ ゴシック" w:eastAsia="ＭＳ ゴシック" w:hAnsi="ＭＳ ゴシック" w:cs="ＭＳ ゴシック" w:hint="eastAsia"/>
          <w:sz w:val="19"/>
          <w:szCs w:val="19"/>
          <w:lang w:eastAsia="ja-JP"/>
        </w:rPr>
        <w:t>オフセットに関する情報</w:t>
      </w:r>
    </w:p>
    <w:p w14:paraId="6C244344" w14:textId="5043C50D" w:rsidR="00605825" w:rsidRPr="00605825" w:rsidRDefault="00605825" w:rsidP="00605825">
      <w:pPr>
        <w:pStyle w:val="a5"/>
        <w:numPr>
          <w:ilvl w:val="1"/>
          <w:numId w:val="30"/>
        </w:numPr>
        <w:tabs>
          <w:tab w:val="left" w:pos="799"/>
        </w:tabs>
        <w:spacing w:line="312" w:lineRule="auto"/>
        <w:ind w:right="879"/>
        <w:rPr>
          <w:rFonts w:ascii="Arial" w:hAnsi="Arial"/>
          <w:b/>
          <w:color w:val="545456"/>
          <w:sz w:val="19"/>
          <w:szCs w:val="19"/>
          <w:lang w:eastAsia="ja-JP"/>
        </w:rPr>
      </w:pPr>
      <w:r w:rsidRPr="00605825">
        <w:rPr>
          <w:rFonts w:ascii="ＭＳ ゴシック" w:eastAsia="ＭＳ ゴシック" w:hAnsi="ＭＳ ゴシック" w:cs="ＭＳ ゴシック" w:hint="eastAsia"/>
          <w:sz w:val="19"/>
          <w:szCs w:val="19"/>
          <w:lang w:eastAsia="ja-JP"/>
        </w:rPr>
        <w:t>排出削減量および除去量に応じたオフセットの細分化</w:t>
      </w:r>
    </w:p>
    <w:p w14:paraId="197C080B" w14:textId="0B478144" w:rsidR="00605825" w:rsidRPr="00605825" w:rsidRDefault="00605825" w:rsidP="00605825">
      <w:pPr>
        <w:pStyle w:val="a5"/>
        <w:numPr>
          <w:ilvl w:val="1"/>
          <w:numId w:val="30"/>
        </w:numPr>
        <w:tabs>
          <w:tab w:val="left" w:pos="799"/>
        </w:tabs>
        <w:spacing w:line="312" w:lineRule="auto"/>
        <w:ind w:right="879"/>
        <w:rPr>
          <w:rFonts w:ascii="Arial" w:hAnsi="Arial"/>
          <w:b/>
          <w:color w:val="545456"/>
          <w:sz w:val="19"/>
          <w:szCs w:val="19"/>
          <w:lang w:eastAsia="ja-JP"/>
        </w:rPr>
      </w:pPr>
      <w:r w:rsidRPr="00605825">
        <w:rPr>
          <w:rFonts w:ascii="ＭＳ ゴシック" w:eastAsia="ＭＳ ゴシック" w:hAnsi="ＭＳ ゴシック" w:cs="ＭＳ ゴシック" w:hint="eastAsia"/>
          <w:sz w:val="19"/>
          <w:szCs w:val="19"/>
          <w:lang w:eastAsia="ja-JP"/>
        </w:rPr>
        <w:t>オフセットプロジェクトの種類</w:t>
      </w:r>
      <w:r>
        <w:rPr>
          <w:rFonts w:ascii="ＭＳ ゴシック" w:eastAsia="ＭＳ ゴシック" w:hAnsi="ＭＳ ゴシック" w:cs="ＭＳ ゴシック" w:hint="eastAsia"/>
          <w:sz w:val="19"/>
          <w:szCs w:val="19"/>
          <w:lang w:eastAsia="ja-JP"/>
        </w:rPr>
        <w:t>の指定</w:t>
      </w:r>
    </w:p>
    <w:p w14:paraId="62A26E7B" w14:textId="3F3A3EF3" w:rsidR="00605825" w:rsidRPr="00605825" w:rsidRDefault="00605825" w:rsidP="00605825">
      <w:pPr>
        <w:pStyle w:val="a5"/>
        <w:numPr>
          <w:ilvl w:val="1"/>
          <w:numId w:val="30"/>
        </w:numPr>
        <w:tabs>
          <w:tab w:val="left" w:pos="799"/>
        </w:tabs>
        <w:spacing w:line="312" w:lineRule="auto"/>
        <w:ind w:right="879"/>
        <w:rPr>
          <w:rFonts w:ascii="Arial" w:hAnsi="Arial"/>
          <w:b/>
          <w:color w:val="545456"/>
          <w:sz w:val="19"/>
          <w:szCs w:val="19"/>
          <w:lang w:eastAsia="ja-JP"/>
        </w:rPr>
      </w:pPr>
      <w:r w:rsidRPr="00605825">
        <w:rPr>
          <w:rFonts w:ascii="ＭＳ ゴシック" w:eastAsia="ＭＳ ゴシック" w:hAnsi="ＭＳ ゴシック" w:cs="ＭＳ ゴシック" w:hint="eastAsia"/>
          <w:sz w:val="19"/>
          <w:szCs w:val="19"/>
          <w:lang w:eastAsia="ja-JP"/>
        </w:rPr>
        <w:t>地理的・組織的な起源</w:t>
      </w:r>
      <w:r>
        <w:rPr>
          <w:rFonts w:ascii="ＭＳ ゴシック" w:eastAsia="ＭＳ ゴシック" w:hAnsi="ＭＳ ゴシック" w:cs="ＭＳ ゴシック" w:hint="eastAsia"/>
          <w:sz w:val="19"/>
          <w:szCs w:val="19"/>
          <w:lang w:eastAsia="ja-JP"/>
        </w:rPr>
        <w:t>の</w:t>
      </w:r>
      <w:r w:rsidRPr="00605825">
        <w:rPr>
          <w:rFonts w:ascii="ＭＳ ゴシック" w:eastAsia="ＭＳ ゴシック" w:hAnsi="ＭＳ ゴシック" w:cs="ＭＳ ゴシック" w:hint="eastAsia"/>
          <w:sz w:val="19"/>
          <w:szCs w:val="19"/>
          <w:lang w:eastAsia="ja-JP"/>
        </w:rPr>
        <w:t>明示</w:t>
      </w:r>
    </w:p>
    <w:p w14:paraId="65AC3921" w14:textId="30613BB9" w:rsidR="00605825" w:rsidRPr="00605825" w:rsidRDefault="00605825" w:rsidP="00605825">
      <w:pPr>
        <w:pStyle w:val="a5"/>
        <w:numPr>
          <w:ilvl w:val="1"/>
          <w:numId w:val="30"/>
        </w:numPr>
        <w:tabs>
          <w:tab w:val="left" w:pos="799"/>
        </w:tabs>
        <w:spacing w:line="312" w:lineRule="auto"/>
        <w:ind w:right="879"/>
        <w:rPr>
          <w:rFonts w:ascii="Arial" w:hAnsi="Arial"/>
          <w:b/>
          <w:color w:val="545456"/>
          <w:sz w:val="19"/>
          <w:szCs w:val="19"/>
          <w:lang w:eastAsia="ja-JP"/>
        </w:rPr>
      </w:pPr>
      <w:r w:rsidRPr="00605825">
        <w:rPr>
          <w:rFonts w:ascii="ＭＳ ゴシック" w:eastAsia="ＭＳ ゴシック" w:hAnsi="ＭＳ ゴシック" w:cs="ＭＳ ゴシック" w:hint="eastAsia"/>
          <w:sz w:val="19"/>
          <w:szCs w:val="19"/>
          <w:lang w:eastAsia="ja-JP"/>
        </w:rPr>
        <w:t>オフセットがどのように定量化されたか明記</w:t>
      </w:r>
    </w:p>
    <w:p w14:paraId="1B0FBC0F" w14:textId="03AF87AA" w:rsidR="00605825" w:rsidRPr="00605825" w:rsidRDefault="00605825" w:rsidP="00605825">
      <w:pPr>
        <w:pStyle w:val="a5"/>
        <w:numPr>
          <w:ilvl w:val="1"/>
          <w:numId w:val="30"/>
        </w:numPr>
        <w:tabs>
          <w:tab w:val="left" w:pos="799"/>
        </w:tabs>
        <w:spacing w:line="312" w:lineRule="auto"/>
        <w:ind w:right="879"/>
        <w:rPr>
          <w:rFonts w:ascii="Arial" w:hAnsi="Arial"/>
          <w:b/>
          <w:color w:val="545456"/>
          <w:sz w:val="19"/>
          <w:szCs w:val="19"/>
          <w:lang w:eastAsia="ja-JP"/>
        </w:rPr>
      </w:pPr>
      <w:r w:rsidRPr="00605825">
        <w:rPr>
          <w:rFonts w:ascii="ＭＳ ゴシック" w:eastAsia="ＭＳ ゴシック" w:hAnsi="ＭＳ ゴシック" w:cs="ＭＳ ゴシック" w:hint="eastAsia"/>
          <w:sz w:val="19"/>
          <w:szCs w:val="19"/>
          <w:lang w:eastAsia="ja-JP"/>
        </w:rPr>
        <w:t>オフセットのダブルカウントを回避する方</w:t>
      </w:r>
      <w:r w:rsidRPr="00605825">
        <w:rPr>
          <w:sz w:val="19"/>
          <w:szCs w:val="19"/>
          <w:lang w:eastAsia="ja-JP"/>
        </w:rPr>
        <w:t xml:space="preserve"> </w:t>
      </w:r>
      <w:r w:rsidRPr="00605825">
        <w:rPr>
          <w:rFonts w:ascii="ＭＳ ゴシック" w:eastAsia="ＭＳ ゴシック" w:hAnsi="ＭＳ ゴシック" w:cs="ＭＳ ゴシック" w:hint="eastAsia"/>
          <w:sz w:val="19"/>
          <w:szCs w:val="19"/>
          <w:lang w:eastAsia="ja-JP"/>
        </w:rPr>
        <w:t>法</w:t>
      </w:r>
      <w:r>
        <w:rPr>
          <w:rFonts w:ascii="ＭＳ ゴシック" w:eastAsia="ＭＳ ゴシック" w:hAnsi="ＭＳ ゴシック" w:cs="ＭＳ ゴシック" w:hint="eastAsia"/>
          <w:sz w:val="19"/>
          <w:szCs w:val="19"/>
          <w:lang w:eastAsia="ja-JP"/>
        </w:rPr>
        <w:t>の</w:t>
      </w:r>
      <w:r w:rsidRPr="00605825">
        <w:rPr>
          <w:rFonts w:ascii="ＭＳ ゴシック" w:eastAsia="ＭＳ ゴシック" w:hAnsi="ＭＳ ゴシック" w:cs="ＭＳ ゴシック" w:hint="eastAsia"/>
          <w:sz w:val="19"/>
          <w:szCs w:val="19"/>
          <w:lang w:eastAsia="ja-JP"/>
        </w:rPr>
        <w:t>明示</w:t>
      </w:r>
    </w:p>
    <w:p w14:paraId="25EB1687" w14:textId="2B731D85" w:rsidR="00605825" w:rsidRPr="00605825" w:rsidRDefault="00605825" w:rsidP="00605825">
      <w:pPr>
        <w:pStyle w:val="a5"/>
        <w:numPr>
          <w:ilvl w:val="1"/>
          <w:numId w:val="30"/>
        </w:numPr>
        <w:tabs>
          <w:tab w:val="left" w:pos="799"/>
        </w:tabs>
        <w:spacing w:line="312" w:lineRule="auto"/>
        <w:ind w:right="879"/>
        <w:rPr>
          <w:rFonts w:ascii="Arial" w:hAnsi="Arial"/>
          <w:b/>
          <w:color w:val="545456"/>
          <w:sz w:val="19"/>
          <w:szCs w:val="19"/>
          <w:lang w:eastAsia="ja-JP"/>
        </w:rPr>
      </w:pPr>
      <w:r w:rsidRPr="00605825">
        <w:rPr>
          <w:rFonts w:ascii="ＭＳ ゴシック" w:eastAsia="ＭＳ ゴシック" w:hAnsi="ＭＳ ゴシック" w:cs="ＭＳ ゴシック" w:hint="eastAsia"/>
          <w:sz w:val="19"/>
          <w:szCs w:val="19"/>
          <w:lang w:eastAsia="ja-JP"/>
        </w:rPr>
        <w:t>外部の</w:t>
      </w:r>
      <w:r w:rsidRPr="00605825">
        <w:rPr>
          <w:sz w:val="19"/>
          <w:szCs w:val="19"/>
          <w:lang w:eastAsia="ja-JP"/>
        </w:rPr>
        <w:t>GHG</w:t>
      </w:r>
      <w:r w:rsidRPr="00605825">
        <w:rPr>
          <w:rFonts w:ascii="ＭＳ ゴシック" w:eastAsia="ＭＳ ゴシック" w:hAnsi="ＭＳ ゴシック" w:cs="ＭＳ ゴシック" w:hint="eastAsia"/>
          <w:sz w:val="19"/>
          <w:szCs w:val="19"/>
          <w:lang w:eastAsia="ja-JP"/>
        </w:rPr>
        <w:t>プログラムから認証または認定を受けているかどうか</w:t>
      </w:r>
      <w:r>
        <w:rPr>
          <w:rFonts w:ascii="ＭＳ ゴシック" w:eastAsia="ＭＳ ゴシック" w:hAnsi="ＭＳ ゴシック" w:cs="ＭＳ ゴシック" w:hint="eastAsia"/>
          <w:sz w:val="19"/>
          <w:szCs w:val="19"/>
          <w:lang w:eastAsia="ja-JP"/>
        </w:rPr>
        <w:t>の</w:t>
      </w:r>
      <w:r w:rsidRPr="00605825">
        <w:rPr>
          <w:rFonts w:ascii="ＭＳ ゴシック" w:eastAsia="ＭＳ ゴシック" w:hAnsi="ＭＳ ゴシック" w:cs="ＭＳ ゴシック" w:hint="eastAsia"/>
          <w:sz w:val="19"/>
          <w:szCs w:val="19"/>
          <w:lang w:eastAsia="ja-JP"/>
        </w:rPr>
        <w:t>明記</w:t>
      </w:r>
      <w:r w:rsidRPr="00605825">
        <w:rPr>
          <w:sz w:val="19"/>
          <w:szCs w:val="19"/>
          <w:lang w:eastAsia="ja-JP"/>
        </w:rPr>
        <w:t xml:space="preserve"> (</w:t>
      </w:r>
      <w:r w:rsidRPr="00605825">
        <w:rPr>
          <w:rFonts w:ascii="ＭＳ ゴシック" w:eastAsia="ＭＳ ゴシック" w:hAnsi="ＭＳ ゴシック" w:cs="ＭＳ ゴシック" w:hint="eastAsia"/>
          <w:sz w:val="19"/>
          <w:szCs w:val="19"/>
          <w:lang w:eastAsia="ja-JP"/>
        </w:rPr>
        <w:t>クリーン開発メカニズムなど）</w:t>
      </w:r>
    </w:p>
    <w:p w14:paraId="70BE2BCD" w14:textId="01B1B6B2" w:rsidR="00605825" w:rsidRPr="00605825" w:rsidRDefault="00605825" w:rsidP="00605825">
      <w:pPr>
        <w:pStyle w:val="a5"/>
        <w:numPr>
          <w:ilvl w:val="1"/>
          <w:numId w:val="30"/>
        </w:numPr>
        <w:tabs>
          <w:tab w:val="left" w:pos="799"/>
        </w:tabs>
        <w:spacing w:line="312" w:lineRule="auto"/>
        <w:ind w:right="879"/>
        <w:rPr>
          <w:rFonts w:ascii="Arial" w:hAnsi="Arial"/>
          <w:b/>
          <w:color w:val="545456"/>
          <w:sz w:val="19"/>
          <w:szCs w:val="19"/>
          <w:lang w:eastAsia="ja-JP"/>
        </w:rPr>
      </w:pPr>
      <w:r w:rsidRPr="00605825">
        <w:rPr>
          <w:rFonts w:ascii="ＭＳ ゴシック" w:eastAsia="ＭＳ ゴシック" w:hAnsi="ＭＳ ゴシック" w:cs="ＭＳ ゴシック" w:hint="eastAsia"/>
          <w:sz w:val="19"/>
          <w:szCs w:val="19"/>
          <w:lang w:eastAsia="ja-JP"/>
        </w:rPr>
        <w:t>購入したオフセットが削減目標の達成に使用されたかどうか、またどの程度使用されたか</w:t>
      </w:r>
      <w:r>
        <w:rPr>
          <w:rFonts w:ascii="ＭＳ ゴシック" w:eastAsia="ＭＳ ゴシック" w:hAnsi="ＭＳ ゴシック" w:cs="ＭＳ ゴシック" w:hint="eastAsia"/>
          <w:sz w:val="19"/>
          <w:szCs w:val="19"/>
          <w:lang w:eastAsia="ja-JP"/>
        </w:rPr>
        <w:t>の</w:t>
      </w:r>
      <w:r w:rsidRPr="00605825">
        <w:rPr>
          <w:rFonts w:ascii="ＭＳ ゴシック" w:eastAsia="ＭＳ ゴシック" w:hAnsi="ＭＳ ゴシック" w:cs="ＭＳ ゴシック" w:hint="eastAsia"/>
          <w:sz w:val="19"/>
          <w:szCs w:val="19"/>
          <w:lang w:eastAsia="ja-JP"/>
        </w:rPr>
        <w:t>明記（設定されている場合）</w:t>
      </w:r>
    </w:p>
    <w:p w14:paraId="4EDEBD47" w14:textId="1DB01EE9" w:rsidR="00D52843" w:rsidRPr="00D52843" w:rsidRDefault="00D52843" w:rsidP="00605825">
      <w:pPr>
        <w:pStyle w:val="a5"/>
        <w:numPr>
          <w:ilvl w:val="0"/>
          <w:numId w:val="30"/>
        </w:numPr>
        <w:tabs>
          <w:tab w:val="left" w:pos="549"/>
        </w:tabs>
        <w:spacing w:before="15" w:line="309" w:lineRule="auto"/>
        <w:ind w:leftChars="258" w:left="870" w:right="596" w:hangingChars="159" w:hanging="302"/>
        <w:rPr>
          <w:sz w:val="19"/>
          <w:szCs w:val="19"/>
          <w:lang w:eastAsia="ja-JP"/>
        </w:rPr>
      </w:pPr>
      <w:r w:rsidRPr="00D52843">
        <w:rPr>
          <w:rFonts w:ascii="ＭＳ ゴシック" w:eastAsia="ＭＳ ゴシック" w:hAnsi="ＭＳ ゴシック" w:cs="ＭＳ ゴシック" w:hint="eastAsia"/>
          <w:sz w:val="19"/>
          <w:szCs w:val="19"/>
          <w:lang w:eastAsia="ja-JP"/>
        </w:rPr>
        <w:t>オフセットとして販売され</w:t>
      </w:r>
      <w:r>
        <w:rPr>
          <w:rFonts w:ascii="ＭＳ ゴシック" w:eastAsia="ＭＳ ゴシック" w:hAnsi="ＭＳ ゴシック" w:cs="ＭＳ ゴシック" w:hint="eastAsia"/>
          <w:sz w:val="19"/>
          <w:szCs w:val="19"/>
          <w:lang w:eastAsia="ja-JP"/>
        </w:rPr>
        <w:t>、</w:t>
      </w:r>
      <w:r w:rsidRPr="00D52843">
        <w:rPr>
          <w:rFonts w:ascii="ＭＳ ゴシック" w:eastAsia="ＭＳ ゴシック" w:hAnsi="ＭＳ ゴシック" w:cs="ＭＳ ゴシック" w:hint="eastAsia"/>
          <w:sz w:val="19"/>
          <w:szCs w:val="19"/>
          <w:lang w:eastAsia="ja-JP"/>
        </w:rPr>
        <w:t>報告企業が所有または管理している</w:t>
      </w:r>
      <w:r>
        <w:rPr>
          <w:rFonts w:ascii="ＭＳ ゴシック" w:eastAsia="ＭＳ ゴシック" w:hAnsi="ＭＳ ゴシック" w:cs="ＭＳ ゴシック" w:hint="eastAsia"/>
          <w:sz w:val="19"/>
          <w:szCs w:val="19"/>
          <w:lang w:eastAsia="ja-JP"/>
        </w:rPr>
        <w:t>、境界</w:t>
      </w:r>
      <w:r w:rsidRPr="00D52843">
        <w:rPr>
          <w:rFonts w:ascii="ＭＳ ゴシック" w:eastAsia="ＭＳ ゴシック" w:hAnsi="ＭＳ ゴシック" w:cs="ＭＳ ゴシック" w:hint="eastAsia"/>
          <w:sz w:val="19"/>
          <w:szCs w:val="19"/>
          <w:lang w:eastAsia="ja-JP"/>
        </w:rPr>
        <w:t>内の削減量に関するソース</w:t>
      </w:r>
    </w:p>
    <w:p w14:paraId="7CC6E448" w14:textId="5EF3242E" w:rsidR="00D52843" w:rsidRPr="00D52843" w:rsidRDefault="00D52843" w:rsidP="00605825">
      <w:pPr>
        <w:pStyle w:val="a5"/>
        <w:numPr>
          <w:ilvl w:val="0"/>
          <w:numId w:val="30"/>
        </w:numPr>
        <w:tabs>
          <w:tab w:val="left" w:pos="549"/>
        </w:tabs>
        <w:spacing w:before="15" w:line="309" w:lineRule="auto"/>
        <w:ind w:leftChars="258" w:left="870" w:right="596" w:hangingChars="159" w:hanging="302"/>
        <w:rPr>
          <w:sz w:val="19"/>
          <w:szCs w:val="19"/>
          <w:lang w:eastAsia="ja-JP"/>
        </w:rPr>
      </w:pPr>
      <w:r>
        <w:rPr>
          <w:rFonts w:ascii="ＭＳ ゴシック" w:eastAsia="ＭＳ ゴシック" w:hAnsi="ＭＳ ゴシック" w:cs="ＭＳ ゴシック" w:hint="eastAsia"/>
          <w:sz w:val="19"/>
          <w:szCs w:val="19"/>
          <w:lang w:eastAsia="ja-JP"/>
        </w:rPr>
        <w:t>境界</w:t>
      </w:r>
      <w:r w:rsidRPr="00D52843">
        <w:rPr>
          <w:rFonts w:ascii="ＭＳ ゴシック" w:eastAsia="ＭＳ ゴシック" w:hAnsi="ＭＳ ゴシック" w:cs="ＭＳ ゴシック" w:hint="eastAsia"/>
          <w:sz w:val="19"/>
          <w:szCs w:val="19"/>
          <w:lang w:eastAsia="ja-JP"/>
        </w:rPr>
        <w:t>外の排出源から発生した</w:t>
      </w:r>
      <w:r>
        <w:rPr>
          <w:rFonts w:ascii="ＭＳ ゴシック" w:eastAsia="ＭＳ ゴシック" w:hAnsi="ＭＳ ゴシック" w:cs="ＭＳ ゴシック" w:hint="eastAsia"/>
          <w:sz w:val="19"/>
          <w:szCs w:val="19"/>
          <w:lang w:eastAsia="ja-JP"/>
        </w:rPr>
        <w:t>、</w:t>
      </w:r>
      <w:r w:rsidRPr="00D52843">
        <w:rPr>
          <w:rFonts w:ascii="ＭＳ ゴシック" w:eastAsia="ＭＳ ゴシック" w:hAnsi="ＭＳ ゴシック" w:cs="ＭＳ ゴシック" w:hint="eastAsia"/>
          <w:sz w:val="19"/>
          <w:szCs w:val="19"/>
          <w:lang w:eastAsia="ja-JP"/>
        </w:rPr>
        <w:t>回避された排出量および排出量</w:t>
      </w:r>
      <w:r>
        <w:rPr>
          <w:rFonts w:ascii="ＭＳ ゴシック" w:eastAsia="ＭＳ ゴシック" w:hAnsi="ＭＳ ゴシック" w:cs="ＭＳ ゴシック" w:hint="eastAsia"/>
          <w:sz w:val="19"/>
          <w:szCs w:val="19"/>
          <w:lang w:eastAsia="ja-JP"/>
        </w:rPr>
        <w:t>の算出</w:t>
      </w:r>
      <w:r w:rsidRPr="00D52843">
        <w:rPr>
          <w:rFonts w:ascii="ＭＳ ゴシック" w:eastAsia="ＭＳ ゴシック" w:hAnsi="ＭＳ ゴシック" w:cs="ＭＳ ゴシック" w:hint="eastAsia"/>
          <w:sz w:val="19"/>
          <w:szCs w:val="19"/>
          <w:lang w:eastAsia="ja-JP"/>
        </w:rPr>
        <w:t>結果とは別に</w:t>
      </w:r>
      <w:r>
        <w:rPr>
          <w:rFonts w:ascii="ＭＳ ゴシック" w:eastAsia="ＭＳ ゴシック" w:hAnsi="ＭＳ ゴシック" w:cs="ＭＳ ゴシック" w:hint="eastAsia"/>
          <w:sz w:val="19"/>
          <w:szCs w:val="19"/>
          <w:lang w:eastAsia="ja-JP"/>
        </w:rPr>
        <w:t>した</w:t>
      </w:r>
      <w:r w:rsidRPr="00D52843">
        <w:rPr>
          <w:rFonts w:ascii="ＭＳ ゴシック" w:eastAsia="ＭＳ ゴシック" w:hAnsi="ＭＳ ゴシック" w:cs="ＭＳ ゴシック" w:hint="eastAsia"/>
          <w:sz w:val="19"/>
          <w:szCs w:val="19"/>
          <w:lang w:eastAsia="ja-JP"/>
        </w:rPr>
        <w:t>報告</w:t>
      </w:r>
    </w:p>
    <w:p w14:paraId="32C89AF3" w14:textId="1B63AAD9" w:rsidR="00D52843" w:rsidRPr="00D52843" w:rsidRDefault="00D52843" w:rsidP="00605825">
      <w:pPr>
        <w:pStyle w:val="a5"/>
        <w:numPr>
          <w:ilvl w:val="0"/>
          <w:numId w:val="30"/>
        </w:numPr>
        <w:tabs>
          <w:tab w:val="left" w:pos="549"/>
        </w:tabs>
        <w:spacing w:before="15" w:line="309" w:lineRule="auto"/>
        <w:ind w:leftChars="258" w:left="870" w:right="596" w:hangingChars="159" w:hanging="302"/>
        <w:rPr>
          <w:sz w:val="19"/>
          <w:szCs w:val="19"/>
          <w:lang w:eastAsia="ja-JP"/>
        </w:rPr>
      </w:pPr>
      <w:r>
        <w:rPr>
          <w:rFonts w:ascii="ＭＳ ゴシック" w:eastAsia="ＭＳ ゴシック" w:hAnsi="ＭＳ ゴシック" w:cs="ＭＳ ゴシック" w:hint="eastAsia"/>
          <w:sz w:val="19"/>
          <w:szCs w:val="19"/>
          <w:lang w:eastAsia="ja-JP"/>
        </w:rPr>
        <w:t>算出</w:t>
      </w:r>
      <w:r w:rsidRPr="00D52843">
        <w:rPr>
          <w:rFonts w:ascii="ＭＳ ゴシック" w:eastAsia="ＭＳ ゴシック" w:hAnsi="ＭＳ ゴシック" w:cs="ＭＳ ゴシック" w:hint="eastAsia"/>
          <w:sz w:val="19"/>
          <w:szCs w:val="19"/>
          <w:lang w:eastAsia="ja-JP"/>
        </w:rPr>
        <w:t>結果とは別に報告された、結果的なモデル化により算出されたその他の排出量または除去量</w:t>
      </w:r>
    </w:p>
    <w:p w14:paraId="61237CCB" w14:textId="77777777" w:rsidR="00D52843" w:rsidRPr="00D52843" w:rsidRDefault="00D52843" w:rsidP="00605825">
      <w:pPr>
        <w:pStyle w:val="a5"/>
        <w:numPr>
          <w:ilvl w:val="0"/>
          <w:numId w:val="30"/>
        </w:numPr>
        <w:tabs>
          <w:tab w:val="left" w:pos="549"/>
        </w:tabs>
        <w:spacing w:before="15" w:line="309" w:lineRule="auto"/>
        <w:ind w:leftChars="258" w:left="870" w:right="596" w:hangingChars="159" w:hanging="302"/>
        <w:rPr>
          <w:sz w:val="19"/>
          <w:szCs w:val="19"/>
          <w:lang w:eastAsia="ja-JP"/>
        </w:rPr>
      </w:pPr>
      <w:r w:rsidRPr="00D52843">
        <w:rPr>
          <w:rFonts w:ascii="ＭＳ ゴシック" w:eastAsia="ＭＳ ゴシック" w:hAnsi="ＭＳ ゴシック" w:cs="ＭＳ ゴシック" w:hint="eastAsia"/>
          <w:sz w:val="19"/>
          <w:szCs w:val="19"/>
          <w:lang w:eastAsia="ja-JP"/>
        </w:rPr>
        <w:t>結果の解釈と使用方法に関する追加ガイダンス</w:t>
      </w:r>
    </w:p>
    <w:p w14:paraId="7411E3AE" w14:textId="33FC6C6F" w:rsidR="00D52843" w:rsidRPr="00D52843" w:rsidRDefault="00D52843" w:rsidP="00605825">
      <w:pPr>
        <w:pStyle w:val="a5"/>
        <w:numPr>
          <w:ilvl w:val="0"/>
          <w:numId w:val="30"/>
        </w:numPr>
        <w:tabs>
          <w:tab w:val="left" w:pos="549"/>
        </w:tabs>
        <w:spacing w:before="15" w:line="309" w:lineRule="auto"/>
        <w:ind w:leftChars="258" w:left="870" w:right="596" w:hangingChars="159" w:hanging="302"/>
        <w:rPr>
          <w:sz w:val="19"/>
          <w:szCs w:val="19"/>
          <w:lang w:eastAsia="ja-JP"/>
        </w:rPr>
      </w:pPr>
      <w:r w:rsidRPr="00D52843">
        <w:rPr>
          <w:rFonts w:ascii="ＭＳ ゴシック" w:eastAsia="ＭＳ ゴシック" w:hAnsi="ＭＳ ゴシック" w:cs="ＭＳ ゴシック" w:hint="eastAsia"/>
          <w:sz w:val="19"/>
          <w:szCs w:val="19"/>
          <w:lang w:eastAsia="ja-JP"/>
        </w:rPr>
        <w:t>将来の</w:t>
      </w:r>
      <w:r>
        <w:rPr>
          <w:rFonts w:ascii="ＭＳ ゴシック" w:eastAsia="ＭＳ ゴシック" w:hAnsi="ＭＳ ゴシック" w:cs="ＭＳ ゴシック" w:hint="eastAsia"/>
          <w:sz w:val="19"/>
          <w:szCs w:val="19"/>
          <w:lang w:eastAsia="ja-JP"/>
        </w:rPr>
        <w:t>排出</w:t>
      </w:r>
      <w:r w:rsidRPr="00D52843">
        <w:rPr>
          <w:rFonts w:ascii="ＭＳ ゴシック" w:eastAsia="ＭＳ ゴシック" w:hAnsi="ＭＳ ゴシック" w:cs="ＭＳ ゴシック" w:hint="eastAsia"/>
          <w:sz w:val="19"/>
          <w:szCs w:val="19"/>
          <w:lang w:eastAsia="ja-JP"/>
        </w:rPr>
        <w:t>に対する詳細な削減計画</w:t>
      </w:r>
    </w:p>
    <w:p w14:paraId="69ACEABE" w14:textId="2DE0AF7D" w:rsidR="0055291C" w:rsidRPr="00D52843" w:rsidRDefault="00D52843" w:rsidP="00605825">
      <w:pPr>
        <w:pStyle w:val="a5"/>
        <w:numPr>
          <w:ilvl w:val="0"/>
          <w:numId w:val="30"/>
        </w:numPr>
        <w:tabs>
          <w:tab w:val="left" w:pos="549"/>
        </w:tabs>
        <w:spacing w:before="15" w:line="309" w:lineRule="auto"/>
        <w:ind w:leftChars="258" w:left="870" w:right="596" w:hangingChars="159" w:hanging="302"/>
        <w:rPr>
          <w:sz w:val="19"/>
          <w:szCs w:val="19"/>
          <w:lang w:eastAsia="ja-JP"/>
        </w:rPr>
      </w:pPr>
      <w:r w:rsidRPr="00D52843">
        <w:rPr>
          <w:rFonts w:ascii="ＭＳ ゴシック" w:eastAsia="ＭＳ ゴシック" w:hAnsi="ＭＳ ゴシック" w:cs="ＭＳ ゴシック" w:hint="eastAsia"/>
          <w:sz w:val="19"/>
          <w:szCs w:val="19"/>
          <w:lang w:eastAsia="ja-JP"/>
        </w:rPr>
        <w:t>前回の</w:t>
      </w:r>
      <w:r>
        <w:rPr>
          <w:rFonts w:ascii="ＭＳ ゴシック" w:eastAsia="ＭＳ ゴシック" w:hAnsi="ＭＳ ゴシック" w:cs="ＭＳ ゴシック" w:hint="eastAsia"/>
          <w:sz w:val="19"/>
          <w:szCs w:val="19"/>
          <w:lang w:eastAsia="ja-JP"/>
        </w:rPr>
        <w:t>報告</w:t>
      </w:r>
      <w:r w:rsidRPr="00D52843">
        <w:rPr>
          <w:rFonts w:ascii="ＭＳ ゴシック" w:eastAsia="ＭＳ ゴシック" w:hAnsi="ＭＳ ゴシック" w:cs="ＭＳ ゴシック" w:hint="eastAsia"/>
          <w:sz w:val="19"/>
          <w:szCs w:val="19"/>
          <w:lang w:eastAsia="ja-JP"/>
        </w:rPr>
        <w:t>以降に増加した排出量または減少した除去量の概要と説明、および今後</w:t>
      </w:r>
      <w:r>
        <w:rPr>
          <w:rFonts w:ascii="ＭＳ ゴシック" w:eastAsia="ＭＳ ゴシック" w:hAnsi="ＭＳ ゴシック" w:cs="ＭＳ ゴシック" w:hint="eastAsia"/>
          <w:sz w:val="19"/>
          <w:szCs w:val="19"/>
          <w:lang w:eastAsia="ja-JP"/>
        </w:rPr>
        <w:t>排出量</w:t>
      </w:r>
      <w:r w:rsidRPr="00D52843">
        <w:rPr>
          <w:rFonts w:ascii="ＭＳ ゴシック" w:eastAsia="ＭＳ ゴシック" w:hAnsi="ＭＳ ゴシック" w:cs="ＭＳ ゴシック" w:hint="eastAsia"/>
          <w:sz w:val="19"/>
          <w:szCs w:val="19"/>
          <w:lang w:eastAsia="ja-JP"/>
        </w:rPr>
        <w:t>削減を達成するために会社が有する計画</w:t>
      </w:r>
    </w:p>
    <w:p w14:paraId="29B65E01" w14:textId="77777777" w:rsidR="0055291C" w:rsidRDefault="0055291C">
      <w:pPr>
        <w:pStyle w:val="a3"/>
        <w:rPr>
          <w:sz w:val="20"/>
          <w:lang w:eastAsia="ja-JP"/>
        </w:rPr>
      </w:pPr>
    </w:p>
    <w:p w14:paraId="5441242E" w14:textId="30D05F79" w:rsidR="0055291C" w:rsidRDefault="00D52843">
      <w:pPr>
        <w:pStyle w:val="3"/>
        <w:spacing w:before="147"/>
        <w:ind w:left="288"/>
        <w:rPr>
          <w:lang w:eastAsia="ja-JP"/>
        </w:rPr>
      </w:pPr>
      <w:r>
        <w:rPr>
          <w:rFonts w:ascii="ＭＳ 明朝" w:eastAsia="ＭＳ 明朝" w:hAnsi="ＭＳ 明朝" w:cs="ＭＳ 明朝" w:hint="eastAsia"/>
          <w:color w:val="00ACA1"/>
          <w:lang w:eastAsia="ja-JP"/>
        </w:rPr>
        <w:t>脚注</w:t>
      </w:r>
    </w:p>
    <w:p w14:paraId="6215CE0D" w14:textId="17E0D850" w:rsidR="0055291C" w:rsidRPr="00D52843" w:rsidRDefault="00F23C61">
      <w:pPr>
        <w:spacing w:before="62" w:line="345" w:lineRule="auto"/>
        <w:ind w:left="514" w:right="1179" w:hanging="227"/>
        <w:rPr>
          <w:sz w:val="19"/>
          <w:szCs w:val="19"/>
          <w:lang w:eastAsia="ja-JP"/>
        </w:rPr>
      </w:pPr>
      <w:r>
        <w:rPr>
          <w:color w:val="545456"/>
          <w:spacing w:val="-1"/>
          <w:w w:val="105"/>
          <w:sz w:val="16"/>
          <w:lang w:eastAsia="ja-JP"/>
        </w:rPr>
        <w:t>1</w:t>
      </w:r>
      <w:r>
        <w:rPr>
          <w:color w:val="545456"/>
          <w:spacing w:val="6"/>
          <w:w w:val="105"/>
          <w:sz w:val="16"/>
          <w:lang w:eastAsia="ja-JP"/>
        </w:rPr>
        <w:t xml:space="preserve"> </w:t>
      </w:r>
      <w:r w:rsidR="00D52843" w:rsidRPr="00D52843">
        <w:rPr>
          <w:rFonts w:ascii="ＭＳ ゴシック" w:eastAsia="ＭＳ ゴシック" w:hAnsi="ＭＳ ゴシック" w:cs="ＭＳ ゴシック" w:hint="eastAsia"/>
          <w:sz w:val="19"/>
          <w:szCs w:val="19"/>
          <w:lang w:eastAsia="ja-JP"/>
        </w:rPr>
        <w:t>特定の報告手順からのアウトプットの報告に関する詳細情報は、それぞれの章に含まれています。</w:t>
      </w:r>
    </w:p>
    <w:p w14:paraId="798EC4A7" w14:textId="77777777" w:rsidR="0055291C" w:rsidRDefault="0055291C">
      <w:pPr>
        <w:spacing w:line="345" w:lineRule="auto"/>
        <w:rPr>
          <w:sz w:val="16"/>
          <w:lang w:eastAsia="ja-JP"/>
        </w:rPr>
        <w:sectPr w:rsidR="0055291C">
          <w:type w:val="continuous"/>
          <w:pgSz w:w="12240" w:h="15840"/>
          <w:pgMar w:top="740" w:right="0" w:bottom="280" w:left="0" w:header="0" w:footer="859" w:gutter="0"/>
          <w:cols w:num="2" w:space="720" w:equalWidth="0">
            <w:col w:w="5934" w:space="40"/>
            <w:col w:w="6266"/>
          </w:cols>
        </w:sectPr>
      </w:pPr>
    </w:p>
    <w:p w14:paraId="751B2523" w14:textId="64E149B9" w:rsidR="0055291C" w:rsidRDefault="00000000">
      <w:pPr>
        <w:pStyle w:val="1"/>
        <w:spacing w:before="84" w:line="562" w:lineRule="exact"/>
        <w:rPr>
          <w:lang w:eastAsia="ja-JP"/>
        </w:rPr>
      </w:pPr>
      <w:r>
        <w:lastRenderedPageBreak/>
        <w:pict w14:anchorId="278FDAAB">
          <v:group id="docshapegroup1474" o:spid="_x0000_s2375" style="position:absolute;left:0;text-align:left;margin-left:0;margin-top:0;width:612pt;height:11in;z-index:-251546112;mso-position-horizontal-relative:page;mso-position-vertical-relative:page" coordsize="12240,15840">
            <v:shape id="docshape1475" o:spid="_x0000_s2378" type="#_x0000_t75" style="position:absolute;width:12240;height:15840">
              <v:imagedata r:id="rId324" o:title=""/>
            </v:shape>
            <v:rect id="docshape1476" o:spid="_x0000_s2377" style="position:absolute;width:12240;height:2015" fillcolor="#f3f4f4" stroked="f">
              <v:fill opacity="45875f"/>
            </v:rect>
            <v:shape id="docshape1477" o:spid="_x0000_s2376" style="position:absolute;width:2133;height:2015" coordsize="2133,2015" path="m2132,l,,,2014r1892,l2031,2011r71,-27l2129,1913r3,-139l2132,xe" fillcolor="#00aca1" stroked="f">
              <v:path arrowok="t"/>
            </v:shape>
            <w10:wrap anchorx="page" anchory="page"/>
          </v:group>
        </w:pict>
      </w:r>
      <w:r>
        <w:pict w14:anchorId="54C49DB9">
          <v:shape id="docshape1478" o:spid="_x0000_s2374" type="#_x0000_t202" style="position:absolute;left:0;text-align:left;margin-left:56.4pt;margin-top:13.85pt;width:36.4pt;height:35.9pt;z-index:251648512;mso-position-horizontal-relative:page" filled="f" stroked="f">
            <v:textbox style="mso-next-textbox:#docshape1478" inset="0,0,0,0">
              <w:txbxContent>
                <w:p w14:paraId="68B84464" w14:textId="77777777" w:rsidR="0055291C" w:rsidRDefault="00F23C61">
                  <w:pPr>
                    <w:spacing w:line="717" w:lineRule="exact"/>
                    <w:rPr>
                      <w:rFonts w:ascii="Arial"/>
                      <w:b/>
                      <w:i/>
                      <w:sz w:val="64"/>
                    </w:rPr>
                  </w:pPr>
                  <w:r>
                    <w:rPr>
                      <w:rFonts w:ascii="Arial"/>
                      <w:b/>
                      <w:i/>
                      <w:color w:val="F3F4F4"/>
                      <w:sz w:val="64"/>
                    </w:rPr>
                    <w:t>14</w:t>
                  </w:r>
                </w:p>
              </w:txbxContent>
            </v:textbox>
            <w10:wrap anchorx="page"/>
          </v:shape>
        </w:pict>
      </w:r>
      <w:r w:rsidR="00392065">
        <w:rPr>
          <w:rFonts w:ascii="ＭＳ 明朝" w:eastAsia="ＭＳ 明朝" w:hAnsi="ＭＳ 明朝" w:cs="ＭＳ 明朝" w:hint="eastAsia"/>
          <w:color w:val="545456"/>
          <w:w w:val="95"/>
          <w:lang w:eastAsia="ja-JP"/>
        </w:rPr>
        <w:t>削減目標の設定と排出量の経年変化</w:t>
      </w:r>
    </w:p>
    <w:p w14:paraId="3E4C549E" w14:textId="77777777" w:rsidR="0055291C" w:rsidRDefault="0055291C">
      <w:pPr>
        <w:spacing w:line="562" w:lineRule="exact"/>
        <w:rPr>
          <w:rFonts w:ascii="Arial"/>
          <w:sz w:val="56"/>
          <w:lang w:eastAsia="ja-JP"/>
        </w:rPr>
        <w:sectPr w:rsidR="0055291C">
          <w:headerReference w:type="even" r:id="rId325"/>
          <w:footerReference w:type="even" r:id="rId326"/>
          <w:pgSz w:w="12240" w:h="15840"/>
          <w:pgMar w:top="820" w:right="0" w:bottom="280" w:left="0" w:header="0" w:footer="0" w:gutter="0"/>
          <w:cols w:space="720"/>
        </w:sectPr>
      </w:pPr>
    </w:p>
    <w:p w14:paraId="115708EB" w14:textId="77777777" w:rsidR="0055291C" w:rsidRDefault="0055291C">
      <w:pPr>
        <w:pStyle w:val="a3"/>
        <w:rPr>
          <w:rFonts w:ascii="Arial"/>
          <w:b/>
          <w:i/>
          <w:sz w:val="20"/>
          <w:lang w:eastAsia="ja-JP"/>
        </w:rPr>
      </w:pPr>
    </w:p>
    <w:p w14:paraId="52FDD8D7" w14:textId="77777777" w:rsidR="0055291C" w:rsidRDefault="0055291C">
      <w:pPr>
        <w:pStyle w:val="a3"/>
        <w:rPr>
          <w:rFonts w:ascii="Arial"/>
          <w:b/>
          <w:i/>
          <w:sz w:val="20"/>
          <w:lang w:eastAsia="ja-JP"/>
        </w:rPr>
      </w:pPr>
    </w:p>
    <w:p w14:paraId="6F749628" w14:textId="77777777" w:rsidR="0055291C" w:rsidRDefault="0055291C">
      <w:pPr>
        <w:pStyle w:val="a3"/>
        <w:rPr>
          <w:rFonts w:ascii="Arial"/>
          <w:b/>
          <w:i/>
          <w:sz w:val="20"/>
          <w:lang w:eastAsia="ja-JP"/>
        </w:rPr>
      </w:pPr>
    </w:p>
    <w:p w14:paraId="66B16581" w14:textId="77777777" w:rsidR="0055291C" w:rsidRDefault="0055291C">
      <w:pPr>
        <w:pStyle w:val="a3"/>
        <w:rPr>
          <w:rFonts w:ascii="Arial"/>
          <w:b/>
          <w:i/>
          <w:sz w:val="20"/>
          <w:lang w:eastAsia="ja-JP"/>
        </w:rPr>
      </w:pPr>
    </w:p>
    <w:p w14:paraId="3E8FF223" w14:textId="77777777" w:rsidR="0055291C" w:rsidRDefault="0055291C">
      <w:pPr>
        <w:pStyle w:val="a3"/>
        <w:rPr>
          <w:rFonts w:ascii="Arial"/>
          <w:b/>
          <w:i/>
          <w:sz w:val="20"/>
          <w:lang w:eastAsia="ja-JP"/>
        </w:rPr>
      </w:pPr>
    </w:p>
    <w:p w14:paraId="3348EE40" w14:textId="77777777" w:rsidR="0055291C" w:rsidRDefault="0055291C">
      <w:pPr>
        <w:pStyle w:val="a3"/>
        <w:rPr>
          <w:rFonts w:ascii="Arial"/>
          <w:b/>
          <w:i/>
          <w:sz w:val="20"/>
          <w:lang w:eastAsia="ja-JP"/>
        </w:rPr>
      </w:pPr>
    </w:p>
    <w:p w14:paraId="0FE8D64F" w14:textId="77777777" w:rsidR="0055291C" w:rsidRDefault="0055291C">
      <w:pPr>
        <w:pStyle w:val="a3"/>
        <w:rPr>
          <w:rFonts w:ascii="Arial"/>
          <w:b/>
          <w:i/>
          <w:sz w:val="20"/>
          <w:lang w:eastAsia="ja-JP"/>
        </w:rPr>
      </w:pPr>
    </w:p>
    <w:p w14:paraId="72724BFE" w14:textId="77777777" w:rsidR="0055291C" w:rsidRDefault="0055291C">
      <w:pPr>
        <w:pStyle w:val="a3"/>
        <w:rPr>
          <w:rFonts w:ascii="Arial"/>
          <w:b/>
          <w:i/>
          <w:sz w:val="20"/>
          <w:lang w:eastAsia="ja-JP"/>
        </w:rPr>
      </w:pPr>
    </w:p>
    <w:p w14:paraId="25DA516D" w14:textId="77777777" w:rsidR="0055291C" w:rsidRDefault="0055291C">
      <w:pPr>
        <w:pStyle w:val="a3"/>
        <w:rPr>
          <w:rFonts w:ascii="Arial"/>
          <w:b/>
          <w:i/>
          <w:sz w:val="20"/>
          <w:lang w:eastAsia="ja-JP"/>
        </w:rPr>
      </w:pPr>
    </w:p>
    <w:p w14:paraId="437289B4" w14:textId="77777777" w:rsidR="0055291C" w:rsidRDefault="0055291C">
      <w:pPr>
        <w:pStyle w:val="a3"/>
        <w:rPr>
          <w:rFonts w:ascii="Arial"/>
          <w:b/>
          <w:i/>
          <w:sz w:val="20"/>
          <w:lang w:eastAsia="ja-JP"/>
        </w:rPr>
      </w:pPr>
    </w:p>
    <w:p w14:paraId="1C19A6B1" w14:textId="77777777" w:rsidR="0055291C" w:rsidRDefault="0055291C">
      <w:pPr>
        <w:pStyle w:val="a3"/>
        <w:rPr>
          <w:rFonts w:ascii="Arial"/>
          <w:b/>
          <w:i/>
          <w:sz w:val="20"/>
          <w:lang w:eastAsia="ja-JP"/>
        </w:rPr>
      </w:pPr>
    </w:p>
    <w:p w14:paraId="1F1CA826" w14:textId="77777777" w:rsidR="0055291C" w:rsidRDefault="0055291C">
      <w:pPr>
        <w:pStyle w:val="a3"/>
        <w:rPr>
          <w:rFonts w:ascii="Arial"/>
          <w:b/>
          <w:i/>
          <w:sz w:val="20"/>
          <w:lang w:eastAsia="ja-JP"/>
        </w:rPr>
      </w:pPr>
    </w:p>
    <w:p w14:paraId="296B7719" w14:textId="77777777" w:rsidR="0055291C" w:rsidRDefault="0055291C">
      <w:pPr>
        <w:pStyle w:val="a3"/>
        <w:rPr>
          <w:rFonts w:ascii="Arial"/>
          <w:b/>
          <w:i/>
          <w:sz w:val="20"/>
          <w:lang w:eastAsia="ja-JP"/>
        </w:rPr>
      </w:pPr>
    </w:p>
    <w:p w14:paraId="1AC4C3E4" w14:textId="77777777" w:rsidR="0055291C" w:rsidRDefault="0055291C">
      <w:pPr>
        <w:pStyle w:val="a3"/>
        <w:rPr>
          <w:rFonts w:ascii="Arial"/>
          <w:b/>
          <w:i/>
          <w:sz w:val="20"/>
          <w:lang w:eastAsia="ja-JP"/>
        </w:rPr>
      </w:pPr>
    </w:p>
    <w:p w14:paraId="099BB216" w14:textId="77777777" w:rsidR="0055291C" w:rsidRDefault="0055291C">
      <w:pPr>
        <w:pStyle w:val="a3"/>
        <w:rPr>
          <w:rFonts w:ascii="Arial"/>
          <w:b/>
          <w:i/>
          <w:sz w:val="20"/>
          <w:lang w:eastAsia="ja-JP"/>
        </w:rPr>
      </w:pPr>
    </w:p>
    <w:p w14:paraId="350BA892" w14:textId="77777777" w:rsidR="0055291C" w:rsidRDefault="0055291C">
      <w:pPr>
        <w:pStyle w:val="a3"/>
        <w:rPr>
          <w:rFonts w:ascii="Arial"/>
          <w:b/>
          <w:i/>
          <w:sz w:val="20"/>
          <w:lang w:eastAsia="ja-JP"/>
        </w:rPr>
      </w:pPr>
    </w:p>
    <w:p w14:paraId="1B4EB3D2" w14:textId="77777777" w:rsidR="0055291C" w:rsidRDefault="0055291C">
      <w:pPr>
        <w:pStyle w:val="a3"/>
        <w:rPr>
          <w:rFonts w:ascii="Arial"/>
          <w:b/>
          <w:i/>
          <w:sz w:val="20"/>
          <w:lang w:eastAsia="ja-JP"/>
        </w:rPr>
      </w:pPr>
    </w:p>
    <w:p w14:paraId="35553D68" w14:textId="77777777" w:rsidR="0055291C" w:rsidRDefault="0055291C">
      <w:pPr>
        <w:pStyle w:val="a3"/>
        <w:rPr>
          <w:rFonts w:ascii="Arial"/>
          <w:b/>
          <w:i/>
          <w:sz w:val="20"/>
          <w:lang w:eastAsia="ja-JP"/>
        </w:rPr>
      </w:pPr>
    </w:p>
    <w:p w14:paraId="22218883" w14:textId="77777777" w:rsidR="0055291C" w:rsidRDefault="0055291C">
      <w:pPr>
        <w:pStyle w:val="a3"/>
        <w:rPr>
          <w:rFonts w:ascii="Arial"/>
          <w:b/>
          <w:i/>
          <w:sz w:val="20"/>
          <w:lang w:eastAsia="ja-JP"/>
        </w:rPr>
      </w:pPr>
    </w:p>
    <w:p w14:paraId="7B7ED93C" w14:textId="77777777" w:rsidR="0055291C" w:rsidRDefault="0055291C">
      <w:pPr>
        <w:pStyle w:val="a3"/>
        <w:rPr>
          <w:rFonts w:ascii="Arial"/>
          <w:b/>
          <w:i/>
          <w:sz w:val="20"/>
          <w:lang w:eastAsia="ja-JP"/>
        </w:rPr>
      </w:pPr>
    </w:p>
    <w:p w14:paraId="4C60D638" w14:textId="77777777" w:rsidR="0055291C" w:rsidRDefault="0055291C">
      <w:pPr>
        <w:pStyle w:val="a3"/>
        <w:rPr>
          <w:rFonts w:ascii="Arial"/>
          <w:b/>
          <w:i/>
          <w:sz w:val="20"/>
          <w:lang w:eastAsia="ja-JP"/>
        </w:rPr>
      </w:pPr>
    </w:p>
    <w:p w14:paraId="3A071343" w14:textId="77777777" w:rsidR="0055291C" w:rsidRDefault="0055291C">
      <w:pPr>
        <w:pStyle w:val="a3"/>
        <w:rPr>
          <w:rFonts w:ascii="Arial"/>
          <w:b/>
          <w:i/>
          <w:sz w:val="20"/>
          <w:lang w:eastAsia="ja-JP"/>
        </w:rPr>
      </w:pPr>
    </w:p>
    <w:p w14:paraId="3C7AC0EA" w14:textId="77777777" w:rsidR="0055291C" w:rsidRDefault="0055291C">
      <w:pPr>
        <w:pStyle w:val="a3"/>
        <w:rPr>
          <w:rFonts w:ascii="Arial"/>
          <w:b/>
          <w:i/>
          <w:sz w:val="20"/>
          <w:lang w:eastAsia="ja-JP"/>
        </w:rPr>
      </w:pPr>
    </w:p>
    <w:p w14:paraId="4C47A71A" w14:textId="77777777" w:rsidR="0055291C" w:rsidRDefault="0055291C">
      <w:pPr>
        <w:pStyle w:val="a3"/>
        <w:rPr>
          <w:rFonts w:ascii="Arial"/>
          <w:b/>
          <w:i/>
          <w:sz w:val="20"/>
          <w:lang w:eastAsia="ja-JP"/>
        </w:rPr>
      </w:pPr>
    </w:p>
    <w:p w14:paraId="73E25EF8" w14:textId="77777777" w:rsidR="0055291C" w:rsidRDefault="0055291C">
      <w:pPr>
        <w:pStyle w:val="a3"/>
        <w:spacing w:before="6"/>
        <w:rPr>
          <w:rFonts w:ascii="Arial"/>
          <w:b/>
          <w:i/>
          <w:sz w:val="16"/>
          <w:lang w:eastAsia="ja-JP"/>
        </w:rPr>
      </w:pPr>
    </w:p>
    <w:p w14:paraId="4E6237B8" w14:textId="29EE9F13" w:rsidR="0055291C" w:rsidRDefault="00000000">
      <w:pPr>
        <w:pStyle w:val="a5"/>
        <w:numPr>
          <w:ilvl w:val="1"/>
          <w:numId w:val="26"/>
        </w:numPr>
        <w:tabs>
          <w:tab w:val="left" w:pos="1800"/>
        </w:tabs>
        <w:spacing w:before="99"/>
        <w:jc w:val="both"/>
        <w:rPr>
          <w:rFonts w:ascii="Arial"/>
          <w:b/>
          <w:i/>
          <w:sz w:val="24"/>
        </w:rPr>
      </w:pPr>
      <w:r>
        <w:pict w14:anchorId="15E3A69D">
          <v:group id="docshapegroup1481" o:spid="_x0000_s2370" style="position:absolute;left:0;text-align:left;margin-left:253.7pt;margin-top:-285.75pt;width:358.55pt;height:382.95pt;z-index:-251545088;mso-position-horizontal-relative:page" coordorigin="5074,-5715" coordsize="7171,7659">
            <v:shape id="docshape1482" o:spid="_x0000_s2373" style="position:absolute;left:11614;top:-5710;width:626;height:5717" coordorigin="11615,-5710" coordsize="626,5717" path="m12240,-5710r-625,l11615,-220r3,131l11643,-22r67,25l11842,6r398,l12240,-5710xe" fillcolor="#00aca1" stroked="f">
              <v:path arrowok="t"/>
            </v:shape>
            <v:shape id="docshape1483" o:spid="_x0000_s2372" style="position:absolute;left:5079;top:-5710;width:7161;height:7649" coordorigin="5079,-5710" coordsize="7161,7649" o:spt="100" adj="0,,0" path="m6524,-5710r-36,32l6436,-5628r-51,49l5945,-5073r-301,460l5472,-4279r-55,128l8039,-4355r1645,189l10536,-3855r244,164l10738,-3755r-44,-64l10650,-3883r-46,-64l10558,-4010r-48,-64l10462,-4137r-50,-62l10362,-4261r-52,-62l10258,-4385r-52,-61l10152,-4507r-54,-60l10044,-4627r-55,-59l9933,-4745r-56,-58l9821,-4861r-56,-57l9708,-4975r-57,-56l9595,-5086r-57,-55l8910,-5703r-9,-7m8810,-5710r1022,862l10860,-3566r380,816l11295,-2464r16,-75l11327,-2614r14,-76l11354,-2767r13,-78l11378,-2923r11,-78l11398,-3080r9,-79l11415,-3239r8,-80l11429,-3399r6,-80l11440,-3560r4,-80l11448,-3720r3,-81l11453,-3881r1,-80l11456,-4041r,-79l11456,-4199r-1,-79l11454,-4357r-42,-835l11360,-5710t-49,l11452,-3944r-191,1625l10946,-1477r-166,241l10845,-1278r65,-43l10975,-1365r64,-45l11103,-1456r64,-47l11231,-1551r63,-49l11358,-1650r62,-50l11483,-1752r62,-52l11606,-1857r61,-53l11728,-1964r60,-54l11847,-2073r59,-55l11965,-2183r58,-56l12080,-2295r56,-56l12192,-2407r48,-49m12240,-2509r-289,334l10653,-1159r-826,375l9538,-729r75,16l9690,-698r77,14l9845,-671r78,12l10002,-647r80,10l10162,-627r80,9l10323,-610r81,7l10485,-597r81,6l10647,-586r81,4l10810,-578r81,3l10972,-573r81,1l11134,-570r81,l11295,-570r80,-1l11454,-572r786,-38m11244,1605r81,-34l11405,1535r78,-36l11560,1461r75,-39l11708,1383r73,-41l11851,1301r70,-43l11988,1215r67,-44l12120,1126r63,-45l12240,1038t,-1707l11038,-575,9392,-764r-852,-311l8296,-1239r42,65l8382,-1110r44,63l8472,-983r46,64l8566,-856r49,63l8664,-731r51,62l8766,-607r52,62l8871,-484r53,61l8978,-363r55,60l9088,-244r55,59l9199,-126r56,57l9312,-11r56,56l9425,101r57,55l9539,211r627,562l10712,1214r386,288l11244,1605t-3411,-2l7915,1636r81,31l8078,1695r81,27l8239,1748r80,23l8399,1793r80,20l8558,1831r79,17l8715,1863r78,14l8870,1889r76,11l9022,1909r76,8l9173,1924r74,5l9321,1933r72,3l9466,1938r71,1l10211,1888r541,-115l11113,1657r131,-52l9243,-82,8215,-1365r-380,-815l7781,-2466r-17,75l7749,-2316r-14,77l7721,-2162r-12,77l7697,-2007r-10,78l7677,-1850r-9,80l7660,-1691r-7,80l7646,-1531r-5,80l7636,-1370r-5,80l7628,-1210r-3,81l7622,-1049r-1,80l7620,-889r-1,79l7619,-730r1,79l7621,-573r42,836l7735,956r68,472l7833,1603m5418,-780r34,81l5488,-621r37,77l5563,-468r39,74l5642,-321r42,71l5726,-181r43,69l5813,-46r44,66l5903,84r46,62l5996,207r47,60l6091,326r48,57l6188,438r49,55l6286,546r50,52l6386,648r513,434l7364,1379r338,170l7833,1603,7626,-986r190,-1625l8132,-3454r165,-240l8232,-3652r-65,42l8103,-3566r-65,46l7974,-3474r-64,47l7846,-3379r-63,49l7720,-3280r-63,50l7595,-3178r-62,52l7472,-3073r-61,53l7350,-2966r-60,54l7230,-2857r-59,55l7113,-2747r-58,56l6998,-2635r-57,56l6885,-2523r-55,56l6261,-1846r-447,540l5522,-924r-104,144m5417,-4151r-33,81l5353,-3989r-29,80l5297,-3829r-25,80l5248,-3670r-22,79l5206,-3512r-18,78l5171,-3356r-16,77l5142,-3202r-13,77l5119,-3050r-10,76l5101,-2900r-7,74l5089,-2752r-4,72l5082,-2608r-2,72l5079,-2466r52,666l5247,-1265r117,356l5418,-780,7125,-2755,8424,-3771r826,-376l9539,-4201r-76,-16l9387,-4232r-78,-14l9232,-4259r-79,-12l9074,-4283r-79,-10l8915,-4303r-81,-9l8754,-4319r-81,-8l8592,-4333r-81,-6l8429,-4344r-81,-4l8267,-4351r-82,-3l8104,-4357r-81,-1l7942,-4359r-80,-1l7781,-4360r-79,1l7622,-4358r-846,41l6074,-4246r-479,66l5417,-4151e" filled="f" strokecolor="#d9dadc" strokeweight=".5pt">
              <v:stroke joinstyle="round"/>
              <v:formulas/>
              <v:path arrowok="t" o:connecttype="segments"/>
            </v:shape>
            <v:shape id="docshape1484" o:spid="_x0000_s2371" style="position:absolute;left:11614;top:-5710;width:626;height:5717" coordorigin="11615,-5710" coordsize="626,5717" path="m12240,-5710r-625,l11615,-220r3,131l11643,-22r67,25l11842,6r398,l12240,-5710xe" fillcolor="#7f3f98" stroked="f">
              <v:path arrowok="t"/>
            </v:shape>
            <w10:wrap anchorx="page"/>
          </v:group>
        </w:pict>
      </w:r>
      <w:r>
        <w:pict w14:anchorId="597B97CC">
          <v:shape id="docshape1485" o:spid="_x0000_s2369" type="#_x0000_t202" style="position:absolute;left:0;text-align:left;margin-left:585.65pt;margin-top:-211.85pt;width:17.7pt;height:180.55pt;z-index:251649536;mso-position-horizontal-relative:page" filled="f" stroked="f">
            <v:textbox style="layout-flow:vertical;mso-layout-flow-alt:bottom-to-top;mso-next-textbox:#docshape1485" inset="0,0,0,0">
              <w:txbxContent>
                <w:p w14:paraId="1AC04124" w14:textId="77777777" w:rsidR="0055291C" w:rsidRDefault="00F23C61">
                  <w:pPr>
                    <w:spacing w:before="18"/>
                    <w:ind w:left="20"/>
                    <w:rPr>
                      <w:rFonts w:ascii="Arial"/>
                      <w:b/>
                      <w:i/>
                      <w:sz w:val="28"/>
                    </w:rPr>
                  </w:pPr>
                  <w:r>
                    <w:rPr>
                      <w:rFonts w:ascii="Arial"/>
                      <w:b/>
                      <w:i/>
                      <w:color w:val="F3F4F4"/>
                      <w:spacing w:val="-159"/>
                      <w:w w:val="92"/>
                      <w:sz w:val="28"/>
                    </w:rPr>
                    <w:t>g</w:t>
                  </w:r>
                  <w:r>
                    <w:rPr>
                      <w:rFonts w:ascii="Arial"/>
                      <w:b/>
                      <w:i/>
                      <w:color w:val="F3F4F4"/>
                      <w:w w:val="109"/>
                      <w:sz w:val="28"/>
                    </w:rPr>
                    <w:t>r</w:t>
                  </w:r>
                  <w:r>
                    <w:rPr>
                      <w:rFonts w:ascii="Arial"/>
                      <w:b/>
                      <w:i/>
                      <w:color w:val="F3F4F4"/>
                      <w:sz w:val="28"/>
                    </w:rPr>
                    <w:t xml:space="preserve"> </w:t>
                  </w:r>
                  <w:r>
                    <w:rPr>
                      <w:rFonts w:ascii="Arial"/>
                      <w:b/>
                      <w:i/>
                      <w:color w:val="F3F4F4"/>
                      <w:spacing w:val="6"/>
                      <w:sz w:val="28"/>
                    </w:rPr>
                    <w:t xml:space="preserve"> </w:t>
                  </w:r>
                  <w:proofErr w:type="spellStart"/>
                  <w:r>
                    <w:rPr>
                      <w:rFonts w:ascii="Arial"/>
                      <w:b/>
                      <w:i/>
                      <w:color w:val="F3F4F4"/>
                      <w:spacing w:val="-104"/>
                      <w:w w:val="95"/>
                      <w:sz w:val="28"/>
                    </w:rPr>
                    <w:t>e</w:t>
                  </w:r>
                  <w:r>
                    <w:rPr>
                      <w:rFonts w:ascii="Arial"/>
                      <w:b/>
                      <w:i/>
                      <w:color w:val="F3F4F4"/>
                      <w:w w:val="95"/>
                      <w:sz w:val="28"/>
                    </w:rPr>
                    <w:t>u</w:t>
                  </w:r>
                  <w:proofErr w:type="spellEnd"/>
                  <w:r>
                    <w:rPr>
                      <w:rFonts w:ascii="Arial"/>
                      <w:b/>
                      <w:i/>
                      <w:color w:val="F3F4F4"/>
                      <w:spacing w:val="30"/>
                      <w:sz w:val="28"/>
                    </w:rPr>
                    <w:t xml:space="preserve"> </w:t>
                  </w:r>
                  <w:r>
                    <w:rPr>
                      <w:rFonts w:ascii="Arial"/>
                      <w:b/>
                      <w:i/>
                      <w:color w:val="F3F4F4"/>
                      <w:spacing w:val="-102"/>
                      <w:w w:val="93"/>
                      <w:sz w:val="28"/>
                    </w:rPr>
                    <w:t>q</w:t>
                  </w:r>
                  <w:r>
                    <w:rPr>
                      <w:rFonts w:ascii="Arial"/>
                      <w:b/>
                      <w:i/>
                      <w:color w:val="F3F4F4"/>
                      <w:w w:val="101"/>
                      <w:sz w:val="28"/>
                    </w:rPr>
                    <w:t>i</w:t>
                  </w:r>
                  <w:r>
                    <w:rPr>
                      <w:rFonts w:ascii="Arial"/>
                      <w:b/>
                      <w:i/>
                      <w:color w:val="F3F4F4"/>
                      <w:sz w:val="28"/>
                    </w:rPr>
                    <w:t xml:space="preserve"> </w:t>
                  </w:r>
                  <w:r>
                    <w:rPr>
                      <w:rFonts w:ascii="Arial"/>
                      <w:b/>
                      <w:i/>
                      <w:color w:val="F3F4F4"/>
                      <w:spacing w:val="12"/>
                      <w:sz w:val="28"/>
                    </w:rPr>
                    <w:t xml:space="preserve"> </w:t>
                  </w:r>
                  <w:r>
                    <w:rPr>
                      <w:rFonts w:ascii="Arial"/>
                      <w:b/>
                      <w:i/>
                      <w:color w:val="F3F4F4"/>
                      <w:spacing w:val="-144"/>
                      <w:w w:val="96"/>
                      <w:sz w:val="28"/>
                    </w:rPr>
                    <w:t>d</w:t>
                  </w:r>
                  <w:r>
                    <w:rPr>
                      <w:rFonts w:ascii="Arial"/>
                      <w:b/>
                      <w:i/>
                      <w:color w:val="F3F4F4"/>
                      <w:w w:val="95"/>
                      <w:sz w:val="28"/>
                    </w:rPr>
                    <w:t>u</w:t>
                  </w:r>
                  <w:r>
                    <w:rPr>
                      <w:rFonts w:ascii="Arial"/>
                      <w:b/>
                      <w:i/>
                      <w:color w:val="F3F4F4"/>
                      <w:sz w:val="28"/>
                    </w:rPr>
                    <w:t xml:space="preserve"> </w:t>
                  </w:r>
                  <w:r>
                    <w:rPr>
                      <w:rFonts w:ascii="Arial"/>
                      <w:b/>
                      <w:i/>
                      <w:color w:val="F3F4F4"/>
                      <w:spacing w:val="-7"/>
                      <w:sz w:val="28"/>
                    </w:rPr>
                    <w:t xml:space="preserve"> </w:t>
                  </w:r>
                  <w:r>
                    <w:rPr>
                      <w:rFonts w:ascii="Arial"/>
                      <w:b/>
                      <w:i/>
                      <w:color w:val="F3F4F4"/>
                      <w:spacing w:val="-146"/>
                      <w:w w:val="105"/>
                      <w:sz w:val="28"/>
                    </w:rPr>
                    <w:t>a</w:t>
                  </w:r>
                  <w:r>
                    <w:rPr>
                      <w:rFonts w:ascii="Arial"/>
                      <w:b/>
                      <w:i/>
                      <w:color w:val="F3F4F4"/>
                      <w:w w:val="101"/>
                      <w:sz w:val="28"/>
                    </w:rPr>
                    <w:t>i</w:t>
                  </w:r>
                  <w:r>
                    <w:rPr>
                      <w:rFonts w:ascii="Arial"/>
                      <w:b/>
                      <w:i/>
                      <w:color w:val="F3F4F4"/>
                      <w:sz w:val="28"/>
                    </w:rPr>
                    <w:t xml:space="preserve"> </w:t>
                  </w:r>
                  <w:r>
                    <w:rPr>
                      <w:rFonts w:ascii="Arial"/>
                      <w:b/>
                      <w:i/>
                      <w:color w:val="F3F4F4"/>
                      <w:spacing w:val="12"/>
                      <w:sz w:val="28"/>
                    </w:rPr>
                    <w:t xml:space="preserve"> </w:t>
                  </w:r>
                  <w:proofErr w:type="spellStart"/>
                  <w:r>
                    <w:rPr>
                      <w:rFonts w:ascii="Arial"/>
                      <w:b/>
                      <w:i/>
                      <w:color w:val="F3F4F4"/>
                      <w:spacing w:val="-54"/>
                      <w:w w:val="109"/>
                      <w:sz w:val="28"/>
                    </w:rPr>
                    <w:t>r</w:t>
                  </w:r>
                  <w:r>
                    <w:rPr>
                      <w:rFonts w:ascii="Arial"/>
                      <w:b/>
                      <w:i/>
                      <w:color w:val="F3F4F4"/>
                      <w:w w:val="92"/>
                      <w:sz w:val="28"/>
                    </w:rPr>
                    <w:t>n</w:t>
                  </w:r>
                  <w:proofErr w:type="spellEnd"/>
                  <w:r>
                    <w:rPr>
                      <w:rFonts w:ascii="Arial"/>
                      <w:b/>
                      <w:i/>
                      <w:color w:val="F3F4F4"/>
                      <w:spacing w:val="-21"/>
                      <w:sz w:val="28"/>
                    </w:rPr>
                    <w:t xml:space="preserve"> </w:t>
                  </w:r>
                  <w:proofErr w:type="spellStart"/>
                  <w:r>
                    <w:rPr>
                      <w:rFonts w:ascii="Arial"/>
                      <w:b/>
                      <w:i/>
                      <w:color w:val="F3F4F4"/>
                      <w:spacing w:val="-38"/>
                      <w:w w:val="95"/>
                      <w:sz w:val="28"/>
                    </w:rPr>
                    <w:t>e</w:t>
                  </w:r>
                  <w:r>
                    <w:rPr>
                      <w:rFonts w:ascii="Arial"/>
                      <w:b/>
                      <w:i/>
                      <w:color w:val="F3F4F4"/>
                      <w:w w:val="86"/>
                      <w:sz w:val="28"/>
                    </w:rPr>
                    <w:t>c</w:t>
                  </w:r>
                  <w:proofErr w:type="spellEnd"/>
                  <w:r>
                    <w:rPr>
                      <w:rFonts w:ascii="Arial"/>
                      <w:b/>
                      <w:i/>
                      <w:color w:val="F3F4F4"/>
                      <w:spacing w:val="-7"/>
                      <w:sz w:val="28"/>
                    </w:rPr>
                    <w:t xml:space="preserve"> </w:t>
                  </w:r>
                  <w:r>
                    <w:rPr>
                      <w:rFonts w:ascii="Arial"/>
                      <w:b/>
                      <w:i/>
                      <w:color w:val="F3F4F4"/>
                      <w:spacing w:val="-147"/>
                      <w:w w:val="95"/>
                      <w:sz w:val="28"/>
                    </w:rPr>
                    <w:t>m</w:t>
                  </w:r>
                  <w:r>
                    <w:rPr>
                      <w:rFonts w:ascii="Arial"/>
                      <w:b/>
                      <w:i/>
                      <w:color w:val="F3F4F4"/>
                      <w:w w:val="95"/>
                      <w:sz w:val="28"/>
                    </w:rPr>
                    <w:t>e</w:t>
                  </w:r>
                  <w:r>
                    <w:rPr>
                      <w:rFonts w:ascii="Arial"/>
                      <w:b/>
                      <w:i/>
                      <w:color w:val="F3F4F4"/>
                      <w:sz w:val="28"/>
                    </w:rPr>
                    <w:t xml:space="preserve"> </w:t>
                  </w:r>
                  <w:r>
                    <w:rPr>
                      <w:rFonts w:ascii="Arial"/>
                      <w:b/>
                      <w:i/>
                      <w:color w:val="F3F4F4"/>
                      <w:spacing w:val="10"/>
                      <w:sz w:val="28"/>
                    </w:rPr>
                    <w:t xml:space="preserve"> </w:t>
                  </w:r>
                  <w:r>
                    <w:rPr>
                      <w:rFonts w:ascii="Arial"/>
                      <w:b/>
                      <w:i/>
                      <w:color w:val="F3F4F4"/>
                      <w:w w:val="95"/>
                      <w:sz w:val="28"/>
                    </w:rPr>
                    <w:t>e</w:t>
                  </w:r>
                  <w:r>
                    <w:rPr>
                      <w:rFonts w:ascii="Arial"/>
                      <w:b/>
                      <w:i/>
                      <w:color w:val="F3F4F4"/>
                      <w:sz w:val="28"/>
                    </w:rPr>
                    <w:t xml:space="preserve"> </w:t>
                  </w:r>
                  <w:r>
                    <w:rPr>
                      <w:rFonts w:ascii="Arial"/>
                      <w:b/>
                      <w:i/>
                      <w:color w:val="F3F4F4"/>
                      <w:spacing w:val="12"/>
                      <w:sz w:val="28"/>
                    </w:rPr>
                    <w:t xml:space="preserve"> </w:t>
                  </w:r>
                  <w:r>
                    <w:rPr>
                      <w:rFonts w:ascii="Arial"/>
                      <w:b/>
                      <w:i/>
                      <w:color w:val="F3F4F4"/>
                      <w:w w:val="92"/>
                      <w:sz w:val="28"/>
                    </w:rPr>
                    <w:t>n</w:t>
                  </w:r>
                  <w:r>
                    <w:rPr>
                      <w:rFonts w:ascii="Arial"/>
                      <w:b/>
                      <w:i/>
                      <w:color w:val="F3F4F4"/>
                      <w:sz w:val="28"/>
                    </w:rPr>
                    <w:t xml:space="preserve"> </w:t>
                  </w:r>
                  <w:r>
                    <w:rPr>
                      <w:rFonts w:ascii="Arial"/>
                      <w:b/>
                      <w:i/>
                      <w:color w:val="F3F4F4"/>
                      <w:spacing w:val="12"/>
                      <w:sz w:val="28"/>
                    </w:rPr>
                    <w:t xml:space="preserve"> </w:t>
                  </w:r>
                  <w:r>
                    <w:rPr>
                      <w:rFonts w:ascii="Arial"/>
                      <w:b/>
                      <w:i/>
                      <w:color w:val="F3F4F4"/>
                      <w:w w:val="124"/>
                      <w:sz w:val="28"/>
                    </w:rPr>
                    <w:t>t</w:t>
                  </w:r>
                  <w:r>
                    <w:rPr>
                      <w:rFonts w:ascii="Arial"/>
                      <w:b/>
                      <w:i/>
                      <w:color w:val="F3F4F4"/>
                      <w:sz w:val="28"/>
                    </w:rPr>
                    <w:t xml:space="preserve"> </w:t>
                  </w:r>
                  <w:r>
                    <w:rPr>
                      <w:rFonts w:ascii="Arial"/>
                      <w:b/>
                      <w:i/>
                      <w:color w:val="F3F4F4"/>
                      <w:spacing w:val="12"/>
                      <w:sz w:val="28"/>
                    </w:rPr>
                    <w:t xml:space="preserve"> </w:t>
                  </w:r>
                  <w:r>
                    <w:rPr>
                      <w:rFonts w:ascii="Arial"/>
                      <w:b/>
                      <w:i/>
                      <w:color w:val="F3F4F4"/>
                      <w:w w:val="86"/>
                      <w:sz w:val="28"/>
                    </w:rPr>
                    <w:t>s</w:t>
                  </w:r>
                </w:p>
              </w:txbxContent>
            </v:textbox>
            <w10:wrap anchorx="page"/>
          </v:shape>
        </w:pict>
      </w:r>
      <w:r>
        <w:pict w14:anchorId="757B40E0">
          <v:shape id="docshape1486" o:spid="_x0000_s2368" type="#_x0000_t202" style="position:absolute;left:0;text-align:left;margin-left:42pt;margin-top:11.55pt;width:42.3pt;height:81.4pt;z-index:-251544064;mso-position-horizontal-relative:page" filled="f" stroked="f">
            <v:textbox style="mso-next-textbox:#docshape1486" inset="0,0,0,0">
              <w:txbxContent>
                <w:p w14:paraId="125FAFB0" w14:textId="77777777" w:rsidR="0055291C" w:rsidRDefault="00F23C61">
                  <w:pPr>
                    <w:spacing w:line="1628" w:lineRule="exact"/>
                    <w:rPr>
                      <w:rFonts w:ascii="Arial"/>
                      <w:b/>
                      <w:i/>
                      <w:sz w:val="145"/>
                    </w:rPr>
                  </w:pPr>
                  <w:r>
                    <w:rPr>
                      <w:rFonts w:ascii="Arial"/>
                      <w:b/>
                      <w:i/>
                      <w:color w:val="00ACA1"/>
                      <w:w w:val="95"/>
                      <w:sz w:val="145"/>
                    </w:rPr>
                    <w:t>T</w:t>
                  </w:r>
                </w:p>
              </w:txbxContent>
            </v:textbox>
            <w10:wrap anchorx="page"/>
          </v:shape>
        </w:pict>
      </w:r>
      <w:r w:rsidR="00180D01">
        <w:rPr>
          <w:rFonts w:ascii="ＭＳ ゴシック" w:eastAsia="ＭＳ ゴシック" w:hAnsi="ＭＳ ゴシック" w:cs="ＭＳ ゴシック" w:hint="eastAsia"/>
          <w:b/>
          <w:i/>
          <w:color w:val="00ACA1"/>
          <w:sz w:val="24"/>
          <w:lang w:eastAsia="ja-JP"/>
        </w:rPr>
        <w:t>はじめに</w:t>
      </w:r>
    </w:p>
    <w:p w14:paraId="10CCE848" w14:textId="22846B4F" w:rsidR="0055291C" w:rsidRDefault="002E39D6" w:rsidP="002E39D6">
      <w:pPr>
        <w:spacing w:before="1" w:line="364" w:lineRule="auto"/>
        <w:ind w:left="1080" w:right="1129" w:firstLineChars="100" w:firstLine="220"/>
        <w:jc w:val="both"/>
        <w:rPr>
          <w:rFonts w:ascii="Arial"/>
          <w:b/>
          <w:i/>
          <w:sz w:val="24"/>
          <w:lang w:eastAsia="ja-JP"/>
        </w:rPr>
      </w:pPr>
      <w:r>
        <w:rPr>
          <w:rFonts w:ascii="ＭＳ ゴシック" w:eastAsia="ＭＳ ゴシック" w:hAnsi="ＭＳ ゴシック" w:cs="ＭＳ ゴシック" w:hint="eastAsia"/>
          <w:lang w:eastAsia="ja-JP"/>
        </w:rPr>
        <w:t>この規格は、報告書および公開報告の品質と一貫性を向上させ、企業やその他のステークホルダーが設計、製造、販売する製品の排出量を削減できるようにすることを究極の目的としています。算出工程のこのステップでは、一貫して正確に排出量の変化を追跡し、削減の機会を特定することで、企業は削減目標を設定し、達成することができます。</w:t>
      </w:r>
    </w:p>
    <w:p w14:paraId="1FF7D478" w14:textId="4D158127" w:rsidR="0055291C" w:rsidRDefault="0055291C">
      <w:pPr>
        <w:pStyle w:val="a3"/>
        <w:spacing w:before="8"/>
        <w:rPr>
          <w:rFonts w:ascii="Arial" w:eastAsiaTheme="minorEastAsia"/>
          <w:b/>
          <w:i/>
          <w:sz w:val="36"/>
          <w:lang w:eastAsia="ja-JP"/>
        </w:rPr>
      </w:pPr>
    </w:p>
    <w:p w14:paraId="4D088BA2" w14:textId="77777777" w:rsidR="00CE4725" w:rsidRPr="00CE4725" w:rsidRDefault="00CE4725">
      <w:pPr>
        <w:pStyle w:val="a3"/>
        <w:spacing w:before="8"/>
        <w:rPr>
          <w:rFonts w:ascii="Arial" w:eastAsiaTheme="minorEastAsia"/>
          <w:b/>
          <w:i/>
          <w:sz w:val="36"/>
          <w:lang w:eastAsia="ja-JP"/>
        </w:rPr>
      </w:pPr>
    </w:p>
    <w:p w14:paraId="019ECFEC" w14:textId="3F314EE0" w:rsidR="0055291C" w:rsidRDefault="00CE4725">
      <w:pPr>
        <w:pStyle w:val="a5"/>
        <w:numPr>
          <w:ilvl w:val="1"/>
          <w:numId w:val="26"/>
        </w:numPr>
        <w:tabs>
          <w:tab w:val="left" w:pos="1800"/>
        </w:tabs>
        <w:jc w:val="both"/>
        <w:rPr>
          <w:rFonts w:ascii="Arial"/>
          <w:b/>
          <w:i/>
          <w:sz w:val="24"/>
        </w:rPr>
      </w:pPr>
      <w:r>
        <w:rPr>
          <w:rFonts w:ascii="ＭＳ ゴシック" w:eastAsia="ＭＳ ゴシック" w:hAnsi="ＭＳ ゴシック" w:cs="ＭＳ ゴシック" w:hint="eastAsia"/>
          <w:b/>
          <w:i/>
          <w:color w:val="00ACA1"/>
          <w:sz w:val="24"/>
          <w:lang w:eastAsia="ja-JP"/>
        </w:rPr>
        <w:t>要求事項</w:t>
      </w:r>
    </w:p>
    <w:p w14:paraId="449B396C" w14:textId="0248AB76" w:rsidR="0055291C" w:rsidRDefault="00CE4725">
      <w:pPr>
        <w:pStyle w:val="a3"/>
        <w:rPr>
          <w:rFonts w:ascii="Arial"/>
          <w:b/>
          <w:i/>
          <w:sz w:val="20"/>
        </w:rPr>
      </w:pPr>
      <w:r>
        <w:rPr>
          <w:noProof/>
          <w:sz w:val="18"/>
        </w:rPr>
        <mc:AlternateContent>
          <mc:Choice Requires="wps">
            <w:drawing>
              <wp:anchor distT="0" distB="0" distL="114300" distR="114300" simplePos="0" relativeHeight="251518464" behindDoc="0" locked="0" layoutInCell="1" allowOverlap="1" wp14:anchorId="54459CAD" wp14:editId="74545FE4">
                <wp:simplePos x="0" y="0"/>
                <wp:positionH relativeFrom="column">
                  <wp:posOffset>546100</wp:posOffset>
                </wp:positionH>
                <wp:positionV relativeFrom="paragraph">
                  <wp:posOffset>189865</wp:posOffset>
                </wp:positionV>
                <wp:extent cx="6648450" cy="1162050"/>
                <wp:effectExtent l="0" t="0" r="0" b="0"/>
                <wp:wrapTopAndBottom/>
                <wp:docPr id="126" name="四角形: 角を丸くする 126"/>
                <wp:cNvGraphicFramePr/>
                <a:graphic xmlns:a="http://schemas.openxmlformats.org/drawingml/2006/main">
                  <a:graphicData uri="http://schemas.microsoft.com/office/word/2010/wordprocessingShape">
                    <wps:wsp>
                      <wps:cNvSpPr/>
                      <wps:spPr>
                        <a:xfrm>
                          <a:off x="0" y="0"/>
                          <a:ext cx="6648450" cy="1162050"/>
                        </a:xfrm>
                        <a:prstGeom prst="roundRect">
                          <a:avLst>
                            <a:gd name="adj" fmla="val 6453"/>
                          </a:avLst>
                        </a:prstGeom>
                        <a:solidFill>
                          <a:srgbClr val="70029C">
                            <a:alpha val="25098"/>
                          </a:srgbClr>
                        </a:solidFill>
                        <a:ln w="25400" cap="flat" cmpd="sng" algn="ctr">
                          <a:noFill/>
                          <a:prstDash val="solid"/>
                        </a:ln>
                        <a:effectLst/>
                      </wps:spPr>
                      <wps:txbx>
                        <w:txbxContent>
                          <w:p w14:paraId="075E6D10" w14:textId="25732BB7" w:rsidR="002E39D6" w:rsidRPr="002E39D6" w:rsidRDefault="002E39D6" w:rsidP="002E39D6">
                            <w:pPr>
                              <w:spacing w:line="276" w:lineRule="auto"/>
                              <w:rPr>
                                <w:rFonts w:eastAsiaTheme="minorEastAsia"/>
                                <w:b/>
                                <w:bCs/>
                                <w:i/>
                                <w:iCs/>
                                <w:color w:val="000000" w:themeColor="text1"/>
                                <w:sz w:val="19"/>
                                <w:szCs w:val="19"/>
                                <w:lang w:eastAsia="ja-JP"/>
                              </w:rPr>
                            </w:pPr>
                            <w:r w:rsidRPr="002E39D6">
                              <w:rPr>
                                <w:rFonts w:eastAsiaTheme="minorEastAsia" w:hint="eastAsia"/>
                                <w:b/>
                                <w:bCs/>
                                <w:i/>
                                <w:iCs/>
                                <w:color w:val="000000" w:themeColor="text1"/>
                                <w:sz w:val="19"/>
                                <w:szCs w:val="19"/>
                                <w:lang w:eastAsia="ja-JP"/>
                              </w:rPr>
                              <w:t>削減目標を設定し、排出量の変化を長期的に追跡するために、企業は以下を行わなければならない</w:t>
                            </w:r>
                          </w:p>
                          <w:p w14:paraId="301A7906" w14:textId="77777777" w:rsidR="002E39D6" w:rsidRPr="002E39D6" w:rsidRDefault="002E39D6">
                            <w:pPr>
                              <w:pStyle w:val="a5"/>
                              <w:numPr>
                                <w:ilvl w:val="0"/>
                                <w:numId w:val="95"/>
                              </w:numPr>
                              <w:spacing w:line="276" w:lineRule="auto"/>
                              <w:rPr>
                                <w:rFonts w:eastAsiaTheme="minorEastAsia"/>
                                <w:b/>
                                <w:bCs/>
                                <w:i/>
                                <w:iCs/>
                                <w:color w:val="000000" w:themeColor="text1"/>
                                <w:sz w:val="19"/>
                                <w:szCs w:val="19"/>
                                <w:lang w:eastAsia="ja-JP"/>
                              </w:rPr>
                            </w:pPr>
                            <w:r w:rsidRPr="002E39D6">
                              <w:rPr>
                                <w:rFonts w:ascii="ＭＳ ゴシック" w:eastAsiaTheme="minorEastAsia" w:hAnsi="ＭＳ ゴシック" w:cs="ＭＳ ゴシック" w:hint="eastAsia"/>
                                <w:b/>
                                <w:bCs/>
                                <w:i/>
                                <w:iCs/>
                                <w:color w:val="000000" w:themeColor="text1"/>
                                <w:sz w:val="19"/>
                                <w:szCs w:val="19"/>
                                <w:lang w:eastAsia="ja-JP"/>
                              </w:rPr>
                              <w:t>本規格の要求事項に適合した基礎排出量を算出し、報告すること</w:t>
                            </w:r>
                          </w:p>
                          <w:p w14:paraId="726D55C5" w14:textId="77777777" w:rsidR="002E39D6" w:rsidRDefault="002E39D6">
                            <w:pPr>
                              <w:pStyle w:val="a5"/>
                              <w:numPr>
                                <w:ilvl w:val="0"/>
                                <w:numId w:val="95"/>
                              </w:numPr>
                              <w:spacing w:line="276" w:lineRule="auto"/>
                              <w:rPr>
                                <w:rFonts w:eastAsiaTheme="minorEastAsia"/>
                                <w:b/>
                                <w:bCs/>
                                <w:i/>
                                <w:iCs/>
                                <w:color w:val="000000" w:themeColor="text1"/>
                                <w:sz w:val="19"/>
                                <w:szCs w:val="19"/>
                                <w:lang w:eastAsia="ja-JP"/>
                              </w:rPr>
                            </w:pPr>
                            <w:r w:rsidRPr="002E39D6">
                              <w:rPr>
                                <w:rFonts w:eastAsiaTheme="minorEastAsia" w:hint="eastAsia"/>
                                <w:b/>
                                <w:bCs/>
                                <w:i/>
                                <w:iCs/>
                                <w:color w:val="000000" w:themeColor="text1"/>
                                <w:sz w:val="19"/>
                                <w:szCs w:val="19"/>
                                <w:lang w:eastAsia="ja-JP"/>
                              </w:rPr>
                              <w:t>算出手法に重大な変更があった場合、基礎排出量を再計算し、その変更を報告すること</w:t>
                            </w:r>
                          </w:p>
                          <w:p w14:paraId="7117BE5B" w14:textId="77777777" w:rsidR="002E39D6" w:rsidRDefault="002E39D6">
                            <w:pPr>
                              <w:pStyle w:val="a5"/>
                              <w:numPr>
                                <w:ilvl w:val="0"/>
                                <w:numId w:val="95"/>
                              </w:numPr>
                              <w:spacing w:line="276" w:lineRule="auto"/>
                              <w:rPr>
                                <w:rFonts w:eastAsiaTheme="minorEastAsia"/>
                                <w:b/>
                                <w:bCs/>
                                <w:i/>
                                <w:iCs/>
                                <w:color w:val="000000" w:themeColor="text1"/>
                                <w:sz w:val="19"/>
                                <w:szCs w:val="19"/>
                                <w:lang w:eastAsia="ja-JP"/>
                              </w:rPr>
                            </w:pPr>
                            <w:r w:rsidRPr="002E39D6">
                              <w:rPr>
                                <w:rFonts w:eastAsiaTheme="minorEastAsia" w:hint="eastAsia"/>
                                <w:b/>
                                <w:bCs/>
                                <w:i/>
                                <w:iCs/>
                                <w:color w:val="000000" w:themeColor="text1"/>
                                <w:sz w:val="19"/>
                                <w:szCs w:val="19"/>
                                <w:lang w:eastAsia="ja-JP"/>
                              </w:rPr>
                              <w:t>更新結果、基礎排出量算出結果、および重要な変更の背景を含む更新後の排出量報告書を作成し、公開すること</w:t>
                            </w:r>
                          </w:p>
                          <w:p w14:paraId="016F5D92" w14:textId="6341DF13" w:rsidR="002E39D6" w:rsidRPr="002E39D6" w:rsidRDefault="002E39D6">
                            <w:pPr>
                              <w:pStyle w:val="a5"/>
                              <w:numPr>
                                <w:ilvl w:val="0"/>
                                <w:numId w:val="95"/>
                              </w:numPr>
                              <w:spacing w:line="276" w:lineRule="auto"/>
                              <w:rPr>
                                <w:rFonts w:eastAsiaTheme="minorEastAsia"/>
                                <w:b/>
                                <w:bCs/>
                                <w:i/>
                                <w:iCs/>
                                <w:color w:val="000000" w:themeColor="text1"/>
                                <w:sz w:val="19"/>
                                <w:szCs w:val="19"/>
                                <w:lang w:eastAsia="ja-JP"/>
                              </w:rPr>
                            </w:pPr>
                            <w:r w:rsidRPr="002E39D6">
                              <w:rPr>
                                <w:rFonts w:eastAsiaTheme="minorEastAsia" w:hint="eastAsia"/>
                                <w:b/>
                                <w:bCs/>
                                <w:i/>
                                <w:iCs/>
                                <w:color w:val="000000" w:themeColor="text1"/>
                                <w:sz w:val="19"/>
                                <w:szCs w:val="19"/>
                                <w:lang w:eastAsia="ja-JP"/>
                              </w:rPr>
                              <w:t>パフォーマンスの経時比較と追跡を可能にするために一貫した分析単位を使用する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459CAD" id="四角形: 角を丸くする 126" o:spid="_x0000_s1147" style="position:absolute;margin-left:43pt;margin-top:14.95pt;width:523.5pt;height:91.5pt;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" fillcolor="#70029c" stroked="f" strokeweight="2pt">
                <v:fill opacity="16448f"/>
                <v:textbox>
                  <w:txbxContent>
                    <w:p w14:paraId="075E6D10" w14:textId="25732BB7" w:rsidR="002E39D6" w:rsidRPr="002E39D6" w:rsidRDefault="002E39D6" w:rsidP="002E39D6">
                      <w:pPr>
                        <w:spacing w:line="276" w:lineRule="auto"/>
                        <w:rPr>
                          <w:rFonts w:eastAsiaTheme="minorEastAsia"/>
                          <w:b/>
                          <w:bCs/>
                          <w:i/>
                          <w:iCs/>
                          <w:color w:val="000000" w:themeColor="text1"/>
                          <w:sz w:val="19"/>
                          <w:szCs w:val="19"/>
                          <w:lang w:eastAsia="ja-JP"/>
                        </w:rPr>
                      </w:pPr>
                      <w:r w:rsidRPr="002E39D6">
                        <w:rPr>
                          <w:rFonts w:eastAsiaTheme="minorEastAsia" w:hint="eastAsia"/>
                          <w:b/>
                          <w:bCs/>
                          <w:i/>
                          <w:iCs/>
                          <w:color w:val="000000" w:themeColor="text1"/>
                          <w:sz w:val="19"/>
                          <w:szCs w:val="19"/>
                          <w:lang w:eastAsia="ja-JP"/>
                        </w:rPr>
                        <w:t>削減目標を設定し、排出量の変化を長期的に追跡するために、企業は以下を行わなければならない</w:t>
                      </w:r>
                    </w:p>
                    <w:p w14:paraId="301A7906" w14:textId="77777777" w:rsidR="002E39D6" w:rsidRPr="002E39D6" w:rsidRDefault="002E39D6">
                      <w:pPr>
                        <w:pStyle w:val="a5"/>
                        <w:numPr>
                          <w:ilvl w:val="0"/>
                          <w:numId w:val="95"/>
                        </w:numPr>
                        <w:spacing w:line="276" w:lineRule="auto"/>
                        <w:rPr>
                          <w:rFonts w:eastAsiaTheme="minorEastAsia"/>
                          <w:b/>
                          <w:bCs/>
                          <w:i/>
                          <w:iCs/>
                          <w:color w:val="000000" w:themeColor="text1"/>
                          <w:sz w:val="19"/>
                          <w:szCs w:val="19"/>
                          <w:lang w:eastAsia="ja-JP"/>
                        </w:rPr>
                      </w:pPr>
                      <w:r w:rsidRPr="002E39D6">
                        <w:rPr>
                          <w:rFonts w:ascii="ＭＳ ゴシック" w:eastAsiaTheme="minorEastAsia" w:hAnsi="ＭＳ ゴシック" w:cs="ＭＳ ゴシック" w:hint="eastAsia"/>
                          <w:b/>
                          <w:bCs/>
                          <w:i/>
                          <w:iCs/>
                          <w:color w:val="000000" w:themeColor="text1"/>
                          <w:sz w:val="19"/>
                          <w:szCs w:val="19"/>
                          <w:lang w:eastAsia="ja-JP"/>
                        </w:rPr>
                        <w:t>本規格の要求事項に適合した基礎排出量を算出し、報告すること</w:t>
                      </w:r>
                    </w:p>
                    <w:p w14:paraId="726D55C5" w14:textId="77777777" w:rsidR="002E39D6" w:rsidRDefault="002E39D6">
                      <w:pPr>
                        <w:pStyle w:val="a5"/>
                        <w:numPr>
                          <w:ilvl w:val="0"/>
                          <w:numId w:val="95"/>
                        </w:numPr>
                        <w:spacing w:line="276" w:lineRule="auto"/>
                        <w:rPr>
                          <w:rFonts w:eastAsiaTheme="minorEastAsia"/>
                          <w:b/>
                          <w:bCs/>
                          <w:i/>
                          <w:iCs/>
                          <w:color w:val="000000" w:themeColor="text1"/>
                          <w:sz w:val="19"/>
                          <w:szCs w:val="19"/>
                          <w:lang w:eastAsia="ja-JP"/>
                        </w:rPr>
                      </w:pPr>
                      <w:r w:rsidRPr="002E39D6">
                        <w:rPr>
                          <w:rFonts w:eastAsiaTheme="minorEastAsia" w:hint="eastAsia"/>
                          <w:b/>
                          <w:bCs/>
                          <w:i/>
                          <w:iCs/>
                          <w:color w:val="000000" w:themeColor="text1"/>
                          <w:sz w:val="19"/>
                          <w:szCs w:val="19"/>
                          <w:lang w:eastAsia="ja-JP"/>
                        </w:rPr>
                        <w:t>算出手法に重大な変更があった場合、基礎排出量を再計算し、その変更を報告すること</w:t>
                      </w:r>
                    </w:p>
                    <w:p w14:paraId="7117BE5B" w14:textId="77777777" w:rsidR="002E39D6" w:rsidRDefault="002E39D6">
                      <w:pPr>
                        <w:pStyle w:val="a5"/>
                        <w:numPr>
                          <w:ilvl w:val="0"/>
                          <w:numId w:val="95"/>
                        </w:numPr>
                        <w:spacing w:line="276" w:lineRule="auto"/>
                        <w:rPr>
                          <w:rFonts w:eastAsiaTheme="minorEastAsia"/>
                          <w:b/>
                          <w:bCs/>
                          <w:i/>
                          <w:iCs/>
                          <w:color w:val="000000" w:themeColor="text1"/>
                          <w:sz w:val="19"/>
                          <w:szCs w:val="19"/>
                          <w:lang w:eastAsia="ja-JP"/>
                        </w:rPr>
                      </w:pPr>
                      <w:r w:rsidRPr="002E39D6">
                        <w:rPr>
                          <w:rFonts w:eastAsiaTheme="minorEastAsia" w:hint="eastAsia"/>
                          <w:b/>
                          <w:bCs/>
                          <w:i/>
                          <w:iCs/>
                          <w:color w:val="000000" w:themeColor="text1"/>
                          <w:sz w:val="19"/>
                          <w:szCs w:val="19"/>
                          <w:lang w:eastAsia="ja-JP"/>
                        </w:rPr>
                        <w:t>更新結果、基礎排出量算出結果、および重要な変更の背景を含む更新後の排出量報告書を作成し、公開すること</w:t>
                      </w:r>
                    </w:p>
                    <w:p w14:paraId="016F5D92" w14:textId="6341DF13" w:rsidR="002E39D6" w:rsidRPr="002E39D6" w:rsidRDefault="002E39D6">
                      <w:pPr>
                        <w:pStyle w:val="a5"/>
                        <w:numPr>
                          <w:ilvl w:val="0"/>
                          <w:numId w:val="95"/>
                        </w:numPr>
                        <w:spacing w:line="276" w:lineRule="auto"/>
                        <w:rPr>
                          <w:rFonts w:eastAsiaTheme="minorEastAsia"/>
                          <w:b/>
                          <w:bCs/>
                          <w:i/>
                          <w:iCs/>
                          <w:color w:val="000000" w:themeColor="text1"/>
                          <w:sz w:val="19"/>
                          <w:szCs w:val="19"/>
                          <w:lang w:eastAsia="ja-JP"/>
                        </w:rPr>
                      </w:pPr>
                      <w:r w:rsidRPr="002E39D6">
                        <w:rPr>
                          <w:rFonts w:eastAsiaTheme="minorEastAsia" w:hint="eastAsia"/>
                          <w:b/>
                          <w:bCs/>
                          <w:i/>
                          <w:iCs/>
                          <w:color w:val="000000" w:themeColor="text1"/>
                          <w:sz w:val="19"/>
                          <w:szCs w:val="19"/>
                          <w:lang w:eastAsia="ja-JP"/>
                        </w:rPr>
                        <w:t>パフォーマンスの経時比較と追跡を可能にするために一貫した分析単位を使用する</w:t>
                      </w:r>
                    </w:p>
                  </w:txbxContent>
                </v:textbox>
                <w10:wrap type="topAndBottom"/>
              </v:roundrect>
            </w:pict>
          </mc:Fallback>
        </mc:AlternateContent>
      </w:r>
    </w:p>
    <w:p w14:paraId="11F6AFEB" w14:textId="365635B4" w:rsidR="0055291C" w:rsidRDefault="0055291C">
      <w:pPr>
        <w:pStyle w:val="a3"/>
        <w:spacing w:before="4"/>
        <w:rPr>
          <w:rFonts w:ascii="Arial"/>
          <w:b/>
          <w:i/>
        </w:rPr>
      </w:pPr>
    </w:p>
    <w:p w14:paraId="7AE4DCEB" w14:textId="099EB7C4" w:rsidR="0055291C" w:rsidRPr="002E39D6" w:rsidRDefault="0055291C" w:rsidP="002E39D6">
      <w:pPr>
        <w:ind w:left="1306"/>
        <w:rPr>
          <w:rFonts w:ascii="Arial"/>
          <w:b/>
          <w:sz w:val="21"/>
        </w:rPr>
        <w:sectPr w:rsidR="0055291C" w:rsidRPr="002E39D6">
          <w:headerReference w:type="default" r:id="rId327"/>
          <w:footerReference w:type="even" r:id="rId328"/>
          <w:footerReference w:type="default" r:id="rId329"/>
          <w:pgSz w:w="12240" w:h="15840"/>
          <w:pgMar w:top="0" w:right="0" w:bottom="1040" w:left="0" w:header="0" w:footer="859" w:gutter="0"/>
          <w:pgNumType w:start="109"/>
          <w:cols w:space="720"/>
        </w:sectPr>
      </w:pPr>
    </w:p>
    <w:p w14:paraId="2F485806" w14:textId="3FED00E8" w:rsidR="0055291C" w:rsidRPr="002E39D6" w:rsidRDefault="0055291C" w:rsidP="002E39D6">
      <w:pPr>
        <w:tabs>
          <w:tab w:val="left" w:pos="1534"/>
        </w:tabs>
        <w:spacing w:before="99" w:line="278" w:lineRule="auto"/>
        <w:rPr>
          <w:rFonts w:ascii="Arial" w:hAnsi="Arial"/>
          <w:b/>
          <w:i/>
          <w:sz w:val="21"/>
        </w:rPr>
        <w:sectPr w:rsidR="0055291C" w:rsidRPr="002E39D6">
          <w:type w:val="continuous"/>
          <w:pgSz w:w="12240" w:h="15840"/>
          <w:pgMar w:top="740" w:right="0" w:bottom="280" w:left="0" w:header="0" w:footer="859" w:gutter="0"/>
          <w:cols w:num="2" w:space="720" w:equalWidth="0">
            <w:col w:w="5623" w:space="40"/>
            <w:col w:w="6577"/>
          </w:cols>
        </w:sectPr>
      </w:pPr>
    </w:p>
    <w:p w14:paraId="0565A48B" w14:textId="77777777" w:rsidR="0055291C" w:rsidRDefault="0055291C">
      <w:pPr>
        <w:pStyle w:val="a3"/>
        <w:rPr>
          <w:rFonts w:ascii="Arial"/>
          <w:b/>
          <w:i/>
          <w:sz w:val="20"/>
        </w:rPr>
      </w:pPr>
    </w:p>
    <w:p w14:paraId="27660B1D" w14:textId="77777777" w:rsidR="0055291C" w:rsidRDefault="0055291C">
      <w:pPr>
        <w:pStyle w:val="a3"/>
        <w:spacing w:before="8"/>
        <w:rPr>
          <w:rFonts w:ascii="Arial"/>
          <w:b/>
          <w:i/>
          <w:sz w:val="21"/>
        </w:rPr>
      </w:pPr>
    </w:p>
    <w:p w14:paraId="10C52E3B" w14:textId="620BAB6E" w:rsidR="0055291C" w:rsidRDefault="00CE4725" w:rsidP="00CE4725">
      <w:pPr>
        <w:pStyle w:val="a3"/>
        <w:spacing w:before="102" w:line="312" w:lineRule="auto"/>
        <w:ind w:left="1170" w:right="6179" w:firstLineChars="100" w:firstLine="190"/>
        <w:rPr>
          <w:lang w:eastAsia="ja-JP"/>
        </w:rPr>
      </w:pPr>
      <w:r>
        <w:rPr>
          <w:rFonts w:ascii="ＭＳ ゴシック" w:eastAsia="ＭＳ ゴシック" w:hAnsi="ＭＳ ゴシック" w:cs="ＭＳ ゴシック" w:hint="eastAsia"/>
          <w:lang w:eastAsia="ja-JP"/>
        </w:rPr>
        <w:t>企業は、削減目標を設定し、排出量の変化を追跡しなくても、製品規格に準拠した</w:t>
      </w:r>
      <w:r>
        <w:rPr>
          <w:lang w:eastAsia="ja-JP"/>
        </w:rPr>
        <w:t>GHG</w:t>
      </w:r>
      <w:r>
        <w:rPr>
          <w:rFonts w:ascii="ＭＳ ゴシック" w:eastAsia="ＭＳ ゴシック" w:hAnsi="ＭＳ ゴシック" w:cs="ＭＳ ゴシック" w:hint="eastAsia"/>
          <w:lang w:eastAsia="ja-JP"/>
        </w:rPr>
        <w:t>排出量を公表することができます。ただし、削減目標を設定し、排出量の変化を追跡する企業は、この要求事項に従わなければなりません。</w:t>
      </w:r>
    </w:p>
    <w:p w14:paraId="778B46FA" w14:textId="77777777" w:rsidR="0055291C" w:rsidRDefault="0055291C">
      <w:pPr>
        <w:spacing w:line="312" w:lineRule="auto"/>
        <w:rPr>
          <w:lang w:eastAsia="ja-JP"/>
        </w:rPr>
        <w:sectPr w:rsidR="0055291C">
          <w:type w:val="continuous"/>
          <w:pgSz w:w="12240" w:h="15840"/>
          <w:pgMar w:top="740" w:right="0" w:bottom="280" w:left="0" w:header="0" w:footer="859" w:gutter="0"/>
          <w:cols w:space="720"/>
        </w:sectPr>
      </w:pPr>
    </w:p>
    <w:p w14:paraId="352ED1D8" w14:textId="77777777" w:rsidR="0055291C" w:rsidRDefault="0055291C">
      <w:pPr>
        <w:pStyle w:val="a3"/>
        <w:rPr>
          <w:sz w:val="20"/>
          <w:lang w:eastAsia="ja-JP"/>
        </w:rPr>
      </w:pPr>
    </w:p>
    <w:p w14:paraId="60350A08" w14:textId="77777777" w:rsidR="0055291C" w:rsidRDefault="0055291C">
      <w:pPr>
        <w:pStyle w:val="a3"/>
        <w:rPr>
          <w:sz w:val="20"/>
          <w:lang w:eastAsia="ja-JP"/>
        </w:rPr>
      </w:pPr>
    </w:p>
    <w:p w14:paraId="6DCEC871" w14:textId="77777777" w:rsidR="0055291C" w:rsidRDefault="0055291C">
      <w:pPr>
        <w:pStyle w:val="a3"/>
        <w:rPr>
          <w:sz w:val="20"/>
          <w:lang w:eastAsia="ja-JP"/>
        </w:rPr>
      </w:pPr>
    </w:p>
    <w:p w14:paraId="30EC9AB3" w14:textId="77777777" w:rsidR="0055291C" w:rsidRDefault="0055291C">
      <w:pPr>
        <w:pStyle w:val="a3"/>
        <w:rPr>
          <w:sz w:val="20"/>
          <w:lang w:eastAsia="ja-JP"/>
        </w:rPr>
      </w:pPr>
    </w:p>
    <w:p w14:paraId="7FF7A468" w14:textId="77777777" w:rsidR="0055291C" w:rsidRDefault="0055291C">
      <w:pPr>
        <w:pStyle w:val="a3"/>
        <w:spacing w:before="2"/>
        <w:rPr>
          <w:sz w:val="29"/>
          <w:lang w:eastAsia="ja-JP"/>
        </w:rPr>
      </w:pPr>
    </w:p>
    <w:p w14:paraId="5A6B32C0" w14:textId="77777777" w:rsidR="0055291C" w:rsidRDefault="00F23C61">
      <w:pPr>
        <w:pStyle w:val="a3"/>
        <w:rPr>
          <w:sz w:val="20"/>
        </w:rPr>
      </w:pPr>
      <w:r>
        <w:rPr>
          <w:noProof/>
          <w:sz w:val="20"/>
        </w:rPr>
        <w:drawing>
          <wp:inline distT="0" distB="0" distL="0" distR="0" wp14:anchorId="61062799" wp14:editId="55FA2202">
            <wp:extent cx="7055722" cy="4529137"/>
            <wp:effectExtent l="0" t="0" r="0" b="0"/>
            <wp:docPr id="43"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07.png"/>
                    <pic:cNvPicPr/>
                  </pic:nvPicPr>
                  <pic:blipFill>
                    <a:blip r:embed="rId330" cstate="print"/>
                    <a:stretch>
                      <a:fillRect/>
                    </a:stretch>
                  </pic:blipFill>
                  <pic:spPr>
                    <a:xfrm>
                      <a:off x="0" y="0"/>
                      <a:ext cx="7055722" cy="4529137"/>
                    </a:xfrm>
                    <a:prstGeom prst="rect">
                      <a:avLst/>
                    </a:prstGeom>
                  </pic:spPr>
                </pic:pic>
              </a:graphicData>
            </a:graphic>
          </wp:inline>
        </w:drawing>
      </w:r>
    </w:p>
    <w:p w14:paraId="5D86CB16" w14:textId="77777777" w:rsidR="0055291C" w:rsidRDefault="0055291C">
      <w:pPr>
        <w:pStyle w:val="a3"/>
        <w:rPr>
          <w:sz w:val="20"/>
        </w:rPr>
      </w:pPr>
    </w:p>
    <w:p w14:paraId="1729F4F2" w14:textId="77777777" w:rsidR="0055291C" w:rsidRDefault="0055291C">
      <w:pPr>
        <w:rPr>
          <w:sz w:val="20"/>
        </w:rPr>
        <w:sectPr w:rsidR="0055291C">
          <w:headerReference w:type="even" r:id="rId331"/>
          <w:pgSz w:w="12240" w:h="15840"/>
          <w:pgMar w:top="620" w:right="0" w:bottom="1040" w:left="0" w:header="0" w:footer="859" w:gutter="0"/>
          <w:cols w:space="720"/>
        </w:sectPr>
      </w:pPr>
    </w:p>
    <w:p w14:paraId="3FA6953F" w14:textId="5D0C8B91" w:rsidR="0055291C" w:rsidRDefault="00CE4725">
      <w:pPr>
        <w:pStyle w:val="3"/>
        <w:numPr>
          <w:ilvl w:val="1"/>
          <w:numId w:val="26"/>
        </w:numPr>
        <w:tabs>
          <w:tab w:val="left" w:pos="1867"/>
          <w:tab w:val="left" w:pos="1868"/>
        </w:tabs>
        <w:spacing w:before="218"/>
        <w:ind w:left="1867" w:hanging="721"/>
        <w:jc w:val="left"/>
      </w:pPr>
      <w:r>
        <w:rPr>
          <w:rFonts w:ascii="ＭＳ 明朝" w:eastAsia="ＭＳ 明朝" w:hAnsi="ＭＳ 明朝" w:cs="ＭＳ 明朝" w:hint="eastAsia"/>
          <w:color w:val="00ACA1"/>
          <w:lang w:eastAsia="ja-JP"/>
        </w:rPr>
        <w:t>ガイダンス</w:t>
      </w:r>
    </w:p>
    <w:p w14:paraId="74B8679A" w14:textId="5608C757" w:rsidR="0055291C" w:rsidRDefault="00CE4725">
      <w:pPr>
        <w:pStyle w:val="7"/>
        <w:numPr>
          <w:ilvl w:val="2"/>
          <w:numId w:val="25"/>
        </w:numPr>
        <w:tabs>
          <w:tab w:val="left" w:pos="1868"/>
        </w:tabs>
        <w:spacing w:before="42" w:line="292" w:lineRule="auto"/>
        <w:ind w:right="424"/>
        <w:rPr>
          <w:lang w:eastAsia="ja-JP"/>
        </w:rPr>
      </w:pPr>
      <w:r w:rsidRPr="00CE4725">
        <w:rPr>
          <w:rFonts w:ascii="ＭＳ 明朝" w:eastAsia="ＭＳ 明朝" w:hAnsi="ＭＳ 明朝" w:cs="ＭＳ 明朝" w:hint="eastAsia"/>
          <w:color w:val="00B8B1"/>
          <w:spacing w:val="-1"/>
          <w:lang w:eastAsia="ja-JP"/>
        </w:rPr>
        <w:t>削減目標の設定と変化の把握のステップ</w:t>
      </w:r>
    </w:p>
    <w:p w14:paraId="616B775A" w14:textId="4D05F2F7" w:rsidR="0055291C" w:rsidRDefault="00CE4725" w:rsidP="00CE4725">
      <w:pPr>
        <w:pStyle w:val="a3"/>
        <w:spacing w:before="11" w:line="312" w:lineRule="auto"/>
        <w:ind w:left="1147" w:firstLineChars="100" w:firstLine="190"/>
        <w:rPr>
          <w:lang w:eastAsia="ja-JP"/>
        </w:rPr>
      </w:pPr>
      <w:r>
        <w:rPr>
          <w:rFonts w:ascii="ＭＳ ゴシック" w:eastAsia="ＭＳ ゴシック" w:hAnsi="ＭＳ ゴシック" w:cs="ＭＳ ゴシック" w:hint="eastAsia"/>
          <w:lang w:eastAsia="ja-JP"/>
        </w:rPr>
        <w:t>削減目標の設定と変化の把握は、以下の手順で行いま</w:t>
      </w:r>
      <w:r>
        <w:rPr>
          <w:lang w:eastAsia="ja-JP"/>
        </w:rPr>
        <w:t xml:space="preserve"> </w:t>
      </w:r>
      <w:r>
        <w:rPr>
          <w:rFonts w:ascii="ＭＳ ゴシック" w:eastAsia="ＭＳ ゴシック" w:hAnsi="ＭＳ ゴシック" w:cs="ＭＳ ゴシック" w:hint="eastAsia"/>
          <w:lang w:eastAsia="ja-JP"/>
        </w:rPr>
        <w:t>す。</w:t>
      </w:r>
    </w:p>
    <w:p w14:paraId="0A7FBB98" w14:textId="1927B4D1" w:rsidR="00CE4725" w:rsidRPr="00CE4725" w:rsidRDefault="00CE4725">
      <w:pPr>
        <w:pStyle w:val="a5"/>
        <w:numPr>
          <w:ilvl w:val="0"/>
          <w:numId w:val="24"/>
        </w:numPr>
        <w:tabs>
          <w:tab w:val="left" w:pos="1408"/>
        </w:tabs>
        <w:spacing w:before="135" w:line="309" w:lineRule="auto"/>
        <w:jc w:val="left"/>
        <w:rPr>
          <w:sz w:val="19"/>
          <w:szCs w:val="19"/>
          <w:lang w:eastAsia="ja-JP"/>
        </w:rPr>
      </w:pPr>
      <w:r w:rsidRPr="00CE4725">
        <w:rPr>
          <w:rFonts w:ascii="ＭＳ ゴシック" w:eastAsia="ＭＳ ゴシック" w:hAnsi="ＭＳ ゴシック" w:cs="ＭＳ ゴシック" w:hint="eastAsia"/>
          <w:sz w:val="19"/>
          <w:szCs w:val="19"/>
          <w:lang w:eastAsia="ja-JP"/>
        </w:rPr>
        <w:t>この規格の要求事項に準拠して実施された</w:t>
      </w:r>
      <w:r>
        <w:rPr>
          <w:rFonts w:ascii="ＭＳ ゴシック" w:eastAsia="ＭＳ ゴシック" w:hAnsi="ＭＳ ゴシック" w:cs="ＭＳ ゴシック" w:hint="eastAsia"/>
          <w:sz w:val="19"/>
          <w:szCs w:val="19"/>
          <w:lang w:eastAsia="ja-JP"/>
        </w:rPr>
        <w:t>基礎排出量</w:t>
      </w:r>
      <w:r w:rsidRPr="00CE4725">
        <w:rPr>
          <w:rFonts w:ascii="ＭＳ ゴシック" w:eastAsia="ＭＳ ゴシック" w:hAnsi="ＭＳ ゴシック" w:cs="ＭＳ ゴシック" w:hint="eastAsia"/>
          <w:sz w:val="19"/>
          <w:szCs w:val="19"/>
          <w:lang w:eastAsia="ja-JP"/>
        </w:rPr>
        <w:t>を</w:t>
      </w:r>
      <w:r w:rsidR="006620EF">
        <w:rPr>
          <w:rFonts w:ascii="ＭＳ ゴシック" w:eastAsia="ＭＳ ゴシック" w:hAnsi="ＭＳ ゴシック" w:cs="ＭＳ ゴシック" w:hint="eastAsia"/>
          <w:sz w:val="19"/>
          <w:szCs w:val="19"/>
          <w:lang w:eastAsia="ja-JP"/>
        </w:rPr>
        <w:t>算出し</w:t>
      </w:r>
      <w:r w:rsidRPr="00CE4725">
        <w:rPr>
          <w:rFonts w:ascii="ＭＳ ゴシック" w:eastAsia="ＭＳ ゴシック" w:hAnsi="ＭＳ ゴシック" w:cs="ＭＳ ゴシック" w:hint="eastAsia"/>
          <w:sz w:val="19"/>
          <w:szCs w:val="19"/>
          <w:lang w:eastAsia="ja-JP"/>
        </w:rPr>
        <w:t>、報告する</w:t>
      </w:r>
    </w:p>
    <w:p w14:paraId="25C02D80" w14:textId="77777777" w:rsidR="00CE4725" w:rsidRPr="00CE4725" w:rsidRDefault="00CE4725">
      <w:pPr>
        <w:pStyle w:val="a5"/>
        <w:numPr>
          <w:ilvl w:val="0"/>
          <w:numId w:val="24"/>
        </w:numPr>
        <w:tabs>
          <w:tab w:val="left" w:pos="1408"/>
        </w:tabs>
        <w:spacing w:before="135" w:line="309" w:lineRule="auto"/>
        <w:jc w:val="left"/>
        <w:rPr>
          <w:sz w:val="19"/>
          <w:szCs w:val="19"/>
        </w:rPr>
      </w:pPr>
      <w:r w:rsidRPr="00CE4725">
        <w:rPr>
          <w:rFonts w:ascii="ＭＳ ゴシック" w:eastAsia="ＭＳ ゴシック" w:hAnsi="ＭＳ ゴシック" w:cs="ＭＳ ゴシック" w:hint="eastAsia"/>
          <w:sz w:val="19"/>
          <w:szCs w:val="19"/>
          <w:lang w:eastAsia="ja-JP"/>
        </w:rPr>
        <w:t>削減機会の特定</w:t>
      </w:r>
    </w:p>
    <w:p w14:paraId="23642FDC" w14:textId="1992FDE6" w:rsidR="00CE4725" w:rsidRPr="00CE4725" w:rsidRDefault="00CE4725">
      <w:pPr>
        <w:pStyle w:val="a5"/>
        <w:numPr>
          <w:ilvl w:val="0"/>
          <w:numId w:val="24"/>
        </w:numPr>
        <w:tabs>
          <w:tab w:val="left" w:pos="1408"/>
        </w:tabs>
        <w:spacing w:before="135" w:line="309" w:lineRule="auto"/>
        <w:jc w:val="left"/>
        <w:rPr>
          <w:sz w:val="19"/>
          <w:szCs w:val="19"/>
        </w:rPr>
      </w:pPr>
      <w:r w:rsidRPr="00CE4725">
        <w:rPr>
          <w:rFonts w:ascii="ＭＳ ゴシック" w:eastAsia="ＭＳ ゴシック" w:hAnsi="ＭＳ ゴシック" w:cs="ＭＳ ゴシック" w:hint="eastAsia"/>
          <w:sz w:val="19"/>
          <w:szCs w:val="19"/>
          <w:lang w:eastAsia="ja-JP"/>
        </w:rPr>
        <w:t>削減目標</w:t>
      </w:r>
      <w:r w:rsidR="006620EF">
        <w:rPr>
          <w:rFonts w:ascii="ＭＳ ゴシック" w:eastAsia="ＭＳ ゴシック" w:hAnsi="ＭＳ ゴシック" w:cs="ＭＳ ゴシック" w:hint="eastAsia"/>
          <w:sz w:val="19"/>
          <w:szCs w:val="19"/>
          <w:lang w:eastAsia="ja-JP"/>
        </w:rPr>
        <w:t>の</w:t>
      </w:r>
      <w:r w:rsidRPr="00CE4725">
        <w:rPr>
          <w:rFonts w:ascii="ＭＳ ゴシック" w:eastAsia="ＭＳ ゴシック" w:hAnsi="ＭＳ ゴシック" w:cs="ＭＳ ゴシック" w:hint="eastAsia"/>
          <w:sz w:val="19"/>
          <w:szCs w:val="19"/>
          <w:lang w:eastAsia="ja-JP"/>
        </w:rPr>
        <w:t>設定</w:t>
      </w:r>
    </w:p>
    <w:p w14:paraId="411152E5" w14:textId="1C80ED99" w:rsidR="00CE4725" w:rsidRPr="00CE4725" w:rsidRDefault="00CE4725">
      <w:pPr>
        <w:pStyle w:val="a5"/>
        <w:numPr>
          <w:ilvl w:val="0"/>
          <w:numId w:val="24"/>
        </w:numPr>
        <w:tabs>
          <w:tab w:val="left" w:pos="1408"/>
        </w:tabs>
        <w:spacing w:before="135" w:line="309" w:lineRule="auto"/>
        <w:jc w:val="left"/>
        <w:rPr>
          <w:sz w:val="19"/>
          <w:szCs w:val="19"/>
          <w:lang w:eastAsia="ja-JP"/>
        </w:rPr>
      </w:pPr>
      <w:r w:rsidRPr="00CE4725">
        <w:rPr>
          <w:rFonts w:ascii="ＭＳ ゴシック" w:eastAsia="ＭＳ ゴシック" w:hAnsi="ＭＳ ゴシック" w:cs="ＭＳ ゴシック" w:hint="eastAsia"/>
          <w:sz w:val="19"/>
          <w:szCs w:val="19"/>
          <w:lang w:eastAsia="ja-JP"/>
        </w:rPr>
        <w:t>削減を達成し、最新の</w:t>
      </w:r>
      <w:r w:rsidR="006620EF">
        <w:rPr>
          <w:rFonts w:ascii="ＭＳ ゴシック" w:eastAsia="ＭＳ ゴシック" w:hAnsi="ＭＳ ゴシック" w:cs="ＭＳ ゴシック" w:hint="eastAsia"/>
          <w:sz w:val="19"/>
          <w:szCs w:val="19"/>
          <w:lang w:eastAsia="ja-JP"/>
        </w:rPr>
        <w:t>算出</w:t>
      </w:r>
      <w:r w:rsidRPr="00CE4725">
        <w:rPr>
          <w:rFonts w:ascii="ＭＳ ゴシック" w:eastAsia="ＭＳ ゴシック" w:hAnsi="ＭＳ ゴシック" w:cs="ＭＳ ゴシック" w:hint="eastAsia"/>
          <w:sz w:val="19"/>
          <w:szCs w:val="19"/>
          <w:lang w:eastAsia="ja-JP"/>
        </w:rPr>
        <w:t>を実施することにより、これを計上する</w:t>
      </w:r>
    </w:p>
    <w:p w14:paraId="0AB9EFF0" w14:textId="44393926" w:rsidR="0055291C" w:rsidRDefault="00CE4725">
      <w:pPr>
        <w:pStyle w:val="a5"/>
        <w:numPr>
          <w:ilvl w:val="0"/>
          <w:numId w:val="24"/>
        </w:numPr>
        <w:tabs>
          <w:tab w:val="left" w:pos="1408"/>
        </w:tabs>
        <w:spacing w:before="135" w:line="309" w:lineRule="auto"/>
        <w:jc w:val="left"/>
        <w:rPr>
          <w:sz w:val="19"/>
          <w:lang w:eastAsia="ja-JP"/>
        </w:rPr>
      </w:pPr>
      <w:r w:rsidRPr="00CE4725">
        <w:rPr>
          <w:rFonts w:ascii="ＭＳ ゴシック" w:eastAsia="ＭＳ ゴシック" w:hAnsi="ＭＳ ゴシック" w:cs="ＭＳ ゴシック" w:hint="eastAsia"/>
          <w:sz w:val="19"/>
          <w:szCs w:val="19"/>
          <w:lang w:eastAsia="ja-JP"/>
        </w:rPr>
        <w:t>製品の</w:t>
      </w:r>
      <w:r w:rsidR="006620EF">
        <w:rPr>
          <w:rFonts w:ascii="ＭＳ ゴシック" w:eastAsia="ＭＳ ゴシック" w:hAnsi="ＭＳ ゴシック" w:cs="ＭＳ ゴシック" w:hint="eastAsia"/>
          <w:sz w:val="19"/>
          <w:szCs w:val="19"/>
          <w:lang w:eastAsia="ja-JP"/>
        </w:rPr>
        <w:t>境界</w:t>
      </w:r>
      <w:r w:rsidRPr="00CE4725">
        <w:rPr>
          <w:rFonts w:ascii="ＭＳ ゴシック" w:eastAsia="ＭＳ ゴシック" w:hAnsi="ＭＳ ゴシック" w:cs="ＭＳ ゴシック" w:hint="eastAsia"/>
          <w:sz w:val="19"/>
          <w:szCs w:val="19"/>
          <w:lang w:eastAsia="ja-JP"/>
        </w:rPr>
        <w:t>の変更、データの品質、</w:t>
      </w:r>
      <w:r w:rsidR="006620EF">
        <w:rPr>
          <w:rFonts w:ascii="ＭＳ ゴシック" w:eastAsia="ＭＳ ゴシック" w:hAnsi="ＭＳ ゴシック" w:cs="ＭＳ ゴシック" w:hint="eastAsia"/>
          <w:sz w:val="19"/>
          <w:szCs w:val="19"/>
          <w:lang w:eastAsia="ja-JP"/>
        </w:rPr>
        <w:t>割り当て</w:t>
      </w:r>
      <w:r w:rsidRPr="00CE4725">
        <w:rPr>
          <w:rFonts w:ascii="ＭＳ ゴシック" w:eastAsia="ＭＳ ゴシック" w:hAnsi="ＭＳ ゴシック" w:cs="ＭＳ ゴシック" w:hint="eastAsia"/>
          <w:sz w:val="19"/>
          <w:szCs w:val="19"/>
          <w:lang w:eastAsia="ja-JP"/>
        </w:rPr>
        <w:t>やリサイクル方法など、</w:t>
      </w:r>
      <w:r w:rsidR="006620EF">
        <w:rPr>
          <w:rFonts w:ascii="ＭＳ ゴシック" w:eastAsia="ＭＳ ゴシック" w:hAnsi="ＭＳ ゴシック" w:cs="ＭＳ ゴシック" w:hint="eastAsia"/>
          <w:sz w:val="19"/>
          <w:szCs w:val="19"/>
          <w:lang w:eastAsia="ja-JP"/>
        </w:rPr>
        <w:t>算出</w:t>
      </w:r>
      <w:r w:rsidRPr="00CE4725">
        <w:rPr>
          <w:rFonts w:ascii="ＭＳ ゴシック" w:eastAsia="ＭＳ ゴシック" w:hAnsi="ＭＳ ゴシック" w:cs="ＭＳ ゴシック" w:hint="eastAsia"/>
          <w:sz w:val="19"/>
          <w:szCs w:val="19"/>
          <w:lang w:eastAsia="ja-JP"/>
        </w:rPr>
        <w:t>に重大な変更が生じた場合は、必要に応じて</w:t>
      </w:r>
      <w:r w:rsidR="006620EF">
        <w:rPr>
          <w:rFonts w:ascii="ＭＳ ゴシック" w:eastAsia="ＭＳ ゴシック" w:hAnsi="ＭＳ ゴシック" w:cs="ＭＳ ゴシック" w:hint="eastAsia"/>
          <w:sz w:val="19"/>
          <w:szCs w:val="19"/>
          <w:lang w:eastAsia="ja-JP"/>
        </w:rPr>
        <w:t>基礎排出量</w:t>
      </w:r>
      <w:r w:rsidRPr="00CE4725">
        <w:rPr>
          <w:rFonts w:ascii="ＭＳ ゴシック" w:eastAsia="ＭＳ ゴシック" w:hAnsi="ＭＳ ゴシック" w:cs="ＭＳ ゴシック" w:hint="eastAsia"/>
          <w:sz w:val="19"/>
          <w:szCs w:val="19"/>
          <w:lang w:eastAsia="ja-JP"/>
        </w:rPr>
        <w:t>を再計算する</w:t>
      </w:r>
    </w:p>
    <w:p w14:paraId="1A369019" w14:textId="77777777" w:rsidR="0055291C" w:rsidRDefault="00F23C61">
      <w:pPr>
        <w:rPr>
          <w:sz w:val="20"/>
          <w:lang w:eastAsia="ja-JP"/>
        </w:rPr>
      </w:pPr>
      <w:r>
        <w:rPr>
          <w:lang w:eastAsia="ja-JP"/>
        </w:rPr>
        <w:br w:type="column"/>
      </w:r>
    </w:p>
    <w:p w14:paraId="3A42D49E" w14:textId="77777777" w:rsidR="0055291C" w:rsidRDefault="0055291C">
      <w:pPr>
        <w:pStyle w:val="a3"/>
        <w:spacing w:before="4"/>
        <w:rPr>
          <w:sz w:val="27"/>
          <w:lang w:eastAsia="ja-JP"/>
        </w:rPr>
      </w:pPr>
    </w:p>
    <w:p w14:paraId="30E37A74" w14:textId="302D6B98" w:rsidR="0055291C" w:rsidRDefault="006620EF">
      <w:pPr>
        <w:pStyle w:val="a5"/>
        <w:numPr>
          <w:ilvl w:val="0"/>
          <w:numId w:val="24"/>
        </w:numPr>
        <w:tabs>
          <w:tab w:val="left" w:pos="592"/>
        </w:tabs>
        <w:spacing w:line="309" w:lineRule="auto"/>
        <w:ind w:left="591" w:right="1181"/>
        <w:jc w:val="left"/>
        <w:rPr>
          <w:sz w:val="19"/>
          <w:lang w:eastAsia="ja-JP"/>
        </w:rPr>
      </w:pPr>
      <w:r w:rsidRPr="006620EF">
        <w:rPr>
          <w:rFonts w:ascii="ＭＳ ゴシック" w:eastAsia="ＭＳ ゴシック" w:hAnsi="ＭＳ ゴシック" w:cs="ＭＳ ゴシック" w:hint="eastAsia"/>
          <w:sz w:val="19"/>
          <w:szCs w:val="19"/>
          <w:lang w:eastAsia="ja-JP"/>
        </w:rPr>
        <w:t>更新された結果と</w:t>
      </w:r>
      <w:r>
        <w:rPr>
          <w:rFonts w:ascii="ＭＳ ゴシック" w:eastAsia="ＭＳ ゴシック" w:hAnsi="ＭＳ ゴシック" w:cs="ＭＳ ゴシック" w:hint="eastAsia"/>
          <w:sz w:val="19"/>
          <w:szCs w:val="19"/>
          <w:lang w:eastAsia="ja-JP"/>
        </w:rPr>
        <w:t>基礎排出量</w:t>
      </w:r>
      <w:r w:rsidRPr="006620EF">
        <w:rPr>
          <w:rFonts w:ascii="ＭＳ ゴシック" w:eastAsia="ＭＳ ゴシック" w:hAnsi="ＭＳ ゴシック" w:cs="ＭＳ ゴシック" w:hint="eastAsia"/>
          <w:sz w:val="19"/>
          <w:szCs w:val="19"/>
          <w:lang w:eastAsia="ja-JP"/>
        </w:rPr>
        <w:t>の結果を含む、更新された</w:t>
      </w:r>
      <w:r>
        <w:rPr>
          <w:rFonts w:ascii="ＭＳ ゴシック" w:eastAsia="ＭＳ ゴシック" w:hAnsi="ＭＳ ゴシック" w:cs="ＭＳ ゴシック" w:hint="eastAsia"/>
          <w:sz w:val="19"/>
          <w:szCs w:val="19"/>
          <w:lang w:eastAsia="ja-JP"/>
        </w:rPr>
        <w:t>報告書</w:t>
      </w:r>
      <w:r w:rsidRPr="006620EF">
        <w:rPr>
          <w:rFonts w:ascii="ＭＳ ゴシック" w:eastAsia="ＭＳ ゴシック" w:hAnsi="ＭＳ ゴシック" w:cs="ＭＳ ゴシック" w:hint="eastAsia"/>
          <w:sz w:val="19"/>
          <w:szCs w:val="19"/>
          <w:lang w:eastAsia="ja-JP"/>
        </w:rPr>
        <w:t>を完成させ、開示する。企業は、</w:t>
      </w:r>
      <w:r>
        <w:rPr>
          <w:rFonts w:ascii="ＭＳ ゴシック" w:eastAsia="ＭＳ ゴシック" w:hAnsi="ＭＳ ゴシック" w:cs="ＭＳ ゴシック" w:hint="eastAsia"/>
          <w:sz w:val="19"/>
          <w:szCs w:val="19"/>
          <w:lang w:eastAsia="ja-JP"/>
        </w:rPr>
        <w:t>算出</w:t>
      </w:r>
      <w:r w:rsidRPr="006620EF">
        <w:rPr>
          <w:rFonts w:ascii="ＭＳ ゴシック" w:eastAsia="ＭＳ ゴシック" w:hAnsi="ＭＳ ゴシック" w:cs="ＭＳ ゴシック" w:hint="eastAsia"/>
          <w:sz w:val="19"/>
          <w:szCs w:val="19"/>
          <w:lang w:eastAsia="ja-JP"/>
        </w:rPr>
        <w:t>結果を分析単位ベースの経年変化率として報告する</w:t>
      </w:r>
      <w:r>
        <w:rPr>
          <w:rFonts w:ascii="ＭＳ ゴシック" w:eastAsia="ＭＳ ゴシック" w:hAnsi="ＭＳ ゴシック" w:cs="ＭＳ ゴシック" w:hint="eastAsia"/>
          <w:sz w:val="19"/>
          <w:szCs w:val="19"/>
          <w:lang w:eastAsia="ja-JP"/>
        </w:rPr>
        <w:t>べきである</w:t>
      </w:r>
    </w:p>
    <w:p w14:paraId="21DD91CE" w14:textId="14E74529" w:rsidR="0055291C" w:rsidRDefault="006620EF">
      <w:pPr>
        <w:pStyle w:val="a3"/>
        <w:spacing w:before="146"/>
        <w:ind w:left="331"/>
        <w:rPr>
          <w:lang w:eastAsia="ja-JP"/>
        </w:rPr>
      </w:pPr>
      <w:r>
        <w:rPr>
          <w:rFonts w:ascii="ＭＳ ゴシック" w:eastAsia="ＭＳ ゴシック" w:hAnsi="ＭＳ ゴシック" w:cs="ＭＳ ゴシック" w:hint="eastAsia"/>
          <w:lang w:eastAsia="ja-JP"/>
        </w:rPr>
        <w:t>次のセクションでは、各ステップについてより詳しく説明します。</w:t>
      </w:r>
    </w:p>
    <w:p w14:paraId="4C2F4142" w14:textId="77777777" w:rsidR="0055291C" w:rsidRDefault="0055291C">
      <w:pPr>
        <w:pStyle w:val="a3"/>
        <w:spacing w:before="7"/>
        <w:rPr>
          <w:sz w:val="18"/>
          <w:lang w:eastAsia="ja-JP"/>
        </w:rPr>
      </w:pPr>
    </w:p>
    <w:p w14:paraId="4BE76E5F" w14:textId="2367AD96" w:rsidR="0055291C" w:rsidRDefault="00F23C61">
      <w:pPr>
        <w:ind w:left="331"/>
        <w:rPr>
          <w:rFonts w:ascii="Arial"/>
          <w:b/>
          <w:i/>
          <w:sz w:val="18"/>
          <w:lang w:eastAsia="ja-JP"/>
        </w:rPr>
      </w:pPr>
      <w:r>
        <w:rPr>
          <w:rFonts w:ascii="Arial"/>
          <w:b/>
          <w:i/>
          <w:color w:val="7F3F98"/>
          <w:sz w:val="18"/>
          <w:lang w:eastAsia="ja-JP"/>
        </w:rPr>
        <w:t>Step</w:t>
      </w:r>
      <w:r>
        <w:rPr>
          <w:rFonts w:ascii="Arial"/>
          <w:b/>
          <w:i/>
          <w:color w:val="7F3F98"/>
          <w:spacing w:val="10"/>
          <w:sz w:val="18"/>
          <w:lang w:eastAsia="ja-JP"/>
        </w:rPr>
        <w:t xml:space="preserve"> </w:t>
      </w:r>
      <w:r>
        <w:rPr>
          <w:rFonts w:ascii="Arial"/>
          <w:b/>
          <w:i/>
          <w:color w:val="7F3F98"/>
          <w:sz w:val="18"/>
          <w:lang w:eastAsia="ja-JP"/>
        </w:rPr>
        <w:t>1:</w:t>
      </w:r>
      <w:r>
        <w:rPr>
          <w:rFonts w:ascii="Arial"/>
          <w:b/>
          <w:i/>
          <w:color w:val="7F3F98"/>
          <w:spacing w:val="40"/>
          <w:sz w:val="18"/>
          <w:lang w:eastAsia="ja-JP"/>
        </w:rPr>
        <w:t xml:space="preserve"> </w:t>
      </w:r>
      <w:r w:rsidR="006152C6">
        <w:rPr>
          <w:rFonts w:ascii="ＭＳ ゴシック" w:eastAsia="ＭＳ ゴシック" w:hAnsi="ＭＳ ゴシック" w:cs="ＭＳ ゴシック" w:hint="eastAsia"/>
          <w:b/>
          <w:i/>
          <w:color w:val="7F3F98"/>
          <w:sz w:val="18"/>
          <w:lang w:eastAsia="ja-JP"/>
        </w:rPr>
        <w:t>基礎排出量の算出・報告</w:t>
      </w:r>
    </w:p>
    <w:p w14:paraId="01401D70" w14:textId="46233427" w:rsidR="0055291C" w:rsidRDefault="006152C6" w:rsidP="006152C6">
      <w:pPr>
        <w:pStyle w:val="a3"/>
        <w:spacing w:before="3" w:line="312" w:lineRule="auto"/>
        <w:ind w:left="331" w:right="1132" w:firstLineChars="100" w:firstLine="190"/>
        <w:jc w:val="both"/>
        <w:rPr>
          <w:lang w:eastAsia="ja-JP"/>
        </w:rPr>
      </w:pPr>
      <w:r>
        <w:rPr>
          <w:rFonts w:ascii="ＭＳ ゴシック" w:eastAsia="ＭＳ ゴシック" w:hAnsi="ＭＳ ゴシック" w:cs="ＭＳ ゴシック" w:hint="eastAsia"/>
          <w:lang w:eastAsia="ja-JP"/>
        </w:rPr>
        <w:t>最初のステップは、本規格に準拠した基礎排出量が完成し、公表されていることを確認することです。基礎排出量は、企業が製品に対して最初に行う算出である必要はありません。企業が基礎排出量を報告した後に、再計算を必要とする変更があった場合は、ステップ</w:t>
      </w:r>
      <w:r>
        <w:rPr>
          <w:lang w:eastAsia="ja-JP"/>
        </w:rPr>
        <w:t>5</w:t>
      </w:r>
      <w:r>
        <w:rPr>
          <w:rFonts w:ascii="ＭＳ ゴシック" w:eastAsia="ＭＳ ゴシック" w:hAnsi="ＭＳ ゴシック" w:cs="ＭＳ ゴシック" w:hint="eastAsia"/>
          <w:lang w:eastAsia="ja-JP"/>
        </w:rPr>
        <w:t>のガイダンスに従って行うべきです。</w:t>
      </w:r>
    </w:p>
    <w:p w14:paraId="13B60E9B" w14:textId="77777777" w:rsidR="0055291C" w:rsidRDefault="0055291C">
      <w:pPr>
        <w:spacing w:line="312" w:lineRule="auto"/>
        <w:jc w:val="both"/>
        <w:rPr>
          <w:lang w:eastAsia="ja-JP"/>
        </w:rPr>
        <w:sectPr w:rsidR="0055291C">
          <w:type w:val="continuous"/>
          <w:pgSz w:w="12240" w:h="15840"/>
          <w:pgMar w:top="740" w:right="0" w:bottom="280" w:left="0" w:header="0" w:footer="859" w:gutter="0"/>
          <w:cols w:num="2" w:space="720" w:equalWidth="0">
            <w:col w:w="5897" w:space="40"/>
            <w:col w:w="6303"/>
          </w:cols>
        </w:sectPr>
      </w:pPr>
    </w:p>
    <w:p w14:paraId="4A5B1DA3" w14:textId="77777777" w:rsidR="0055291C" w:rsidRDefault="0055291C">
      <w:pPr>
        <w:pStyle w:val="a3"/>
        <w:rPr>
          <w:sz w:val="20"/>
          <w:lang w:eastAsia="ja-JP"/>
        </w:rPr>
      </w:pPr>
    </w:p>
    <w:p w14:paraId="248CC694" w14:textId="77777777" w:rsidR="0055291C" w:rsidRDefault="0055291C">
      <w:pPr>
        <w:pStyle w:val="a3"/>
        <w:rPr>
          <w:sz w:val="20"/>
          <w:lang w:eastAsia="ja-JP"/>
        </w:rPr>
      </w:pPr>
    </w:p>
    <w:p w14:paraId="47AADB28" w14:textId="77777777" w:rsidR="0055291C" w:rsidRDefault="0055291C">
      <w:pPr>
        <w:pStyle w:val="a3"/>
        <w:rPr>
          <w:sz w:val="20"/>
          <w:lang w:eastAsia="ja-JP"/>
        </w:rPr>
      </w:pPr>
    </w:p>
    <w:p w14:paraId="00A65AA3" w14:textId="77777777" w:rsidR="0055291C" w:rsidRDefault="0055291C">
      <w:pPr>
        <w:pStyle w:val="a3"/>
        <w:spacing w:before="4"/>
        <w:rPr>
          <w:sz w:val="24"/>
          <w:lang w:eastAsia="ja-JP"/>
        </w:rPr>
      </w:pPr>
    </w:p>
    <w:p w14:paraId="08EFCF2C" w14:textId="77777777" w:rsidR="0055291C" w:rsidRDefault="00000000">
      <w:pPr>
        <w:spacing w:before="1"/>
        <w:ind w:left="4784"/>
        <w:rPr>
          <w:rFonts w:ascii="Arial"/>
          <w:i/>
          <w:sz w:val="19"/>
        </w:rPr>
      </w:pPr>
      <w:r>
        <w:pict w14:anchorId="18C74517">
          <v:shape id="docshape1490" o:spid="_x0000_s2366" style="position:absolute;left:0;text-align:left;margin-left:580.75pt;margin-top:-47.75pt;width:31.3pt;height:285.85pt;z-index:251650560;mso-position-horizontal-relative:page" coordorigin="11615,-955" coordsize="626,5717" path="m12240,-955r-625,l11615,4535r3,131l11643,4733r67,25l11842,4761r398,l12240,-955xe" fillcolor="#00aca1" stroked="f">
            <v:path arrowok="t"/>
            <w10:wrap anchorx="page"/>
          </v:shape>
        </w:pict>
      </w:r>
      <w:r w:rsidR="00F23C61">
        <w:rPr>
          <w:rFonts w:ascii="Arial"/>
          <w:b/>
          <w:i/>
          <w:color w:val="7F3F98"/>
          <w:sz w:val="19"/>
        </w:rPr>
        <w:t>CHAPTER</w:t>
      </w:r>
      <w:r w:rsidR="00F23C61">
        <w:rPr>
          <w:rFonts w:ascii="Arial"/>
          <w:b/>
          <w:i/>
          <w:color w:val="7F3F98"/>
          <w:spacing w:val="8"/>
          <w:sz w:val="19"/>
        </w:rPr>
        <w:t xml:space="preserve"> </w:t>
      </w:r>
      <w:r w:rsidR="00F23C61">
        <w:rPr>
          <w:rFonts w:ascii="Arial"/>
          <w:b/>
          <w:i/>
          <w:color w:val="7F3F98"/>
          <w:sz w:val="19"/>
        </w:rPr>
        <w:t>14</w:t>
      </w:r>
      <w:r w:rsidR="00F23C61">
        <w:rPr>
          <w:rFonts w:ascii="Arial"/>
          <w:b/>
          <w:i/>
          <w:color w:val="7F3F98"/>
          <w:spacing w:val="8"/>
          <w:sz w:val="19"/>
        </w:rPr>
        <w:t xml:space="preserve"> </w:t>
      </w:r>
      <w:r w:rsidR="00F23C61">
        <w:rPr>
          <w:rFonts w:ascii="Arial"/>
          <w:i/>
          <w:color w:val="545456"/>
          <w:sz w:val="19"/>
        </w:rPr>
        <w:t>Setting</w:t>
      </w:r>
      <w:r w:rsidR="00F23C61">
        <w:rPr>
          <w:rFonts w:ascii="Arial"/>
          <w:i/>
          <w:color w:val="545456"/>
          <w:spacing w:val="6"/>
          <w:sz w:val="19"/>
        </w:rPr>
        <w:t xml:space="preserve"> </w:t>
      </w:r>
      <w:r w:rsidR="00F23C61">
        <w:rPr>
          <w:rFonts w:ascii="Arial"/>
          <w:i/>
          <w:color w:val="545456"/>
          <w:sz w:val="19"/>
        </w:rPr>
        <w:t>Reduction</w:t>
      </w:r>
      <w:r w:rsidR="00F23C61">
        <w:rPr>
          <w:rFonts w:ascii="Arial"/>
          <w:i/>
          <w:color w:val="545456"/>
          <w:spacing w:val="6"/>
          <w:sz w:val="19"/>
        </w:rPr>
        <w:t xml:space="preserve"> </w:t>
      </w:r>
      <w:r w:rsidR="00F23C61">
        <w:rPr>
          <w:rFonts w:ascii="Arial"/>
          <w:i/>
          <w:color w:val="545456"/>
          <w:sz w:val="19"/>
        </w:rPr>
        <w:t>Targets</w:t>
      </w:r>
      <w:r w:rsidR="00F23C61">
        <w:rPr>
          <w:rFonts w:ascii="Arial"/>
          <w:i/>
          <w:color w:val="545456"/>
          <w:spacing w:val="7"/>
          <w:sz w:val="19"/>
        </w:rPr>
        <w:t xml:space="preserve"> </w:t>
      </w:r>
      <w:r w:rsidR="00F23C61">
        <w:rPr>
          <w:rFonts w:ascii="Arial"/>
          <w:i/>
          <w:color w:val="545456"/>
          <w:sz w:val="19"/>
        </w:rPr>
        <w:t>and</w:t>
      </w:r>
      <w:r w:rsidR="00F23C61">
        <w:rPr>
          <w:rFonts w:ascii="Arial"/>
          <w:i/>
          <w:color w:val="545456"/>
          <w:spacing w:val="6"/>
          <w:sz w:val="19"/>
        </w:rPr>
        <w:t xml:space="preserve"> </w:t>
      </w:r>
      <w:r w:rsidR="00F23C61">
        <w:rPr>
          <w:rFonts w:ascii="Arial"/>
          <w:i/>
          <w:color w:val="545456"/>
          <w:sz w:val="19"/>
        </w:rPr>
        <w:t>Tracking</w:t>
      </w:r>
      <w:r w:rsidR="00F23C61">
        <w:rPr>
          <w:rFonts w:ascii="Arial"/>
          <w:i/>
          <w:color w:val="545456"/>
          <w:spacing w:val="6"/>
          <w:sz w:val="19"/>
        </w:rPr>
        <w:t xml:space="preserve"> </w:t>
      </w:r>
      <w:r w:rsidR="00F23C61">
        <w:rPr>
          <w:rFonts w:ascii="Arial"/>
          <w:i/>
          <w:color w:val="545456"/>
          <w:sz w:val="19"/>
        </w:rPr>
        <w:t>Inventory</w:t>
      </w:r>
      <w:r w:rsidR="00F23C61">
        <w:rPr>
          <w:rFonts w:ascii="Arial"/>
          <w:i/>
          <w:color w:val="545456"/>
          <w:spacing w:val="6"/>
          <w:sz w:val="19"/>
        </w:rPr>
        <w:t xml:space="preserve"> </w:t>
      </w:r>
      <w:r w:rsidR="00F23C61">
        <w:rPr>
          <w:rFonts w:ascii="Arial"/>
          <w:i/>
          <w:color w:val="545456"/>
          <w:sz w:val="19"/>
        </w:rPr>
        <w:t>Changes</w:t>
      </w:r>
    </w:p>
    <w:p w14:paraId="72EB880D" w14:textId="77777777" w:rsidR="0055291C" w:rsidRDefault="0055291C">
      <w:pPr>
        <w:pStyle w:val="a3"/>
        <w:rPr>
          <w:rFonts w:ascii="Arial"/>
          <w:i/>
          <w:sz w:val="20"/>
        </w:rPr>
      </w:pPr>
    </w:p>
    <w:p w14:paraId="50CF417C" w14:textId="77777777" w:rsidR="0055291C" w:rsidRDefault="0055291C">
      <w:pPr>
        <w:pStyle w:val="a3"/>
        <w:spacing w:before="2"/>
        <w:rPr>
          <w:rFonts w:ascii="Arial"/>
          <w:i/>
          <w:sz w:val="26"/>
        </w:rPr>
      </w:pPr>
    </w:p>
    <w:p w14:paraId="3A1023B7" w14:textId="77777777" w:rsidR="0055291C" w:rsidRDefault="0055291C">
      <w:pPr>
        <w:rPr>
          <w:rFonts w:ascii="Arial"/>
          <w:sz w:val="26"/>
        </w:rPr>
        <w:sectPr w:rsidR="0055291C">
          <w:headerReference w:type="default" r:id="rId332"/>
          <w:pgSz w:w="12240" w:h="15840"/>
          <w:pgMar w:top="0" w:right="0" w:bottom="1040" w:left="0" w:header="0" w:footer="859" w:gutter="0"/>
          <w:cols w:space="720"/>
        </w:sectPr>
      </w:pPr>
    </w:p>
    <w:p w14:paraId="62365F71" w14:textId="77777777" w:rsidR="006152C6" w:rsidRDefault="00F23C61" w:rsidP="00CD2A66">
      <w:pPr>
        <w:pStyle w:val="a3"/>
        <w:spacing w:before="100" w:line="314" w:lineRule="auto"/>
        <w:ind w:left="851" w:right="140"/>
        <w:rPr>
          <w:rFonts w:ascii="ＭＳ ゴシック" w:eastAsia="ＭＳ ゴシック" w:hAnsi="ＭＳ ゴシック" w:cs="ＭＳ ゴシック"/>
          <w:b/>
          <w:i/>
          <w:color w:val="7F3F98"/>
          <w:sz w:val="18"/>
          <w:lang w:eastAsia="ja-JP"/>
        </w:rPr>
      </w:pPr>
      <w:r>
        <w:rPr>
          <w:rFonts w:ascii="Arial" w:hAnsi="Arial"/>
          <w:b/>
          <w:i/>
          <w:color w:val="7F3F98"/>
          <w:sz w:val="18"/>
          <w:lang w:eastAsia="ja-JP"/>
        </w:rPr>
        <w:t>Step</w:t>
      </w:r>
      <w:r>
        <w:rPr>
          <w:rFonts w:ascii="Arial" w:hAnsi="Arial"/>
          <w:b/>
          <w:i/>
          <w:color w:val="7F3F98"/>
          <w:spacing w:val="50"/>
          <w:sz w:val="18"/>
          <w:lang w:eastAsia="ja-JP"/>
        </w:rPr>
        <w:t xml:space="preserve"> </w:t>
      </w:r>
      <w:r>
        <w:rPr>
          <w:rFonts w:ascii="Arial" w:hAnsi="Arial"/>
          <w:b/>
          <w:i/>
          <w:color w:val="7F3F98"/>
          <w:sz w:val="18"/>
          <w:lang w:eastAsia="ja-JP"/>
        </w:rPr>
        <w:t xml:space="preserve">2:  </w:t>
      </w:r>
      <w:r w:rsidR="006152C6">
        <w:rPr>
          <w:rFonts w:ascii="ＭＳ ゴシック" w:eastAsia="ＭＳ ゴシック" w:hAnsi="ＭＳ ゴシック" w:cs="ＭＳ ゴシック" w:hint="eastAsia"/>
          <w:b/>
          <w:i/>
          <w:color w:val="7F3F98"/>
          <w:sz w:val="18"/>
          <w:lang w:eastAsia="ja-JP"/>
        </w:rPr>
        <w:t>削減機械の特定</w:t>
      </w:r>
    </w:p>
    <w:p w14:paraId="0E090257" w14:textId="0FE081D5" w:rsidR="0055291C" w:rsidRDefault="006152C6" w:rsidP="00CD2A66">
      <w:pPr>
        <w:pStyle w:val="a3"/>
        <w:spacing w:line="312" w:lineRule="auto"/>
        <w:ind w:left="851" w:right="140" w:firstLineChars="100" w:firstLine="190"/>
        <w:jc w:val="both"/>
        <w:rPr>
          <w:lang w:eastAsia="ja-JP"/>
        </w:rPr>
      </w:pPr>
      <w:r>
        <w:rPr>
          <w:rFonts w:ascii="ＭＳ ゴシック" w:eastAsia="ＭＳ ゴシック" w:hAnsi="ＭＳ ゴシック" w:cs="ＭＳ ゴシック" w:hint="eastAsia"/>
          <w:lang w:eastAsia="ja-JP"/>
        </w:rPr>
        <w:t>企業は、基礎排出量を作成する際に、製品のライフサイクルに沿った排出削減機会の可能性を特定することができます。次に、これらの機会を削減の大きさと企業の影響力のレベルに基づいて評価することができます。一般的に、企業は、</w:t>
      </w:r>
      <w:r w:rsidR="00EE463D">
        <w:rPr>
          <w:rFonts w:ascii="ＭＳ ゴシック" w:eastAsia="ＭＳ ゴシック" w:hAnsi="ＭＳ ゴシック" w:cs="ＭＳ ゴシック" w:hint="eastAsia"/>
          <w:lang w:eastAsia="ja-JP"/>
        </w:rPr>
        <w:t>自社が制御する工程に</w:t>
      </w:r>
      <w:r>
        <w:rPr>
          <w:rFonts w:ascii="ＭＳ ゴシック" w:eastAsia="ＭＳ ゴシック" w:hAnsi="ＭＳ ゴシック" w:cs="ＭＳ ゴシック" w:hint="eastAsia"/>
          <w:lang w:eastAsia="ja-JP"/>
        </w:rPr>
        <w:t>最も大きな影響力を持って</w:t>
      </w:r>
      <w:r w:rsidR="00EE463D">
        <w:rPr>
          <w:rFonts w:ascii="ＭＳ ゴシック" w:eastAsia="ＭＳ ゴシック" w:hAnsi="ＭＳ ゴシック" w:cs="ＭＳ ゴシック" w:hint="eastAsia"/>
          <w:lang w:eastAsia="ja-JP"/>
        </w:rPr>
        <w:t>おり、</w:t>
      </w:r>
      <w:r>
        <w:rPr>
          <w:rFonts w:ascii="ＭＳ ゴシック" w:eastAsia="ＭＳ ゴシック" w:hAnsi="ＭＳ ゴシック" w:cs="ＭＳ ゴシック" w:hint="eastAsia"/>
          <w:lang w:eastAsia="ja-JP"/>
        </w:rPr>
        <w:t>そのため、最初のステップとして、これらの</w:t>
      </w:r>
      <w:r w:rsidR="00EE463D">
        <w:rPr>
          <w:rFonts w:ascii="ＭＳ ゴシック" w:eastAsia="ＭＳ ゴシック" w:hAnsi="ＭＳ ゴシック" w:cs="ＭＳ ゴシック" w:hint="eastAsia"/>
          <w:lang w:eastAsia="ja-JP"/>
        </w:rPr>
        <w:t>工程</w:t>
      </w:r>
      <w:r>
        <w:rPr>
          <w:rFonts w:ascii="ＭＳ ゴシック" w:eastAsia="ＭＳ ゴシック" w:hAnsi="ＭＳ ゴシック" w:cs="ＭＳ ゴシック" w:hint="eastAsia"/>
          <w:lang w:eastAsia="ja-JP"/>
        </w:rPr>
        <w:t>におけるエネルギー節約や燃料転換の機会を特定することが考えられます。</w:t>
      </w:r>
    </w:p>
    <w:p w14:paraId="6DE1DF5C" w14:textId="1F3E8FE7" w:rsidR="0055291C" w:rsidRDefault="00EE463D" w:rsidP="00CD2A66">
      <w:pPr>
        <w:pStyle w:val="a3"/>
        <w:spacing w:before="3" w:line="312" w:lineRule="auto"/>
        <w:ind w:left="851" w:right="140" w:firstLineChars="100" w:firstLine="190"/>
        <w:rPr>
          <w:lang w:eastAsia="ja-JP"/>
        </w:rPr>
      </w:pPr>
      <w:r>
        <w:rPr>
          <w:rFonts w:ascii="ＭＳ ゴシック" w:eastAsia="ＭＳ ゴシック" w:hAnsi="ＭＳ ゴシック" w:cs="ＭＳ ゴシック" w:hint="eastAsia"/>
          <w:lang w:eastAsia="ja-JP"/>
        </w:rPr>
        <w:t>多くの場合、最も改善の可能性が高いのは、製品のライフサイクルに沿ってサプライヤーや顧客の管理下にあるプロセスです。これらの排出に対処するために、企業は、影響力の大きさと削減の可能性の両方に基づき、関与すべきサプライヤーと顧客を特定するべきです。使用工程と最終工程については、商品改良は顧客の行動より製品の設計に影響される</w:t>
      </w:r>
      <w:r w:rsidR="004E5CDD">
        <w:rPr>
          <w:rFonts w:ascii="ＭＳ ゴシック" w:eastAsia="ＭＳ ゴシック" w:hAnsi="ＭＳ ゴシック" w:cs="ＭＳ ゴシック" w:hint="eastAsia"/>
          <w:lang w:eastAsia="ja-JP"/>
        </w:rPr>
        <w:t>、と断定することができます</w:t>
      </w:r>
      <w:r>
        <w:rPr>
          <w:rFonts w:ascii="ＭＳ ゴシック" w:eastAsia="ＭＳ ゴシック" w:hAnsi="ＭＳ ゴシック" w:cs="ＭＳ ゴシック" w:hint="eastAsia"/>
          <w:lang w:eastAsia="ja-JP"/>
        </w:rPr>
        <w:t>。このような場合、企業は製品設計や研究開発チームを参加させるべきでしょう。</w:t>
      </w:r>
    </w:p>
    <w:p w14:paraId="0D42C669" w14:textId="669117B3" w:rsidR="0055291C" w:rsidRDefault="00F23C61" w:rsidP="00CD2A66">
      <w:pPr>
        <w:spacing w:before="148"/>
        <w:ind w:left="851" w:right="140"/>
        <w:jc w:val="both"/>
        <w:rPr>
          <w:rFonts w:ascii="Arial"/>
          <w:b/>
          <w:i/>
          <w:sz w:val="18"/>
          <w:lang w:eastAsia="ja-JP"/>
        </w:rPr>
      </w:pPr>
      <w:r>
        <w:rPr>
          <w:rFonts w:ascii="Arial"/>
          <w:b/>
          <w:i/>
          <w:color w:val="7F3F98"/>
          <w:sz w:val="18"/>
          <w:lang w:eastAsia="ja-JP"/>
        </w:rPr>
        <w:t>Step</w:t>
      </w:r>
      <w:r>
        <w:rPr>
          <w:rFonts w:ascii="Arial"/>
          <w:b/>
          <w:i/>
          <w:color w:val="7F3F98"/>
          <w:spacing w:val="12"/>
          <w:sz w:val="18"/>
          <w:lang w:eastAsia="ja-JP"/>
        </w:rPr>
        <w:t xml:space="preserve"> </w:t>
      </w:r>
      <w:r>
        <w:rPr>
          <w:rFonts w:ascii="Arial"/>
          <w:b/>
          <w:i/>
          <w:color w:val="7F3F98"/>
          <w:sz w:val="18"/>
          <w:lang w:eastAsia="ja-JP"/>
        </w:rPr>
        <w:t>3:</w:t>
      </w:r>
      <w:r>
        <w:rPr>
          <w:rFonts w:ascii="Arial"/>
          <w:b/>
          <w:i/>
          <w:color w:val="7F3F98"/>
          <w:spacing w:val="45"/>
          <w:sz w:val="18"/>
          <w:lang w:eastAsia="ja-JP"/>
        </w:rPr>
        <w:t xml:space="preserve"> </w:t>
      </w:r>
      <w:r w:rsidR="004E5CDD">
        <w:rPr>
          <w:rFonts w:ascii="ＭＳ ゴシック" w:eastAsia="ＭＳ ゴシック" w:hAnsi="ＭＳ ゴシック" w:cs="ＭＳ ゴシック" w:hint="eastAsia"/>
          <w:b/>
          <w:i/>
          <w:color w:val="7F3F98"/>
          <w:sz w:val="18"/>
          <w:lang w:eastAsia="ja-JP"/>
        </w:rPr>
        <w:t>削減目標の設定</w:t>
      </w:r>
    </w:p>
    <w:p w14:paraId="55C25288" w14:textId="165BC139" w:rsidR="0055291C" w:rsidRDefault="004E5CDD" w:rsidP="00CD2A66">
      <w:pPr>
        <w:pStyle w:val="a3"/>
        <w:spacing w:before="67" w:line="312" w:lineRule="auto"/>
        <w:ind w:left="851" w:right="140"/>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強固なビジネス戦略には、収益、売上、その他の主要な</w:t>
      </w:r>
      <w:r>
        <w:rPr>
          <w:lang w:eastAsia="ja-JP"/>
        </w:rPr>
        <w:t xml:space="preserve"> </w:t>
      </w:r>
      <w:r>
        <w:rPr>
          <w:rFonts w:ascii="ＭＳ ゴシック" w:eastAsia="ＭＳ ゴシック" w:hAnsi="ＭＳ ゴシック" w:cs="ＭＳ ゴシック" w:hint="eastAsia"/>
          <w:lang w:eastAsia="ja-JP"/>
        </w:rPr>
        <w:t>ビジネス指標に関する目標を設定し、その目標に対する</w:t>
      </w:r>
      <w:r>
        <w:rPr>
          <w:lang w:eastAsia="ja-JP"/>
        </w:rPr>
        <w:t xml:space="preserve"> </w:t>
      </w:r>
      <w:r>
        <w:rPr>
          <w:rFonts w:ascii="ＭＳ ゴシック" w:eastAsia="ＭＳ ゴシック" w:hAnsi="ＭＳ ゴシック" w:cs="ＭＳ ゴシック" w:hint="eastAsia"/>
          <w:lang w:eastAsia="ja-JP"/>
        </w:rPr>
        <w:t>パフォーマンスを追跡することが含まれることがよくあります。同様に、</w:t>
      </w:r>
      <w:r>
        <w:rPr>
          <w:lang w:eastAsia="ja-JP"/>
        </w:rPr>
        <w:t>GHG</w:t>
      </w:r>
      <w:r>
        <w:rPr>
          <w:rFonts w:ascii="ＭＳ ゴシック" w:eastAsia="ＭＳ ゴシック" w:hAnsi="ＭＳ ゴシック" w:cs="ＭＳ ゴシック" w:hint="eastAsia"/>
          <w:lang w:eastAsia="ja-JP"/>
        </w:rPr>
        <w:t>排出量のパフォーマンストラッキングは、削減目標がなくても可能ですが</w:t>
      </w:r>
      <w:r>
        <w:rPr>
          <w:lang w:eastAsia="ja-JP"/>
        </w:rPr>
        <w:t xml:space="preserve"> </w:t>
      </w:r>
      <w:r>
        <w:rPr>
          <w:rFonts w:ascii="ＭＳ ゴシック" w:eastAsia="ＭＳ ゴシック" w:hAnsi="ＭＳ ゴシック" w:cs="ＭＳ ゴシック" w:hint="eastAsia"/>
          <w:lang w:eastAsia="ja-JP"/>
        </w:rPr>
        <w:t>、効果的な</w:t>
      </w:r>
      <w:r>
        <w:rPr>
          <w:lang w:eastAsia="ja-JP"/>
        </w:rPr>
        <w:t>GHG</w:t>
      </w:r>
      <w:r>
        <w:rPr>
          <w:rFonts w:ascii="ＭＳ ゴシック" w:eastAsia="ＭＳ ゴシック" w:hAnsi="ＭＳ ゴシック" w:cs="ＭＳ ゴシック" w:hint="eastAsia"/>
          <w:lang w:eastAsia="ja-JP"/>
        </w:rPr>
        <w:t>管理には</w:t>
      </w:r>
      <w:r>
        <w:rPr>
          <w:lang w:eastAsia="ja-JP"/>
        </w:rPr>
        <w:t>GHG</w:t>
      </w:r>
      <w:r>
        <w:rPr>
          <w:rFonts w:ascii="ＭＳ ゴシック" w:eastAsia="ＭＳ ゴシック" w:hAnsi="ＭＳ ゴシック" w:cs="ＭＳ ゴシック" w:hint="eastAsia"/>
          <w:lang w:eastAsia="ja-JP"/>
        </w:rPr>
        <w:t>目標を設定することが必要です。</w:t>
      </w:r>
    </w:p>
    <w:p w14:paraId="5910593C" w14:textId="4B86CD6E" w:rsidR="004E5CDD" w:rsidRDefault="004E5CDD" w:rsidP="00CD2A66">
      <w:pPr>
        <w:pStyle w:val="a3"/>
        <w:spacing w:before="67" w:line="312" w:lineRule="auto"/>
        <w:ind w:left="851" w:right="140" w:firstLineChars="100" w:firstLine="190"/>
        <w:rPr>
          <w:lang w:eastAsia="ja-JP"/>
        </w:rPr>
      </w:pPr>
      <w:r w:rsidRPr="004E5CDD">
        <w:rPr>
          <w:rFonts w:ascii="ＭＳ ゴシック" w:eastAsia="ＭＳ ゴシック" w:hAnsi="ＭＳ ゴシック" w:cs="ＭＳ ゴシック" w:hint="eastAsia"/>
          <w:lang w:eastAsia="ja-JP"/>
        </w:rPr>
        <w:t>企業は、製品のライフサイクル全体に対する削減目標</w:t>
      </w:r>
      <w:r w:rsidRPr="004E5CDD">
        <w:rPr>
          <w:lang w:eastAsia="ja-JP"/>
        </w:rPr>
        <w:t xml:space="preserve"> </w:t>
      </w:r>
      <w:r w:rsidRPr="004E5CDD">
        <w:rPr>
          <w:rFonts w:ascii="ＭＳ ゴシック" w:eastAsia="ＭＳ ゴシック" w:hAnsi="ＭＳ ゴシック" w:cs="ＭＳ ゴシック" w:hint="eastAsia"/>
          <w:lang w:eastAsia="ja-JP"/>
        </w:rPr>
        <w:t>を設定することで、チェリーピック（つまみ食い）のような印象を与えないようにする必要があります。また、段階や工程ごとに個別の目標を設定することも可能です。目標には、完了日と目標レベル（分析単位あたりの削減目標の数値）の両方を含めるべきで</w:t>
      </w:r>
      <w:r w:rsidR="00CD2A66">
        <w:rPr>
          <w:rFonts w:ascii="ＭＳ ゴシック" w:eastAsia="ＭＳ ゴシック" w:hAnsi="ＭＳ ゴシック" w:cs="ＭＳ ゴシック" w:hint="eastAsia"/>
          <w:lang w:eastAsia="ja-JP"/>
        </w:rPr>
        <w:t>す</w:t>
      </w:r>
      <w:r w:rsidRPr="004E5CDD">
        <w:rPr>
          <w:rFonts w:ascii="ＭＳ ゴシック" w:eastAsia="ＭＳ ゴシック" w:hAnsi="ＭＳ ゴシック" w:cs="ＭＳ ゴシック" w:hint="eastAsia"/>
          <w:lang w:eastAsia="ja-JP"/>
        </w:rPr>
        <w:t>（</w:t>
      </w:r>
      <w:r w:rsidRPr="004E5CDD">
        <w:rPr>
          <w:lang w:eastAsia="ja-JP"/>
        </w:rPr>
        <w:t xml:space="preserve"> </w:t>
      </w:r>
      <w:r w:rsidRPr="004E5CDD">
        <w:rPr>
          <w:rFonts w:ascii="ＭＳ ゴシック" w:eastAsia="ＭＳ ゴシック" w:hAnsi="ＭＳ ゴシック" w:cs="ＭＳ ゴシック" w:hint="eastAsia"/>
          <w:lang w:eastAsia="ja-JP"/>
        </w:rPr>
        <w:t>例：</w:t>
      </w:r>
      <w:r w:rsidRPr="004E5CDD">
        <w:rPr>
          <w:lang w:eastAsia="ja-JP"/>
        </w:rPr>
        <w:t>20</w:t>
      </w:r>
      <w:r w:rsidRPr="004E5CDD">
        <w:rPr>
          <w:rFonts w:ascii="ＭＳ ゴシック" w:eastAsia="ＭＳ ゴシック" w:hAnsi="ＭＳ ゴシック" w:cs="ＭＳ ゴシック" w:hint="eastAsia"/>
          <w:lang w:eastAsia="ja-JP"/>
        </w:rPr>
        <w:t>％削減）。</w:t>
      </w:r>
      <w:r w:rsidR="00CD2A66" w:rsidRPr="00CD2A66">
        <w:rPr>
          <w:rFonts w:ascii="ＭＳ ゴシック" w:eastAsia="ＭＳ ゴシック" w:hAnsi="ＭＳ ゴシック" w:cs="ＭＳ ゴシック" w:hint="eastAsia"/>
          <w:lang w:eastAsia="ja-JP"/>
        </w:rPr>
        <w:t>一般的に、企業は通常業務を大幅に超えるような野心的な目標を設定すべきです。</w:t>
      </w:r>
      <w:r w:rsidR="00CD2A66">
        <w:rPr>
          <w:rFonts w:ascii="ＭＳ ゴシック" w:eastAsia="ＭＳ ゴシック" w:hAnsi="ＭＳ ゴシック" w:cs="ＭＳ ゴシック" w:hint="eastAsia"/>
          <w:lang w:eastAsia="ja-JP"/>
        </w:rPr>
        <w:t>そのような</w:t>
      </w:r>
      <w:r w:rsidR="00CD2A66" w:rsidRPr="00CD2A66">
        <w:rPr>
          <w:rFonts w:ascii="ＭＳ ゴシック" w:eastAsia="ＭＳ ゴシック" w:hAnsi="ＭＳ ゴシック" w:cs="ＭＳ ゴシック" w:hint="eastAsia"/>
          <w:lang w:eastAsia="ja-JP"/>
        </w:rPr>
        <w:t>「ストレッチゴール」は、より大きなイノベーションを推進する傾向があり、ステークホルダーから最も信頼性の高いものと見なされます。</w:t>
      </w:r>
    </w:p>
    <w:p w14:paraId="120BE9B3" w14:textId="77777777" w:rsidR="0055291C" w:rsidRDefault="0055291C">
      <w:pPr>
        <w:pStyle w:val="a3"/>
        <w:spacing w:before="1"/>
        <w:rPr>
          <w:sz w:val="18"/>
          <w:lang w:eastAsia="ja-JP"/>
        </w:rPr>
      </w:pPr>
    </w:p>
    <w:p w14:paraId="6E1133E4" w14:textId="1CBB0519" w:rsidR="0055291C" w:rsidRDefault="00CD2A66" w:rsidP="00CD2A66">
      <w:pPr>
        <w:pStyle w:val="a3"/>
        <w:spacing w:line="312" w:lineRule="auto"/>
        <w:ind w:left="851" w:right="170" w:firstLineChars="148" w:firstLine="281"/>
        <w:rPr>
          <w:lang w:eastAsia="ja-JP"/>
        </w:rPr>
      </w:pPr>
      <w:r>
        <w:rPr>
          <w:rFonts w:ascii="ＭＳ ゴシック" w:eastAsia="ＭＳ ゴシック" w:hAnsi="ＭＳ ゴシック" w:cs="ＭＳ ゴシック" w:hint="eastAsia"/>
          <w:lang w:eastAsia="ja-JP"/>
        </w:rPr>
        <w:t>報告書に設定された削減目標は、すべて分析単位に基づいて作られ、分析単位は排出量を経時的に比較する場合に変更できないことに注意する必要があります。</w:t>
      </w:r>
      <w:r>
        <w:rPr>
          <w:lang w:eastAsia="ja-JP"/>
        </w:rPr>
        <w:t xml:space="preserve"> </w:t>
      </w:r>
      <w:r w:rsidR="001365BF">
        <w:rPr>
          <w:rFonts w:ascii="ＭＳ ゴシック" w:eastAsia="ＭＳ ゴシック" w:hAnsi="ＭＳ ゴシック" w:cs="ＭＳ ゴシック" w:hint="eastAsia"/>
          <w:lang w:eastAsia="ja-JP"/>
        </w:rPr>
        <w:t>つま</w:t>
      </w:r>
    </w:p>
    <w:p w14:paraId="2500B70D" w14:textId="77777777" w:rsidR="0055291C" w:rsidRDefault="00F23C61">
      <w:pPr>
        <w:rPr>
          <w:sz w:val="20"/>
          <w:lang w:eastAsia="ja-JP"/>
        </w:rPr>
      </w:pPr>
      <w:r>
        <w:rPr>
          <w:lang w:eastAsia="ja-JP"/>
        </w:rPr>
        <w:br w:type="column"/>
      </w:r>
    </w:p>
    <w:p w14:paraId="277B4611" w14:textId="41698A43" w:rsidR="0055291C" w:rsidRDefault="00CD2A66" w:rsidP="001365BF">
      <w:pPr>
        <w:pStyle w:val="a3"/>
        <w:spacing w:before="147" w:line="312" w:lineRule="auto"/>
        <w:ind w:left="270" w:right="1003"/>
        <w:rPr>
          <w:lang w:eastAsia="ja-JP"/>
        </w:rPr>
      </w:pPr>
      <w:r>
        <w:rPr>
          <w:rFonts w:ascii="ＭＳ ゴシック" w:eastAsia="ＭＳ ゴシック" w:hAnsi="ＭＳ ゴシック" w:cs="ＭＳ ゴシック" w:hint="eastAsia"/>
          <w:lang w:eastAsia="ja-JP"/>
        </w:rPr>
        <w:t>り、製品のライフサイクルに沿って行われる改良によって分析単位が変更された場合、新し</w:t>
      </w:r>
      <w:r w:rsidR="001365BF">
        <w:rPr>
          <w:rFonts w:ascii="ＭＳ ゴシック" w:eastAsia="ＭＳ ゴシック" w:hAnsi="ＭＳ ゴシック" w:cs="ＭＳ ゴシック" w:hint="eastAsia"/>
          <w:lang w:eastAsia="ja-JP"/>
        </w:rPr>
        <w:t>く排出量算出を行い</w:t>
      </w:r>
      <w:r>
        <w:rPr>
          <w:rFonts w:ascii="ＭＳ ゴシック" w:eastAsia="ＭＳ ゴシック" w:hAnsi="ＭＳ ゴシック" w:cs="ＭＳ ゴシック" w:hint="eastAsia"/>
          <w:lang w:eastAsia="ja-JP"/>
        </w:rPr>
        <w:t>、新しい分析単位に基づいて</w:t>
      </w:r>
      <w:r w:rsidR="001365BF">
        <w:rPr>
          <w:rFonts w:ascii="ＭＳ ゴシック" w:eastAsia="ＭＳ ゴシック" w:hAnsi="ＭＳ ゴシック" w:cs="ＭＳ ゴシック" w:hint="eastAsia"/>
          <w:lang w:eastAsia="ja-JP"/>
        </w:rPr>
        <w:t>基礎排出量</w:t>
      </w:r>
      <w:r>
        <w:rPr>
          <w:rFonts w:ascii="ＭＳ ゴシック" w:eastAsia="ＭＳ ゴシック" w:hAnsi="ＭＳ ゴシック" w:cs="ＭＳ ゴシック" w:hint="eastAsia"/>
          <w:lang w:eastAsia="ja-JP"/>
        </w:rPr>
        <w:t>と削減目標を再定義する必要があるので</w:t>
      </w:r>
      <w:r w:rsidR="001365BF">
        <w:rPr>
          <w:rFonts w:ascii="ＭＳ ゴシック" w:eastAsia="ＭＳ ゴシック" w:hAnsi="ＭＳ ゴシック" w:cs="ＭＳ ゴシック" w:hint="eastAsia"/>
          <w:lang w:eastAsia="ja-JP"/>
        </w:rPr>
        <w:t>す。</w:t>
      </w:r>
    </w:p>
    <w:p w14:paraId="3F3BB392" w14:textId="75B37DC8" w:rsidR="0055291C" w:rsidRDefault="00000000" w:rsidP="001365BF">
      <w:pPr>
        <w:spacing w:before="148"/>
        <w:ind w:left="270" w:right="1003"/>
        <w:rPr>
          <w:rFonts w:ascii="Arial"/>
          <w:b/>
          <w:i/>
          <w:sz w:val="18"/>
          <w:lang w:eastAsia="ja-JP"/>
        </w:rPr>
      </w:pPr>
      <w:r>
        <w:pict w14:anchorId="2FB23CC0">
          <v:shape id="docshape1491" o:spid="_x0000_s2365" type="#_x0000_t202" style="position:absolute;left:0;text-align:left;margin-left:585.65pt;margin-top:-38.75pt;width:17.7pt;height:119.1pt;z-index:251651584;mso-position-horizontal-relative:page" filled="f" stroked="f">
            <v:textbox style="layout-flow:vertical;mso-layout-flow-alt:bottom-to-top;mso-next-textbox:#docshape1491" inset="0,0,0,0">
              <w:txbxContent>
                <w:p w14:paraId="68349983"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v:shape>
        </w:pict>
      </w:r>
      <w:r w:rsidR="00F23C61">
        <w:rPr>
          <w:rFonts w:ascii="Arial"/>
          <w:b/>
          <w:i/>
          <w:color w:val="7F3F98"/>
          <w:sz w:val="18"/>
          <w:lang w:eastAsia="ja-JP"/>
        </w:rPr>
        <w:t>Step</w:t>
      </w:r>
      <w:r w:rsidR="00F23C61">
        <w:rPr>
          <w:rFonts w:ascii="Arial"/>
          <w:b/>
          <w:i/>
          <w:color w:val="7F3F98"/>
          <w:spacing w:val="6"/>
          <w:sz w:val="18"/>
          <w:lang w:eastAsia="ja-JP"/>
        </w:rPr>
        <w:t xml:space="preserve"> </w:t>
      </w:r>
      <w:r w:rsidR="00F23C61">
        <w:rPr>
          <w:rFonts w:ascii="Arial"/>
          <w:b/>
          <w:i/>
          <w:color w:val="7F3F98"/>
          <w:sz w:val="18"/>
          <w:lang w:eastAsia="ja-JP"/>
        </w:rPr>
        <w:t>4:</w:t>
      </w:r>
      <w:r w:rsidR="00F23C61">
        <w:rPr>
          <w:rFonts w:ascii="Arial"/>
          <w:b/>
          <w:i/>
          <w:color w:val="7F3F98"/>
          <w:spacing w:val="31"/>
          <w:sz w:val="18"/>
          <w:lang w:eastAsia="ja-JP"/>
        </w:rPr>
        <w:t xml:space="preserve"> </w:t>
      </w:r>
      <w:r w:rsidR="001365BF">
        <w:rPr>
          <w:rFonts w:ascii="ＭＳ ゴシック" w:eastAsia="ＭＳ ゴシック" w:hAnsi="ＭＳ ゴシック" w:cs="ＭＳ ゴシック" w:hint="eastAsia"/>
          <w:b/>
          <w:i/>
          <w:color w:val="7F3F98"/>
          <w:sz w:val="18"/>
          <w:lang w:eastAsia="ja-JP"/>
        </w:rPr>
        <w:t>削減の達成と算出</w:t>
      </w:r>
    </w:p>
    <w:p w14:paraId="6537DD5B" w14:textId="6BEA0934" w:rsidR="0055291C" w:rsidRDefault="001365BF" w:rsidP="001365BF">
      <w:pPr>
        <w:pStyle w:val="a3"/>
        <w:spacing w:before="1" w:line="312" w:lineRule="auto"/>
        <w:ind w:left="270" w:right="1003" w:firstLineChars="100" w:firstLine="190"/>
        <w:rPr>
          <w:lang w:eastAsia="ja-JP"/>
        </w:rPr>
      </w:pPr>
      <w:r>
        <w:rPr>
          <w:rFonts w:ascii="ＭＳ ゴシック" w:eastAsia="ＭＳ ゴシック" w:hAnsi="ＭＳ ゴシック" w:cs="ＭＳ ゴシック" w:hint="eastAsia"/>
          <w:lang w:eastAsia="ja-JP"/>
        </w:rPr>
        <w:t>企業は、社内で製品の加工や設計を改善したり、顧客と関わりを持ったりするなど、さまざまな方法で削減を達成</w:t>
      </w:r>
      <w:r>
        <w:rPr>
          <w:lang w:eastAsia="ja-JP"/>
        </w:rPr>
        <w:t xml:space="preserve"> </w:t>
      </w:r>
      <w:r>
        <w:rPr>
          <w:rFonts w:ascii="ＭＳ ゴシック" w:eastAsia="ＭＳ ゴシック" w:hAnsi="ＭＳ ゴシック" w:cs="ＭＳ ゴシック" w:hint="eastAsia"/>
          <w:lang w:eastAsia="ja-JP"/>
        </w:rPr>
        <w:t>することができます。後者については、まず、サプライヤーと顧客のエンゲージメントのための戦略を設定することが最初の段階です（さらなる指針は</w:t>
      </w:r>
      <w:r>
        <w:rPr>
          <w:lang w:eastAsia="ja-JP"/>
        </w:rPr>
        <w:t xml:space="preserve"> www.ghgprotocol.org </w:t>
      </w:r>
      <w:r>
        <w:rPr>
          <w:rFonts w:ascii="ＭＳ ゴシック" w:eastAsia="ＭＳ ゴシック" w:hAnsi="ＭＳ ゴシック" w:cs="ＭＳ ゴシック" w:hint="eastAsia"/>
          <w:lang w:eastAsia="ja-JP"/>
        </w:rPr>
        <w:t>を参照）。企業は、製品のライフサイクルに沿ってパートナーと協働し、</w:t>
      </w:r>
      <w:r>
        <w:rPr>
          <w:lang w:eastAsia="ja-JP"/>
        </w:rPr>
        <w:t xml:space="preserve"> </w:t>
      </w:r>
      <w:r>
        <w:rPr>
          <w:rFonts w:ascii="ＭＳ ゴシック" w:eastAsia="ＭＳ ゴシック" w:hAnsi="ＭＳ ゴシック" w:cs="ＭＳ ゴシック" w:hint="eastAsia"/>
          <w:lang w:eastAsia="ja-JP"/>
        </w:rPr>
        <w:t>排出量削減の機会を特定するべきです。これには、サプライヤーと協働して、企業（</w:t>
      </w:r>
      <w:r>
        <w:rPr>
          <w:rFonts w:ascii="ＭＳ ゴシック" w:eastAsia="ＭＳ ゴシック" w:hAnsi="ＭＳ ゴシック" w:cs="ＭＳ ゴシック"/>
          <w:lang w:eastAsia="ja-JP"/>
        </w:rPr>
        <w:t>Scope</w:t>
      </w:r>
      <w:r>
        <w:rPr>
          <w:lang w:eastAsia="ja-JP"/>
        </w:rPr>
        <w:t>1</w:t>
      </w:r>
      <w:r>
        <w:rPr>
          <w:rFonts w:ascii="ＭＳ ゴシック" w:eastAsia="ＭＳ ゴシック" w:hAnsi="ＭＳ ゴシック" w:cs="ＭＳ ゴシック" w:hint="eastAsia"/>
          <w:lang w:eastAsia="ja-JP"/>
        </w:rPr>
        <w:t>、</w:t>
      </w:r>
      <w:r>
        <w:rPr>
          <w:lang w:eastAsia="ja-JP"/>
        </w:rPr>
        <w:t>2</w:t>
      </w:r>
      <w:r>
        <w:rPr>
          <w:rFonts w:ascii="ＭＳ ゴシック" w:eastAsia="ＭＳ ゴシック" w:hAnsi="ＭＳ ゴシック" w:cs="ＭＳ ゴシック" w:hint="eastAsia"/>
          <w:lang w:eastAsia="ja-JP"/>
        </w:rPr>
        <w:t>、</w:t>
      </w:r>
      <w:r>
        <w:rPr>
          <w:lang w:eastAsia="ja-JP"/>
        </w:rPr>
        <w:t>3</w:t>
      </w:r>
      <w:r>
        <w:rPr>
          <w:rFonts w:ascii="ＭＳ ゴシック" w:eastAsia="ＭＳ ゴシック" w:hAnsi="ＭＳ ゴシック" w:cs="ＭＳ ゴシック" w:hint="eastAsia"/>
          <w:lang w:eastAsia="ja-JP"/>
        </w:rPr>
        <w:t>）の排出量を管理し削減することを支援することが含まれるかもしれません。その他の機会としては、製造時に</w:t>
      </w:r>
      <w:r>
        <w:rPr>
          <w:lang w:eastAsia="ja-JP"/>
        </w:rPr>
        <w:t>GHG</w:t>
      </w:r>
      <w:r>
        <w:rPr>
          <w:rFonts w:ascii="ＭＳ ゴシック" w:eastAsia="ＭＳ ゴシック" w:hAnsi="ＭＳ ゴシック" w:cs="ＭＳ ゴシック" w:hint="eastAsia"/>
          <w:lang w:eastAsia="ja-JP"/>
        </w:rPr>
        <w:t>消費</w:t>
      </w:r>
      <w:r w:rsidR="0045764B">
        <w:rPr>
          <w:rFonts w:ascii="ＭＳ ゴシック" w:eastAsia="ＭＳ ゴシック" w:hAnsi="ＭＳ ゴシック" w:cs="ＭＳ ゴシック" w:hint="eastAsia"/>
          <w:lang w:eastAsia="ja-JP"/>
        </w:rPr>
        <w:t>がより少ない</w:t>
      </w:r>
      <w:r>
        <w:rPr>
          <w:rFonts w:ascii="ＭＳ ゴシック" w:eastAsia="ＭＳ ゴシック" w:hAnsi="ＭＳ ゴシック" w:cs="ＭＳ ゴシック" w:hint="eastAsia"/>
          <w:lang w:eastAsia="ja-JP"/>
        </w:rPr>
        <w:t>代替材料を考え</w:t>
      </w:r>
      <w:r w:rsidR="0045764B">
        <w:rPr>
          <w:rFonts w:ascii="ＭＳ ゴシック" w:eastAsia="ＭＳ ゴシック" w:hAnsi="ＭＳ ゴシック" w:cs="ＭＳ ゴシック" w:hint="eastAsia"/>
          <w:lang w:eastAsia="ja-JP"/>
        </w:rPr>
        <w:t>る</w:t>
      </w:r>
      <w:r>
        <w:rPr>
          <w:rFonts w:ascii="ＭＳ ゴシック" w:eastAsia="ＭＳ ゴシック" w:hAnsi="ＭＳ ゴシック" w:cs="ＭＳ ゴシック" w:hint="eastAsia"/>
          <w:lang w:eastAsia="ja-JP"/>
        </w:rPr>
        <w:t>こと、およびさらに上流で</w:t>
      </w:r>
      <w:r>
        <w:rPr>
          <w:lang w:eastAsia="ja-JP"/>
        </w:rPr>
        <w:t>GHG</w:t>
      </w:r>
      <w:r>
        <w:rPr>
          <w:rFonts w:ascii="ＭＳ ゴシック" w:eastAsia="ＭＳ ゴシック" w:hAnsi="ＭＳ ゴシック" w:cs="ＭＳ ゴシック" w:hint="eastAsia"/>
          <w:lang w:eastAsia="ja-JP"/>
        </w:rPr>
        <w:t>の影響を減らすこと（例えば、製品使用段階での燃料使用を減らす</w:t>
      </w:r>
      <w:r w:rsidR="0045764B">
        <w:rPr>
          <w:rFonts w:ascii="ＭＳ ゴシック" w:eastAsia="ＭＳ ゴシック" w:hAnsi="ＭＳ ゴシック" w:cs="ＭＳ ゴシック" w:hint="eastAsia"/>
          <w:lang w:eastAsia="ja-JP"/>
        </w:rPr>
        <w:t>ために</w:t>
      </w:r>
      <w:r>
        <w:rPr>
          <w:rFonts w:ascii="ＭＳ ゴシック" w:eastAsia="ＭＳ ゴシック" w:hAnsi="ＭＳ ゴシック" w:cs="ＭＳ ゴシック" w:hint="eastAsia"/>
          <w:lang w:eastAsia="ja-JP"/>
        </w:rPr>
        <w:t>より軽い自動車パネル</w:t>
      </w:r>
      <w:r w:rsidR="0045764B">
        <w:rPr>
          <w:rFonts w:ascii="ＭＳ ゴシック" w:eastAsia="ＭＳ ゴシック" w:hAnsi="ＭＳ ゴシック" w:cs="ＭＳ ゴシック" w:hint="eastAsia"/>
          <w:lang w:eastAsia="ja-JP"/>
        </w:rPr>
        <w:t>を使う</w:t>
      </w:r>
      <w:r>
        <w:rPr>
          <w:rFonts w:ascii="ＭＳ ゴシック" w:eastAsia="ＭＳ ゴシック" w:hAnsi="ＭＳ ゴシック" w:cs="ＭＳ ゴシック" w:hint="eastAsia"/>
          <w:lang w:eastAsia="ja-JP"/>
        </w:rPr>
        <w:t>）などが考えられます。</w:t>
      </w:r>
    </w:p>
    <w:p w14:paraId="2B33D7E2" w14:textId="69C5D933" w:rsidR="0055291C" w:rsidRDefault="0045764B" w:rsidP="0045764B">
      <w:pPr>
        <w:pStyle w:val="a3"/>
        <w:spacing w:before="146" w:line="312" w:lineRule="auto"/>
        <w:ind w:left="270" w:right="1003" w:firstLineChars="100" w:firstLine="190"/>
        <w:rPr>
          <w:lang w:eastAsia="ja-JP"/>
        </w:rPr>
      </w:pPr>
      <w:r>
        <w:rPr>
          <w:rFonts w:ascii="ＭＳ ゴシック" w:eastAsia="ＭＳ ゴシック" w:hAnsi="ＭＳ ゴシック" w:cs="ＭＳ ゴシック" w:hint="eastAsia"/>
          <w:lang w:eastAsia="ja-JP"/>
        </w:rPr>
        <w:t>排出量の削減を説明するために、企業は、本基準のデータ収集の要求事項（第</w:t>
      </w:r>
      <w:r>
        <w:rPr>
          <w:lang w:eastAsia="ja-JP"/>
        </w:rPr>
        <w:t>8</w:t>
      </w:r>
      <w:r>
        <w:rPr>
          <w:rFonts w:ascii="ＭＳ ゴシック" w:eastAsia="ＭＳ ゴシック" w:hAnsi="ＭＳ ゴシック" w:cs="ＭＳ ゴシック" w:hint="eastAsia"/>
          <w:lang w:eastAsia="ja-JP"/>
        </w:rPr>
        <w:t>章）を参照してください。</w:t>
      </w:r>
      <w:r>
        <w:rPr>
          <w:lang w:eastAsia="ja-JP"/>
        </w:rPr>
        <w:t xml:space="preserve"> </w:t>
      </w:r>
      <w:r>
        <w:rPr>
          <w:rFonts w:ascii="ＭＳ ゴシック" w:eastAsia="ＭＳ ゴシック" w:hAnsi="ＭＳ ゴシック" w:cs="ＭＳ ゴシック" w:hint="eastAsia"/>
          <w:lang w:eastAsia="ja-JP"/>
        </w:rPr>
        <w:t>削減量は、</w:t>
      </w:r>
      <w:r w:rsidR="005C633F">
        <w:rPr>
          <w:rFonts w:ascii="ＭＳ ゴシック" w:eastAsia="ＭＳ ゴシック" w:hAnsi="ＭＳ ゴシック" w:cs="ＭＳ ゴシック" w:hint="eastAsia"/>
          <w:lang w:eastAsia="ja-JP"/>
        </w:rPr>
        <w:t>本規格の帰属方法（すなわち、歴史的で</w:t>
      </w:r>
      <w:r w:rsidR="005C633F">
        <w:rPr>
          <w:lang w:eastAsia="ja-JP"/>
        </w:rPr>
        <w:t xml:space="preserve"> </w:t>
      </w:r>
      <w:r w:rsidR="005C633F">
        <w:rPr>
          <w:rFonts w:ascii="ＭＳ ゴシック" w:eastAsia="ＭＳ ゴシック" w:hAnsi="ＭＳ ゴシック" w:cs="ＭＳ ゴシック" w:hint="eastAsia"/>
          <w:lang w:eastAsia="ja-JP"/>
        </w:rPr>
        <w:t>、事実に基づく、測定可能な）に従い、報告書の更新より前に発生した、</w:t>
      </w:r>
      <w:r>
        <w:rPr>
          <w:rFonts w:ascii="ＭＳ ゴシック" w:eastAsia="ＭＳ ゴシック" w:hAnsi="ＭＳ ゴシック" w:cs="ＭＳ ゴシック" w:hint="eastAsia"/>
          <w:lang w:eastAsia="ja-JP"/>
        </w:rPr>
        <w:t>収集</w:t>
      </w:r>
      <w:r w:rsidR="005C633F">
        <w:rPr>
          <w:rFonts w:ascii="ＭＳ ゴシック" w:eastAsia="ＭＳ ゴシック" w:hAnsi="ＭＳ ゴシック" w:cs="ＭＳ ゴシック" w:hint="eastAsia"/>
          <w:lang w:eastAsia="ja-JP"/>
        </w:rPr>
        <w:t>され</w:t>
      </w:r>
      <w:r>
        <w:rPr>
          <w:rFonts w:ascii="ＭＳ ゴシック" w:eastAsia="ＭＳ ゴシック" w:hAnsi="ＭＳ ゴシック" w:cs="ＭＳ ゴシック" w:hint="eastAsia"/>
          <w:lang w:eastAsia="ja-JP"/>
        </w:rPr>
        <w:t>た直接排出データ、活動データ</w:t>
      </w:r>
      <w:r>
        <w:rPr>
          <w:lang w:eastAsia="ja-JP"/>
        </w:rPr>
        <w:t xml:space="preserve"> </w:t>
      </w:r>
      <w:r>
        <w:rPr>
          <w:rFonts w:ascii="ＭＳ ゴシック" w:eastAsia="ＭＳ ゴシック" w:hAnsi="ＭＳ ゴシック" w:cs="ＭＳ ゴシック" w:hint="eastAsia"/>
          <w:lang w:eastAsia="ja-JP"/>
        </w:rPr>
        <w:t>、</w:t>
      </w:r>
      <w:r>
        <w:rPr>
          <w:lang w:eastAsia="ja-JP"/>
        </w:rPr>
        <w:t xml:space="preserve"> </w:t>
      </w:r>
      <w:r>
        <w:rPr>
          <w:rFonts w:ascii="ＭＳ ゴシック" w:eastAsia="ＭＳ ゴシック" w:hAnsi="ＭＳ ゴシック" w:cs="ＭＳ ゴシック" w:hint="eastAsia"/>
          <w:lang w:eastAsia="ja-JP"/>
        </w:rPr>
        <w:t>あるいは排出係数を用いて評価するべきです。</w:t>
      </w:r>
    </w:p>
    <w:p w14:paraId="7EEDBB2F" w14:textId="77777777" w:rsidR="0055291C" w:rsidRDefault="0055291C">
      <w:pPr>
        <w:pStyle w:val="a3"/>
        <w:rPr>
          <w:sz w:val="20"/>
          <w:lang w:eastAsia="ja-JP"/>
        </w:rPr>
      </w:pPr>
    </w:p>
    <w:p w14:paraId="01330239" w14:textId="77777777" w:rsidR="0055291C" w:rsidRDefault="0055291C">
      <w:pPr>
        <w:pStyle w:val="a3"/>
        <w:spacing w:before="3"/>
        <w:rPr>
          <w:sz w:val="16"/>
          <w:lang w:eastAsia="ja-JP"/>
        </w:rPr>
      </w:pPr>
    </w:p>
    <w:p w14:paraId="1CE8F9D5" w14:textId="22308CBF" w:rsidR="0055291C" w:rsidRDefault="00F23C61">
      <w:pPr>
        <w:pStyle w:val="6"/>
        <w:spacing w:before="0"/>
        <w:ind w:left="289"/>
        <w:jc w:val="both"/>
        <w:rPr>
          <w:lang w:eastAsia="ja-JP"/>
        </w:rPr>
      </w:pPr>
      <w:r>
        <w:rPr>
          <w:color w:val="00ACA1"/>
          <w:w w:val="95"/>
          <w:lang w:eastAsia="ja-JP"/>
        </w:rPr>
        <w:t>Box</w:t>
      </w:r>
      <w:r>
        <w:rPr>
          <w:color w:val="00ACA1"/>
          <w:spacing w:val="-10"/>
          <w:w w:val="95"/>
          <w:lang w:eastAsia="ja-JP"/>
        </w:rPr>
        <w:t xml:space="preserve"> </w:t>
      </w:r>
      <w:r>
        <w:rPr>
          <w:color w:val="00ACA1"/>
          <w:w w:val="95"/>
          <w:lang w:eastAsia="ja-JP"/>
        </w:rPr>
        <w:t>[14.1]</w:t>
      </w:r>
      <w:r>
        <w:rPr>
          <w:color w:val="00ACA1"/>
          <w:spacing w:val="-10"/>
          <w:w w:val="95"/>
          <w:lang w:eastAsia="ja-JP"/>
        </w:rPr>
        <w:t xml:space="preserve"> </w:t>
      </w:r>
      <w:r w:rsidR="005C633F">
        <w:rPr>
          <w:rFonts w:ascii="ＭＳ 明朝" w:eastAsia="ＭＳ 明朝" w:hAnsi="ＭＳ 明朝" w:cs="ＭＳ 明朝" w:hint="eastAsia"/>
          <w:color w:val="545456"/>
          <w:w w:val="95"/>
          <w:lang w:eastAsia="ja-JP"/>
        </w:rPr>
        <w:t>環境負荷間のトレードオフ</w:t>
      </w:r>
    </w:p>
    <w:p w14:paraId="30C531E7" w14:textId="77777777" w:rsidR="0055291C" w:rsidRDefault="00000000">
      <w:pPr>
        <w:pStyle w:val="a3"/>
        <w:spacing w:before="6"/>
        <w:rPr>
          <w:rFonts w:ascii="Arial"/>
          <w:b/>
          <w:sz w:val="15"/>
          <w:lang w:eastAsia="ja-JP"/>
        </w:rPr>
      </w:pPr>
      <w:r>
        <w:pict w14:anchorId="63D170D5">
          <v:group id="docshapegroup1492" o:spid="_x0000_s2362" style="position:absolute;margin-left:313.1pt;margin-top:10.15pt;width:241.1pt;height:154.05pt;z-index:-251468288;mso-wrap-distance-left:0;mso-wrap-distance-right:0;mso-position-horizontal-relative:page" coordorigin="6262,203" coordsize="4822,2656">
            <v:shape id="docshape1493" o:spid="_x0000_s2364" style="position:absolute;left:6261;top:202;width:4822;height:2656" coordorigin="6262,203" coordsize="4822,2656" path="m10857,203r-4368,l6357,206r-67,25l6265,298r-3,131l6262,2631r3,132l6290,2830r67,25l6489,2858r4368,l10988,2855r67,-25l11080,2763r3,-132l11083,429r-3,-131l11055,231r-67,-25l10857,203xe" fillcolor="#e4f3f1" stroked="f">
              <v:path arrowok="t"/>
            </v:shape>
            <v:shape id="docshape1494" o:spid="_x0000_s2363" type="#_x0000_t202" style="position:absolute;left:6261;top:202;width:4822;height:2656" filled="f" stroked="f">
              <v:textbox style="mso-next-textbox:#docshape1494" inset="0,0,0,0">
                <w:txbxContent>
                  <w:p w14:paraId="19FC2921" w14:textId="77777777" w:rsidR="0055291C" w:rsidRDefault="0055291C">
                    <w:pPr>
                      <w:spacing w:before="2"/>
                      <w:rPr>
                        <w:rFonts w:ascii="Arial"/>
                        <w:b/>
                        <w:sz w:val="25"/>
                      </w:rPr>
                    </w:pPr>
                  </w:p>
                  <w:p w14:paraId="79C298D9" w14:textId="60DAA5B4" w:rsidR="0055291C" w:rsidRPr="005C633F" w:rsidRDefault="005C633F" w:rsidP="005C633F">
                    <w:pPr>
                      <w:spacing w:line="328" w:lineRule="auto"/>
                      <w:ind w:left="226" w:right="298" w:firstLineChars="100" w:firstLine="188"/>
                      <w:rPr>
                        <w:color w:val="545456"/>
                        <w:w w:val="105"/>
                        <w:sz w:val="18"/>
                        <w:lang w:eastAsia="ja-JP"/>
                      </w:rPr>
                    </w:pPr>
                    <w:r w:rsidRPr="005C633F">
                      <w:rPr>
                        <w:color w:val="545456"/>
                        <w:w w:val="105"/>
                        <w:sz w:val="18"/>
                        <w:lang w:eastAsia="ja-JP"/>
                      </w:rPr>
                      <w:t>GHG</w:t>
                    </w:r>
                    <w:r>
                      <w:rPr>
                        <w:rFonts w:ascii="ＭＳ ゴシック" w:eastAsia="ＭＳ ゴシック" w:hAnsi="ＭＳ ゴシック" w:cs="ＭＳ ゴシック" w:hint="eastAsia"/>
                        <w:color w:val="545456"/>
                        <w:w w:val="105"/>
                        <w:sz w:val="18"/>
                        <w:lang w:eastAsia="ja-JP"/>
                      </w:rPr>
                      <w:t>算出</w:t>
                    </w:r>
                    <w:r w:rsidRPr="005C633F">
                      <w:rPr>
                        <w:rFonts w:ascii="ＭＳ ゴシック" w:eastAsia="ＭＳ ゴシック" w:hAnsi="ＭＳ ゴシック" w:cs="ＭＳ ゴシック" w:hint="eastAsia"/>
                        <w:color w:val="545456"/>
                        <w:w w:val="105"/>
                        <w:sz w:val="18"/>
                        <w:lang w:eastAsia="ja-JP"/>
                      </w:rPr>
                      <w:t>の限界の一つは、それが単一の環境影響に焦点を当てていることで</w:t>
                    </w:r>
                    <w:r>
                      <w:rPr>
                        <w:rFonts w:ascii="ＭＳ ゴシック" w:eastAsia="ＭＳ ゴシック" w:hAnsi="ＭＳ ゴシック" w:cs="ＭＳ ゴシック" w:hint="eastAsia"/>
                        <w:color w:val="545456"/>
                        <w:w w:val="105"/>
                        <w:sz w:val="18"/>
                        <w:lang w:eastAsia="ja-JP"/>
                      </w:rPr>
                      <w:t>す</w:t>
                    </w:r>
                    <w:r w:rsidRPr="005C633F">
                      <w:rPr>
                        <w:rFonts w:ascii="ＭＳ ゴシック" w:eastAsia="ＭＳ ゴシック" w:hAnsi="ＭＳ ゴシック" w:cs="ＭＳ ゴシック" w:hint="eastAsia"/>
                        <w:color w:val="545456"/>
                        <w:w w:val="105"/>
                        <w:sz w:val="18"/>
                        <w:lang w:eastAsia="ja-JP"/>
                      </w:rPr>
                      <w:t>。製品のライフサイクルに変更を加えて</w:t>
                    </w:r>
                    <w:r w:rsidRPr="005C633F">
                      <w:rPr>
                        <w:color w:val="545456"/>
                        <w:w w:val="105"/>
                        <w:sz w:val="18"/>
                        <w:lang w:eastAsia="ja-JP"/>
                      </w:rPr>
                      <w:t>GHG</w:t>
                    </w:r>
                    <w:r w:rsidRPr="005C633F">
                      <w:rPr>
                        <w:rFonts w:ascii="ＭＳ ゴシック" w:eastAsia="ＭＳ ゴシック" w:hAnsi="ＭＳ ゴシック" w:cs="ＭＳ ゴシック" w:hint="eastAsia"/>
                        <w:color w:val="545456"/>
                        <w:w w:val="105"/>
                        <w:sz w:val="18"/>
                        <w:lang w:eastAsia="ja-JP"/>
                      </w:rPr>
                      <w:t>排出量を削減することを決定する前に、企業はその変更の結果として何らかの環境トレードオフが起こりうるかどうかを検討すべきで</w:t>
                    </w:r>
                    <w:r>
                      <w:rPr>
                        <w:rFonts w:ascii="ＭＳ ゴシック" w:eastAsia="ＭＳ ゴシック" w:hAnsi="ＭＳ ゴシック" w:cs="ＭＳ ゴシック" w:hint="eastAsia"/>
                        <w:color w:val="545456"/>
                        <w:w w:val="105"/>
                        <w:sz w:val="18"/>
                        <w:lang w:eastAsia="ja-JP"/>
                      </w:rPr>
                      <w:t>す</w:t>
                    </w:r>
                    <w:r w:rsidRPr="005C633F">
                      <w:rPr>
                        <w:rFonts w:ascii="ＭＳ ゴシック" w:eastAsia="ＭＳ ゴシック" w:hAnsi="ＭＳ ゴシック" w:cs="ＭＳ ゴシック" w:hint="eastAsia"/>
                        <w:color w:val="545456"/>
                        <w:w w:val="105"/>
                        <w:sz w:val="18"/>
                        <w:lang w:eastAsia="ja-JP"/>
                      </w:rPr>
                      <w:t>。例えば、</w:t>
                    </w:r>
                    <w:r w:rsidRPr="005C633F">
                      <w:rPr>
                        <w:color w:val="545456"/>
                        <w:w w:val="105"/>
                        <w:sz w:val="18"/>
                        <w:lang w:eastAsia="ja-JP"/>
                      </w:rPr>
                      <w:t>GHG</w:t>
                    </w:r>
                    <w:r w:rsidRPr="005C633F">
                      <w:rPr>
                        <w:rFonts w:ascii="ＭＳ ゴシック" w:eastAsia="ＭＳ ゴシック" w:hAnsi="ＭＳ ゴシック" w:cs="ＭＳ ゴシック" w:hint="eastAsia"/>
                        <w:color w:val="545456"/>
                        <w:w w:val="105"/>
                        <w:sz w:val="18"/>
                        <w:lang w:eastAsia="ja-JP"/>
                      </w:rPr>
                      <w:t>を多用する処理工程を</w:t>
                    </w:r>
                    <w:r>
                      <w:rPr>
                        <w:rFonts w:ascii="ＭＳ ゴシック" w:eastAsia="ＭＳ ゴシック" w:hAnsi="ＭＳ ゴシック" w:cs="ＭＳ ゴシック" w:hint="eastAsia"/>
                        <w:color w:val="545456"/>
                        <w:w w:val="105"/>
                        <w:sz w:val="18"/>
                        <w:lang w:eastAsia="ja-JP"/>
                      </w:rPr>
                      <w:t>、</w:t>
                    </w:r>
                    <w:r w:rsidRPr="005C633F">
                      <w:rPr>
                        <w:rFonts w:ascii="ＭＳ ゴシック" w:eastAsia="ＭＳ ゴシック" w:hAnsi="ＭＳ ゴシック" w:cs="ＭＳ ゴシック" w:hint="eastAsia"/>
                        <w:color w:val="545456"/>
                        <w:w w:val="105"/>
                        <w:sz w:val="18"/>
                        <w:lang w:eastAsia="ja-JP"/>
                      </w:rPr>
                      <w:t>水資源をより多く使用する工程に変更する場合など</w:t>
                    </w:r>
                    <w:r>
                      <w:rPr>
                        <w:rFonts w:ascii="ＭＳ ゴシック" w:eastAsia="ＭＳ ゴシック" w:hAnsi="ＭＳ ゴシック" w:cs="ＭＳ ゴシック" w:hint="eastAsia"/>
                        <w:color w:val="545456"/>
                        <w:w w:val="105"/>
                        <w:sz w:val="18"/>
                        <w:lang w:eastAsia="ja-JP"/>
                      </w:rPr>
                      <w:t>が挙げられます</w:t>
                    </w:r>
                    <w:r w:rsidRPr="005C633F">
                      <w:rPr>
                        <w:rFonts w:ascii="ＭＳ ゴシック" w:eastAsia="ＭＳ ゴシック" w:hAnsi="ＭＳ ゴシック" w:cs="ＭＳ ゴシック" w:hint="eastAsia"/>
                        <w:color w:val="545456"/>
                        <w:w w:val="105"/>
                        <w:sz w:val="18"/>
                        <w:lang w:eastAsia="ja-JP"/>
                      </w:rPr>
                      <w:t>。</w:t>
                    </w:r>
                    <w:r w:rsidRPr="005C633F">
                      <w:rPr>
                        <w:color w:val="545456"/>
                        <w:w w:val="105"/>
                        <w:sz w:val="18"/>
                        <w:lang w:eastAsia="ja-JP"/>
                      </w:rPr>
                      <w:cr/>
                    </w:r>
                  </w:p>
                </w:txbxContent>
              </v:textbox>
            </v:shape>
            <w10:wrap type="topAndBottom" anchorx="page"/>
          </v:group>
        </w:pict>
      </w:r>
    </w:p>
    <w:p w14:paraId="181841E0" w14:textId="77777777" w:rsidR="0055291C" w:rsidRDefault="0055291C">
      <w:pPr>
        <w:rPr>
          <w:rFonts w:ascii="Arial"/>
          <w:sz w:val="15"/>
          <w:lang w:eastAsia="ja-JP"/>
        </w:rPr>
        <w:sectPr w:rsidR="0055291C">
          <w:type w:val="continuous"/>
          <w:pgSz w:w="12240" w:h="15840"/>
          <w:pgMar w:top="740" w:right="0" w:bottom="280" w:left="0" w:header="0" w:footer="859" w:gutter="0"/>
          <w:cols w:num="2" w:space="720" w:equalWidth="0">
            <w:col w:w="5952" w:space="40"/>
            <w:col w:w="6248"/>
          </w:cols>
        </w:sectPr>
      </w:pPr>
    </w:p>
    <w:p w14:paraId="75A3ED20" w14:textId="77777777" w:rsidR="0055291C" w:rsidRDefault="0055291C">
      <w:pPr>
        <w:pStyle w:val="a3"/>
        <w:rPr>
          <w:rFonts w:ascii="Arial"/>
          <w:b/>
          <w:sz w:val="20"/>
          <w:lang w:eastAsia="ja-JP"/>
        </w:rPr>
      </w:pPr>
    </w:p>
    <w:p w14:paraId="2CCCD668" w14:textId="77777777" w:rsidR="0055291C" w:rsidRDefault="0055291C">
      <w:pPr>
        <w:pStyle w:val="a3"/>
        <w:rPr>
          <w:rFonts w:ascii="Arial"/>
          <w:b/>
          <w:sz w:val="20"/>
          <w:lang w:eastAsia="ja-JP"/>
        </w:rPr>
      </w:pPr>
    </w:p>
    <w:p w14:paraId="494A13B2" w14:textId="77777777" w:rsidR="0055291C" w:rsidRDefault="0055291C">
      <w:pPr>
        <w:pStyle w:val="a3"/>
        <w:rPr>
          <w:rFonts w:ascii="Arial"/>
          <w:b/>
          <w:sz w:val="20"/>
          <w:lang w:eastAsia="ja-JP"/>
        </w:rPr>
      </w:pPr>
    </w:p>
    <w:p w14:paraId="39E26B2E" w14:textId="77777777" w:rsidR="0055291C" w:rsidRDefault="0055291C">
      <w:pPr>
        <w:pStyle w:val="a3"/>
        <w:rPr>
          <w:rFonts w:ascii="Arial"/>
          <w:b/>
          <w:sz w:val="20"/>
          <w:lang w:eastAsia="ja-JP"/>
        </w:rPr>
      </w:pPr>
    </w:p>
    <w:p w14:paraId="3E36A38B" w14:textId="77777777" w:rsidR="0055291C" w:rsidRDefault="0055291C">
      <w:pPr>
        <w:rPr>
          <w:rFonts w:ascii="Arial"/>
          <w:sz w:val="20"/>
          <w:lang w:eastAsia="ja-JP"/>
        </w:rPr>
        <w:sectPr w:rsidR="0055291C">
          <w:headerReference w:type="even" r:id="rId333"/>
          <w:footerReference w:type="even" r:id="rId334"/>
          <w:footerReference w:type="default" r:id="rId335"/>
          <w:pgSz w:w="12240" w:h="15840"/>
          <w:pgMar w:top="620" w:right="0" w:bottom="1040" w:left="0" w:header="0" w:footer="859" w:gutter="0"/>
          <w:pgNumType w:start="112"/>
          <w:cols w:space="720"/>
        </w:sectPr>
      </w:pPr>
    </w:p>
    <w:p w14:paraId="512CF18C" w14:textId="77777777" w:rsidR="0055291C" w:rsidRDefault="0055291C">
      <w:pPr>
        <w:pStyle w:val="a3"/>
        <w:spacing w:before="8"/>
        <w:rPr>
          <w:rFonts w:ascii="Arial"/>
          <w:b/>
          <w:sz w:val="21"/>
          <w:lang w:eastAsia="ja-JP"/>
        </w:rPr>
      </w:pPr>
    </w:p>
    <w:p w14:paraId="6ADF5D90" w14:textId="77777777" w:rsidR="005C633F" w:rsidRDefault="00F23C61" w:rsidP="001C7D25">
      <w:pPr>
        <w:spacing w:line="314" w:lineRule="auto"/>
        <w:ind w:left="851" w:right="315"/>
        <w:rPr>
          <w:rFonts w:ascii="Arial"/>
          <w:b/>
          <w:i/>
          <w:color w:val="7F3F98"/>
          <w:sz w:val="18"/>
          <w:lang w:eastAsia="ja-JP"/>
        </w:rPr>
      </w:pPr>
      <w:r>
        <w:rPr>
          <w:rFonts w:ascii="Arial"/>
          <w:b/>
          <w:i/>
          <w:color w:val="7F3F98"/>
          <w:sz w:val="18"/>
          <w:lang w:eastAsia="ja-JP"/>
        </w:rPr>
        <w:t>Step</w:t>
      </w:r>
      <w:r>
        <w:rPr>
          <w:rFonts w:ascii="Arial"/>
          <w:b/>
          <w:i/>
          <w:color w:val="7F3F98"/>
          <w:spacing w:val="6"/>
          <w:sz w:val="18"/>
          <w:lang w:eastAsia="ja-JP"/>
        </w:rPr>
        <w:t xml:space="preserve"> </w:t>
      </w:r>
      <w:r>
        <w:rPr>
          <w:rFonts w:ascii="Arial"/>
          <w:b/>
          <w:i/>
          <w:color w:val="7F3F98"/>
          <w:sz w:val="18"/>
          <w:lang w:eastAsia="ja-JP"/>
        </w:rPr>
        <w:t>5:</w:t>
      </w:r>
      <w:r w:rsidR="005C633F">
        <w:rPr>
          <w:rFonts w:ascii="ＭＳ ゴシック" w:eastAsia="ＭＳ ゴシック" w:hAnsi="ＭＳ ゴシック" w:cs="ＭＳ ゴシック" w:hint="eastAsia"/>
          <w:b/>
          <w:i/>
          <w:color w:val="7F3F98"/>
          <w:sz w:val="18"/>
          <w:lang w:eastAsia="ja-JP"/>
        </w:rPr>
        <w:t>基礎排出量の再計算</w:t>
      </w:r>
    </w:p>
    <w:p w14:paraId="26B1F755" w14:textId="202AA229" w:rsidR="0055291C" w:rsidRPr="001C7D25" w:rsidRDefault="005C633F" w:rsidP="001C7D25">
      <w:pPr>
        <w:spacing w:line="314" w:lineRule="auto"/>
        <w:ind w:left="851" w:right="315" w:firstLineChars="100" w:firstLine="190"/>
        <w:rPr>
          <w:sz w:val="19"/>
          <w:szCs w:val="19"/>
          <w:lang w:eastAsia="ja-JP"/>
        </w:rPr>
      </w:pPr>
      <w:r w:rsidRPr="001C7D25">
        <w:rPr>
          <w:rFonts w:ascii="ＭＳ ゴシック" w:eastAsia="ＭＳ ゴシック" w:hAnsi="ＭＳ ゴシック" w:cs="ＭＳ ゴシック" w:hint="eastAsia"/>
          <w:sz w:val="19"/>
          <w:szCs w:val="19"/>
          <w:lang w:eastAsia="ja-JP"/>
        </w:rPr>
        <w:t>時間経過</w:t>
      </w:r>
      <w:r w:rsidRPr="001C7D25">
        <w:rPr>
          <w:sz w:val="19"/>
          <w:szCs w:val="19"/>
          <w:lang w:eastAsia="ja-JP"/>
        </w:rPr>
        <w:t xml:space="preserve"> </w:t>
      </w:r>
      <w:r w:rsidRPr="001C7D25">
        <w:rPr>
          <w:rFonts w:ascii="ＭＳ ゴシック" w:eastAsia="ＭＳ ゴシック" w:hAnsi="ＭＳ ゴシック" w:cs="ＭＳ ゴシック" w:hint="eastAsia"/>
          <w:sz w:val="19"/>
          <w:szCs w:val="19"/>
          <w:lang w:eastAsia="ja-JP"/>
        </w:rPr>
        <w:t>とともに、活動データ、排出係数</w:t>
      </w:r>
      <w:r w:rsidRPr="001C7D25">
        <w:rPr>
          <w:sz w:val="19"/>
          <w:szCs w:val="19"/>
          <w:vertAlign w:val="superscript"/>
          <w:lang w:eastAsia="ja-JP"/>
        </w:rPr>
        <w:t>1</w:t>
      </w:r>
      <w:r w:rsidRPr="001C7D25">
        <w:rPr>
          <w:rFonts w:ascii="ＭＳ ゴシック" w:eastAsia="ＭＳ ゴシック" w:hAnsi="ＭＳ ゴシック" w:cs="ＭＳ ゴシック" w:hint="eastAsia"/>
          <w:sz w:val="19"/>
          <w:szCs w:val="19"/>
          <w:lang w:eastAsia="ja-JP"/>
        </w:rPr>
        <w:t>、データの質</w:t>
      </w:r>
      <w:r w:rsidRPr="001C7D25">
        <w:rPr>
          <w:sz w:val="19"/>
          <w:szCs w:val="19"/>
          <w:lang w:eastAsia="ja-JP"/>
        </w:rPr>
        <w:t xml:space="preserve"> </w:t>
      </w:r>
      <w:r w:rsidRPr="001C7D25">
        <w:rPr>
          <w:rFonts w:ascii="ＭＳ ゴシック" w:eastAsia="ＭＳ ゴシック" w:hAnsi="ＭＳ ゴシック" w:cs="ＭＳ ゴシック" w:hint="eastAsia"/>
          <w:sz w:val="19"/>
          <w:szCs w:val="19"/>
          <w:lang w:eastAsia="ja-JP"/>
        </w:rPr>
        <w:t>、および、排出量に変更や改善が生じる可能性が</w:t>
      </w:r>
      <w:r w:rsidRPr="001C7D25">
        <w:rPr>
          <w:sz w:val="19"/>
          <w:szCs w:val="19"/>
          <w:lang w:eastAsia="ja-JP"/>
        </w:rPr>
        <w:t xml:space="preserve"> </w:t>
      </w:r>
      <w:r w:rsidRPr="001C7D25">
        <w:rPr>
          <w:rFonts w:ascii="ＭＳ ゴシック" w:eastAsia="ＭＳ ゴシック" w:hAnsi="ＭＳ ゴシック" w:cs="ＭＳ ゴシック" w:hint="eastAsia"/>
          <w:sz w:val="19"/>
          <w:szCs w:val="19"/>
          <w:lang w:eastAsia="ja-JP"/>
        </w:rPr>
        <w:t>あります。そのようなパラメータや手法の変更が</w:t>
      </w:r>
      <w:r w:rsidR="001C7D25">
        <w:rPr>
          <w:rFonts w:ascii="ＭＳ ゴシック" w:eastAsia="ＭＳ ゴシック" w:hAnsi="ＭＳ ゴシック" w:cs="ＭＳ ゴシック" w:hint="eastAsia"/>
          <w:sz w:val="19"/>
          <w:szCs w:val="19"/>
          <w:lang w:eastAsia="ja-JP"/>
        </w:rPr>
        <w:t>基礎排出量</w:t>
      </w:r>
      <w:r w:rsidRPr="001C7D25">
        <w:rPr>
          <w:rFonts w:ascii="ＭＳ ゴシック" w:eastAsia="ＭＳ ゴシック" w:hAnsi="ＭＳ ゴシック" w:cs="ＭＳ ゴシック" w:hint="eastAsia"/>
          <w:sz w:val="19"/>
          <w:szCs w:val="19"/>
          <w:lang w:eastAsia="ja-JP"/>
        </w:rPr>
        <w:t>の結果に影響を与える場合</w:t>
      </w:r>
      <w:r w:rsidR="001C7D25">
        <w:rPr>
          <w:rFonts w:ascii="ＭＳ ゴシック" w:eastAsia="ＭＳ ゴシック" w:hAnsi="ＭＳ ゴシック" w:cs="ＭＳ ゴシック" w:hint="eastAsia"/>
          <w:sz w:val="19"/>
          <w:szCs w:val="19"/>
          <w:lang w:eastAsia="ja-JP"/>
        </w:rPr>
        <w:t>、基礎排出量</w:t>
      </w:r>
      <w:r w:rsidRPr="001C7D25">
        <w:rPr>
          <w:rFonts w:ascii="ＭＳ ゴシック" w:eastAsia="ＭＳ ゴシック" w:hAnsi="ＭＳ ゴシック" w:cs="ＭＳ ゴシック" w:hint="eastAsia"/>
          <w:sz w:val="19"/>
          <w:szCs w:val="19"/>
          <w:lang w:eastAsia="ja-JP"/>
        </w:rPr>
        <w:t>は、経時的な排出量情報の比較可能性を確保するために再計算する</w:t>
      </w:r>
      <w:r w:rsidR="001C7D25">
        <w:rPr>
          <w:rFonts w:ascii="ＭＳ ゴシック" w:eastAsia="ＭＳ ゴシック" w:hAnsi="ＭＳ ゴシック" w:cs="ＭＳ ゴシック" w:hint="eastAsia"/>
          <w:sz w:val="19"/>
          <w:szCs w:val="19"/>
          <w:lang w:eastAsia="ja-JP"/>
        </w:rPr>
        <w:t>べきです</w:t>
      </w:r>
      <w:r w:rsidRPr="001C7D25">
        <w:rPr>
          <w:rFonts w:ascii="ＭＳ ゴシック" w:eastAsia="ＭＳ ゴシック" w:hAnsi="ＭＳ ゴシック" w:cs="ＭＳ ゴシック" w:hint="eastAsia"/>
          <w:sz w:val="19"/>
          <w:szCs w:val="19"/>
          <w:lang w:eastAsia="ja-JP"/>
        </w:rPr>
        <w:t>。これらの変更には、帰属プロセスの再定義、より高品質なデータの収集、配分やリサイクル手法の変更などが含まれ</w:t>
      </w:r>
      <w:r w:rsidR="001C7D25">
        <w:rPr>
          <w:rFonts w:ascii="ＭＳ ゴシック" w:eastAsia="ＭＳ ゴシック" w:hAnsi="ＭＳ ゴシック" w:cs="ＭＳ ゴシック" w:hint="eastAsia"/>
          <w:sz w:val="19"/>
          <w:szCs w:val="19"/>
          <w:lang w:eastAsia="ja-JP"/>
        </w:rPr>
        <w:t>ます</w:t>
      </w:r>
      <w:r w:rsidRPr="001C7D25">
        <w:rPr>
          <w:rFonts w:ascii="ＭＳ ゴシック" w:eastAsia="ＭＳ ゴシック" w:hAnsi="ＭＳ ゴシック" w:cs="ＭＳ ゴシック" w:hint="eastAsia"/>
          <w:sz w:val="19"/>
          <w:szCs w:val="19"/>
          <w:lang w:eastAsia="ja-JP"/>
        </w:rPr>
        <w:t>。上記の要求通り、</w:t>
      </w:r>
      <w:r w:rsidR="001C7D25">
        <w:rPr>
          <w:rFonts w:ascii="ＭＳ ゴシック" w:eastAsia="ＭＳ ゴシック" w:hAnsi="ＭＳ ゴシック" w:cs="ＭＳ ゴシック" w:hint="eastAsia"/>
          <w:sz w:val="19"/>
          <w:szCs w:val="19"/>
          <w:lang w:eastAsia="ja-JP"/>
        </w:rPr>
        <w:t>基礎排出量</w:t>
      </w:r>
      <w:r w:rsidRPr="001C7D25">
        <w:rPr>
          <w:rFonts w:ascii="ＭＳ ゴシック" w:eastAsia="ＭＳ ゴシック" w:hAnsi="ＭＳ ゴシック" w:cs="ＭＳ ゴシック" w:hint="eastAsia"/>
          <w:sz w:val="19"/>
          <w:szCs w:val="19"/>
          <w:lang w:eastAsia="ja-JP"/>
        </w:rPr>
        <w:t>の再計算を必要とするような変更があった場合は、</w:t>
      </w:r>
      <w:r w:rsidR="001C7D25">
        <w:rPr>
          <w:rFonts w:ascii="ＭＳ ゴシック" w:eastAsia="ＭＳ ゴシック" w:hAnsi="ＭＳ ゴシック" w:cs="ＭＳ ゴシック" w:hint="eastAsia"/>
          <w:sz w:val="19"/>
          <w:szCs w:val="19"/>
          <w:lang w:eastAsia="ja-JP"/>
        </w:rPr>
        <w:t>排出量</w:t>
      </w:r>
      <w:r w:rsidRPr="001C7D25">
        <w:rPr>
          <w:rFonts w:ascii="ＭＳ ゴシック" w:eastAsia="ＭＳ ゴシック" w:hAnsi="ＭＳ ゴシック" w:cs="ＭＳ ゴシック" w:hint="eastAsia"/>
          <w:sz w:val="19"/>
          <w:szCs w:val="19"/>
          <w:lang w:eastAsia="ja-JP"/>
        </w:rPr>
        <w:t>の更新</w:t>
      </w:r>
      <w:r w:rsidR="001C7D25">
        <w:rPr>
          <w:rFonts w:ascii="ＭＳ ゴシック" w:eastAsia="ＭＳ ゴシック" w:hAnsi="ＭＳ ゴシック" w:cs="ＭＳ ゴシック" w:hint="eastAsia"/>
          <w:sz w:val="19"/>
          <w:szCs w:val="19"/>
          <w:lang w:eastAsia="ja-JP"/>
        </w:rPr>
        <w:t>版</w:t>
      </w:r>
      <w:r w:rsidRPr="001C7D25">
        <w:rPr>
          <w:rFonts w:ascii="ＭＳ ゴシック" w:eastAsia="ＭＳ ゴシック" w:hAnsi="ＭＳ ゴシック" w:cs="ＭＳ ゴシック" w:hint="eastAsia"/>
          <w:sz w:val="19"/>
          <w:szCs w:val="19"/>
          <w:lang w:eastAsia="ja-JP"/>
        </w:rPr>
        <w:t>報告書で報告され</w:t>
      </w:r>
      <w:r w:rsidR="001C7D25">
        <w:rPr>
          <w:rFonts w:ascii="ＭＳ ゴシック" w:eastAsia="ＭＳ ゴシック" w:hAnsi="ＭＳ ゴシック" w:cs="ＭＳ ゴシック" w:hint="eastAsia"/>
          <w:sz w:val="19"/>
          <w:szCs w:val="19"/>
          <w:lang w:eastAsia="ja-JP"/>
        </w:rPr>
        <w:t>ます</w:t>
      </w:r>
      <w:r w:rsidRPr="001C7D25">
        <w:rPr>
          <w:rFonts w:ascii="ＭＳ ゴシック" w:eastAsia="ＭＳ ゴシック" w:hAnsi="ＭＳ ゴシック" w:cs="ＭＳ ゴシック" w:hint="eastAsia"/>
          <w:sz w:val="19"/>
          <w:szCs w:val="19"/>
          <w:lang w:eastAsia="ja-JP"/>
        </w:rPr>
        <w:t>。</w:t>
      </w:r>
    </w:p>
    <w:p w14:paraId="4BE8075F" w14:textId="1772AF1B" w:rsidR="0055291C" w:rsidRDefault="001C7D25" w:rsidP="001C7D25">
      <w:pPr>
        <w:pStyle w:val="a3"/>
        <w:spacing w:before="4" w:line="312" w:lineRule="auto"/>
        <w:ind w:left="851" w:right="315" w:firstLineChars="100" w:firstLine="190"/>
        <w:rPr>
          <w:lang w:eastAsia="ja-JP"/>
        </w:rPr>
      </w:pPr>
      <w:r>
        <w:rPr>
          <w:rFonts w:ascii="ＭＳ ゴシック" w:eastAsia="ＭＳ ゴシック" w:hAnsi="ＭＳ ゴシック" w:cs="ＭＳ ゴシック" w:hint="eastAsia"/>
          <w:lang w:eastAsia="ja-JP"/>
        </w:rPr>
        <w:t>基準年の排出量を再計算する前に、会社は再計算の根拠と背景を明確にするために再計算の方針を策定するべきでしょう。企業は、報告の一部として（第</w:t>
      </w:r>
      <w:r>
        <w:rPr>
          <w:lang w:eastAsia="ja-JP"/>
        </w:rPr>
        <w:t>13</w:t>
      </w:r>
      <w:r>
        <w:rPr>
          <w:rFonts w:ascii="ＭＳ ゴシック" w:eastAsia="ＭＳ ゴシック" w:hAnsi="ＭＳ ゴシック" w:cs="ＭＳ ゴシック" w:hint="eastAsia"/>
          <w:lang w:eastAsia="ja-JP"/>
        </w:rPr>
        <w:t>章参照</w:t>
      </w:r>
      <w:r>
        <w:rPr>
          <w:lang w:eastAsia="ja-JP"/>
        </w:rPr>
        <w:t xml:space="preserve"> </w:t>
      </w:r>
      <w:r>
        <w:rPr>
          <w:rFonts w:ascii="ＭＳ ゴシック" w:eastAsia="ＭＳ ゴシック" w:hAnsi="ＭＳ ゴシック" w:cs="ＭＳ ゴシック" w:hint="eastAsia"/>
          <w:lang w:eastAsia="ja-JP"/>
        </w:rPr>
        <w:t>）、再計算の根拠となる</w:t>
      </w:r>
      <w:r w:rsidR="00494BC2">
        <w:rPr>
          <w:rFonts w:ascii="ＭＳ ゴシック" w:eastAsia="ＭＳ ゴシック" w:hAnsi="ＭＳ ゴシック" w:cs="ＭＳ ゴシック" w:hint="eastAsia"/>
          <w:lang w:eastAsia="ja-JP"/>
        </w:rPr>
        <w:t>重要性</w:t>
      </w:r>
      <w:r>
        <w:rPr>
          <w:rFonts w:ascii="ＭＳ ゴシック" w:eastAsia="ＭＳ ゴシック" w:hAnsi="ＭＳ ゴシック" w:cs="ＭＳ ゴシック" w:hint="eastAsia"/>
          <w:lang w:eastAsia="ja-JP"/>
        </w:rPr>
        <w:t>の閾値を開示することが求められてい</w:t>
      </w:r>
      <w:r w:rsidR="00494BC2">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。例えば、新しい排出係数が公表され、</w:t>
      </w:r>
      <w:r>
        <w:rPr>
          <w:lang w:eastAsia="ja-JP"/>
        </w:rPr>
        <w:t xml:space="preserve"> </w:t>
      </w:r>
      <w:r>
        <w:rPr>
          <w:rFonts w:ascii="ＭＳ ゴシック" w:eastAsia="ＭＳ ゴシック" w:hAnsi="ＭＳ ゴシック" w:cs="ＭＳ ゴシック" w:hint="eastAsia"/>
          <w:lang w:eastAsia="ja-JP"/>
        </w:rPr>
        <w:t>それが使用された場合に</w:t>
      </w:r>
      <w:r w:rsidR="00494BC2">
        <w:rPr>
          <w:rFonts w:ascii="ＭＳ ゴシック" w:eastAsia="ＭＳ ゴシック" w:hAnsi="ＭＳ ゴシック" w:cs="ＭＳ ゴシック" w:hint="eastAsia"/>
          <w:lang w:eastAsia="ja-JP"/>
        </w:rPr>
        <w:t>算出</w:t>
      </w:r>
      <w:r>
        <w:rPr>
          <w:rFonts w:ascii="ＭＳ ゴシック" w:eastAsia="ＭＳ ゴシック" w:hAnsi="ＭＳ ゴシック" w:cs="ＭＳ ゴシック" w:hint="eastAsia"/>
          <w:lang w:eastAsia="ja-JP"/>
        </w:rPr>
        <w:t>結果に</w:t>
      </w:r>
      <w:r>
        <w:rPr>
          <w:lang w:eastAsia="ja-JP"/>
        </w:rPr>
        <w:t>1%</w:t>
      </w:r>
      <w:r>
        <w:rPr>
          <w:rFonts w:ascii="ＭＳ ゴシック" w:eastAsia="ＭＳ ゴシック" w:hAnsi="ＭＳ ゴシック" w:cs="ＭＳ ゴシック" w:hint="eastAsia"/>
          <w:lang w:eastAsia="ja-JP"/>
        </w:rPr>
        <w:t>の影響を与える場合、会社は、それが閾値以下であると判断し</w:t>
      </w:r>
      <w:r>
        <w:rPr>
          <w:lang w:eastAsia="ja-JP"/>
        </w:rPr>
        <w:t xml:space="preserve"> </w:t>
      </w:r>
      <w:r>
        <w:rPr>
          <w:rFonts w:ascii="ＭＳ ゴシック" w:eastAsia="ＭＳ ゴシック" w:hAnsi="ＭＳ ゴシック" w:cs="ＭＳ ゴシック" w:hint="eastAsia"/>
          <w:lang w:eastAsia="ja-JP"/>
        </w:rPr>
        <w:t>、再計算を行わないことを選択することができ</w:t>
      </w:r>
      <w:r w:rsidR="00494BC2">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。もし、正当化された除外項目（</w:t>
      </w:r>
      <w:r>
        <w:rPr>
          <w:lang w:eastAsia="ja-JP"/>
        </w:rPr>
        <w:t>7</w:t>
      </w:r>
      <w:r>
        <w:rPr>
          <w:rFonts w:ascii="ＭＳ ゴシック" w:eastAsia="ＭＳ ゴシック" w:hAnsi="ＭＳ ゴシック" w:cs="ＭＳ ゴシック" w:hint="eastAsia"/>
          <w:lang w:eastAsia="ja-JP"/>
        </w:rPr>
        <w:t>章参照）に対して、</w:t>
      </w:r>
      <w:r w:rsidR="00494BC2">
        <w:rPr>
          <w:rFonts w:ascii="ＭＳ ゴシック" w:eastAsia="ＭＳ ゴシック" w:hAnsi="ＭＳ ゴシック" w:cs="ＭＳ ゴシック" w:hint="eastAsia"/>
          <w:lang w:eastAsia="ja-JP"/>
        </w:rPr>
        <w:t>重要性</w:t>
      </w:r>
      <w:r>
        <w:rPr>
          <w:rFonts w:ascii="ＭＳ ゴシック" w:eastAsia="ＭＳ ゴシック" w:hAnsi="ＭＳ ゴシック" w:cs="ＭＳ ゴシック" w:hint="eastAsia"/>
          <w:lang w:eastAsia="ja-JP"/>
        </w:rPr>
        <w:t>の閾値がすでに設定されている場合は、ここでも同じ閾値を用いるべきで</w:t>
      </w:r>
      <w:r w:rsidR="00494BC2">
        <w:rPr>
          <w:rFonts w:ascii="ＭＳ ゴシック" w:eastAsia="ＭＳ ゴシック" w:hAnsi="ＭＳ ゴシック" w:cs="ＭＳ ゴシック" w:hint="eastAsia"/>
          <w:lang w:eastAsia="ja-JP"/>
        </w:rPr>
        <w:t>す</w:t>
      </w:r>
      <w:r>
        <w:rPr>
          <w:rFonts w:ascii="ＭＳ ゴシック" w:eastAsia="ＭＳ ゴシック" w:hAnsi="ＭＳ ゴシック" w:cs="ＭＳ ゴシック" w:hint="eastAsia"/>
          <w:lang w:eastAsia="ja-JP"/>
        </w:rPr>
        <w:t>。</w:t>
      </w:r>
    </w:p>
    <w:p w14:paraId="1F6FA6D3" w14:textId="1DB35A35" w:rsidR="0055291C" w:rsidRDefault="00494BC2" w:rsidP="00494BC2">
      <w:pPr>
        <w:pStyle w:val="a3"/>
        <w:spacing w:before="141" w:line="312" w:lineRule="auto"/>
        <w:ind w:left="851" w:right="315" w:firstLineChars="100" w:firstLine="190"/>
        <w:rPr>
          <w:lang w:eastAsia="ja-JP"/>
        </w:rPr>
      </w:pPr>
      <w:r>
        <w:rPr>
          <w:rFonts w:ascii="ＭＳ ゴシック" w:eastAsia="ＭＳ ゴシック" w:hAnsi="ＭＳ ゴシック" w:cs="ＭＳ ゴシック" w:hint="eastAsia"/>
          <w:lang w:eastAsia="ja-JP"/>
        </w:rPr>
        <w:t>分析単位が再定義されるような変更があった場合、基礎排出量を再計算することはできません。この場合、企業は新しい基礎排出量を作成し、新しい削減目標を設定する必要があります。</w:t>
      </w:r>
    </w:p>
    <w:p w14:paraId="195FA1EE" w14:textId="77777777" w:rsidR="0055291C" w:rsidRDefault="00F23C61">
      <w:pPr>
        <w:rPr>
          <w:lang w:eastAsia="ja-JP"/>
        </w:rPr>
      </w:pPr>
      <w:r>
        <w:rPr>
          <w:lang w:eastAsia="ja-JP"/>
        </w:rPr>
        <w:br w:type="column"/>
      </w:r>
    </w:p>
    <w:p w14:paraId="04D3E08F" w14:textId="713A9696" w:rsidR="0055291C" w:rsidRDefault="00F23C61" w:rsidP="00903391">
      <w:pPr>
        <w:spacing w:before="1"/>
        <w:ind w:left="426" w:rightChars="440" w:right="968"/>
        <w:rPr>
          <w:rFonts w:ascii="Arial"/>
          <w:b/>
          <w:i/>
          <w:sz w:val="18"/>
          <w:lang w:eastAsia="ja-JP"/>
        </w:rPr>
      </w:pPr>
      <w:r>
        <w:rPr>
          <w:rFonts w:ascii="Arial"/>
          <w:b/>
          <w:i/>
          <w:color w:val="7F3F98"/>
          <w:sz w:val="18"/>
          <w:lang w:eastAsia="ja-JP"/>
        </w:rPr>
        <w:t>Step</w:t>
      </w:r>
      <w:r>
        <w:rPr>
          <w:rFonts w:ascii="Arial"/>
          <w:b/>
          <w:i/>
          <w:color w:val="7F3F98"/>
          <w:spacing w:val="14"/>
          <w:sz w:val="18"/>
          <w:lang w:eastAsia="ja-JP"/>
        </w:rPr>
        <w:t xml:space="preserve"> </w:t>
      </w:r>
      <w:r>
        <w:rPr>
          <w:rFonts w:ascii="Arial"/>
          <w:b/>
          <w:i/>
          <w:color w:val="7F3F98"/>
          <w:sz w:val="18"/>
          <w:lang w:eastAsia="ja-JP"/>
        </w:rPr>
        <w:t>6:</w:t>
      </w:r>
      <w:r>
        <w:rPr>
          <w:rFonts w:ascii="Arial"/>
          <w:b/>
          <w:i/>
          <w:color w:val="7F3F98"/>
          <w:spacing w:val="99"/>
          <w:sz w:val="18"/>
          <w:lang w:eastAsia="ja-JP"/>
        </w:rPr>
        <w:t xml:space="preserve"> </w:t>
      </w:r>
      <w:r w:rsidR="00935383">
        <w:rPr>
          <w:rFonts w:ascii="ＭＳ ゴシック" w:eastAsia="ＭＳ ゴシック" w:hAnsi="ＭＳ ゴシック" w:cs="ＭＳ ゴシック" w:hint="eastAsia"/>
          <w:b/>
          <w:i/>
          <w:color w:val="7F3F98"/>
          <w:sz w:val="18"/>
          <w:lang w:eastAsia="ja-JP"/>
        </w:rPr>
        <w:t>報告書の更新</w:t>
      </w:r>
    </w:p>
    <w:p w14:paraId="1C87817F" w14:textId="57EB3AD9" w:rsidR="0055291C" w:rsidRDefault="00935383" w:rsidP="00903391">
      <w:pPr>
        <w:pStyle w:val="a3"/>
        <w:spacing w:before="1" w:line="312" w:lineRule="auto"/>
        <w:ind w:left="426" w:rightChars="440" w:right="968" w:firstLineChars="100" w:firstLine="190"/>
        <w:rPr>
          <w:lang w:eastAsia="ja-JP"/>
        </w:rPr>
      </w:pPr>
      <w:r>
        <w:rPr>
          <w:rFonts w:ascii="ＭＳ ゴシック" w:eastAsia="ＭＳ ゴシック" w:hAnsi="ＭＳ ゴシック" w:cs="ＭＳ ゴシック" w:hint="eastAsia"/>
          <w:lang w:eastAsia="ja-JP"/>
        </w:rPr>
        <w:t>削減が行われ、新しいデータが収集され、基礎排出量が（必要であれば）再計算された場合、報告書は、新しい排出量と基礎排出量の両方の結果を含むように更新するべきです。</w:t>
      </w:r>
      <w:r>
        <w:rPr>
          <w:lang w:eastAsia="ja-JP"/>
        </w:rPr>
        <w:t xml:space="preserve"> </w:t>
      </w:r>
      <w:r>
        <w:rPr>
          <w:rFonts w:ascii="ＭＳ ゴシック" w:eastAsia="ＭＳ ゴシック" w:hAnsi="ＭＳ ゴシック" w:cs="ＭＳ ゴシック" w:hint="eastAsia"/>
          <w:lang w:eastAsia="ja-JP"/>
        </w:rPr>
        <w:t>更新された報告書は、報告書の章の要件を</w:t>
      </w:r>
      <w:r>
        <w:rPr>
          <w:lang w:eastAsia="ja-JP"/>
        </w:rPr>
        <w:t xml:space="preserve"> </w:t>
      </w:r>
      <w:r>
        <w:rPr>
          <w:rFonts w:ascii="ＭＳ ゴシック" w:eastAsia="ＭＳ ゴシック" w:hAnsi="ＭＳ ゴシック" w:cs="ＭＳ ゴシック" w:hint="eastAsia"/>
          <w:lang w:eastAsia="ja-JP"/>
        </w:rPr>
        <w:t>満たし、基礎排出量と同じ報告要素を含まなければなりません。序文は、削減目標を含む更新の目的を反映し、基礎排出量から変更された情報はすべて明確に記載されるべきです。調査対象製品の</w:t>
      </w:r>
      <w:r w:rsidR="000F6B3F">
        <w:rPr>
          <w:rFonts w:ascii="ＭＳ ゴシック" w:eastAsia="ＭＳ ゴシック" w:hAnsi="ＭＳ ゴシック" w:cs="ＭＳ ゴシック" w:hint="eastAsia"/>
          <w:lang w:eastAsia="ja-JP"/>
        </w:rPr>
        <w:t>報告書内で</w:t>
      </w:r>
      <w:r>
        <w:rPr>
          <w:rFonts w:ascii="ＭＳ ゴシック" w:eastAsia="ＭＳ ゴシック" w:hAnsi="ＭＳ ゴシック" w:cs="ＭＳ ゴシック" w:hint="eastAsia"/>
          <w:lang w:eastAsia="ja-JP"/>
        </w:rPr>
        <w:t>更新された数を報告し、可能であれば以前の報告書へのリンクを貼る</w:t>
      </w:r>
      <w:r w:rsidR="000F6B3F">
        <w:rPr>
          <w:rFonts w:ascii="ＭＳ ゴシック" w:eastAsia="ＭＳ ゴシック" w:hAnsi="ＭＳ ゴシック" w:cs="ＭＳ ゴシック" w:hint="eastAsia"/>
          <w:lang w:eastAsia="ja-JP"/>
        </w:rPr>
        <w:t>べきです</w:t>
      </w:r>
      <w:r>
        <w:rPr>
          <w:rFonts w:ascii="ＭＳ ゴシック" w:eastAsia="ＭＳ ゴシック" w:hAnsi="ＭＳ ゴシック" w:cs="ＭＳ ゴシック" w:hint="eastAsia"/>
          <w:lang w:eastAsia="ja-JP"/>
        </w:rPr>
        <w:t>。</w:t>
      </w:r>
      <w:r w:rsidR="000F6B3F">
        <w:rPr>
          <w:rFonts w:ascii="ＭＳ ゴシック" w:eastAsia="ＭＳ ゴシック" w:hAnsi="ＭＳ ゴシック" w:cs="ＭＳ ゴシック" w:hint="eastAsia"/>
          <w:lang w:eastAsia="ja-JP"/>
        </w:rPr>
        <w:t>基礎排出量</w:t>
      </w:r>
      <w:r>
        <w:rPr>
          <w:rFonts w:ascii="ＭＳ ゴシック" w:eastAsia="ＭＳ ゴシック" w:hAnsi="ＭＳ ゴシック" w:cs="ＭＳ ゴシック" w:hint="eastAsia"/>
          <w:lang w:eastAsia="ja-JP"/>
        </w:rPr>
        <w:t>が再計算された場合、すべての変更点を列挙</w:t>
      </w:r>
      <w:r w:rsidR="000F6B3F">
        <w:rPr>
          <w:rFonts w:ascii="ＭＳ ゴシック" w:eastAsia="ＭＳ ゴシック" w:hAnsi="ＭＳ ゴシック" w:cs="ＭＳ ゴシック" w:hint="eastAsia"/>
          <w:lang w:eastAsia="ja-JP"/>
        </w:rPr>
        <w:t>します</w:t>
      </w:r>
      <w:r>
        <w:rPr>
          <w:rFonts w:ascii="ＭＳ ゴシック" w:eastAsia="ＭＳ ゴシック" w:hAnsi="ＭＳ ゴシック" w:cs="ＭＳ ゴシック" w:hint="eastAsia"/>
          <w:lang w:eastAsia="ja-JP"/>
        </w:rPr>
        <w:t>。</w:t>
      </w:r>
      <w:r w:rsidR="000F6B3F">
        <w:rPr>
          <w:rFonts w:ascii="ＭＳ ゴシック" w:eastAsia="ＭＳ ゴシック" w:hAnsi="ＭＳ ゴシック" w:cs="ＭＳ ゴシック" w:hint="eastAsia"/>
          <w:lang w:eastAsia="ja-JP"/>
        </w:rPr>
        <w:t>基礎排出量</w:t>
      </w:r>
      <w:r>
        <w:rPr>
          <w:rFonts w:ascii="ＭＳ ゴシック" w:eastAsia="ＭＳ ゴシック" w:hAnsi="ＭＳ ゴシック" w:cs="ＭＳ ゴシック" w:hint="eastAsia"/>
          <w:lang w:eastAsia="ja-JP"/>
        </w:rPr>
        <w:t>が再計算されなかった場合、企業は再計算が必要とされなかった</w:t>
      </w:r>
      <w:r w:rsidR="000F6B3F">
        <w:rPr>
          <w:rFonts w:ascii="ＭＳ ゴシック" w:eastAsia="ＭＳ ゴシック" w:hAnsi="ＭＳ ゴシック" w:cs="ＭＳ ゴシック" w:hint="eastAsia"/>
          <w:lang w:eastAsia="ja-JP"/>
        </w:rPr>
        <w:t>理由となった</w:t>
      </w:r>
      <w:r>
        <w:rPr>
          <w:rFonts w:ascii="ＭＳ ゴシック" w:eastAsia="ＭＳ ゴシック" w:hAnsi="ＭＳ ゴシック" w:cs="ＭＳ ゴシック" w:hint="eastAsia"/>
          <w:lang w:eastAsia="ja-JP"/>
        </w:rPr>
        <w:t>閾値を報告することが求められ</w:t>
      </w:r>
      <w:r w:rsidR="000F6B3F">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。いずれの場合も、</w:t>
      </w:r>
      <w:r w:rsidR="000F6B3F">
        <w:rPr>
          <w:rFonts w:ascii="ＭＳ ゴシック" w:eastAsia="ＭＳ ゴシック" w:hAnsi="ＭＳ ゴシック" w:cs="ＭＳ ゴシック" w:hint="eastAsia"/>
          <w:lang w:eastAsia="ja-JP"/>
        </w:rPr>
        <w:t>基礎排出量</w:t>
      </w:r>
      <w:r>
        <w:rPr>
          <w:rFonts w:ascii="ＭＳ ゴシック" w:eastAsia="ＭＳ ゴシック" w:hAnsi="ＭＳ ゴシック" w:cs="ＭＳ ゴシック" w:hint="eastAsia"/>
          <w:lang w:eastAsia="ja-JP"/>
        </w:rPr>
        <w:t>の結果と更新された結果の両方が、更新された</w:t>
      </w:r>
      <w:r w:rsidR="000F6B3F">
        <w:rPr>
          <w:rFonts w:ascii="ＭＳ ゴシック" w:eastAsia="ＭＳ ゴシック" w:hAnsi="ＭＳ ゴシック" w:cs="ＭＳ ゴシック" w:hint="eastAsia"/>
          <w:lang w:eastAsia="ja-JP"/>
        </w:rPr>
        <w:t>報告書</w:t>
      </w:r>
      <w:r>
        <w:rPr>
          <w:rFonts w:ascii="ＭＳ ゴシック" w:eastAsia="ＭＳ ゴシック" w:hAnsi="ＭＳ ゴシック" w:cs="ＭＳ ゴシック" w:hint="eastAsia"/>
          <w:lang w:eastAsia="ja-JP"/>
        </w:rPr>
        <w:t>に含まれ</w:t>
      </w:r>
      <w:r w:rsidR="000F6B3F">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w:t>
      </w:r>
    </w:p>
    <w:p w14:paraId="157FB550" w14:textId="15E52698" w:rsidR="0055291C" w:rsidRDefault="000F6B3F" w:rsidP="00903391">
      <w:pPr>
        <w:pStyle w:val="a3"/>
        <w:spacing w:before="145" w:line="312" w:lineRule="auto"/>
        <w:ind w:left="426" w:rightChars="440" w:right="968" w:firstLineChars="100" w:firstLine="190"/>
        <w:rPr>
          <w:lang w:eastAsia="ja-JP"/>
        </w:rPr>
      </w:pPr>
      <w:r>
        <w:rPr>
          <w:rFonts w:ascii="ＭＳ ゴシック" w:eastAsia="ＭＳ ゴシック" w:hAnsi="ＭＳ ゴシック" w:cs="ＭＳ ゴシック" w:hint="eastAsia"/>
          <w:lang w:eastAsia="ja-JP"/>
        </w:rPr>
        <w:t>基礎排出量の報告要件に加え、企業は基礎排出量と新しい排出量の差を基礎排出量で割って削減率を報告するべきです</w:t>
      </w:r>
      <w:r>
        <w:rPr>
          <w:lang w:eastAsia="ja-JP"/>
        </w:rPr>
        <w:t xml:space="preserve"> </w:t>
      </w:r>
      <w:r>
        <w:rPr>
          <w:rFonts w:ascii="ＭＳ ゴシック" w:eastAsia="ＭＳ ゴシック" w:hAnsi="ＭＳ ゴシック" w:cs="ＭＳ ゴシック" w:hint="eastAsia"/>
          <w:lang w:eastAsia="ja-JP"/>
        </w:rPr>
        <w:t>。</w:t>
      </w:r>
    </w:p>
    <w:p w14:paraId="542AB544" w14:textId="018A8600" w:rsidR="0055291C" w:rsidRDefault="000F6B3F" w:rsidP="00903391">
      <w:pPr>
        <w:pStyle w:val="a3"/>
        <w:spacing w:before="142" w:line="312" w:lineRule="auto"/>
        <w:ind w:left="426" w:rightChars="440" w:right="968" w:firstLineChars="100" w:firstLine="190"/>
        <w:rPr>
          <w:lang w:eastAsia="ja-JP"/>
        </w:rPr>
        <w:sectPr w:rsidR="0055291C">
          <w:type w:val="continuous"/>
          <w:pgSz w:w="12240" w:h="15840"/>
          <w:pgMar w:top="740" w:right="0" w:bottom="280" w:left="0" w:header="0" w:footer="859" w:gutter="0"/>
          <w:cols w:num="2" w:space="720" w:equalWidth="0">
            <w:col w:w="5985" w:space="40"/>
            <w:col w:w="6215"/>
          </w:cols>
        </w:sectPr>
      </w:pPr>
      <w:r>
        <w:rPr>
          <w:lang w:eastAsia="ja-JP"/>
        </w:rPr>
        <w:t>GHG</w:t>
      </w:r>
      <w:r>
        <w:rPr>
          <w:rFonts w:ascii="ＭＳ ゴシック" w:eastAsia="ＭＳ ゴシック" w:hAnsi="ＭＳ ゴシック" w:cs="ＭＳ ゴシック" w:hint="eastAsia"/>
          <w:lang w:eastAsia="ja-JP"/>
        </w:rPr>
        <w:t>排出量が前回の算出から増加した場合、企業はこの結果を報告し、なぜ排出量が増加したのか、またこの値を将来的に削減するために企業がどのような計画を持っているのか、ステークホルダーに対する説明を加える</w:t>
      </w:r>
      <w:r w:rsidR="00903391">
        <w:rPr>
          <w:rFonts w:ascii="ＭＳ ゴシック" w:eastAsia="ＭＳ ゴシック" w:hAnsi="ＭＳ ゴシック" w:cs="ＭＳ ゴシック" w:hint="eastAsia"/>
          <w:lang w:eastAsia="ja-JP"/>
        </w:rPr>
        <w:t>べきでしょう。</w:t>
      </w:r>
    </w:p>
    <w:p w14:paraId="08A94834" w14:textId="77777777" w:rsidR="0055291C" w:rsidRDefault="0055291C">
      <w:pPr>
        <w:pStyle w:val="a3"/>
        <w:spacing w:before="4"/>
        <w:rPr>
          <w:sz w:val="10"/>
          <w:lang w:eastAsia="ja-JP"/>
        </w:rPr>
      </w:pPr>
    </w:p>
    <w:p w14:paraId="6143A384" w14:textId="77777777" w:rsidR="0055291C" w:rsidRDefault="00F23C61">
      <w:pPr>
        <w:pStyle w:val="a3"/>
        <w:rPr>
          <w:sz w:val="20"/>
        </w:rPr>
      </w:pPr>
      <w:r>
        <w:rPr>
          <w:noProof/>
          <w:sz w:val="20"/>
        </w:rPr>
        <w:drawing>
          <wp:inline distT="0" distB="0" distL="0" distR="0" wp14:anchorId="74E28879" wp14:editId="77F78B81">
            <wp:extent cx="7002199" cy="2723673"/>
            <wp:effectExtent l="0" t="0" r="0" b="0"/>
            <wp:docPr id="45"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08.jpeg"/>
                    <pic:cNvPicPr/>
                  </pic:nvPicPr>
                  <pic:blipFill>
                    <a:blip r:embed="rId336" cstate="print"/>
                    <a:stretch>
                      <a:fillRect/>
                    </a:stretch>
                  </pic:blipFill>
                  <pic:spPr>
                    <a:xfrm>
                      <a:off x="0" y="0"/>
                      <a:ext cx="7002199" cy="2723673"/>
                    </a:xfrm>
                    <a:prstGeom prst="rect">
                      <a:avLst/>
                    </a:prstGeom>
                  </pic:spPr>
                </pic:pic>
              </a:graphicData>
            </a:graphic>
          </wp:inline>
        </w:drawing>
      </w:r>
    </w:p>
    <w:p w14:paraId="7AE4FABB" w14:textId="77777777" w:rsidR="0055291C" w:rsidRDefault="0055291C">
      <w:pPr>
        <w:rPr>
          <w:sz w:val="20"/>
        </w:rPr>
        <w:sectPr w:rsidR="0055291C">
          <w:type w:val="continuous"/>
          <w:pgSz w:w="12240" w:h="15840"/>
          <w:pgMar w:top="740" w:right="0" w:bottom="280" w:left="0" w:header="0" w:footer="859" w:gutter="0"/>
          <w:cols w:space="720"/>
        </w:sectPr>
      </w:pPr>
    </w:p>
    <w:p w14:paraId="3D73DAD5" w14:textId="77777777" w:rsidR="0055291C" w:rsidRDefault="0055291C">
      <w:pPr>
        <w:pStyle w:val="a3"/>
        <w:rPr>
          <w:sz w:val="20"/>
        </w:rPr>
      </w:pPr>
    </w:p>
    <w:p w14:paraId="209F03CF" w14:textId="77777777" w:rsidR="0055291C" w:rsidRDefault="0055291C">
      <w:pPr>
        <w:pStyle w:val="a3"/>
        <w:rPr>
          <w:sz w:val="20"/>
        </w:rPr>
      </w:pPr>
    </w:p>
    <w:p w14:paraId="0F61DB4B" w14:textId="77777777" w:rsidR="0055291C" w:rsidRDefault="0055291C">
      <w:pPr>
        <w:pStyle w:val="a3"/>
        <w:rPr>
          <w:sz w:val="20"/>
        </w:rPr>
      </w:pPr>
    </w:p>
    <w:p w14:paraId="38267D7A" w14:textId="77777777" w:rsidR="0055291C" w:rsidRDefault="0055291C">
      <w:pPr>
        <w:pStyle w:val="a3"/>
        <w:spacing w:before="4"/>
        <w:rPr>
          <w:sz w:val="24"/>
        </w:rPr>
      </w:pPr>
    </w:p>
    <w:p w14:paraId="37A871C2" w14:textId="77777777" w:rsidR="0055291C" w:rsidRDefault="00000000">
      <w:pPr>
        <w:spacing w:before="1"/>
        <w:ind w:left="4784"/>
        <w:rPr>
          <w:rFonts w:ascii="Arial"/>
          <w:i/>
          <w:sz w:val="19"/>
        </w:rPr>
      </w:pPr>
      <w:r>
        <w:pict w14:anchorId="0DA53BD2">
          <v:shape id="docshape1499" o:spid="_x0000_s2361" style="position:absolute;left:0;text-align:left;margin-left:580.75pt;margin-top:-47.75pt;width:31.3pt;height:285.85pt;z-index:251652608;mso-position-horizontal-relative:page" coordorigin="11615,-955" coordsize="626,5717" path="m12240,-955r-625,l11615,4535r3,131l11643,4733r67,25l11842,4761r398,l12240,-955xe" fillcolor="#00aca1" stroked="f">
            <v:path arrowok="t"/>
            <w10:wrap anchorx="page"/>
          </v:shape>
        </w:pict>
      </w:r>
      <w:r w:rsidR="00F23C61">
        <w:rPr>
          <w:rFonts w:ascii="Arial"/>
          <w:b/>
          <w:i/>
          <w:color w:val="7F3F98"/>
          <w:sz w:val="19"/>
        </w:rPr>
        <w:t>CHAPTER</w:t>
      </w:r>
      <w:r w:rsidR="00F23C61">
        <w:rPr>
          <w:rFonts w:ascii="Arial"/>
          <w:b/>
          <w:i/>
          <w:color w:val="7F3F98"/>
          <w:spacing w:val="8"/>
          <w:sz w:val="19"/>
        </w:rPr>
        <w:t xml:space="preserve"> </w:t>
      </w:r>
      <w:r w:rsidR="00F23C61">
        <w:rPr>
          <w:rFonts w:ascii="Arial"/>
          <w:b/>
          <w:i/>
          <w:color w:val="7F3F98"/>
          <w:sz w:val="19"/>
        </w:rPr>
        <w:t>14</w:t>
      </w:r>
      <w:r w:rsidR="00F23C61">
        <w:rPr>
          <w:rFonts w:ascii="Arial"/>
          <w:b/>
          <w:i/>
          <w:color w:val="7F3F98"/>
          <w:spacing w:val="8"/>
          <w:sz w:val="19"/>
        </w:rPr>
        <w:t xml:space="preserve"> </w:t>
      </w:r>
      <w:r w:rsidR="00F23C61">
        <w:rPr>
          <w:rFonts w:ascii="Arial"/>
          <w:i/>
          <w:color w:val="545456"/>
          <w:sz w:val="19"/>
        </w:rPr>
        <w:t>Setting</w:t>
      </w:r>
      <w:r w:rsidR="00F23C61">
        <w:rPr>
          <w:rFonts w:ascii="Arial"/>
          <w:i/>
          <w:color w:val="545456"/>
          <w:spacing w:val="6"/>
          <w:sz w:val="19"/>
        </w:rPr>
        <w:t xml:space="preserve"> </w:t>
      </w:r>
      <w:r w:rsidR="00F23C61">
        <w:rPr>
          <w:rFonts w:ascii="Arial"/>
          <w:i/>
          <w:color w:val="545456"/>
          <w:sz w:val="19"/>
        </w:rPr>
        <w:t>Reduction</w:t>
      </w:r>
      <w:r w:rsidR="00F23C61">
        <w:rPr>
          <w:rFonts w:ascii="Arial"/>
          <w:i/>
          <w:color w:val="545456"/>
          <w:spacing w:val="6"/>
          <w:sz w:val="19"/>
        </w:rPr>
        <w:t xml:space="preserve"> </w:t>
      </w:r>
      <w:r w:rsidR="00F23C61">
        <w:rPr>
          <w:rFonts w:ascii="Arial"/>
          <w:i/>
          <w:color w:val="545456"/>
          <w:sz w:val="19"/>
        </w:rPr>
        <w:t>Targets</w:t>
      </w:r>
      <w:r w:rsidR="00F23C61">
        <w:rPr>
          <w:rFonts w:ascii="Arial"/>
          <w:i/>
          <w:color w:val="545456"/>
          <w:spacing w:val="7"/>
          <w:sz w:val="19"/>
        </w:rPr>
        <w:t xml:space="preserve"> </w:t>
      </w:r>
      <w:r w:rsidR="00F23C61">
        <w:rPr>
          <w:rFonts w:ascii="Arial"/>
          <w:i/>
          <w:color w:val="545456"/>
          <w:sz w:val="19"/>
        </w:rPr>
        <w:t>and</w:t>
      </w:r>
      <w:r w:rsidR="00F23C61">
        <w:rPr>
          <w:rFonts w:ascii="Arial"/>
          <w:i/>
          <w:color w:val="545456"/>
          <w:spacing w:val="6"/>
          <w:sz w:val="19"/>
        </w:rPr>
        <w:t xml:space="preserve"> </w:t>
      </w:r>
      <w:r w:rsidR="00F23C61">
        <w:rPr>
          <w:rFonts w:ascii="Arial"/>
          <w:i/>
          <w:color w:val="545456"/>
          <w:sz w:val="19"/>
        </w:rPr>
        <w:t>Tracking</w:t>
      </w:r>
      <w:r w:rsidR="00F23C61">
        <w:rPr>
          <w:rFonts w:ascii="Arial"/>
          <w:i/>
          <w:color w:val="545456"/>
          <w:spacing w:val="6"/>
          <w:sz w:val="19"/>
        </w:rPr>
        <w:t xml:space="preserve"> </w:t>
      </w:r>
      <w:r w:rsidR="00F23C61">
        <w:rPr>
          <w:rFonts w:ascii="Arial"/>
          <w:i/>
          <w:color w:val="545456"/>
          <w:sz w:val="19"/>
        </w:rPr>
        <w:t>Inventory</w:t>
      </w:r>
      <w:r w:rsidR="00F23C61">
        <w:rPr>
          <w:rFonts w:ascii="Arial"/>
          <w:i/>
          <w:color w:val="545456"/>
          <w:spacing w:val="6"/>
          <w:sz w:val="19"/>
        </w:rPr>
        <w:t xml:space="preserve"> </w:t>
      </w:r>
      <w:r w:rsidR="00F23C61">
        <w:rPr>
          <w:rFonts w:ascii="Arial"/>
          <w:i/>
          <w:color w:val="545456"/>
          <w:sz w:val="19"/>
        </w:rPr>
        <w:t>Changes</w:t>
      </w:r>
    </w:p>
    <w:p w14:paraId="54210168" w14:textId="77777777" w:rsidR="0055291C" w:rsidRDefault="0055291C">
      <w:pPr>
        <w:pStyle w:val="a3"/>
        <w:rPr>
          <w:rFonts w:ascii="Arial"/>
          <w:i/>
          <w:sz w:val="20"/>
        </w:rPr>
      </w:pPr>
    </w:p>
    <w:p w14:paraId="113FDC22" w14:textId="77777777" w:rsidR="0055291C" w:rsidRDefault="0055291C">
      <w:pPr>
        <w:pStyle w:val="a3"/>
        <w:spacing w:before="7"/>
        <w:rPr>
          <w:rFonts w:ascii="Arial"/>
          <w:i/>
          <w:sz w:val="24"/>
        </w:rPr>
      </w:pPr>
    </w:p>
    <w:p w14:paraId="59ECC6A9" w14:textId="77777777" w:rsidR="0055291C" w:rsidRDefault="0055291C">
      <w:pPr>
        <w:rPr>
          <w:rFonts w:ascii="Arial"/>
          <w:sz w:val="24"/>
        </w:rPr>
        <w:sectPr w:rsidR="0055291C">
          <w:headerReference w:type="default" r:id="rId337"/>
          <w:pgSz w:w="12240" w:h="15840"/>
          <w:pgMar w:top="0" w:right="0" w:bottom="1040" w:left="0" w:header="0" w:footer="859" w:gutter="0"/>
          <w:cols w:space="720"/>
        </w:sectPr>
      </w:pPr>
    </w:p>
    <w:p w14:paraId="1A518431" w14:textId="77777777" w:rsidR="00903391" w:rsidRPr="00903391" w:rsidRDefault="00903391" w:rsidP="00B6067C">
      <w:pPr>
        <w:pStyle w:val="a5"/>
        <w:numPr>
          <w:ilvl w:val="2"/>
          <w:numId w:val="25"/>
        </w:numPr>
        <w:tabs>
          <w:tab w:val="left" w:pos="1854"/>
        </w:tabs>
        <w:spacing w:before="99" w:line="312" w:lineRule="auto"/>
        <w:ind w:left="851" w:right="308" w:firstLine="0"/>
        <w:rPr>
          <w:lang w:eastAsia="ja-JP"/>
        </w:rPr>
      </w:pPr>
      <w:r w:rsidRPr="00903391">
        <w:rPr>
          <w:rFonts w:ascii="ＭＳ ゴシック" w:eastAsia="ＭＳ ゴシック" w:hAnsi="ＭＳ ゴシック" w:cs="ＭＳ ゴシック" w:hint="eastAsia"/>
          <w:b/>
          <w:i/>
          <w:color w:val="00B8B1"/>
          <w:w w:val="95"/>
          <w:sz w:val="20"/>
          <w:lang w:eastAsia="ja-JP"/>
        </w:rPr>
        <w:t>削減目標達成のためのオフセットの利用</w:t>
      </w:r>
    </w:p>
    <w:p w14:paraId="4A0A4CAE" w14:textId="05AA6238" w:rsidR="0055291C" w:rsidRDefault="00903391" w:rsidP="00B6067C">
      <w:pPr>
        <w:pStyle w:val="a5"/>
        <w:tabs>
          <w:tab w:val="left" w:pos="1854"/>
        </w:tabs>
        <w:spacing w:before="99" w:line="312" w:lineRule="auto"/>
        <w:ind w:left="851" w:right="308" w:firstLine="0"/>
        <w:rPr>
          <w:lang w:eastAsia="ja-JP"/>
        </w:rPr>
      </w:pPr>
      <w:r w:rsidRPr="00903391">
        <w:rPr>
          <w:rFonts w:ascii="ＭＳ ゴシック" w:eastAsia="ＭＳ ゴシック" w:hAnsi="ＭＳ ゴシック" w:cs="ＭＳ ゴシック" w:hint="eastAsia"/>
          <w:sz w:val="19"/>
          <w:szCs w:val="19"/>
          <w:lang w:eastAsia="ja-JP"/>
        </w:rPr>
        <w:t>企業は、</w:t>
      </w:r>
      <w:r>
        <w:rPr>
          <w:rFonts w:ascii="ＭＳ ゴシック" w:eastAsia="ＭＳ ゴシック" w:hAnsi="ＭＳ ゴシック" w:cs="ＭＳ ゴシック" w:hint="eastAsia"/>
          <w:sz w:val="19"/>
          <w:szCs w:val="19"/>
          <w:lang w:eastAsia="ja-JP"/>
        </w:rPr>
        <w:t>報告書境界</w:t>
      </w:r>
      <w:r w:rsidRPr="00903391">
        <w:rPr>
          <w:rFonts w:ascii="ＭＳ ゴシック" w:eastAsia="ＭＳ ゴシック" w:hAnsi="ＭＳ ゴシック" w:cs="ＭＳ ゴシック" w:hint="eastAsia"/>
          <w:sz w:val="19"/>
          <w:szCs w:val="19"/>
          <w:lang w:eastAsia="ja-JP"/>
        </w:rPr>
        <w:t>内の排出源から完全に削減目標を達成するよう努力すべきで</w:t>
      </w:r>
      <w:r>
        <w:rPr>
          <w:rFonts w:ascii="ＭＳ ゴシック" w:eastAsia="ＭＳ ゴシック" w:hAnsi="ＭＳ ゴシック" w:cs="ＭＳ ゴシック" w:hint="eastAsia"/>
          <w:sz w:val="19"/>
          <w:szCs w:val="19"/>
          <w:lang w:eastAsia="ja-JP"/>
        </w:rPr>
        <w:t>す</w:t>
      </w:r>
      <w:r w:rsidRPr="00903391">
        <w:rPr>
          <w:rFonts w:ascii="ＭＳ ゴシック" w:eastAsia="ＭＳ ゴシック" w:hAnsi="ＭＳ ゴシック" w:cs="ＭＳ ゴシック" w:hint="eastAsia"/>
          <w:sz w:val="19"/>
          <w:szCs w:val="19"/>
          <w:lang w:eastAsia="ja-JP"/>
        </w:rPr>
        <w:t>。</w:t>
      </w:r>
      <w:r w:rsidRPr="00903391">
        <w:rPr>
          <w:sz w:val="19"/>
          <w:szCs w:val="19"/>
          <w:lang w:eastAsia="ja-JP"/>
        </w:rPr>
        <w:t xml:space="preserve"> </w:t>
      </w:r>
      <w:r w:rsidRPr="00903391">
        <w:rPr>
          <w:rFonts w:ascii="ＭＳ ゴシック" w:eastAsia="ＭＳ ゴシック" w:hAnsi="ＭＳ ゴシック" w:cs="ＭＳ ゴシック" w:hint="eastAsia"/>
          <w:sz w:val="19"/>
          <w:szCs w:val="19"/>
          <w:lang w:eastAsia="ja-JP"/>
        </w:rPr>
        <w:t>もし、その削減量では目標を達成できない場合は、</w:t>
      </w:r>
      <w:r w:rsidRPr="00903391">
        <w:rPr>
          <w:sz w:val="19"/>
          <w:szCs w:val="19"/>
          <w:lang w:eastAsia="ja-JP"/>
        </w:rPr>
        <w:t xml:space="preserve"> </w:t>
      </w:r>
      <w:r>
        <w:rPr>
          <w:rFonts w:ascii="ＭＳ ゴシック" w:eastAsia="ＭＳ ゴシック" w:hAnsi="ＭＳ ゴシック" w:cs="ＭＳ ゴシック" w:hint="eastAsia"/>
          <w:sz w:val="19"/>
          <w:szCs w:val="19"/>
          <w:lang w:eastAsia="ja-JP"/>
        </w:rPr>
        <w:t>報告書の境界</w:t>
      </w:r>
      <w:r w:rsidRPr="00903391">
        <w:rPr>
          <w:rFonts w:ascii="ＭＳ ゴシック" w:eastAsia="ＭＳ ゴシック" w:hAnsi="ＭＳ ゴシック" w:cs="ＭＳ ゴシック" w:hint="eastAsia"/>
          <w:sz w:val="19"/>
          <w:szCs w:val="19"/>
          <w:lang w:eastAsia="ja-JP"/>
        </w:rPr>
        <w:t>外の排出源から発生するオフセットを利用することができ</w:t>
      </w:r>
      <w:r>
        <w:rPr>
          <w:rFonts w:ascii="ＭＳ ゴシック" w:eastAsia="ＭＳ ゴシック" w:hAnsi="ＭＳ ゴシック" w:cs="ＭＳ ゴシック" w:hint="eastAsia"/>
          <w:sz w:val="19"/>
          <w:szCs w:val="19"/>
          <w:lang w:eastAsia="ja-JP"/>
        </w:rPr>
        <w:t>ます。算出</w:t>
      </w:r>
      <w:r w:rsidRPr="00903391">
        <w:rPr>
          <w:rFonts w:ascii="ＭＳ ゴシック" w:eastAsia="ＭＳ ゴシック" w:hAnsi="ＭＳ ゴシック" w:cs="ＭＳ ゴシック" w:hint="eastAsia"/>
          <w:sz w:val="19"/>
          <w:szCs w:val="19"/>
          <w:lang w:eastAsia="ja-JP"/>
        </w:rPr>
        <w:t>結果に関連する</w:t>
      </w:r>
      <w:r>
        <w:rPr>
          <w:rFonts w:ascii="ＭＳ ゴシック" w:eastAsia="ＭＳ ゴシック" w:hAnsi="ＭＳ ゴシック" w:cs="ＭＳ ゴシック" w:hint="eastAsia"/>
          <w:sz w:val="19"/>
          <w:szCs w:val="19"/>
          <w:lang w:eastAsia="ja-JP"/>
        </w:rPr>
        <w:t>オフセットの</w:t>
      </w:r>
      <w:r w:rsidRPr="00903391">
        <w:rPr>
          <w:rFonts w:ascii="ＭＳ ゴシック" w:eastAsia="ＭＳ ゴシック" w:hAnsi="ＭＳ ゴシック" w:cs="ＭＳ ゴシック" w:hint="eastAsia"/>
          <w:sz w:val="19"/>
          <w:szCs w:val="19"/>
          <w:lang w:eastAsia="ja-JP"/>
        </w:rPr>
        <w:t>購入、売却</w:t>
      </w:r>
      <w:r w:rsidRPr="00903391">
        <w:rPr>
          <w:sz w:val="19"/>
          <w:szCs w:val="19"/>
          <w:lang w:eastAsia="ja-JP"/>
        </w:rPr>
        <w:t xml:space="preserve"> </w:t>
      </w:r>
      <w:r w:rsidRPr="00903391">
        <w:rPr>
          <w:rFonts w:ascii="ＭＳ ゴシック" w:eastAsia="ＭＳ ゴシック" w:hAnsi="ＭＳ ゴシック" w:cs="ＭＳ ゴシック" w:hint="eastAsia"/>
          <w:sz w:val="19"/>
          <w:szCs w:val="19"/>
          <w:lang w:eastAsia="ja-JP"/>
        </w:rPr>
        <w:t>、または</w:t>
      </w:r>
      <w:r>
        <w:rPr>
          <w:rFonts w:ascii="ＭＳ ゴシック" w:eastAsia="ＭＳ ゴシック" w:hAnsi="ＭＳ ゴシック" w:cs="ＭＳ ゴシック" w:hint="eastAsia"/>
          <w:sz w:val="19"/>
          <w:szCs w:val="19"/>
          <w:lang w:eastAsia="ja-JP"/>
        </w:rPr>
        <w:t>貯蔵</w:t>
      </w:r>
      <w:r w:rsidRPr="00903391">
        <w:rPr>
          <w:rFonts w:ascii="ＭＳ ゴシック" w:eastAsia="ＭＳ ゴシック" w:hAnsi="ＭＳ ゴシック" w:cs="ＭＳ ゴシック" w:hint="eastAsia"/>
          <w:sz w:val="19"/>
          <w:szCs w:val="19"/>
          <w:lang w:eastAsia="ja-JP"/>
        </w:rPr>
        <w:t>は、第</w:t>
      </w:r>
      <w:r w:rsidRPr="00903391">
        <w:rPr>
          <w:sz w:val="19"/>
          <w:szCs w:val="19"/>
          <w:lang w:eastAsia="ja-JP"/>
        </w:rPr>
        <w:t>13</w:t>
      </w:r>
      <w:r w:rsidRPr="00903391">
        <w:rPr>
          <w:rFonts w:ascii="ＭＳ ゴシック" w:eastAsia="ＭＳ ゴシック" w:hAnsi="ＭＳ ゴシック" w:cs="ＭＳ ゴシック" w:hint="eastAsia"/>
          <w:sz w:val="19"/>
          <w:szCs w:val="19"/>
          <w:lang w:eastAsia="ja-JP"/>
        </w:rPr>
        <w:t>章に定義された</w:t>
      </w:r>
      <w:r>
        <w:rPr>
          <w:rFonts w:ascii="ＭＳ ゴシック" w:eastAsia="ＭＳ ゴシック" w:hAnsi="ＭＳ ゴシック" w:cs="ＭＳ ゴシック" w:hint="eastAsia"/>
          <w:sz w:val="19"/>
          <w:szCs w:val="19"/>
          <w:lang w:eastAsia="ja-JP"/>
        </w:rPr>
        <w:t>のと</w:t>
      </w:r>
      <w:r w:rsidRPr="00903391">
        <w:rPr>
          <w:rFonts w:ascii="ＭＳ ゴシック" w:eastAsia="ＭＳ ゴシック" w:hAnsi="ＭＳ ゴシック" w:cs="ＭＳ ゴシック" w:hint="eastAsia"/>
          <w:sz w:val="19"/>
          <w:szCs w:val="19"/>
          <w:lang w:eastAsia="ja-JP"/>
        </w:rPr>
        <w:t>同じ報告要件に従うため、</w:t>
      </w:r>
      <w:r>
        <w:rPr>
          <w:rFonts w:ascii="ＭＳ ゴシック" w:eastAsia="ＭＳ ゴシック" w:hAnsi="ＭＳ ゴシック" w:cs="ＭＳ ゴシック" w:hint="eastAsia"/>
          <w:sz w:val="19"/>
          <w:szCs w:val="19"/>
          <w:lang w:eastAsia="ja-JP"/>
        </w:rPr>
        <w:t>算出</w:t>
      </w:r>
      <w:r w:rsidRPr="00903391">
        <w:rPr>
          <w:rFonts w:ascii="ＭＳ ゴシック" w:eastAsia="ＭＳ ゴシック" w:hAnsi="ＭＳ ゴシック" w:cs="ＭＳ ゴシック" w:hint="eastAsia"/>
          <w:sz w:val="19"/>
          <w:szCs w:val="19"/>
          <w:lang w:eastAsia="ja-JP"/>
        </w:rPr>
        <w:t>結果とは別に報告さ</w:t>
      </w:r>
      <w:r>
        <w:rPr>
          <w:rFonts w:ascii="ＭＳ ゴシック" w:eastAsia="ＭＳ ゴシック" w:hAnsi="ＭＳ ゴシック" w:cs="ＭＳ ゴシック" w:hint="eastAsia"/>
          <w:sz w:val="19"/>
          <w:szCs w:val="19"/>
          <w:lang w:eastAsia="ja-JP"/>
        </w:rPr>
        <w:t>れます</w:t>
      </w:r>
      <w:r w:rsidRPr="00903391">
        <w:rPr>
          <w:rFonts w:ascii="ＭＳ ゴシック" w:eastAsia="ＭＳ ゴシック" w:hAnsi="ＭＳ ゴシック" w:cs="ＭＳ ゴシック" w:hint="eastAsia"/>
          <w:sz w:val="19"/>
          <w:szCs w:val="19"/>
          <w:lang w:eastAsia="ja-JP"/>
        </w:rPr>
        <w:t>。</w:t>
      </w:r>
    </w:p>
    <w:p w14:paraId="2D7621B6" w14:textId="531ED144" w:rsidR="0055291C" w:rsidRDefault="00903391" w:rsidP="00B6067C">
      <w:pPr>
        <w:pStyle w:val="a3"/>
        <w:spacing w:before="4" w:line="312" w:lineRule="auto"/>
        <w:ind w:left="851" w:right="308" w:firstLineChars="100" w:firstLine="190"/>
        <w:rPr>
          <w:lang w:eastAsia="ja-JP"/>
        </w:rPr>
      </w:pPr>
      <w:r>
        <w:rPr>
          <w:rFonts w:ascii="ＭＳ ゴシック" w:eastAsia="ＭＳ ゴシック" w:hAnsi="ＭＳ ゴシック" w:cs="ＭＳ ゴシック" w:hint="eastAsia"/>
          <w:lang w:eastAsia="ja-JP"/>
        </w:rPr>
        <w:t>算出結果は分析単位で表示されていますが、製品のオフセットを購入する企業は、特定の期間（例えば</w:t>
      </w:r>
      <w:r>
        <w:rPr>
          <w:lang w:eastAsia="ja-JP"/>
        </w:rPr>
        <w:t xml:space="preserve">1 </w:t>
      </w:r>
      <w:r>
        <w:rPr>
          <w:rFonts w:ascii="ＭＳ ゴシック" w:eastAsia="ＭＳ ゴシック" w:hAnsi="ＭＳ ゴシック" w:cs="ＭＳ ゴシック" w:hint="eastAsia"/>
          <w:lang w:eastAsia="ja-JP"/>
        </w:rPr>
        <w:t>年）</w:t>
      </w:r>
      <w:r>
        <w:rPr>
          <w:lang w:eastAsia="ja-JP"/>
        </w:rPr>
        <w:t xml:space="preserve"> </w:t>
      </w:r>
      <w:r>
        <w:rPr>
          <w:rFonts w:ascii="ＭＳ ゴシック" w:eastAsia="ＭＳ ゴシック" w:hAnsi="ＭＳ ゴシック" w:cs="ＭＳ ゴシック" w:hint="eastAsia"/>
          <w:lang w:eastAsia="ja-JP"/>
        </w:rPr>
        <w:t>に販売されたすべての製品について購入する必要があ</w:t>
      </w:r>
      <w:r w:rsidR="00B6067C">
        <w:rPr>
          <w:rFonts w:ascii="ＭＳ ゴシック" w:eastAsia="ＭＳ ゴシック" w:hAnsi="ＭＳ ゴシック" w:cs="ＭＳ ゴシック" w:hint="eastAsia"/>
          <w:lang w:eastAsia="ja-JP"/>
        </w:rPr>
        <w:t>ります</w:t>
      </w:r>
      <w:r>
        <w:rPr>
          <w:rFonts w:ascii="ＭＳ ゴシック" w:eastAsia="ＭＳ ゴシック" w:hAnsi="ＭＳ ゴシック" w:cs="ＭＳ ゴシック" w:hint="eastAsia"/>
          <w:lang w:eastAsia="ja-JP"/>
        </w:rPr>
        <w:t>。例えば、ある企業が年間</w:t>
      </w:r>
      <w:r>
        <w:rPr>
          <w:lang w:eastAsia="ja-JP"/>
        </w:rPr>
        <w:t>100</w:t>
      </w:r>
      <w:r>
        <w:rPr>
          <w:rFonts w:ascii="ＭＳ ゴシック" w:eastAsia="ＭＳ ゴシック" w:hAnsi="ＭＳ ゴシック" w:cs="ＭＳ ゴシック" w:hint="eastAsia"/>
          <w:lang w:eastAsia="ja-JP"/>
        </w:rPr>
        <w:t>万個の製品を生産する場合、分析単位あたり</w:t>
      </w:r>
      <w:r>
        <w:rPr>
          <w:lang w:eastAsia="ja-JP"/>
        </w:rPr>
        <w:t>50kg CO</w:t>
      </w:r>
      <w:r w:rsidRPr="00B6067C">
        <w:rPr>
          <w:vertAlign w:val="subscript"/>
          <w:lang w:eastAsia="ja-JP"/>
        </w:rPr>
        <w:t>2</w:t>
      </w:r>
      <w:r>
        <w:rPr>
          <w:lang w:eastAsia="ja-JP"/>
        </w:rPr>
        <w:t xml:space="preserve"> e</w:t>
      </w:r>
      <w:r>
        <w:rPr>
          <w:rFonts w:ascii="ＭＳ ゴシック" w:eastAsia="ＭＳ ゴシック" w:hAnsi="ＭＳ ゴシック" w:cs="ＭＳ ゴシック" w:hint="eastAsia"/>
          <w:lang w:eastAsia="ja-JP"/>
        </w:rPr>
        <w:t>と</w:t>
      </w:r>
      <w:r w:rsidR="00B6067C">
        <w:rPr>
          <w:rFonts w:ascii="ＭＳ ゴシック" w:eastAsia="ＭＳ ゴシック" w:hAnsi="ＭＳ ゴシック" w:cs="ＭＳ ゴシック" w:hint="eastAsia"/>
          <w:lang w:eastAsia="ja-JP"/>
        </w:rPr>
        <w:t>します</w:t>
      </w:r>
      <w:r>
        <w:rPr>
          <w:rFonts w:ascii="ＭＳ ゴシック" w:eastAsia="ＭＳ ゴシック" w:hAnsi="ＭＳ ゴシック" w:cs="ＭＳ ゴシック" w:hint="eastAsia"/>
          <w:lang w:eastAsia="ja-JP"/>
        </w:rPr>
        <w:t>。この製品</w:t>
      </w:r>
      <w:r>
        <w:rPr>
          <w:lang w:eastAsia="ja-JP"/>
        </w:rPr>
        <w:t xml:space="preserve"> </w:t>
      </w:r>
      <w:r>
        <w:rPr>
          <w:rFonts w:ascii="ＭＳ ゴシック" w:eastAsia="ＭＳ ゴシック" w:hAnsi="ＭＳ ゴシック" w:cs="ＭＳ ゴシック" w:hint="eastAsia"/>
          <w:lang w:eastAsia="ja-JP"/>
        </w:rPr>
        <w:t>の炭素</w:t>
      </w:r>
      <w:r w:rsidR="00B6067C">
        <w:rPr>
          <w:rFonts w:ascii="ＭＳ ゴシック" w:eastAsia="ＭＳ ゴシック" w:hAnsi="ＭＳ ゴシック" w:cs="ＭＳ ゴシック" w:hint="eastAsia"/>
          <w:lang w:eastAsia="ja-JP"/>
        </w:rPr>
        <w:t>排出量</w:t>
      </w:r>
      <w:r>
        <w:rPr>
          <w:rFonts w:ascii="ＭＳ ゴシック" w:eastAsia="ＭＳ ゴシック" w:hAnsi="ＭＳ ゴシック" w:cs="ＭＳ ゴシック" w:hint="eastAsia"/>
          <w:lang w:eastAsia="ja-JP"/>
        </w:rPr>
        <w:t>をゼロにするために、この会社は毎年</w:t>
      </w:r>
      <w:r>
        <w:rPr>
          <w:lang w:eastAsia="ja-JP"/>
        </w:rPr>
        <w:t xml:space="preserve">5 </w:t>
      </w:r>
      <w:r>
        <w:rPr>
          <w:rFonts w:ascii="ＭＳ ゴシック" w:eastAsia="ＭＳ ゴシック" w:hAnsi="ＭＳ ゴシック" w:cs="ＭＳ ゴシック" w:hint="eastAsia"/>
          <w:lang w:eastAsia="ja-JP"/>
        </w:rPr>
        <w:t>万トンのオフセットを購入する必要があります。この場合、同社は分析単位あたりの</w:t>
      </w:r>
      <w:r w:rsidR="00B6067C">
        <w:rPr>
          <w:rFonts w:ascii="ＭＳ ゴシック" w:eastAsia="ＭＳ ゴシック" w:hAnsi="ＭＳ ゴシック" w:cs="ＭＳ ゴシック" w:hint="eastAsia"/>
          <w:lang w:eastAsia="ja-JP"/>
        </w:rPr>
        <w:t>算出</w:t>
      </w:r>
      <w:r>
        <w:rPr>
          <w:rFonts w:ascii="ＭＳ ゴシック" w:eastAsia="ＭＳ ゴシック" w:hAnsi="ＭＳ ゴシック" w:cs="ＭＳ ゴシック" w:hint="eastAsia"/>
          <w:lang w:eastAsia="ja-JP"/>
        </w:rPr>
        <w:t>結果</w:t>
      </w:r>
      <w:r w:rsidR="00B6067C">
        <w:rPr>
          <w:rFonts w:ascii="ＭＳ ゴシック" w:eastAsia="ＭＳ ゴシック" w:hAnsi="ＭＳ ゴシック" w:cs="ＭＳ ゴシック" w:hint="eastAsia"/>
          <w:lang w:eastAsia="ja-JP"/>
        </w:rPr>
        <w:t>と、選択された期間においてオフセットされる製品の総量</w:t>
      </w:r>
      <w:r>
        <w:rPr>
          <w:rFonts w:ascii="ＭＳ ゴシック" w:eastAsia="ＭＳ ゴシック" w:hAnsi="ＭＳ ゴシック" w:cs="ＭＳ ゴシック" w:hint="eastAsia"/>
          <w:lang w:eastAsia="ja-JP"/>
        </w:rPr>
        <w:t>を報告し</w:t>
      </w:r>
      <w:r w:rsidR="00B6067C">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。また、企業は、以下のようなオフセットの信頼性に関する情報を開示すべきで</w:t>
      </w:r>
      <w:r w:rsidR="00DC56EF">
        <w:rPr>
          <w:rFonts w:ascii="ＭＳ ゴシック" w:eastAsia="ＭＳ ゴシック" w:hAnsi="ＭＳ ゴシック" w:cs="ＭＳ ゴシック" w:hint="eastAsia"/>
          <w:lang w:eastAsia="ja-JP"/>
        </w:rPr>
        <w:t>す</w:t>
      </w:r>
      <w:r>
        <w:rPr>
          <w:rFonts w:ascii="ＭＳ ゴシック" w:eastAsia="ＭＳ ゴシック" w:hAnsi="ＭＳ ゴシック" w:cs="ＭＳ ゴシック" w:hint="eastAsia"/>
          <w:lang w:eastAsia="ja-JP"/>
        </w:rPr>
        <w:t>。</w:t>
      </w:r>
    </w:p>
    <w:p w14:paraId="3414FD8C" w14:textId="77777777" w:rsidR="00DC56EF" w:rsidRPr="00DC56EF" w:rsidRDefault="00DC56EF" w:rsidP="00B6067C">
      <w:pPr>
        <w:pStyle w:val="a5"/>
        <w:numPr>
          <w:ilvl w:val="1"/>
          <w:numId w:val="2"/>
        </w:numPr>
        <w:tabs>
          <w:tab w:val="left" w:pos="1394"/>
        </w:tabs>
        <w:spacing w:before="50"/>
        <w:ind w:left="851" w:right="308" w:hanging="261"/>
        <w:rPr>
          <w:sz w:val="19"/>
          <w:szCs w:val="19"/>
          <w:lang w:eastAsia="ja-JP"/>
        </w:rPr>
      </w:pPr>
      <w:r w:rsidRPr="00DC56EF">
        <w:rPr>
          <w:rFonts w:ascii="ＭＳ ゴシック" w:eastAsia="ＭＳ ゴシック" w:hAnsi="ＭＳ ゴシック" w:cs="ＭＳ ゴシック" w:hint="eastAsia"/>
          <w:sz w:val="19"/>
          <w:szCs w:val="19"/>
          <w:lang w:eastAsia="ja-JP"/>
        </w:rPr>
        <w:t>プロジェクトの種類</w:t>
      </w:r>
    </w:p>
    <w:p w14:paraId="2834E53B" w14:textId="77777777" w:rsidR="00DC56EF" w:rsidRDefault="00DC56EF" w:rsidP="00B6067C">
      <w:pPr>
        <w:pStyle w:val="a5"/>
        <w:numPr>
          <w:ilvl w:val="1"/>
          <w:numId w:val="2"/>
        </w:numPr>
        <w:tabs>
          <w:tab w:val="left" w:pos="1394"/>
        </w:tabs>
        <w:spacing w:before="50"/>
        <w:ind w:left="851" w:right="308" w:hanging="261"/>
        <w:rPr>
          <w:sz w:val="19"/>
          <w:szCs w:val="19"/>
          <w:lang w:eastAsia="ja-JP"/>
        </w:rPr>
      </w:pPr>
      <w:r w:rsidRPr="00DC56EF">
        <w:rPr>
          <w:rFonts w:ascii="ＭＳ ゴシック" w:eastAsia="ＭＳ ゴシック" w:hAnsi="ＭＳ ゴシック" w:cs="ＭＳ ゴシック" w:hint="eastAsia"/>
          <w:sz w:val="19"/>
          <w:szCs w:val="19"/>
          <w:lang w:eastAsia="ja-JP"/>
        </w:rPr>
        <w:t>地理的・組織的な起源</w:t>
      </w:r>
    </w:p>
    <w:p w14:paraId="144AA3C4" w14:textId="618AE30A" w:rsidR="00DC56EF" w:rsidRPr="00DC56EF" w:rsidRDefault="00DC56EF" w:rsidP="00B6067C">
      <w:pPr>
        <w:pStyle w:val="a5"/>
        <w:numPr>
          <w:ilvl w:val="1"/>
          <w:numId w:val="2"/>
        </w:numPr>
        <w:tabs>
          <w:tab w:val="left" w:pos="1394"/>
        </w:tabs>
        <w:spacing w:before="50"/>
        <w:ind w:left="851" w:right="308" w:hanging="261"/>
        <w:rPr>
          <w:sz w:val="19"/>
          <w:szCs w:val="19"/>
          <w:lang w:eastAsia="ja-JP"/>
        </w:rPr>
      </w:pPr>
      <w:r w:rsidRPr="00DC56EF">
        <w:rPr>
          <w:rFonts w:ascii="ＭＳ ゴシック" w:eastAsia="ＭＳ ゴシック" w:hAnsi="ＭＳ ゴシック" w:cs="ＭＳ ゴシック" w:hint="eastAsia"/>
          <w:sz w:val="19"/>
          <w:szCs w:val="19"/>
          <w:lang w:eastAsia="ja-JP"/>
        </w:rPr>
        <w:t>オフセットの定量化方法</w:t>
      </w:r>
    </w:p>
    <w:p w14:paraId="2450E9EB" w14:textId="77777777" w:rsidR="00DC56EF" w:rsidRPr="00DC56EF" w:rsidRDefault="00DC56EF" w:rsidP="00B6067C">
      <w:pPr>
        <w:pStyle w:val="a5"/>
        <w:numPr>
          <w:ilvl w:val="1"/>
          <w:numId w:val="2"/>
        </w:numPr>
        <w:tabs>
          <w:tab w:val="left" w:pos="1394"/>
        </w:tabs>
        <w:spacing w:before="50"/>
        <w:ind w:left="851" w:right="308" w:hanging="261"/>
        <w:rPr>
          <w:sz w:val="19"/>
          <w:szCs w:val="19"/>
          <w:lang w:eastAsia="ja-JP"/>
        </w:rPr>
      </w:pPr>
      <w:r w:rsidRPr="00DC56EF">
        <w:rPr>
          <w:rFonts w:ascii="ＭＳ ゴシック" w:eastAsia="ＭＳ ゴシック" w:hAnsi="ＭＳ ゴシック" w:cs="ＭＳ ゴシック" w:hint="eastAsia"/>
          <w:sz w:val="19"/>
          <w:szCs w:val="19"/>
          <w:lang w:eastAsia="ja-JP"/>
        </w:rPr>
        <w:t>オフセットのダブルカウントを回避した方法</w:t>
      </w:r>
    </w:p>
    <w:p w14:paraId="540DBD59" w14:textId="0650E315" w:rsidR="0055291C" w:rsidRPr="00DC56EF" w:rsidRDefault="00DC56EF" w:rsidP="00DC56EF">
      <w:pPr>
        <w:pStyle w:val="a5"/>
        <w:numPr>
          <w:ilvl w:val="1"/>
          <w:numId w:val="2"/>
        </w:numPr>
        <w:tabs>
          <w:tab w:val="left" w:pos="1394"/>
        </w:tabs>
        <w:spacing w:before="50"/>
        <w:ind w:left="851" w:right="308" w:hanging="261"/>
        <w:rPr>
          <w:sz w:val="19"/>
          <w:szCs w:val="19"/>
          <w:lang w:eastAsia="ja-JP"/>
        </w:rPr>
      </w:pPr>
      <w:r w:rsidRPr="00DC56EF">
        <w:rPr>
          <w:rFonts w:ascii="ＭＳ ゴシック" w:eastAsia="ＭＳ ゴシック" w:hAnsi="ＭＳ ゴシック" w:cs="ＭＳ ゴシック" w:hint="eastAsia"/>
          <w:sz w:val="19"/>
          <w:szCs w:val="19"/>
          <w:lang w:eastAsia="ja-JP"/>
        </w:rPr>
        <w:t>オフセットが外部プログラムによって認証または認識されているかどうか</w:t>
      </w:r>
      <w:r w:rsidR="00F23C61">
        <w:rPr>
          <w:noProof/>
        </w:rPr>
        <w:drawing>
          <wp:anchor distT="0" distB="0" distL="0" distR="0" simplePos="0" relativeHeight="251511296" behindDoc="0" locked="0" layoutInCell="1" allowOverlap="1" wp14:anchorId="16F4A9AE" wp14:editId="5FF2E1AE">
            <wp:simplePos x="0" y="0"/>
            <wp:positionH relativeFrom="page">
              <wp:posOffset>720001</wp:posOffset>
            </wp:positionH>
            <wp:positionV relativeFrom="paragraph">
              <wp:posOffset>611974</wp:posOffset>
            </wp:positionV>
            <wp:extent cx="7052398" cy="2743200"/>
            <wp:effectExtent l="0" t="0" r="0" b="0"/>
            <wp:wrapNone/>
            <wp:docPr id="47"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09.jpeg"/>
                    <pic:cNvPicPr/>
                  </pic:nvPicPr>
                  <pic:blipFill>
                    <a:blip r:embed="rId338" cstate="print"/>
                    <a:stretch>
                      <a:fillRect/>
                    </a:stretch>
                  </pic:blipFill>
                  <pic:spPr>
                    <a:xfrm>
                      <a:off x="0" y="0"/>
                      <a:ext cx="7052398" cy="2743200"/>
                    </a:xfrm>
                    <a:prstGeom prst="rect">
                      <a:avLst/>
                    </a:prstGeom>
                  </pic:spPr>
                </pic:pic>
              </a:graphicData>
            </a:graphic>
          </wp:anchor>
        </w:drawing>
      </w:r>
    </w:p>
    <w:p w14:paraId="2E25DAF9" w14:textId="2A8414D9" w:rsidR="0055291C" w:rsidRDefault="00F23C61" w:rsidP="00737EE5">
      <w:pPr>
        <w:pStyle w:val="a3"/>
        <w:spacing w:before="111" w:line="312" w:lineRule="auto"/>
        <w:ind w:left="426" w:right="977" w:firstLineChars="100" w:firstLine="190"/>
        <w:rPr>
          <w:lang w:eastAsia="ja-JP"/>
        </w:rPr>
      </w:pPr>
      <w:r>
        <w:rPr>
          <w:lang w:eastAsia="ja-JP"/>
        </w:rPr>
        <w:br w:type="column"/>
      </w:r>
      <w:r w:rsidR="00DC56EF">
        <w:rPr>
          <w:rFonts w:ascii="ＭＳ ゴシック" w:eastAsia="ＭＳ ゴシック" w:hAnsi="ＭＳ ゴシック" w:cs="ＭＳ ゴシック" w:hint="eastAsia"/>
          <w:lang w:eastAsia="ja-JP"/>
        </w:rPr>
        <w:t>削減目標を達成するために使用されるオフセットが、信頼できる</w:t>
      </w:r>
      <w:r w:rsidR="00DA47C0">
        <w:rPr>
          <w:rFonts w:ascii="ＭＳ ゴシック" w:eastAsia="ＭＳ ゴシック" w:hAnsi="ＭＳ ゴシック" w:cs="ＭＳ ゴシック" w:hint="eastAsia"/>
          <w:lang w:eastAsia="ja-JP"/>
        </w:rPr>
        <w:t>算出</w:t>
      </w:r>
      <w:r w:rsidR="00DC56EF">
        <w:rPr>
          <w:rFonts w:ascii="ＭＳ ゴシック" w:eastAsia="ＭＳ ゴシック" w:hAnsi="ＭＳ ゴシック" w:cs="ＭＳ ゴシック" w:hint="eastAsia"/>
          <w:lang w:eastAsia="ja-JP"/>
        </w:rPr>
        <w:t>基準に基づいていることを確認することが重要です。さらに、企業は、複数の企業による削減量や複数の目標における削減量の二重計上を避けるための措置を確保するべきです。例えば、企業が排出量境界に含まれる排出源で発生したオフセットを販売する場合、販売される削減量は、同じ排出源に適用される削減目標に向けたパフォーマンスの</w:t>
      </w:r>
      <w:r w:rsidR="00737EE5">
        <w:rPr>
          <w:rFonts w:ascii="ＭＳ ゴシック" w:eastAsia="ＭＳ ゴシック" w:hAnsi="ＭＳ ゴシック" w:cs="ＭＳ ゴシック" w:hint="eastAsia"/>
          <w:lang w:eastAsia="ja-JP"/>
        </w:rPr>
        <w:t>追跡</w:t>
      </w:r>
      <w:r w:rsidR="00DC56EF">
        <w:rPr>
          <w:rFonts w:ascii="ＭＳ ゴシック" w:eastAsia="ＭＳ ゴシック" w:hAnsi="ＭＳ ゴシック" w:cs="ＭＳ ゴシック" w:hint="eastAsia"/>
          <w:lang w:eastAsia="ja-JP"/>
        </w:rPr>
        <w:t>に含めてはなりません</w:t>
      </w:r>
      <w:r w:rsidR="00DC56EF">
        <w:rPr>
          <w:lang w:eastAsia="ja-JP"/>
        </w:rPr>
        <w:t xml:space="preserve"> </w:t>
      </w:r>
      <w:r w:rsidR="00DC56EF">
        <w:rPr>
          <w:rFonts w:ascii="ＭＳ ゴシック" w:eastAsia="ＭＳ ゴシック" w:hAnsi="ＭＳ ゴシック" w:cs="ＭＳ ゴシック" w:hint="eastAsia"/>
          <w:lang w:eastAsia="ja-JP"/>
        </w:rPr>
        <w:t>。</w:t>
      </w:r>
    </w:p>
    <w:p w14:paraId="7D4E3B8D" w14:textId="37B62534" w:rsidR="0055291C" w:rsidRDefault="00000000" w:rsidP="00737EE5">
      <w:pPr>
        <w:spacing w:before="144" w:line="309" w:lineRule="auto"/>
        <w:ind w:left="426" w:right="977"/>
        <w:rPr>
          <w:sz w:val="19"/>
          <w:lang w:eastAsia="ja-JP"/>
        </w:rPr>
      </w:pPr>
      <w:r>
        <w:rPr>
          <w:sz w:val="19"/>
          <w:szCs w:val="19"/>
        </w:rPr>
        <w:pict w14:anchorId="771D1501">
          <v:shape id="docshape1500" o:spid="_x0000_s2360" type="#_x0000_t202" style="position:absolute;left:0;text-align:left;margin-left:585.65pt;margin-top:-80.65pt;width:17.7pt;height:119.1pt;z-index:251653632;mso-position-horizontal-relative:page" filled="f" stroked="f">
            <v:textbox style="layout-flow:vertical;mso-layout-flow-alt:bottom-to-top;mso-next-textbox:#docshape1500" inset="0,0,0,0">
              <w:txbxContent>
                <w:p w14:paraId="66658A76"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v:shape>
        </w:pict>
      </w:r>
      <w:r w:rsidR="00737EE5" w:rsidRPr="00737EE5">
        <w:rPr>
          <w:rFonts w:ascii="ＭＳ ゴシック" w:eastAsia="ＭＳ ゴシック" w:hAnsi="ＭＳ ゴシック" w:cs="ＭＳ ゴシック" w:hint="eastAsia"/>
          <w:sz w:val="19"/>
          <w:szCs w:val="19"/>
          <w:lang w:eastAsia="ja-JP"/>
        </w:rPr>
        <w:t>信頼できる</w:t>
      </w:r>
      <w:r w:rsidR="00737EE5">
        <w:rPr>
          <w:rFonts w:ascii="ＭＳ ゴシック" w:eastAsia="ＭＳ ゴシック" w:hAnsi="ＭＳ ゴシック" w:cs="ＭＳ ゴシック" w:hint="eastAsia"/>
          <w:sz w:val="19"/>
          <w:szCs w:val="19"/>
          <w:lang w:eastAsia="ja-JP"/>
        </w:rPr>
        <w:t>計上</w:t>
      </w:r>
      <w:r w:rsidR="00737EE5" w:rsidRPr="00737EE5">
        <w:rPr>
          <w:rFonts w:ascii="ＭＳ ゴシック" w:eastAsia="ＭＳ ゴシック" w:hAnsi="ＭＳ ゴシック" w:cs="ＭＳ ゴシック" w:hint="eastAsia"/>
          <w:sz w:val="19"/>
          <w:szCs w:val="19"/>
          <w:lang w:eastAsia="ja-JP"/>
        </w:rPr>
        <w:t>方法と基準に基づく</w:t>
      </w:r>
      <w:r w:rsidR="00737EE5">
        <w:rPr>
          <w:rFonts w:ascii="ＭＳ ゴシック" w:eastAsia="ＭＳ ゴシック" w:hAnsi="ＭＳ ゴシック" w:cs="ＭＳ ゴシック" w:hint="eastAsia"/>
          <w:sz w:val="19"/>
          <w:szCs w:val="19"/>
          <w:lang w:eastAsia="ja-JP"/>
        </w:rPr>
        <w:t>、</w:t>
      </w:r>
      <w:r w:rsidR="00737EE5" w:rsidRPr="00737EE5">
        <w:rPr>
          <w:rFonts w:ascii="ＭＳ ゴシック" w:eastAsia="ＭＳ ゴシック" w:hAnsi="ＭＳ ゴシック" w:cs="ＭＳ ゴシック" w:hint="eastAsia"/>
          <w:sz w:val="19"/>
          <w:szCs w:val="19"/>
          <w:lang w:eastAsia="ja-JP"/>
        </w:rPr>
        <w:t>オフセットの使用に関する追加ガイダンスについては「</w:t>
      </w:r>
      <w:r w:rsidR="00737EE5" w:rsidRPr="00737EE5">
        <w:rPr>
          <w:sz w:val="19"/>
          <w:szCs w:val="19"/>
          <w:lang w:eastAsia="ja-JP"/>
        </w:rPr>
        <w:t>GHG</w:t>
      </w:r>
      <w:r w:rsidR="00737EE5" w:rsidRPr="00737EE5">
        <w:rPr>
          <w:rFonts w:ascii="ＭＳ ゴシック" w:eastAsia="ＭＳ ゴシック" w:hAnsi="ＭＳ ゴシック" w:cs="ＭＳ ゴシック" w:hint="eastAsia"/>
          <w:sz w:val="19"/>
          <w:szCs w:val="19"/>
          <w:lang w:eastAsia="ja-JP"/>
        </w:rPr>
        <w:t>プロトコルプロジェクト</w:t>
      </w:r>
      <w:r w:rsidR="00DA47C0">
        <w:rPr>
          <w:rFonts w:ascii="ＭＳ ゴシック" w:eastAsia="ＭＳ ゴシック" w:hAnsi="ＭＳ ゴシック" w:cs="ＭＳ ゴシック" w:hint="eastAsia"/>
          <w:sz w:val="19"/>
          <w:szCs w:val="19"/>
          <w:lang w:eastAsia="ja-JP"/>
        </w:rPr>
        <w:t>算出</w:t>
      </w:r>
      <w:r w:rsidR="00737EE5" w:rsidRPr="00737EE5">
        <w:rPr>
          <w:rFonts w:ascii="ＭＳ ゴシック" w:eastAsia="ＭＳ ゴシック" w:hAnsi="ＭＳ ゴシック" w:cs="ＭＳ ゴシック" w:hint="eastAsia"/>
          <w:sz w:val="19"/>
          <w:szCs w:val="19"/>
          <w:lang w:eastAsia="ja-JP"/>
        </w:rPr>
        <w:t>ガイドライン」を、目標達成における二重計算を避けるためには「企業基準（第</w:t>
      </w:r>
      <w:r w:rsidR="00737EE5" w:rsidRPr="00737EE5">
        <w:rPr>
          <w:sz w:val="19"/>
          <w:szCs w:val="19"/>
          <w:lang w:eastAsia="ja-JP"/>
        </w:rPr>
        <w:t>11</w:t>
      </w:r>
      <w:r w:rsidR="00737EE5" w:rsidRPr="00737EE5">
        <w:rPr>
          <w:rFonts w:ascii="ＭＳ ゴシック" w:eastAsia="ＭＳ ゴシック" w:hAnsi="ＭＳ ゴシック" w:cs="ＭＳ ゴシック" w:hint="eastAsia"/>
          <w:sz w:val="19"/>
          <w:szCs w:val="19"/>
          <w:lang w:eastAsia="ja-JP"/>
        </w:rPr>
        <w:t>章</w:t>
      </w:r>
      <w:r w:rsidR="00737EE5" w:rsidRPr="00737EE5">
        <w:rPr>
          <w:sz w:val="19"/>
          <w:szCs w:val="19"/>
          <w:lang w:eastAsia="ja-JP"/>
        </w:rPr>
        <w:t xml:space="preserve"> </w:t>
      </w:r>
      <w:r w:rsidR="00737EE5" w:rsidRPr="00737EE5">
        <w:rPr>
          <w:rFonts w:ascii="ＭＳ ゴシック" w:eastAsia="ＭＳ ゴシック" w:hAnsi="ＭＳ ゴシック" w:cs="ＭＳ ゴシック" w:hint="eastAsia"/>
          <w:sz w:val="19"/>
          <w:szCs w:val="19"/>
          <w:lang w:eastAsia="ja-JP"/>
        </w:rPr>
        <w:t>、</w:t>
      </w:r>
      <w:r w:rsidR="00737EE5" w:rsidRPr="00737EE5">
        <w:rPr>
          <w:sz w:val="19"/>
          <w:szCs w:val="19"/>
          <w:lang w:eastAsia="ja-JP"/>
        </w:rPr>
        <w:t>81-83</w:t>
      </w:r>
      <w:r w:rsidR="00737EE5" w:rsidRPr="00737EE5">
        <w:rPr>
          <w:rFonts w:ascii="ＭＳ ゴシック" w:eastAsia="ＭＳ ゴシック" w:hAnsi="ＭＳ ゴシック" w:cs="ＭＳ ゴシック" w:hint="eastAsia"/>
          <w:sz w:val="19"/>
          <w:szCs w:val="19"/>
          <w:lang w:eastAsia="ja-JP"/>
        </w:rPr>
        <w:t>ページ）」を参照</w:t>
      </w:r>
      <w:r w:rsidR="00737EE5">
        <w:rPr>
          <w:rFonts w:ascii="ＭＳ ゴシック" w:eastAsia="ＭＳ ゴシック" w:hAnsi="ＭＳ ゴシック" w:cs="ＭＳ ゴシック" w:hint="eastAsia"/>
          <w:sz w:val="19"/>
          <w:szCs w:val="19"/>
          <w:lang w:eastAsia="ja-JP"/>
        </w:rPr>
        <w:t>してください。</w:t>
      </w:r>
    </w:p>
    <w:p w14:paraId="3D4F79CC" w14:textId="77777777" w:rsidR="0055291C" w:rsidRDefault="0055291C" w:rsidP="00737EE5">
      <w:pPr>
        <w:pStyle w:val="a3"/>
        <w:ind w:left="426" w:right="977"/>
        <w:rPr>
          <w:sz w:val="20"/>
          <w:lang w:eastAsia="ja-JP"/>
        </w:rPr>
      </w:pPr>
    </w:p>
    <w:p w14:paraId="2D005E67" w14:textId="77777777" w:rsidR="0055291C" w:rsidRDefault="0055291C" w:rsidP="00737EE5">
      <w:pPr>
        <w:pStyle w:val="a3"/>
        <w:spacing w:before="5"/>
        <w:ind w:left="426" w:right="977"/>
        <w:rPr>
          <w:sz w:val="25"/>
          <w:lang w:eastAsia="ja-JP"/>
        </w:rPr>
      </w:pPr>
    </w:p>
    <w:p w14:paraId="0232605A" w14:textId="07075B9C" w:rsidR="0055291C" w:rsidRDefault="006D7ED2" w:rsidP="00737EE5">
      <w:pPr>
        <w:pStyle w:val="3"/>
        <w:spacing w:before="0"/>
        <w:ind w:left="426" w:right="977"/>
        <w:rPr>
          <w:lang w:eastAsia="ja-JP"/>
        </w:rPr>
      </w:pPr>
      <w:r>
        <w:rPr>
          <w:rFonts w:ascii="ＭＳ 明朝" w:eastAsia="ＭＳ 明朝" w:hAnsi="ＭＳ 明朝" w:cs="ＭＳ 明朝" w:hint="eastAsia"/>
          <w:color w:val="00ACA1"/>
          <w:lang w:eastAsia="ja-JP"/>
        </w:rPr>
        <w:t>脚注</w:t>
      </w:r>
    </w:p>
    <w:p w14:paraId="61A70262" w14:textId="4F29B171" w:rsidR="0055291C" w:rsidRPr="00737EE5" w:rsidRDefault="00F23C61" w:rsidP="00737EE5">
      <w:pPr>
        <w:spacing w:before="62" w:line="345" w:lineRule="auto"/>
        <w:ind w:left="426" w:right="977"/>
        <w:rPr>
          <w:sz w:val="19"/>
          <w:szCs w:val="19"/>
          <w:lang w:eastAsia="ja-JP"/>
        </w:rPr>
      </w:pPr>
      <w:r>
        <w:rPr>
          <w:color w:val="545456"/>
          <w:spacing w:val="-4"/>
          <w:sz w:val="16"/>
          <w:lang w:eastAsia="ja-JP"/>
        </w:rPr>
        <w:t>1</w:t>
      </w:r>
      <w:r w:rsidR="00737EE5">
        <w:rPr>
          <w:rFonts w:ascii="ＭＳ ゴシック" w:eastAsia="ＭＳ ゴシック" w:hAnsi="ＭＳ ゴシック" w:cs="ＭＳ ゴシック" w:hint="eastAsia"/>
          <w:color w:val="545456"/>
          <w:spacing w:val="-4"/>
          <w:sz w:val="16"/>
          <w:lang w:eastAsia="ja-JP"/>
        </w:rPr>
        <w:t xml:space="preserve">　</w:t>
      </w:r>
      <w:r w:rsidR="00737EE5" w:rsidRPr="00737EE5">
        <w:rPr>
          <w:rFonts w:ascii="ＭＳ ゴシック" w:eastAsia="ＭＳ ゴシック" w:hAnsi="ＭＳ ゴシック" w:cs="ＭＳ ゴシック" w:hint="eastAsia"/>
          <w:sz w:val="19"/>
          <w:szCs w:val="19"/>
          <w:lang w:eastAsia="ja-JP"/>
        </w:rPr>
        <w:t>排出係数の変更が実際の排出量の変化を表している場合、</w:t>
      </w:r>
      <w:r w:rsidR="00737EE5">
        <w:rPr>
          <w:rFonts w:ascii="ＭＳ ゴシック" w:eastAsia="ＭＳ ゴシック" w:hAnsi="ＭＳ ゴシック" w:cs="ＭＳ ゴシック" w:hint="eastAsia"/>
          <w:sz w:val="19"/>
          <w:szCs w:val="19"/>
          <w:lang w:eastAsia="ja-JP"/>
        </w:rPr>
        <w:t>基礎排出量</w:t>
      </w:r>
      <w:r w:rsidR="00737EE5" w:rsidRPr="00737EE5">
        <w:rPr>
          <w:rFonts w:ascii="ＭＳ ゴシック" w:eastAsia="ＭＳ ゴシック" w:hAnsi="ＭＳ ゴシック" w:cs="ＭＳ ゴシック" w:hint="eastAsia"/>
          <w:sz w:val="19"/>
          <w:szCs w:val="19"/>
          <w:lang w:eastAsia="ja-JP"/>
        </w:rPr>
        <w:t>を更新する必要は</w:t>
      </w:r>
      <w:r w:rsidR="00737EE5">
        <w:rPr>
          <w:rFonts w:ascii="ＭＳ ゴシック" w:eastAsia="ＭＳ ゴシック" w:hAnsi="ＭＳ ゴシック" w:cs="ＭＳ ゴシック" w:hint="eastAsia"/>
          <w:sz w:val="19"/>
          <w:szCs w:val="19"/>
          <w:lang w:eastAsia="ja-JP"/>
        </w:rPr>
        <w:t>ありません</w:t>
      </w:r>
      <w:r w:rsidR="00737EE5" w:rsidRPr="00737EE5">
        <w:rPr>
          <w:rFonts w:ascii="ＭＳ ゴシック" w:eastAsia="ＭＳ ゴシック" w:hAnsi="ＭＳ ゴシック" w:cs="ＭＳ ゴシック" w:hint="eastAsia"/>
          <w:sz w:val="19"/>
          <w:szCs w:val="19"/>
          <w:lang w:eastAsia="ja-JP"/>
        </w:rPr>
        <w:t>。しかし、排出係数がより完全なものに更新され</w:t>
      </w:r>
      <w:r w:rsidR="00737EE5" w:rsidRPr="00737EE5">
        <w:rPr>
          <w:sz w:val="19"/>
          <w:szCs w:val="19"/>
          <w:lang w:eastAsia="ja-JP"/>
        </w:rPr>
        <w:t xml:space="preserve"> </w:t>
      </w:r>
      <w:r w:rsidR="00737EE5" w:rsidRPr="00737EE5">
        <w:rPr>
          <w:rFonts w:ascii="ＭＳ ゴシック" w:eastAsia="ＭＳ ゴシック" w:hAnsi="ＭＳ ゴシック" w:cs="ＭＳ ゴシック" w:hint="eastAsia"/>
          <w:sz w:val="19"/>
          <w:szCs w:val="19"/>
          <w:lang w:eastAsia="ja-JP"/>
        </w:rPr>
        <w:t>たり、不確実性が減少した場合には、</w:t>
      </w:r>
      <w:r w:rsidR="00737EE5">
        <w:rPr>
          <w:rFonts w:ascii="ＭＳ ゴシック" w:eastAsia="ＭＳ ゴシック" w:hAnsi="ＭＳ ゴシック" w:cs="ＭＳ ゴシック" w:hint="eastAsia"/>
          <w:sz w:val="19"/>
          <w:szCs w:val="19"/>
          <w:lang w:eastAsia="ja-JP"/>
        </w:rPr>
        <w:t>基礎排出量</w:t>
      </w:r>
      <w:r w:rsidR="00737EE5" w:rsidRPr="00737EE5">
        <w:rPr>
          <w:rFonts w:ascii="ＭＳ ゴシック" w:eastAsia="ＭＳ ゴシック" w:hAnsi="ＭＳ ゴシック" w:cs="ＭＳ ゴシック" w:hint="eastAsia"/>
          <w:sz w:val="19"/>
          <w:szCs w:val="19"/>
          <w:lang w:eastAsia="ja-JP"/>
        </w:rPr>
        <w:t>の再計算が必要となる場合があ</w:t>
      </w:r>
      <w:r w:rsidR="00737EE5">
        <w:rPr>
          <w:rFonts w:ascii="ＭＳ ゴシック" w:eastAsia="ＭＳ ゴシック" w:hAnsi="ＭＳ ゴシック" w:cs="ＭＳ ゴシック" w:hint="eastAsia"/>
          <w:sz w:val="19"/>
          <w:szCs w:val="19"/>
          <w:lang w:eastAsia="ja-JP"/>
        </w:rPr>
        <w:t>ります</w:t>
      </w:r>
      <w:r w:rsidR="00737EE5" w:rsidRPr="00737EE5">
        <w:rPr>
          <w:rFonts w:ascii="ＭＳ ゴシック" w:eastAsia="ＭＳ ゴシック" w:hAnsi="ＭＳ ゴシック" w:cs="ＭＳ ゴシック" w:hint="eastAsia"/>
          <w:sz w:val="19"/>
          <w:szCs w:val="19"/>
          <w:lang w:eastAsia="ja-JP"/>
        </w:rPr>
        <w:t>。</w:t>
      </w:r>
    </w:p>
    <w:p w14:paraId="5F135174" w14:textId="77777777" w:rsidR="0055291C" w:rsidRDefault="0055291C">
      <w:pPr>
        <w:spacing w:line="345" w:lineRule="auto"/>
        <w:rPr>
          <w:sz w:val="16"/>
          <w:lang w:eastAsia="ja-JP"/>
        </w:rPr>
        <w:sectPr w:rsidR="0055291C">
          <w:type w:val="continuous"/>
          <w:pgSz w:w="12240" w:h="15840"/>
          <w:pgMar w:top="740" w:right="0" w:bottom="280" w:left="0" w:header="0" w:footer="859" w:gutter="0"/>
          <w:cols w:num="2" w:space="720" w:equalWidth="0">
            <w:col w:w="5978" w:space="40"/>
            <w:col w:w="6222"/>
          </w:cols>
        </w:sectPr>
      </w:pPr>
    </w:p>
    <w:p w14:paraId="0328B68C" w14:textId="77777777" w:rsidR="0055291C" w:rsidRDefault="0055291C">
      <w:pPr>
        <w:spacing w:line="345" w:lineRule="auto"/>
        <w:rPr>
          <w:sz w:val="16"/>
          <w:lang w:eastAsia="ja-JP"/>
        </w:rPr>
        <w:sectPr w:rsidR="0055291C">
          <w:type w:val="continuous"/>
          <w:pgSz w:w="12240" w:h="15840"/>
          <w:pgMar w:top="740" w:right="0" w:bottom="280" w:left="0" w:header="0" w:footer="859" w:gutter="0"/>
          <w:cols w:space="720"/>
        </w:sectPr>
      </w:pPr>
    </w:p>
    <w:p w14:paraId="4BEFBF72" w14:textId="03F09D66" w:rsidR="0055291C" w:rsidRDefault="00000000">
      <w:pPr>
        <w:pStyle w:val="1"/>
        <w:spacing w:before="78"/>
      </w:pPr>
      <w:r>
        <w:lastRenderedPageBreak/>
        <w:pict w14:anchorId="31BBB9C8">
          <v:group id="docshapegroup1501" o:spid="_x0000_s2355" style="position:absolute;left:0;text-align:left;margin-left:0;margin-top:0;width:612pt;height:11in;z-index:-251543040;mso-position-horizontal-relative:page;mso-position-vertical-relative:page" coordsize="12240,15840">
            <v:shape id="docshape1502" o:spid="_x0000_s2359" type="#_x0000_t75" style="position:absolute;width:12240;height:15840">
              <v:imagedata r:id="rId339" o:title=""/>
            </v:shape>
            <v:shape id="docshape1503" o:spid="_x0000_s2358" style="position:absolute;left:12240;width:2;height:2009" coordorigin="12240" coordsize="0,2009" path="m12240,r,2008l12240,xe" fillcolor="#d8eeec" stroked="f">
              <v:path arrowok="t"/>
            </v:shape>
            <v:rect id="docshape1504" o:spid="_x0000_s2357" style="position:absolute;width:12240;height:2015" fillcolor="#f3f4f4" stroked="f">
              <v:fill opacity="45875f"/>
            </v:rect>
            <v:shape id="docshape1505" o:spid="_x0000_s2356" style="position:absolute;width:2133;height:2015" coordsize="2133,2015" path="m2132,l,,,2014r1892,l2031,2011r71,-27l2129,1913r3,-139l2132,xe" fillcolor="#00aca1" stroked="f">
              <v:path arrowok="t"/>
            </v:shape>
            <w10:wrap anchorx="page" anchory="page"/>
          </v:group>
        </w:pict>
      </w:r>
      <w:bookmarkStart w:id="13" w:name="_TOC_250000"/>
      <w:bookmarkEnd w:id="13"/>
      <w:r w:rsidR="006D7ED2">
        <w:rPr>
          <w:rFonts w:ascii="ＭＳ 明朝" w:eastAsia="ＭＳ 明朝" w:hAnsi="ＭＳ 明朝" w:cs="ＭＳ 明朝" w:hint="eastAsia"/>
          <w:color w:val="545456"/>
          <w:lang w:eastAsia="ja-JP"/>
        </w:rPr>
        <w:t>付録</w:t>
      </w:r>
    </w:p>
    <w:p w14:paraId="47906729" w14:textId="77777777" w:rsidR="0055291C" w:rsidRDefault="0055291C">
      <w:pPr>
        <w:sectPr w:rsidR="0055291C">
          <w:headerReference w:type="even" r:id="rId340"/>
          <w:footerReference w:type="even" r:id="rId341"/>
          <w:pgSz w:w="12240" w:h="15840"/>
          <w:pgMar w:top="940" w:right="0" w:bottom="280" w:left="0" w:header="0" w:footer="0" w:gutter="0"/>
          <w:cols w:space="720"/>
        </w:sectPr>
      </w:pPr>
    </w:p>
    <w:p w14:paraId="09D26C36" w14:textId="77777777" w:rsidR="0055291C" w:rsidRDefault="00000000">
      <w:pPr>
        <w:pStyle w:val="a3"/>
        <w:rPr>
          <w:rFonts w:ascii="Arial"/>
          <w:sz w:val="20"/>
        </w:rPr>
      </w:pPr>
      <w:r>
        <w:rPr>
          <w:rFonts w:ascii="Arial"/>
          <w:sz w:val="20"/>
        </w:rPr>
      </w:r>
      <w:r>
        <w:rPr>
          <w:rFonts w:ascii="Arial"/>
          <w:sz w:val="20"/>
        </w:rPr>
        <w:pict w14:anchorId="7C300EB5">
          <v:group id="docshapegroup1508" o:spid="_x0000_s2352" style="width:553.75pt;height:100.65pt;mso-position-horizontal-relative:char;mso-position-vertical-relative:line" coordsize="11075,2013">
            <v:shape id="docshape1509" o:spid="_x0000_s2354" style="position:absolute;width:11075;height:2009" coordsize="11075,2009" path="m11073,l,,,2008r10834,l10973,2005r71,-27l11070,1907r4,-139l11074,42,11073,xe" fillcolor="#d8eeec" stroked="f">
              <v:path arrowok="t"/>
            </v:shape>
            <v:shape id="docshape1510" o:spid="_x0000_s2353" type="#_x0000_t202" style="position:absolute;width:11075;height:2013" filled="f" stroked="f">
              <v:textbox style="mso-next-textbox:#docshape1510" inset="0,0,0,0">
                <w:txbxContent>
                  <w:p w14:paraId="556B957A" w14:textId="77777777" w:rsidR="0055291C" w:rsidRDefault="0055291C">
                    <w:pPr>
                      <w:rPr>
                        <w:rFonts w:ascii="Arial"/>
                        <w:b/>
                        <w:i/>
                        <w:sz w:val="54"/>
                      </w:rPr>
                    </w:pPr>
                  </w:p>
                  <w:p w14:paraId="1B52579E" w14:textId="77777777" w:rsidR="0055291C" w:rsidRDefault="0055291C">
                    <w:pPr>
                      <w:spacing w:before="11"/>
                      <w:rPr>
                        <w:rFonts w:ascii="Arial"/>
                        <w:b/>
                        <w:i/>
                        <w:sz w:val="73"/>
                      </w:rPr>
                    </w:pPr>
                  </w:p>
                  <w:p w14:paraId="40F80A43" w14:textId="46B25054" w:rsidR="0055291C" w:rsidRDefault="006D7ED2">
                    <w:pPr>
                      <w:spacing w:line="541" w:lineRule="exact"/>
                      <w:ind w:left="1105"/>
                      <w:rPr>
                        <w:rFonts w:ascii="Arial"/>
                        <w:b/>
                        <w:i/>
                        <w:sz w:val="48"/>
                        <w:lang w:eastAsia="ja-JP"/>
                      </w:rPr>
                    </w:pPr>
                    <w:r>
                      <w:rPr>
                        <w:rFonts w:ascii="ＭＳ ゴシック" w:eastAsia="ＭＳ ゴシック" w:hAnsi="ＭＳ ゴシック" w:cs="ＭＳ ゴシック" w:hint="eastAsia"/>
                        <w:b/>
                        <w:i/>
                        <w:color w:val="00ACA1"/>
                        <w:w w:val="90"/>
                        <w:sz w:val="48"/>
                        <w:lang w:eastAsia="ja-JP"/>
                      </w:rPr>
                      <w:t>付録</w:t>
                    </w:r>
                    <w:r w:rsidR="00F23C61">
                      <w:rPr>
                        <w:rFonts w:ascii="Arial"/>
                        <w:b/>
                        <w:i/>
                        <w:color w:val="00ACA1"/>
                        <w:w w:val="90"/>
                        <w:sz w:val="48"/>
                        <w:lang w:eastAsia="ja-JP"/>
                      </w:rPr>
                      <w:t>A.</w:t>
                    </w:r>
                    <w:r w:rsidR="00F23C61">
                      <w:rPr>
                        <w:rFonts w:ascii="Arial"/>
                        <w:b/>
                        <w:i/>
                        <w:color w:val="00ACA1"/>
                        <w:spacing w:val="27"/>
                        <w:w w:val="90"/>
                        <w:sz w:val="48"/>
                        <w:lang w:eastAsia="ja-JP"/>
                      </w:rPr>
                      <w:t xml:space="preserve"> </w:t>
                    </w:r>
                    <w:r>
                      <w:rPr>
                        <w:rFonts w:ascii="ＭＳ ゴシック" w:eastAsia="ＭＳ ゴシック" w:hAnsi="ＭＳ ゴシック" w:cs="ＭＳ ゴシック" w:hint="eastAsia"/>
                        <w:b/>
                        <w:i/>
                        <w:color w:val="545456"/>
                        <w:w w:val="90"/>
                        <w:sz w:val="48"/>
                        <w:lang w:eastAsia="ja-JP"/>
                      </w:rPr>
                      <w:t>製品比較の手引き</w:t>
                    </w:r>
                  </w:p>
                </w:txbxContent>
              </v:textbox>
            </v:shape>
            <w10:anchorlock/>
          </v:group>
        </w:pict>
      </w:r>
    </w:p>
    <w:p w14:paraId="688DFEB3" w14:textId="77777777" w:rsidR="0055291C" w:rsidRDefault="0055291C">
      <w:pPr>
        <w:pStyle w:val="a3"/>
        <w:rPr>
          <w:rFonts w:ascii="Arial"/>
          <w:b/>
          <w:i/>
          <w:sz w:val="20"/>
        </w:rPr>
      </w:pPr>
    </w:p>
    <w:p w14:paraId="2A7103E0" w14:textId="77777777" w:rsidR="0055291C" w:rsidRDefault="0055291C">
      <w:pPr>
        <w:pStyle w:val="a3"/>
        <w:rPr>
          <w:rFonts w:ascii="Arial"/>
          <w:b/>
          <w:i/>
          <w:sz w:val="20"/>
        </w:rPr>
      </w:pPr>
    </w:p>
    <w:p w14:paraId="5DE3085C" w14:textId="4EE8B486" w:rsidR="0055291C" w:rsidRDefault="00563351" w:rsidP="00563351">
      <w:pPr>
        <w:spacing w:before="2" w:line="364" w:lineRule="auto"/>
        <w:ind w:left="1133" w:right="1132" w:firstLineChars="100" w:firstLine="220"/>
        <w:jc w:val="both"/>
        <w:rPr>
          <w:rFonts w:ascii="Arial"/>
          <w:b/>
          <w:i/>
          <w:sz w:val="24"/>
          <w:lang w:eastAsia="ja-JP"/>
        </w:rPr>
      </w:pPr>
      <w:r>
        <w:rPr>
          <w:rFonts w:ascii="ＭＳ ゴシック" w:eastAsia="ＭＳ ゴシック" w:hAnsi="ＭＳ ゴシック" w:cs="ＭＳ ゴシック" w:hint="eastAsia"/>
          <w:lang w:eastAsia="ja-JP"/>
        </w:rPr>
        <w:t>製品のライフサイクルにおける温室効果ガスの排出と除去の定量化は複雑であり、その結果は方法論の選択と仮定に大きく依存します。有効な製品比較を行うには、製品のライフサイクルにおける温室効果ガス排出量と除去量のばらつきを最小にするような同等の方法論を用いる必要があります。公平かつ有効な基準で製品を比較するために、企業は製品規格の利用を補完する必要があります。</w:t>
      </w:r>
    </w:p>
    <w:p w14:paraId="69C487F6" w14:textId="77777777" w:rsidR="0055291C" w:rsidRDefault="0055291C">
      <w:pPr>
        <w:pStyle w:val="a3"/>
        <w:rPr>
          <w:rFonts w:ascii="Arial"/>
          <w:b/>
          <w:i/>
          <w:sz w:val="20"/>
          <w:lang w:eastAsia="ja-JP"/>
        </w:rPr>
      </w:pPr>
    </w:p>
    <w:p w14:paraId="33A0E0B4" w14:textId="77777777" w:rsidR="0055291C" w:rsidRDefault="0055291C">
      <w:pPr>
        <w:rPr>
          <w:rFonts w:ascii="Arial"/>
          <w:sz w:val="20"/>
          <w:lang w:eastAsia="ja-JP"/>
        </w:rPr>
        <w:sectPr w:rsidR="0055291C">
          <w:headerReference w:type="default" r:id="rId342"/>
          <w:footerReference w:type="even" r:id="rId343"/>
          <w:footerReference w:type="default" r:id="rId344"/>
          <w:pgSz w:w="12240" w:h="15840"/>
          <w:pgMar w:top="0" w:right="0" w:bottom="1040" w:left="0" w:header="0" w:footer="859" w:gutter="0"/>
          <w:pgNumType w:start="115"/>
          <w:cols w:space="720"/>
        </w:sectPr>
      </w:pPr>
    </w:p>
    <w:p w14:paraId="3DD9284A" w14:textId="77777777" w:rsidR="0055291C" w:rsidRDefault="0055291C">
      <w:pPr>
        <w:pStyle w:val="a3"/>
        <w:spacing w:before="11"/>
        <w:rPr>
          <w:rFonts w:ascii="Arial"/>
          <w:b/>
          <w:i/>
          <w:sz w:val="20"/>
          <w:lang w:eastAsia="ja-JP"/>
        </w:rPr>
      </w:pPr>
    </w:p>
    <w:p w14:paraId="3C0CF129" w14:textId="62B51A3A" w:rsidR="0055291C" w:rsidRDefault="00563351" w:rsidP="00563351">
      <w:pPr>
        <w:pStyle w:val="a3"/>
        <w:spacing w:before="1" w:line="312" w:lineRule="auto"/>
        <w:ind w:left="1133" w:firstLineChars="100" w:firstLine="190"/>
        <w:rPr>
          <w:lang w:eastAsia="ja-JP"/>
        </w:rPr>
      </w:pPr>
      <w:r>
        <w:rPr>
          <w:lang w:eastAsia="ja-JP"/>
        </w:rPr>
        <w:t xml:space="preserve">1 </w:t>
      </w:r>
      <w:r>
        <w:rPr>
          <w:rFonts w:ascii="ＭＳ ゴシック" w:eastAsia="ＭＳ ゴシック" w:hAnsi="ＭＳ ゴシック" w:cs="ＭＳ ゴシック" w:hint="eastAsia"/>
          <w:lang w:eastAsia="ja-JP"/>
        </w:rPr>
        <w:t>章で述べたように、この規格は</w:t>
      </w:r>
      <w:r>
        <w:rPr>
          <w:lang w:eastAsia="ja-JP"/>
        </w:rPr>
        <w:t>1</w:t>
      </w:r>
      <w:r>
        <w:rPr>
          <w:rFonts w:ascii="ＭＳ ゴシック" w:eastAsia="ＭＳ ゴシック" w:hAnsi="ＭＳ ゴシック" w:cs="ＭＳ ゴシック" w:hint="eastAsia"/>
          <w:lang w:eastAsia="ja-JP"/>
        </w:rPr>
        <w:t>つの製品の長期的な性能追跡を支援することを意図しています。消費者や企業の購買決定、製品ラベル、性能表示など、</w:t>
      </w:r>
      <w:r>
        <w:rPr>
          <w:lang w:eastAsia="ja-JP"/>
        </w:rPr>
        <w:t xml:space="preserve"> </w:t>
      </w:r>
      <w:r>
        <w:rPr>
          <w:rFonts w:ascii="ＭＳ ゴシック" w:eastAsia="ＭＳ ゴシック" w:hAnsi="ＭＳ ゴシック" w:cs="ＭＳ ゴシック" w:hint="eastAsia"/>
          <w:lang w:eastAsia="ja-JP"/>
        </w:rPr>
        <w:t>他のタイプの製品比較については、追加仕様が必要です。</w:t>
      </w:r>
      <w:r>
        <w:rPr>
          <w:lang w:eastAsia="ja-JP"/>
        </w:rPr>
        <w:t xml:space="preserve">ISO14044 </w:t>
      </w:r>
      <w:r>
        <w:rPr>
          <w:rFonts w:ascii="ＭＳ ゴシック" w:eastAsia="ＭＳ ゴシック" w:hAnsi="ＭＳ ゴシック" w:cs="ＭＳ ゴシック" w:hint="eastAsia"/>
          <w:lang w:eastAsia="ja-JP"/>
        </w:rPr>
        <w:t>において比較主張と呼ばれる、ある製品と競合製品との総合的な環境面での優劣に関する主張は、本製品基準ではサポートされ</w:t>
      </w:r>
      <w:r w:rsidR="002B2A30">
        <w:rPr>
          <w:rFonts w:ascii="ＭＳ ゴシック" w:eastAsia="ＭＳ ゴシック" w:hAnsi="ＭＳ ゴシック" w:cs="ＭＳ ゴシック" w:hint="eastAsia"/>
          <w:lang w:eastAsia="ja-JP"/>
        </w:rPr>
        <w:t>ていません</w:t>
      </w:r>
      <w:r>
        <w:rPr>
          <w:rFonts w:ascii="ＭＳ ゴシック" w:eastAsia="ＭＳ ゴシック" w:hAnsi="ＭＳ ゴシック" w:cs="ＭＳ ゴシック" w:hint="eastAsia"/>
          <w:lang w:eastAsia="ja-JP"/>
        </w:rPr>
        <w:t>。表</w:t>
      </w:r>
      <w:r>
        <w:rPr>
          <w:lang w:eastAsia="ja-JP"/>
        </w:rPr>
        <w:t xml:space="preserve"> A.1 </w:t>
      </w:r>
      <w:r w:rsidR="002B2A30">
        <w:rPr>
          <w:rFonts w:ascii="ＭＳ ゴシック" w:eastAsia="ＭＳ ゴシック" w:hAnsi="ＭＳ ゴシック" w:cs="ＭＳ ゴシック" w:hint="eastAsia"/>
          <w:lang w:eastAsia="ja-JP"/>
        </w:rPr>
        <w:t>に</w:t>
      </w:r>
      <w:r>
        <w:rPr>
          <w:rFonts w:ascii="ＭＳ ゴシック" w:eastAsia="ＭＳ ゴシック" w:hAnsi="ＭＳ ゴシック" w:cs="ＭＳ ゴシック" w:hint="eastAsia"/>
          <w:lang w:eastAsia="ja-JP"/>
        </w:rPr>
        <w:t>製品</w:t>
      </w:r>
      <w:r w:rsidR="002B2A30">
        <w:rPr>
          <w:rFonts w:ascii="ＭＳ ゴシック" w:eastAsia="ＭＳ ゴシック" w:hAnsi="ＭＳ ゴシック" w:cs="ＭＳ ゴシック" w:hint="eastAsia"/>
          <w:lang w:eastAsia="ja-JP"/>
        </w:rPr>
        <w:t>比較</w:t>
      </w:r>
      <w:r>
        <w:rPr>
          <w:rFonts w:ascii="ＭＳ ゴシック" w:eastAsia="ＭＳ ゴシック" w:hAnsi="ＭＳ ゴシック" w:cs="ＭＳ ゴシック" w:hint="eastAsia"/>
          <w:lang w:eastAsia="ja-JP"/>
        </w:rPr>
        <w:t>の種類の説明と例を</w:t>
      </w:r>
      <w:r w:rsidR="002B2A30">
        <w:rPr>
          <w:rFonts w:ascii="ＭＳ ゴシック" w:eastAsia="ＭＳ ゴシック" w:hAnsi="ＭＳ ゴシック" w:cs="ＭＳ ゴシック" w:hint="eastAsia"/>
          <w:lang w:eastAsia="ja-JP"/>
        </w:rPr>
        <w:t>、表</w:t>
      </w:r>
      <w:r w:rsidR="002B2A30">
        <w:rPr>
          <w:lang w:eastAsia="ja-JP"/>
        </w:rPr>
        <w:t xml:space="preserve"> A.2 </w:t>
      </w:r>
      <w:r w:rsidR="002B2A30">
        <w:rPr>
          <w:rFonts w:ascii="ＭＳ ゴシック" w:eastAsia="ＭＳ ゴシック" w:hAnsi="ＭＳ ゴシック" w:cs="ＭＳ ゴシック" w:hint="eastAsia"/>
          <w:lang w:eastAsia="ja-JP"/>
        </w:rPr>
        <w:t>に各比較タイプに対する本基準の適用性を示します。</w:t>
      </w:r>
      <w:r>
        <w:rPr>
          <w:lang w:eastAsia="ja-JP"/>
        </w:rPr>
        <w:t xml:space="preserve"> </w:t>
      </w:r>
    </w:p>
    <w:p w14:paraId="578C9626" w14:textId="110F9A07" w:rsidR="0055291C" w:rsidRDefault="0055291C">
      <w:pPr>
        <w:spacing w:before="3"/>
        <w:rPr>
          <w:sz w:val="21"/>
          <w:lang w:eastAsia="ja-JP"/>
        </w:rPr>
      </w:pPr>
    </w:p>
    <w:p w14:paraId="23D78E4A" w14:textId="4AC94CFC" w:rsidR="0055291C" w:rsidRDefault="002B2A30" w:rsidP="002B2A30">
      <w:pPr>
        <w:pStyle w:val="a3"/>
        <w:spacing w:before="141" w:line="312" w:lineRule="auto"/>
        <w:ind w:left="265" w:right="1412" w:firstLineChars="100" w:firstLine="190"/>
        <w:rPr>
          <w:lang w:eastAsia="ja-JP"/>
        </w:rPr>
      </w:pPr>
      <w:r>
        <w:rPr>
          <w:rFonts w:ascii="ＭＳ ゴシック" w:eastAsia="ＭＳ ゴシック" w:hAnsi="ＭＳ ゴシック" w:cs="ＭＳ ゴシック" w:hint="eastAsia"/>
          <w:lang w:eastAsia="ja-JP"/>
        </w:rPr>
        <w:t>製品比較を選択する企業やステークホルダーには、以下の追加仕様を推奨します。</w:t>
      </w:r>
    </w:p>
    <w:p w14:paraId="1F7A6275" w14:textId="4BD15E92" w:rsidR="0055291C" w:rsidRDefault="002B2A30">
      <w:pPr>
        <w:spacing w:before="148"/>
        <w:ind w:left="265"/>
        <w:rPr>
          <w:rFonts w:ascii="Arial"/>
          <w:b/>
          <w:i/>
          <w:sz w:val="18"/>
        </w:rPr>
      </w:pPr>
      <w:r>
        <w:rPr>
          <w:rFonts w:ascii="ＭＳ ゴシック" w:eastAsia="ＭＳ ゴシック" w:hAnsi="ＭＳ ゴシック" w:cs="ＭＳ ゴシック" w:hint="eastAsia"/>
          <w:b/>
          <w:i/>
          <w:color w:val="7F3F98"/>
          <w:sz w:val="18"/>
          <w:lang w:eastAsia="ja-JP"/>
        </w:rPr>
        <w:t>性能追跡</w:t>
      </w:r>
      <w:r w:rsidR="00F23C61">
        <w:rPr>
          <w:rFonts w:ascii="Arial"/>
          <w:b/>
          <w:i/>
          <w:color w:val="7F3F98"/>
          <w:sz w:val="18"/>
        </w:rPr>
        <w:t>:</w:t>
      </w:r>
    </w:p>
    <w:p w14:paraId="351FF779" w14:textId="54F0570A" w:rsidR="0055291C" w:rsidRDefault="002B2A30">
      <w:pPr>
        <w:pStyle w:val="a5"/>
        <w:numPr>
          <w:ilvl w:val="0"/>
          <w:numId w:val="30"/>
        </w:numPr>
        <w:tabs>
          <w:tab w:val="left" w:pos="526"/>
        </w:tabs>
        <w:spacing w:before="54"/>
        <w:ind w:left="525" w:hanging="261"/>
        <w:rPr>
          <w:sz w:val="19"/>
          <w:lang w:eastAsia="ja-JP"/>
        </w:rPr>
      </w:pPr>
      <w:r>
        <w:rPr>
          <w:rFonts w:ascii="ＭＳ ゴシック" w:eastAsia="ＭＳ ゴシック" w:hAnsi="ＭＳ ゴシック" w:cs="ＭＳ ゴシック" w:hint="eastAsia"/>
          <w:color w:val="545456"/>
          <w:sz w:val="19"/>
          <w:lang w:eastAsia="ja-JP"/>
        </w:rPr>
        <w:t>分析単位は同一であるべきである</w:t>
      </w:r>
    </w:p>
    <w:p w14:paraId="2665B60C" w14:textId="10709301" w:rsidR="0055291C" w:rsidRDefault="00BC3F98">
      <w:pPr>
        <w:pStyle w:val="a5"/>
        <w:numPr>
          <w:ilvl w:val="0"/>
          <w:numId w:val="30"/>
        </w:numPr>
        <w:tabs>
          <w:tab w:val="left" w:pos="526"/>
        </w:tabs>
        <w:spacing w:before="50" w:line="309" w:lineRule="auto"/>
        <w:ind w:left="525" w:right="1581"/>
        <w:rPr>
          <w:sz w:val="19"/>
          <w:lang w:eastAsia="ja-JP"/>
        </w:rPr>
      </w:pPr>
      <w:r w:rsidRPr="00BC3F98">
        <w:rPr>
          <w:rFonts w:ascii="ＭＳ ゴシック" w:eastAsia="ＭＳ ゴシック" w:hAnsi="ＭＳ ゴシック" w:cs="ＭＳ ゴシック" w:hint="eastAsia"/>
          <w:sz w:val="19"/>
          <w:szCs w:val="19"/>
          <w:lang w:eastAsia="ja-JP"/>
        </w:rPr>
        <w:t>パラメータと方法が変更された場合、以前の</w:t>
      </w:r>
      <w:r w:rsidR="00B85A41">
        <w:rPr>
          <w:rFonts w:ascii="ＭＳ ゴシック" w:eastAsia="ＭＳ ゴシック" w:hAnsi="ＭＳ ゴシック" w:cs="ＭＳ ゴシック" w:hint="eastAsia"/>
          <w:sz w:val="19"/>
          <w:szCs w:val="19"/>
          <w:lang w:eastAsia="ja-JP"/>
        </w:rPr>
        <w:t>報告書と</w:t>
      </w:r>
      <w:r w:rsidRPr="00BC3F98">
        <w:rPr>
          <w:rFonts w:ascii="ＭＳ ゴシック" w:eastAsia="ＭＳ ゴシック" w:hAnsi="ＭＳ ゴシック" w:cs="ＭＳ ゴシック" w:hint="eastAsia"/>
          <w:sz w:val="19"/>
          <w:szCs w:val="19"/>
          <w:lang w:eastAsia="ja-JP"/>
        </w:rPr>
        <w:t>同じ基準で比較できるように調整</w:t>
      </w:r>
      <w:r w:rsidR="00B85A41">
        <w:rPr>
          <w:rFonts w:ascii="ＭＳ ゴシック" w:eastAsia="ＭＳ ゴシック" w:hAnsi="ＭＳ ゴシック" w:cs="ＭＳ ゴシック" w:hint="eastAsia"/>
          <w:sz w:val="19"/>
          <w:szCs w:val="19"/>
          <w:lang w:eastAsia="ja-JP"/>
        </w:rPr>
        <w:t>しなければならない</w:t>
      </w:r>
      <w:r>
        <w:rPr>
          <w:lang w:eastAsia="ja-JP"/>
        </w:rPr>
        <w:t xml:space="preserve"> </w:t>
      </w:r>
    </w:p>
    <w:p w14:paraId="2705C314" w14:textId="77777777" w:rsidR="0055291C" w:rsidRDefault="0055291C">
      <w:pPr>
        <w:spacing w:line="309" w:lineRule="auto"/>
        <w:rPr>
          <w:sz w:val="19"/>
          <w:lang w:eastAsia="ja-JP"/>
        </w:rPr>
        <w:sectPr w:rsidR="0055291C">
          <w:type w:val="continuous"/>
          <w:pgSz w:w="12240" w:h="15840"/>
          <w:pgMar w:top="740" w:right="0" w:bottom="280" w:left="0" w:header="0" w:footer="859" w:gutter="0"/>
          <w:cols w:num="2" w:space="720" w:equalWidth="0">
            <w:col w:w="5957" w:space="40"/>
            <w:col w:w="6243"/>
          </w:cols>
        </w:sectPr>
      </w:pPr>
    </w:p>
    <w:p w14:paraId="23198C24" w14:textId="62103250" w:rsidR="0055291C" w:rsidRDefault="00BC3F98" w:rsidP="00B85A41">
      <w:pPr>
        <w:spacing w:before="129"/>
        <w:ind w:left="1122" w:rightChars="-954" w:right="-2099"/>
        <w:rPr>
          <w:rFonts w:ascii="Arial"/>
          <w:b/>
          <w:sz w:val="20"/>
          <w:lang w:eastAsia="ja-JP"/>
        </w:rPr>
      </w:pPr>
      <w:r>
        <w:rPr>
          <w:rFonts w:ascii="ＭＳ ゴシック" w:eastAsia="ＭＳ ゴシック" w:hAnsi="ＭＳ ゴシック" w:cs="ＭＳ ゴシック" w:hint="eastAsia"/>
          <w:b/>
          <w:color w:val="00ACA1"/>
          <w:w w:val="95"/>
          <w:sz w:val="20"/>
          <w:lang w:eastAsia="ja-JP"/>
        </w:rPr>
        <w:t>表</w:t>
      </w:r>
      <w:r w:rsidR="00F23C61">
        <w:rPr>
          <w:rFonts w:ascii="Arial"/>
          <w:b/>
          <w:color w:val="00ACA1"/>
          <w:w w:val="95"/>
          <w:sz w:val="20"/>
          <w:lang w:eastAsia="ja-JP"/>
        </w:rPr>
        <w:t>[A.1]</w:t>
      </w:r>
      <w:r>
        <w:rPr>
          <w:rFonts w:ascii="Arial"/>
          <w:b/>
          <w:color w:val="00ACA1"/>
          <w:spacing w:val="2"/>
          <w:w w:val="95"/>
          <w:sz w:val="20"/>
          <w:lang w:eastAsia="ja-JP"/>
        </w:rPr>
        <w:t xml:space="preserve"> </w:t>
      </w:r>
      <w:r w:rsidR="00B85A41">
        <w:rPr>
          <w:rFonts w:asciiTheme="minorEastAsia" w:eastAsiaTheme="minorEastAsia" w:hAnsiTheme="minorEastAsia" w:hint="eastAsia"/>
          <w:b/>
          <w:color w:val="00ACA1"/>
          <w:spacing w:val="2"/>
          <w:w w:val="95"/>
          <w:sz w:val="20"/>
          <w:lang w:eastAsia="ja-JP"/>
        </w:rPr>
        <w:t xml:space="preserve">　</w:t>
      </w:r>
      <w:r w:rsidR="00B85A41">
        <w:rPr>
          <w:rFonts w:ascii="ＭＳ ゴシック" w:eastAsia="ＭＳ ゴシック" w:hAnsi="ＭＳ ゴシック" w:cs="ＭＳ ゴシック" w:hint="eastAsia"/>
          <w:lang w:eastAsia="ja-JP"/>
        </w:rPr>
        <w:t>GHG排出量報告書</w:t>
      </w:r>
      <w:r>
        <w:rPr>
          <w:rFonts w:ascii="ＭＳ ゴシック" w:eastAsia="ＭＳ ゴシック" w:hAnsi="ＭＳ ゴシック" w:cs="ＭＳ ゴシック" w:hint="eastAsia"/>
          <w:lang w:eastAsia="ja-JP"/>
        </w:rPr>
        <w:t>を用いて行うことのできる比較の種類</w:t>
      </w:r>
    </w:p>
    <w:p w14:paraId="11C2ED0B" w14:textId="2E91AD8B" w:rsidR="00E84762" w:rsidRPr="00B85A41" w:rsidRDefault="000D0583" w:rsidP="00E84762">
      <w:pPr>
        <w:pStyle w:val="5"/>
        <w:tabs>
          <w:tab w:val="left" w:pos="3767"/>
          <w:tab w:val="left" w:pos="7613"/>
        </w:tabs>
        <w:ind w:left="0"/>
        <w:rPr>
          <w:rFonts w:ascii="ＭＳ 明朝" w:eastAsia="ＭＳ 明朝" w:hAnsi="ＭＳ 明朝" w:cs="ＭＳ 明朝"/>
          <w:color w:val="F1F1F2"/>
          <w:w w:val="95"/>
          <w:lang w:eastAsia="ja-JP"/>
        </w:rPr>
        <w:sectPr w:rsidR="00E84762" w:rsidRPr="00B85A41">
          <w:type w:val="continuous"/>
          <w:pgSz w:w="12240" w:h="15840"/>
          <w:pgMar w:top="740" w:right="0" w:bottom="280" w:left="0" w:header="0" w:footer="859" w:gutter="0"/>
          <w:cols w:num="2" w:space="720" w:equalWidth="0">
            <w:col w:w="6832" w:space="40"/>
            <w:col w:w="5368"/>
          </w:cols>
        </w:sectPr>
      </w:pPr>
      <w:r>
        <w:rPr>
          <w:rFonts w:ascii="ＭＳ 明朝" w:eastAsia="ＭＳ 明朝" w:hAnsi="ＭＳ 明朝" w:cs="ＭＳ 明朝"/>
          <w:noProof/>
          <w:color w:val="F1F1F2"/>
          <w:w w:val="95"/>
          <w:lang w:eastAsia="ja-JP"/>
        </w:rPr>
        <w:drawing>
          <wp:anchor distT="0" distB="0" distL="114300" distR="114300" simplePos="0" relativeHeight="251860480" behindDoc="0" locked="0" layoutInCell="1" allowOverlap="1" wp14:anchorId="227A1538" wp14:editId="10BFAC45">
            <wp:simplePos x="0" y="0"/>
            <wp:positionH relativeFrom="column">
              <wp:posOffset>615950</wp:posOffset>
            </wp:positionH>
            <wp:positionV relativeFrom="paragraph">
              <wp:posOffset>158115</wp:posOffset>
            </wp:positionV>
            <wp:extent cx="6401435" cy="3594100"/>
            <wp:effectExtent l="0" t="0" r="0" b="0"/>
            <wp:wrapTopAndBottom/>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4"/>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401435" cy="3594100"/>
                    </a:xfrm>
                    <a:prstGeom prst="rect">
                      <a:avLst/>
                    </a:prstGeom>
                    <a:noFill/>
                    <a:ln>
                      <a:noFill/>
                    </a:ln>
                  </pic:spPr>
                </pic:pic>
              </a:graphicData>
            </a:graphic>
          </wp:anchor>
        </w:drawing>
      </w:r>
    </w:p>
    <w:p w14:paraId="7E0C7BFC" w14:textId="77777777" w:rsidR="0055291C" w:rsidRDefault="0055291C">
      <w:pPr>
        <w:pStyle w:val="a3"/>
        <w:rPr>
          <w:sz w:val="20"/>
          <w:lang w:eastAsia="ja-JP"/>
        </w:rPr>
      </w:pPr>
    </w:p>
    <w:p w14:paraId="3FFD6D34" w14:textId="77777777" w:rsidR="0055291C" w:rsidRDefault="0055291C">
      <w:pPr>
        <w:pStyle w:val="a3"/>
        <w:rPr>
          <w:sz w:val="20"/>
          <w:lang w:eastAsia="ja-JP"/>
        </w:rPr>
      </w:pPr>
    </w:p>
    <w:p w14:paraId="78534B10" w14:textId="77777777" w:rsidR="0055291C" w:rsidRDefault="0055291C">
      <w:pPr>
        <w:pStyle w:val="a3"/>
        <w:rPr>
          <w:sz w:val="20"/>
          <w:lang w:eastAsia="ja-JP"/>
        </w:rPr>
      </w:pPr>
    </w:p>
    <w:p w14:paraId="2E73A996" w14:textId="77777777" w:rsidR="0055291C" w:rsidRDefault="0055291C">
      <w:pPr>
        <w:pStyle w:val="a3"/>
        <w:rPr>
          <w:sz w:val="20"/>
          <w:lang w:eastAsia="ja-JP"/>
        </w:rPr>
      </w:pPr>
    </w:p>
    <w:p w14:paraId="263DB43D" w14:textId="77777777" w:rsidR="0055291C" w:rsidRDefault="0055291C">
      <w:pPr>
        <w:pStyle w:val="a3"/>
        <w:spacing w:before="7"/>
        <w:rPr>
          <w:sz w:val="21"/>
          <w:lang w:eastAsia="ja-JP"/>
        </w:rPr>
      </w:pPr>
    </w:p>
    <w:p w14:paraId="28384C59" w14:textId="12FA9F64" w:rsidR="0055291C" w:rsidRDefault="000D0583">
      <w:pPr>
        <w:spacing w:before="1"/>
        <w:ind w:left="1145"/>
        <w:rPr>
          <w:rFonts w:ascii="Arial"/>
          <w:b/>
          <w:sz w:val="20"/>
          <w:lang w:eastAsia="ja-JP"/>
        </w:rPr>
      </w:pPr>
      <w:r>
        <w:rPr>
          <w:rFonts w:ascii="ＭＳ ゴシック" w:eastAsia="ＭＳ ゴシック" w:hAnsi="ＭＳ ゴシック" w:cs="ＭＳ ゴシック" w:hint="eastAsia"/>
          <w:b/>
          <w:color w:val="00ACA1"/>
          <w:w w:val="95"/>
          <w:sz w:val="20"/>
          <w:lang w:eastAsia="ja-JP"/>
        </w:rPr>
        <w:t>表</w:t>
      </w:r>
      <w:r w:rsidR="00F23C61">
        <w:rPr>
          <w:rFonts w:ascii="Arial"/>
          <w:b/>
          <w:color w:val="00ACA1"/>
          <w:spacing w:val="2"/>
          <w:w w:val="95"/>
          <w:sz w:val="20"/>
          <w:lang w:eastAsia="ja-JP"/>
        </w:rPr>
        <w:t xml:space="preserve"> </w:t>
      </w:r>
      <w:r w:rsidR="00F23C61">
        <w:rPr>
          <w:rFonts w:ascii="Arial"/>
          <w:b/>
          <w:color w:val="00ACA1"/>
          <w:w w:val="95"/>
          <w:sz w:val="20"/>
          <w:lang w:eastAsia="ja-JP"/>
        </w:rPr>
        <w:t>[A.2]</w:t>
      </w:r>
      <w:r w:rsidR="00F23C61">
        <w:rPr>
          <w:rFonts w:ascii="Arial"/>
          <w:b/>
          <w:color w:val="00ACA1"/>
          <w:spacing w:val="2"/>
          <w:w w:val="95"/>
          <w:sz w:val="20"/>
          <w:lang w:eastAsia="ja-JP"/>
        </w:rPr>
        <w:t xml:space="preserve"> </w:t>
      </w:r>
      <w:r w:rsidR="00A440DE">
        <w:rPr>
          <w:rFonts w:ascii="ＭＳ ゴシック" w:eastAsia="ＭＳ ゴシック" w:hAnsi="ＭＳ ゴシック" w:cs="ＭＳ ゴシック" w:hint="eastAsia"/>
          <w:b/>
          <w:color w:val="545456"/>
          <w:w w:val="95"/>
          <w:sz w:val="20"/>
          <w:lang w:eastAsia="ja-JP"/>
        </w:rPr>
        <w:t>製品比較のための製品規格の使用</w:t>
      </w:r>
    </w:p>
    <w:p w14:paraId="12D5B10D" w14:textId="77777777" w:rsidR="0055291C" w:rsidRDefault="0055291C">
      <w:pPr>
        <w:pStyle w:val="a3"/>
        <w:rPr>
          <w:rFonts w:ascii="Arial"/>
          <w:b/>
          <w:sz w:val="20"/>
          <w:lang w:eastAsia="ja-JP"/>
        </w:rPr>
      </w:pPr>
    </w:p>
    <w:p w14:paraId="2AF5F479" w14:textId="2F1241C5" w:rsidR="0055291C" w:rsidRDefault="00000000">
      <w:pPr>
        <w:pStyle w:val="a3"/>
        <w:spacing w:before="6"/>
        <w:rPr>
          <w:rFonts w:ascii="Arial"/>
          <w:b/>
          <w:sz w:val="12"/>
          <w:lang w:eastAsia="ja-JP"/>
        </w:rPr>
      </w:pPr>
      <w:r>
        <w:pict w14:anchorId="6D8A11CE">
          <v:group id="docshapegroup1524" o:spid="_x0000_s2334" style="position:absolute;margin-left:248.5pt;margin-top:8.45pt;width:306.2pt;height:34.3pt;z-index:-251466240;mso-wrap-distance-left:0;mso-wrap-distance-right:0;mso-position-horizontal-relative:page" coordorigin="4980,169" coordsize="6124,686">
            <v:shape id="docshape1525" o:spid="_x0000_s2336" style="position:absolute;left:4979;top:168;width:6124;height:686" coordorigin="4980,169" coordsize="6124,686" path="m10933,169r-5783,l5052,171r-51,19l4982,241r-2,98l4980,854r6123,l11103,339r-2,-98l11082,190r-50,-19l10933,169xe" fillcolor="#00aca1" stroked="f">
              <v:path arrowok="t"/>
            </v:shape>
            <v:shape id="docshape1526" o:spid="_x0000_s2335" type="#_x0000_t202" style="position:absolute;left:4979;top:168;width:6124;height:686" filled="f" stroked="f">
              <v:textbox inset="0,0,0,0">
                <w:txbxContent>
                  <w:p w14:paraId="2BA0BEC7" w14:textId="7252AA06" w:rsidR="0055291C" w:rsidRPr="000D0583" w:rsidRDefault="000D0583">
                    <w:pPr>
                      <w:spacing w:before="114" w:line="249" w:lineRule="auto"/>
                      <w:ind w:left="132" w:right="149"/>
                      <w:rPr>
                        <w:rFonts w:ascii="Arial"/>
                        <w:b/>
                        <w:bCs/>
                        <w:color w:val="FFFFFF" w:themeColor="background1"/>
                        <w:lang w:eastAsia="ja-JP"/>
                      </w:rPr>
                    </w:pPr>
                    <w:r w:rsidRPr="000D0583">
                      <w:rPr>
                        <w:b/>
                        <w:bCs/>
                        <w:color w:val="FFFFFF" w:themeColor="background1"/>
                        <w:lang w:eastAsia="ja-JP"/>
                      </w:rPr>
                      <w:t xml:space="preserve">GHG </w:t>
                    </w:r>
                    <w:r w:rsidRPr="000D0583">
                      <w:rPr>
                        <w:rFonts w:ascii="ＭＳ ゴシック" w:eastAsia="ＭＳ ゴシック" w:hAnsi="ＭＳ ゴシック" w:cs="ＭＳ ゴシック" w:hint="eastAsia"/>
                        <w:b/>
                        <w:bCs/>
                        <w:color w:val="FFFFFF" w:themeColor="background1"/>
                        <w:lang w:eastAsia="ja-JP"/>
                      </w:rPr>
                      <w:t>プログラム仕様または製品固有のガイダンス</w:t>
                    </w:r>
                    <w:r>
                      <w:rPr>
                        <w:rFonts w:ascii="ＭＳ ゴシック" w:eastAsia="ＭＳ ゴシック" w:hAnsi="ＭＳ ゴシック" w:cs="ＭＳ ゴシック" w:hint="eastAsia"/>
                        <w:b/>
                        <w:bCs/>
                        <w:color w:val="FFFFFF" w:themeColor="background1"/>
                        <w:lang w:eastAsia="ja-JP"/>
                      </w:rPr>
                      <w:t>を追加した</w:t>
                    </w:r>
                    <w:r w:rsidRPr="000D0583">
                      <w:rPr>
                        <w:rFonts w:ascii="ＭＳ ゴシック" w:eastAsia="ＭＳ ゴシック" w:hAnsi="ＭＳ ゴシック" w:cs="ＭＳ ゴシック" w:hint="eastAsia"/>
                        <w:b/>
                        <w:bCs/>
                        <w:color w:val="FFFFFF" w:themeColor="background1"/>
                        <w:lang w:eastAsia="ja-JP"/>
                      </w:rPr>
                      <w:t>製品基準によってサポートされる</w:t>
                    </w:r>
                  </w:p>
                </w:txbxContent>
              </v:textbox>
            </v:shape>
            <w10:wrap type="topAndBottom" anchorx="page"/>
          </v:group>
        </w:pict>
      </w:r>
      <w:r>
        <w:pict w14:anchorId="1366E5C9">
          <v:group id="docshapegroup1521" o:spid="_x0000_s2337" style="position:absolute;margin-left:56.7pt;margin-top:8.45pt;width:177.35pt;height:34.3pt;z-index:-251467264;mso-wrap-distance-left:0;mso-wrap-distance-right:0;mso-position-horizontal-relative:page" coordorigin="1134,169" coordsize="3547,686">
            <v:shape id="docshape1522" o:spid="_x0000_s2339" style="position:absolute;left:1133;top:168;width:3547;height:686" coordorigin="1134,169" coordsize="3547,686" path="m4510,169r-3206,l1206,171r-51,19l1137,241r-3,98l1134,854r3546,l4680,339r-3,-98l4659,190r-51,-19l4510,169xe" fillcolor="#00aca1" stroked="f">
              <v:path arrowok="t"/>
            </v:shape>
            <v:shape id="docshape1523" o:spid="_x0000_s2338" type="#_x0000_t202" style="position:absolute;left:1133;top:168;width:3547;height:686" filled="f" stroked="f">
              <v:textbox inset="0,0,0,0">
                <w:txbxContent>
                  <w:p w14:paraId="55C1976B" w14:textId="1D0116F0" w:rsidR="0055291C" w:rsidRDefault="00B85A41">
                    <w:pPr>
                      <w:spacing w:before="114" w:line="249" w:lineRule="auto"/>
                      <w:ind w:left="90" w:right="775"/>
                      <w:rPr>
                        <w:rFonts w:ascii="Arial" w:hAnsi="Arial"/>
                        <w:b/>
                        <w:lang w:eastAsia="ja-JP"/>
                      </w:rPr>
                    </w:pPr>
                    <w:r>
                      <w:rPr>
                        <w:rFonts w:ascii="ＭＳ ゴシック" w:eastAsia="ＭＳ ゴシック" w:hAnsi="ＭＳ ゴシック" w:cs="ＭＳ ゴシック" w:hint="eastAsia"/>
                        <w:b/>
                        <w:color w:val="FFFFFF"/>
                        <w:lang w:eastAsia="ja-JP"/>
                      </w:rPr>
                      <w:t>製品規格どおりにサポートされるもの</w:t>
                    </w:r>
                  </w:p>
                </w:txbxContent>
              </v:textbox>
            </v:shape>
            <w10:wrap type="topAndBottom" anchorx="page"/>
          </v:group>
        </w:pict>
      </w:r>
      <w:r>
        <w:pict w14:anchorId="64D9F81B">
          <v:group id="docshapegroup1527" o:spid="_x0000_s2327" style="position:absolute;margin-left:49.5pt;margin-top:46.35pt;width:513pt;height:97.1pt;z-index:-251465216;mso-wrap-distance-left:0;mso-wrap-distance-right:0;mso-position-horizontal-relative:page" coordorigin="990,927" coordsize="10260,1942">
            <v:shape id="docshape1528" o:spid="_x0000_s2333" style="position:absolute;left:1133;top:927;width:9970;height:1942" coordorigin="1134,927" coordsize="9970,1942" o:spt="100" adj="0,,0" path="m4680,927r-3546,l1134,2699r3,98l1155,2848r51,18l1304,2869r3206,l4608,2866r51,-18l4677,2797r3,-98l4680,927xm11103,927r-6123,l4980,2699r2,98l5001,2848r51,18l5150,2869r5783,l11032,2866r50,-18l11101,2797r2,-98l11103,927xe" fillcolor="#f3f4f4" stroked="f">
              <v:stroke joinstyle="round"/>
              <v:formulas/>
              <v:path arrowok="t" o:connecttype="segments"/>
            </v:shape>
            <v:line id="_x0000_s2332" style="position:absolute" from="990,1311" to="11250,1311" strokecolor="white" strokeweight="2pt"/>
            <v:line id="_x0000_s2331" style="position:absolute" from="990,1817" to="11250,1817" strokecolor="white" strokeweight="2pt"/>
            <v:line id="_x0000_s2330" style="position:absolute" from="990,2329" to="11250,2329" strokecolor="white" strokeweight="2pt"/>
            <v:shape id="docshape1529" o:spid="_x0000_s2329" type="#_x0000_t202" style="position:absolute;left:1224;top:984;width:1985;height:213" filled="f" stroked="f">
              <v:textbox inset="0,0,0,0">
                <w:txbxContent>
                  <w:p w14:paraId="7D14655A" w14:textId="47ECC111" w:rsidR="0055291C" w:rsidRDefault="000D0583">
                    <w:pPr>
                      <w:spacing w:line="213" w:lineRule="exact"/>
                      <w:rPr>
                        <w:rFonts w:ascii="Arial"/>
                        <w:b/>
                        <w:sz w:val="19"/>
                      </w:rPr>
                    </w:pPr>
                    <w:r>
                      <w:rPr>
                        <w:rFonts w:ascii="ＭＳ ゴシック" w:eastAsia="ＭＳ ゴシック" w:hAnsi="ＭＳ ゴシック" w:cs="ＭＳ ゴシック" w:hint="eastAsia"/>
                        <w:b/>
                        <w:color w:val="545456"/>
                        <w:sz w:val="19"/>
                        <w:lang w:eastAsia="ja-JP"/>
                      </w:rPr>
                      <w:t>性能追跡</w:t>
                    </w:r>
                  </w:p>
                </w:txbxContent>
              </v:textbox>
            </v:shape>
            <v:shape id="docshape1530" o:spid="_x0000_s2328" type="#_x0000_t202" style="position:absolute;left:5112;top:1451;width:3976;height:1293" filled="f" stroked="f">
              <v:textbox inset="0,0,0,0">
                <w:txbxContent>
                  <w:p w14:paraId="7DC2BE59" w14:textId="330D46F5" w:rsidR="000D0583" w:rsidRPr="000D0583" w:rsidRDefault="000D0583">
                    <w:pPr>
                      <w:spacing w:line="592" w:lineRule="auto"/>
                      <w:rPr>
                        <w:rFonts w:ascii="ＭＳ ゴシック" w:eastAsia="ＭＳ ゴシック" w:hAnsi="ＭＳ ゴシック" w:cs="ＭＳ ゴシック"/>
                        <w:b/>
                        <w:color w:val="545456"/>
                        <w:w w:val="95"/>
                        <w:sz w:val="19"/>
                        <w:lang w:eastAsia="ja-JP"/>
                      </w:rPr>
                    </w:pPr>
                    <w:r w:rsidRPr="000D0583">
                      <w:rPr>
                        <w:rFonts w:ascii="ＭＳ ゴシック" w:eastAsia="ＭＳ ゴシック" w:hAnsi="ＭＳ ゴシック" w:cs="ＭＳ ゴシック" w:hint="eastAsia"/>
                        <w:b/>
                        <w:color w:val="545456"/>
                        <w:spacing w:val="-1"/>
                        <w:w w:val="95"/>
                        <w:sz w:val="19"/>
                        <w:lang w:eastAsia="ja-JP"/>
                      </w:rPr>
                      <w:t>消費者と</w:t>
                    </w:r>
                    <w:r w:rsidRPr="000D0583">
                      <w:rPr>
                        <w:rFonts w:ascii="ＭＳ ゴシック" w:eastAsia="ＭＳ ゴシック" w:hAnsi="ＭＳ ゴシック" w:cs="ＭＳ ゴシック" w:hint="eastAsia"/>
                        <w:b/>
                        <w:color w:val="545456"/>
                        <w:w w:val="95"/>
                        <w:sz w:val="19"/>
                        <w:lang w:eastAsia="ja-JP"/>
                      </w:rPr>
                      <w:t>企業の購買決定</w:t>
                    </w:r>
                  </w:p>
                  <w:p w14:paraId="59D68EE1" w14:textId="3386EA95" w:rsidR="0055291C" w:rsidRPr="000D0583" w:rsidRDefault="000D0583">
                    <w:pPr>
                      <w:spacing w:line="214" w:lineRule="exact"/>
                      <w:rPr>
                        <w:rFonts w:ascii="ＭＳ ゴシック" w:eastAsia="ＭＳ ゴシック" w:hAnsi="ＭＳ ゴシック" w:cs="ＭＳ ゴシック"/>
                        <w:b/>
                        <w:color w:val="545456"/>
                        <w:spacing w:val="-1"/>
                        <w:sz w:val="19"/>
                      </w:rPr>
                    </w:pPr>
                    <w:r w:rsidRPr="000D0583">
                      <w:rPr>
                        <w:rFonts w:ascii="ＭＳ ゴシック" w:eastAsia="ＭＳ ゴシック" w:hAnsi="ＭＳ ゴシック" w:cs="ＭＳ ゴシック" w:hint="eastAsia"/>
                        <w:b/>
                        <w:color w:val="545456"/>
                        <w:spacing w:val="-1"/>
                        <w:sz w:val="19"/>
                        <w:lang w:eastAsia="ja-JP"/>
                      </w:rPr>
                      <w:t>製品</w:t>
                    </w:r>
                    <w:r>
                      <w:rPr>
                        <w:rFonts w:ascii="ＭＳ ゴシック" w:eastAsia="ＭＳ ゴシック" w:hAnsi="ＭＳ ゴシック" w:cs="ＭＳ ゴシック" w:hint="eastAsia"/>
                        <w:b/>
                        <w:color w:val="545456"/>
                        <w:spacing w:val="-1"/>
                        <w:sz w:val="19"/>
                        <w:lang w:eastAsia="ja-JP"/>
                      </w:rPr>
                      <w:t>表示</w:t>
                    </w:r>
                  </w:p>
                  <w:p w14:paraId="1F69E992" w14:textId="3D32467A" w:rsidR="000D0583" w:rsidRPr="000D0583" w:rsidRDefault="000D0583">
                    <w:pPr>
                      <w:spacing w:line="214" w:lineRule="exact"/>
                      <w:rPr>
                        <w:rFonts w:ascii="ＭＳ ゴシック" w:eastAsia="ＭＳ ゴシック" w:hAnsi="ＭＳ ゴシック" w:cs="ＭＳ ゴシック"/>
                        <w:b/>
                        <w:color w:val="545456"/>
                        <w:spacing w:val="-1"/>
                        <w:sz w:val="19"/>
                      </w:rPr>
                    </w:pPr>
                  </w:p>
                  <w:p w14:paraId="4CC69840" w14:textId="25DD5C3D" w:rsidR="000D0583" w:rsidRPr="000D0583" w:rsidRDefault="000D0583">
                    <w:pPr>
                      <w:spacing w:line="214" w:lineRule="exact"/>
                      <w:rPr>
                        <w:rFonts w:ascii="Arial"/>
                        <w:b/>
                        <w:sz w:val="19"/>
                      </w:rPr>
                    </w:pPr>
                    <w:r w:rsidRPr="000D0583">
                      <w:rPr>
                        <w:rFonts w:ascii="ＭＳ ゴシック" w:eastAsia="ＭＳ ゴシック" w:hAnsi="ＭＳ ゴシック" w:cs="ＭＳ ゴシック" w:hint="eastAsia"/>
                        <w:b/>
                        <w:color w:val="545456"/>
                        <w:spacing w:val="-1"/>
                        <w:sz w:val="19"/>
                        <w:lang w:eastAsia="ja-JP"/>
                      </w:rPr>
                      <w:t>性能表示</w:t>
                    </w:r>
                  </w:p>
                </w:txbxContent>
              </v:textbox>
            </v:shape>
            <w10:wrap type="topAndBottom" anchorx="page"/>
          </v:group>
        </w:pict>
      </w:r>
    </w:p>
    <w:p w14:paraId="38B09B00" w14:textId="77777777" w:rsidR="0055291C" w:rsidRDefault="0055291C">
      <w:pPr>
        <w:pStyle w:val="a3"/>
        <w:spacing w:before="2"/>
        <w:rPr>
          <w:rFonts w:ascii="Arial"/>
          <w:b/>
          <w:sz w:val="4"/>
          <w:lang w:eastAsia="ja-JP"/>
        </w:rPr>
      </w:pPr>
    </w:p>
    <w:p w14:paraId="6A372F0E" w14:textId="77777777" w:rsidR="0055291C" w:rsidRDefault="0055291C">
      <w:pPr>
        <w:pStyle w:val="a3"/>
        <w:rPr>
          <w:rFonts w:ascii="Arial"/>
          <w:b/>
          <w:sz w:val="20"/>
          <w:lang w:eastAsia="ja-JP"/>
        </w:rPr>
      </w:pPr>
    </w:p>
    <w:p w14:paraId="6215270B" w14:textId="77777777" w:rsidR="0055291C" w:rsidRDefault="0055291C">
      <w:pPr>
        <w:pStyle w:val="a3"/>
        <w:rPr>
          <w:rFonts w:ascii="Arial"/>
          <w:b/>
          <w:sz w:val="20"/>
          <w:lang w:eastAsia="ja-JP"/>
        </w:rPr>
      </w:pPr>
    </w:p>
    <w:p w14:paraId="6087AD9B" w14:textId="77777777" w:rsidR="0055291C" w:rsidRDefault="0055291C">
      <w:pPr>
        <w:rPr>
          <w:rFonts w:ascii="Arial"/>
          <w:sz w:val="20"/>
          <w:lang w:eastAsia="ja-JP"/>
        </w:rPr>
        <w:sectPr w:rsidR="0055291C">
          <w:headerReference w:type="even" r:id="rId346"/>
          <w:pgSz w:w="12240" w:h="15840"/>
          <w:pgMar w:top="620" w:right="0" w:bottom="1040" w:left="0" w:header="0" w:footer="859" w:gutter="0"/>
          <w:cols w:space="720"/>
        </w:sectPr>
      </w:pPr>
    </w:p>
    <w:p w14:paraId="501C00A1" w14:textId="77777777" w:rsidR="0055291C" w:rsidRDefault="00000000">
      <w:pPr>
        <w:pStyle w:val="a3"/>
        <w:spacing w:before="7"/>
        <w:rPr>
          <w:rFonts w:ascii="Arial"/>
          <w:b/>
          <w:sz w:val="24"/>
          <w:lang w:eastAsia="ja-JP"/>
        </w:rPr>
      </w:pPr>
      <w:r>
        <w:pict w14:anchorId="19100FC8">
          <v:shape id="docshape1531" o:spid="_x0000_s2326" style="position:absolute;margin-left:612pt;margin-top:0;width:.1pt;height:100.45pt;z-index:251655680;mso-position-horizontal-relative:page;mso-position-vertical-relative:page" coordorigin="12240" coordsize="0,2009" path="m12240,r,2008l12240,xe" fillcolor="#d8eeec" stroked="f">
            <v:path arrowok="t"/>
            <w10:wrap anchorx="page" anchory="page"/>
          </v:shape>
        </w:pict>
      </w:r>
    </w:p>
    <w:p w14:paraId="5D50FADA" w14:textId="201D9DA6" w:rsidR="0055291C" w:rsidRDefault="000D0583" w:rsidP="009A0E4A">
      <w:pPr>
        <w:pStyle w:val="a3"/>
        <w:spacing w:line="312" w:lineRule="auto"/>
        <w:ind w:leftChars="323" w:left="850" w:right="450" w:hangingChars="73" w:hanging="139"/>
        <w:rPr>
          <w:lang w:eastAsia="ja-JP"/>
        </w:rPr>
      </w:pPr>
      <w:r>
        <w:rPr>
          <w:rFonts w:ascii="ＭＳ ゴシック" w:eastAsia="ＭＳ ゴシック" w:hAnsi="ＭＳ ゴシック" w:cs="ＭＳ ゴシック" w:hint="eastAsia"/>
          <w:lang w:eastAsia="ja-JP"/>
        </w:rPr>
        <w:t>パフォーマンスの追跡と削減目標の設定についての詳細は、</w:t>
      </w:r>
      <w:r>
        <w:rPr>
          <w:lang w:eastAsia="ja-JP"/>
        </w:rPr>
        <w:t>14</w:t>
      </w:r>
      <w:r>
        <w:rPr>
          <w:rFonts w:ascii="ＭＳ ゴシック" w:eastAsia="ＭＳ ゴシック" w:hAnsi="ＭＳ ゴシック" w:cs="ＭＳ ゴシック" w:hint="eastAsia"/>
          <w:lang w:eastAsia="ja-JP"/>
        </w:rPr>
        <w:t>章を参照してください。</w:t>
      </w:r>
    </w:p>
    <w:p w14:paraId="06B45949" w14:textId="21194DD7" w:rsidR="0055291C" w:rsidRDefault="000D0583" w:rsidP="009A0E4A">
      <w:pPr>
        <w:spacing w:before="148" w:line="324" w:lineRule="auto"/>
        <w:ind w:leftChars="323" w:left="836" w:right="450" w:hangingChars="73" w:hanging="125"/>
        <w:rPr>
          <w:rFonts w:ascii="Arial"/>
          <w:b/>
          <w:i/>
          <w:sz w:val="18"/>
          <w:lang w:eastAsia="ja-JP"/>
        </w:rPr>
      </w:pPr>
      <w:r w:rsidRPr="000D0583">
        <w:rPr>
          <w:rFonts w:ascii="ＭＳ ゴシック" w:eastAsia="ＭＳ ゴシック" w:hAnsi="ＭＳ ゴシック" w:cs="ＭＳ ゴシック" w:hint="eastAsia"/>
          <w:b/>
          <w:i/>
          <w:color w:val="7F3F98"/>
          <w:w w:val="95"/>
          <w:sz w:val="18"/>
          <w:lang w:eastAsia="ja-JP"/>
        </w:rPr>
        <w:t>消費者と企業の購買意思決定、定量的</w:t>
      </w:r>
      <w:r>
        <w:rPr>
          <w:rFonts w:ascii="ＭＳ ゴシック" w:eastAsia="ＭＳ ゴシック" w:hAnsi="ＭＳ ゴシック" w:cs="ＭＳ ゴシック" w:hint="eastAsia"/>
          <w:b/>
          <w:i/>
          <w:color w:val="7F3F98"/>
          <w:w w:val="95"/>
          <w:sz w:val="18"/>
          <w:lang w:eastAsia="ja-JP"/>
        </w:rPr>
        <w:t>な</w:t>
      </w:r>
      <w:r w:rsidRPr="000D0583">
        <w:rPr>
          <w:rFonts w:ascii="ＭＳ ゴシック" w:eastAsia="ＭＳ ゴシック" w:hAnsi="ＭＳ ゴシック" w:cs="ＭＳ ゴシック" w:hint="eastAsia"/>
          <w:b/>
          <w:i/>
          <w:color w:val="7F3F98"/>
          <w:w w:val="95"/>
          <w:sz w:val="18"/>
          <w:lang w:eastAsia="ja-JP"/>
        </w:rPr>
        <w:t>製品表示、性能表示</w:t>
      </w:r>
      <w:r w:rsidR="00F23C61">
        <w:rPr>
          <w:rFonts w:ascii="Arial"/>
          <w:b/>
          <w:i/>
          <w:color w:val="7F3F98"/>
          <w:sz w:val="18"/>
          <w:lang w:eastAsia="ja-JP"/>
        </w:rPr>
        <w:t>:</w:t>
      </w:r>
    </w:p>
    <w:p w14:paraId="3F6EED63" w14:textId="77777777" w:rsidR="00A440DE" w:rsidRPr="00A440DE" w:rsidRDefault="00A440DE" w:rsidP="009A0E4A">
      <w:pPr>
        <w:pStyle w:val="a5"/>
        <w:numPr>
          <w:ilvl w:val="1"/>
          <w:numId w:val="30"/>
        </w:numPr>
        <w:tabs>
          <w:tab w:val="left" w:pos="1292"/>
        </w:tabs>
        <w:spacing w:line="276" w:lineRule="auto"/>
        <w:ind w:leftChars="323" w:left="850" w:right="450" w:hangingChars="73" w:hanging="139"/>
        <w:rPr>
          <w:rFonts w:ascii="Arial" w:hAnsi="Arial"/>
          <w:b/>
          <w:color w:val="00ACA1"/>
          <w:sz w:val="19"/>
          <w:szCs w:val="19"/>
          <w:lang w:eastAsia="ja-JP"/>
        </w:rPr>
      </w:pPr>
      <w:r w:rsidRPr="00A440DE">
        <w:rPr>
          <w:rFonts w:ascii="ＭＳ ゴシック" w:eastAsia="ＭＳ ゴシック" w:hAnsi="ＭＳ ゴシック" w:cs="ＭＳ ゴシック" w:hint="eastAsia"/>
          <w:sz w:val="19"/>
          <w:szCs w:val="19"/>
          <w:lang w:eastAsia="ja-JP"/>
        </w:rPr>
        <w:t>分析単位は同一であるべき</w:t>
      </w:r>
    </w:p>
    <w:p w14:paraId="31956EE4" w14:textId="03881E98" w:rsidR="00A440DE" w:rsidRPr="00A440DE" w:rsidRDefault="00A440DE" w:rsidP="009A0E4A">
      <w:pPr>
        <w:pStyle w:val="a5"/>
        <w:numPr>
          <w:ilvl w:val="1"/>
          <w:numId w:val="30"/>
        </w:numPr>
        <w:tabs>
          <w:tab w:val="left" w:pos="1292"/>
        </w:tabs>
        <w:spacing w:line="276" w:lineRule="auto"/>
        <w:ind w:leftChars="323" w:left="850" w:right="450" w:hangingChars="73" w:hanging="139"/>
        <w:rPr>
          <w:rFonts w:ascii="Arial" w:hAnsi="Arial"/>
          <w:b/>
          <w:color w:val="00ACA1"/>
          <w:sz w:val="19"/>
          <w:szCs w:val="19"/>
          <w:lang w:eastAsia="ja-JP"/>
        </w:rPr>
      </w:pPr>
      <w:r w:rsidRPr="00A440DE">
        <w:rPr>
          <w:rFonts w:ascii="ＭＳ ゴシック" w:eastAsia="ＭＳ ゴシック" w:hAnsi="ＭＳ ゴシック" w:cs="ＭＳ ゴシック" w:hint="eastAsia"/>
          <w:sz w:val="19"/>
          <w:szCs w:val="19"/>
          <w:lang w:eastAsia="ja-JP"/>
        </w:rPr>
        <w:t>システム境界と時間境界は等価であるべき</w:t>
      </w:r>
    </w:p>
    <w:p w14:paraId="03B43B33" w14:textId="180A4CEB" w:rsidR="00A440DE" w:rsidRPr="00A440DE" w:rsidRDefault="00A440DE" w:rsidP="009A0E4A">
      <w:pPr>
        <w:pStyle w:val="a5"/>
        <w:numPr>
          <w:ilvl w:val="1"/>
          <w:numId w:val="30"/>
        </w:numPr>
        <w:tabs>
          <w:tab w:val="left" w:pos="1292"/>
        </w:tabs>
        <w:spacing w:line="276" w:lineRule="auto"/>
        <w:ind w:leftChars="323" w:left="850" w:right="450" w:hangingChars="73" w:hanging="139"/>
        <w:rPr>
          <w:rFonts w:ascii="Arial" w:hAnsi="Arial"/>
          <w:b/>
          <w:color w:val="00ACA1"/>
          <w:sz w:val="19"/>
          <w:szCs w:val="19"/>
          <w:lang w:eastAsia="ja-JP"/>
        </w:rPr>
      </w:pPr>
      <w:r w:rsidRPr="00A440DE">
        <w:rPr>
          <w:rFonts w:ascii="ＭＳ ゴシック" w:eastAsia="ＭＳ ゴシック" w:hAnsi="ＭＳ ゴシック" w:cs="ＭＳ ゴシック" w:hint="eastAsia"/>
          <w:sz w:val="19"/>
          <w:szCs w:val="19"/>
          <w:lang w:eastAsia="ja-JP"/>
        </w:rPr>
        <w:t>類似のプロセスには、同じ配分方法を用いるべき</w:t>
      </w:r>
    </w:p>
    <w:p w14:paraId="3795BCB1" w14:textId="0203DEB1" w:rsidR="00A440DE" w:rsidRPr="00A440DE" w:rsidRDefault="00A440DE" w:rsidP="009A0E4A">
      <w:pPr>
        <w:pStyle w:val="a5"/>
        <w:numPr>
          <w:ilvl w:val="1"/>
          <w:numId w:val="30"/>
        </w:numPr>
        <w:tabs>
          <w:tab w:val="left" w:pos="1292"/>
        </w:tabs>
        <w:spacing w:line="276" w:lineRule="auto"/>
        <w:ind w:leftChars="323" w:left="850" w:right="450" w:hangingChars="73" w:hanging="139"/>
        <w:rPr>
          <w:rFonts w:ascii="Arial" w:hAnsi="Arial"/>
          <w:b/>
          <w:color w:val="00ACA1"/>
          <w:sz w:val="19"/>
          <w:szCs w:val="19"/>
          <w:lang w:eastAsia="ja-JP"/>
        </w:rPr>
      </w:pPr>
      <w:r w:rsidRPr="00A440DE">
        <w:rPr>
          <w:rFonts w:ascii="ＭＳ ゴシック" w:eastAsia="ＭＳ ゴシック" w:hAnsi="ＭＳ ゴシック" w:cs="ＭＳ ゴシック" w:hint="eastAsia"/>
          <w:sz w:val="19"/>
          <w:szCs w:val="19"/>
          <w:lang w:eastAsia="ja-JP"/>
        </w:rPr>
        <w:t>使用したデータの種類、データの品質と不確実性を報告し、公正な比較が可能かどうか評価するべき</w:t>
      </w:r>
    </w:p>
    <w:p w14:paraId="4AADAB0E" w14:textId="23BB9C3F" w:rsidR="00A440DE" w:rsidRPr="00A440DE" w:rsidRDefault="00A440DE" w:rsidP="009A0E4A">
      <w:pPr>
        <w:pStyle w:val="a5"/>
        <w:numPr>
          <w:ilvl w:val="1"/>
          <w:numId w:val="30"/>
        </w:numPr>
        <w:tabs>
          <w:tab w:val="left" w:pos="1292"/>
        </w:tabs>
        <w:spacing w:line="276" w:lineRule="auto"/>
        <w:ind w:leftChars="323" w:left="850" w:right="450" w:hangingChars="73" w:hanging="139"/>
        <w:rPr>
          <w:rFonts w:ascii="Arial" w:hAnsi="Arial"/>
          <w:b/>
          <w:color w:val="00ACA1"/>
          <w:sz w:val="19"/>
          <w:szCs w:val="19"/>
          <w:lang w:eastAsia="ja-JP"/>
        </w:rPr>
      </w:pPr>
      <w:r w:rsidRPr="00A440DE">
        <w:rPr>
          <w:rFonts w:ascii="ＭＳ ゴシック" w:eastAsia="ＭＳ ゴシック" w:hAnsi="ＭＳ ゴシック" w:cs="ＭＳ ゴシック" w:hint="eastAsia"/>
          <w:sz w:val="19"/>
          <w:szCs w:val="19"/>
          <w:lang w:eastAsia="ja-JP"/>
        </w:rPr>
        <w:t>報告書の時間的・地理的な代表性を評価し、公正な比較が可能かどうかを判断するべき</w:t>
      </w:r>
    </w:p>
    <w:p w14:paraId="2A425CC3" w14:textId="7CD21506" w:rsidR="0055291C" w:rsidRPr="00A440DE" w:rsidRDefault="00A440DE" w:rsidP="009A0E4A">
      <w:pPr>
        <w:pStyle w:val="a5"/>
        <w:numPr>
          <w:ilvl w:val="1"/>
          <w:numId w:val="30"/>
        </w:numPr>
        <w:tabs>
          <w:tab w:val="left" w:pos="1292"/>
        </w:tabs>
        <w:spacing w:line="276" w:lineRule="auto"/>
        <w:ind w:leftChars="323" w:left="850" w:right="450" w:hangingChars="73" w:hanging="139"/>
        <w:rPr>
          <w:rFonts w:ascii="Arial" w:hAnsi="Arial"/>
          <w:b/>
          <w:color w:val="00ACA1"/>
          <w:sz w:val="19"/>
          <w:szCs w:val="19"/>
          <w:lang w:eastAsia="ja-JP"/>
        </w:rPr>
      </w:pPr>
      <w:r w:rsidRPr="00A440DE">
        <w:rPr>
          <w:rFonts w:ascii="ＭＳ ゴシック" w:eastAsia="ＭＳ ゴシック" w:hAnsi="ＭＳ ゴシック" w:cs="ＭＳ ゴシック" w:hint="eastAsia"/>
          <w:sz w:val="19"/>
          <w:szCs w:val="19"/>
          <w:lang w:eastAsia="ja-JP"/>
        </w:rPr>
        <w:t>第三者による保証を実施するべき</w:t>
      </w:r>
    </w:p>
    <w:p w14:paraId="4EED5BE9" w14:textId="6281C92F" w:rsidR="0055291C" w:rsidRDefault="00F23C61" w:rsidP="009A0E4A">
      <w:pPr>
        <w:tabs>
          <w:tab w:val="left" w:pos="1292"/>
        </w:tabs>
        <w:spacing w:before="186"/>
        <w:ind w:leftChars="323" w:left="843" w:right="450" w:hangingChars="73" w:hanging="132"/>
        <w:rPr>
          <w:rFonts w:ascii="Arial"/>
          <w:b/>
          <w:i/>
          <w:sz w:val="18"/>
          <w:lang w:eastAsia="ja-JP"/>
        </w:rPr>
      </w:pPr>
      <w:r>
        <w:rPr>
          <w:rFonts w:ascii="Arial"/>
          <w:b/>
          <w:i/>
          <w:color w:val="7F3F98"/>
          <w:sz w:val="18"/>
          <w:lang w:eastAsia="ja-JP"/>
        </w:rPr>
        <w:t>ISO</w:t>
      </w:r>
      <w:r w:rsidR="00A440DE">
        <w:rPr>
          <w:rFonts w:ascii="ＭＳ ゴシック" w:eastAsia="ＭＳ ゴシック" w:hAnsi="ＭＳ ゴシック" w:cs="ＭＳ ゴシック" w:hint="eastAsia"/>
          <w:b/>
          <w:i/>
          <w:color w:val="7F3F98"/>
          <w:sz w:val="18"/>
          <w:lang w:eastAsia="ja-JP"/>
        </w:rPr>
        <w:t>ラベルと宣言書</w:t>
      </w:r>
      <w:r>
        <w:rPr>
          <w:rFonts w:ascii="Arial"/>
          <w:b/>
          <w:i/>
          <w:color w:val="7F3F98"/>
          <w:sz w:val="18"/>
          <w:lang w:eastAsia="ja-JP"/>
        </w:rPr>
        <w:t>:</w:t>
      </w:r>
    </w:p>
    <w:p w14:paraId="02EBE6E5" w14:textId="0B210EF9" w:rsidR="0055291C" w:rsidRPr="00FB6ACA" w:rsidRDefault="00A440DE" w:rsidP="009A0E4A">
      <w:pPr>
        <w:pStyle w:val="a5"/>
        <w:numPr>
          <w:ilvl w:val="1"/>
          <w:numId w:val="30"/>
        </w:numPr>
        <w:tabs>
          <w:tab w:val="left" w:pos="1292"/>
        </w:tabs>
        <w:spacing w:before="55" w:line="309" w:lineRule="auto"/>
        <w:ind w:leftChars="323" w:left="850" w:right="450" w:hangingChars="73" w:hanging="139"/>
        <w:rPr>
          <w:rFonts w:ascii="Arial" w:hAnsi="Arial"/>
          <w:b/>
          <w:color w:val="00ACA1"/>
          <w:sz w:val="19"/>
          <w:szCs w:val="19"/>
          <w:lang w:eastAsia="ja-JP"/>
        </w:rPr>
      </w:pPr>
      <w:r w:rsidRPr="00FB6ACA">
        <w:rPr>
          <w:rFonts w:ascii="ＭＳ ゴシック" w:eastAsia="ＭＳ ゴシック" w:hAnsi="ＭＳ ゴシック" w:cs="ＭＳ ゴシック" w:hint="eastAsia"/>
          <w:sz w:val="19"/>
          <w:szCs w:val="19"/>
          <w:lang w:eastAsia="ja-JP"/>
        </w:rPr>
        <w:t>環境ラベル（タイプ</w:t>
      </w:r>
      <w:r w:rsidRPr="00FB6ACA">
        <w:rPr>
          <w:sz w:val="19"/>
          <w:szCs w:val="19"/>
          <w:lang w:eastAsia="ja-JP"/>
        </w:rPr>
        <w:t>I</w:t>
      </w:r>
      <w:r w:rsidRPr="00FB6ACA">
        <w:rPr>
          <w:rFonts w:ascii="ＭＳ ゴシック" w:eastAsia="ＭＳ ゴシック" w:hAnsi="ＭＳ ゴシック" w:cs="ＭＳ ゴシック" w:hint="eastAsia"/>
          <w:sz w:val="19"/>
          <w:szCs w:val="19"/>
          <w:lang w:eastAsia="ja-JP"/>
        </w:rPr>
        <w:t>）</w:t>
      </w:r>
      <w:r w:rsidRPr="00FB6ACA">
        <w:rPr>
          <w:sz w:val="19"/>
          <w:szCs w:val="19"/>
          <w:vertAlign w:val="superscript"/>
          <w:lang w:eastAsia="ja-JP"/>
        </w:rPr>
        <w:t>1</w:t>
      </w:r>
      <w:r w:rsidRPr="00FB6ACA">
        <w:rPr>
          <w:rFonts w:ascii="ＭＳ ゴシック" w:eastAsia="ＭＳ ゴシック" w:hAnsi="ＭＳ ゴシック" w:cs="ＭＳ ゴシック" w:hint="eastAsia"/>
          <w:sz w:val="19"/>
          <w:szCs w:val="19"/>
          <w:lang w:eastAsia="ja-JP"/>
        </w:rPr>
        <w:t>、自己宣言型環境主張（タイプ</w:t>
      </w:r>
      <w:r w:rsidRPr="00FB6ACA">
        <w:rPr>
          <w:sz w:val="19"/>
          <w:szCs w:val="19"/>
          <w:lang w:eastAsia="ja-JP"/>
        </w:rPr>
        <w:t>II</w:t>
      </w:r>
      <w:r w:rsidRPr="00FB6ACA">
        <w:rPr>
          <w:rFonts w:ascii="ＭＳ ゴシック" w:eastAsia="ＭＳ ゴシック" w:hAnsi="ＭＳ ゴシック" w:cs="ＭＳ ゴシック" w:hint="eastAsia"/>
          <w:sz w:val="19"/>
          <w:szCs w:val="19"/>
          <w:lang w:eastAsia="ja-JP"/>
        </w:rPr>
        <w:t>）</w:t>
      </w:r>
      <w:r w:rsidRPr="00FB6ACA">
        <w:rPr>
          <w:sz w:val="19"/>
          <w:szCs w:val="19"/>
          <w:vertAlign w:val="superscript"/>
          <w:lang w:eastAsia="ja-JP"/>
        </w:rPr>
        <w:t>2</w:t>
      </w:r>
      <w:r w:rsidRPr="00FB6ACA">
        <w:rPr>
          <w:rFonts w:ascii="ＭＳ ゴシック" w:eastAsia="ＭＳ ゴシック" w:hAnsi="ＭＳ ゴシック" w:cs="ＭＳ ゴシック" w:hint="eastAsia"/>
          <w:sz w:val="19"/>
          <w:szCs w:val="19"/>
          <w:lang w:eastAsia="ja-JP"/>
        </w:rPr>
        <w:t>、環境製品宣言（タイプ</w:t>
      </w:r>
      <w:r w:rsidRPr="00FB6ACA">
        <w:rPr>
          <w:sz w:val="19"/>
          <w:szCs w:val="19"/>
          <w:lang w:eastAsia="ja-JP"/>
        </w:rPr>
        <w:t>III</w:t>
      </w:r>
      <w:r w:rsidRPr="00FB6ACA">
        <w:rPr>
          <w:rFonts w:ascii="ＭＳ ゴシック" w:eastAsia="ＭＳ ゴシック" w:hAnsi="ＭＳ ゴシック" w:cs="ＭＳ ゴシック" w:hint="eastAsia"/>
          <w:sz w:val="19"/>
          <w:szCs w:val="19"/>
          <w:lang w:eastAsia="ja-JP"/>
        </w:rPr>
        <w:t>）</w:t>
      </w:r>
      <w:r w:rsidRPr="00FB6ACA">
        <w:rPr>
          <w:sz w:val="19"/>
          <w:szCs w:val="19"/>
          <w:vertAlign w:val="superscript"/>
          <w:lang w:eastAsia="ja-JP"/>
        </w:rPr>
        <w:t>3</w:t>
      </w:r>
      <w:r w:rsidRPr="00FB6ACA">
        <w:rPr>
          <w:rFonts w:ascii="ＭＳ ゴシック" w:eastAsia="ＭＳ ゴシック" w:hAnsi="ＭＳ ゴシック" w:cs="ＭＳ ゴシック" w:hint="eastAsia"/>
          <w:sz w:val="19"/>
          <w:szCs w:val="19"/>
          <w:lang w:eastAsia="ja-JP"/>
        </w:rPr>
        <w:t>、および比較主張</w:t>
      </w:r>
      <w:r w:rsidRPr="00FB6ACA">
        <w:rPr>
          <w:sz w:val="19"/>
          <w:szCs w:val="19"/>
          <w:vertAlign w:val="superscript"/>
          <w:lang w:eastAsia="ja-JP"/>
        </w:rPr>
        <w:t>4</w:t>
      </w:r>
      <w:r w:rsidRPr="00FB6ACA">
        <w:rPr>
          <w:rFonts w:ascii="ＭＳ ゴシック" w:eastAsia="ＭＳ ゴシック" w:hAnsi="ＭＳ ゴシック" w:cs="ＭＳ ゴシック" w:hint="eastAsia"/>
          <w:sz w:val="19"/>
          <w:szCs w:val="19"/>
          <w:lang w:eastAsia="ja-JP"/>
        </w:rPr>
        <w:t>は、それぞれの基準の算出のための要件およびコミュニケーシ</w:t>
      </w:r>
      <w:r w:rsidRPr="00FB6ACA">
        <w:rPr>
          <w:sz w:val="19"/>
          <w:szCs w:val="19"/>
          <w:lang w:eastAsia="ja-JP"/>
        </w:rPr>
        <w:t xml:space="preserve"> </w:t>
      </w:r>
      <w:r w:rsidRPr="00FB6ACA">
        <w:rPr>
          <w:rFonts w:ascii="ＭＳ ゴシック" w:eastAsia="ＭＳ ゴシック" w:hAnsi="ＭＳ ゴシック" w:cs="ＭＳ ゴシック" w:hint="eastAsia"/>
          <w:sz w:val="19"/>
          <w:szCs w:val="19"/>
          <w:lang w:eastAsia="ja-JP"/>
        </w:rPr>
        <w:t>ョン要件を満たす</w:t>
      </w:r>
      <w:r w:rsidR="00FB6ACA" w:rsidRPr="00FB6ACA">
        <w:rPr>
          <w:rFonts w:ascii="ＭＳ ゴシック" w:eastAsia="ＭＳ ゴシック" w:hAnsi="ＭＳ ゴシック" w:cs="ＭＳ ゴシック" w:hint="eastAsia"/>
          <w:sz w:val="19"/>
          <w:szCs w:val="19"/>
          <w:lang w:eastAsia="ja-JP"/>
        </w:rPr>
        <w:t>べき</w:t>
      </w:r>
    </w:p>
    <w:p w14:paraId="2F058C3A" w14:textId="1F6C85E3" w:rsidR="0055291C" w:rsidRDefault="00F23C61" w:rsidP="009A0E4A">
      <w:pPr>
        <w:pStyle w:val="3"/>
        <w:tabs>
          <w:tab w:val="left" w:pos="963"/>
        </w:tabs>
        <w:spacing w:before="233"/>
        <w:ind w:left="243" w:rightChars="443" w:right="975"/>
        <w:rPr>
          <w:lang w:eastAsia="ja-JP"/>
        </w:rPr>
      </w:pPr>
      <w:r>
        <w:rPr>
          <w:b w:val="0"/>
          <w:i w:val="0"/>
          <w:lang w:eastAsia="ja-JP"/>
        </w:rPr>
        <w:br w:type="column"/>
      </w:r>
      <w:r>
        <w:rPr>
          <w:color w:val="00ACA1"/>
          <w:lang w:eastAsia="ja-JP"/>
        </w:rPr>
        <w:t>A.1</w:t>
      </w:r>
      <w:r>
        <w:rPr>
          <w:color w:val="00ACA1"/>
          <w:lang w:eastAsia="ja-JP"/>
        </w:rPr>
        <w:tab/>
      </w:r>
      <w:r w:rsidR="00FB6ACA">
        <w:rPr>
          <w:rFonts w:ascii="ＭＳ 明朝" w:eastAsia="ＭＳ 明朝" w:hAnsi="ＭＳ 明朝" w:cs="ＭＳ 明朝" w:hint="eastAsia"/>
          <w:color w:val="00ACA1"/>
          <w:w w:val="95"/>
          <w:lang w:eastAsia="ja-JP"/>
        </w:rPr>
        <w:t>製品ルールの役割</w:t>
      </w:r>
    </w:p>
    <w:p w14:paraId="176A788B" w14:textId="0C4EA472" w:rsidR="0055291C" w:rsidRDefault="00FB6ACA" w:rsidP="009A0E4A">
      <w:pPr>
        <w:pStyle w:val="a3"/>
        <w:spacing w:before="2" w:line="312" w:lineRule="auto"/>
        <w:ind w:left="243" w:rightChars="443" w:right="975" w:firstLineChars="100" w:firstLine="190"/>
        <w:rPr>
          <w:lang w:eastAsia="ja-JP"/>
        </w:rPr>
      </w:pPr>
      <w:r>
        <w:rPr>
          <w:rFonts w:ascii="ＭＳ ゴシック" w:eastAsia="ＭＳ ゴシック" w:hAnsi="ＭＳ ゴシック" w:cs="ＭＳ ゴシック" w:hint="eastAsia"/>
          <w:lang w:eastAsia="ja-JP"/>
        </w:rPr>
        <w:t>製品ルールは、</w:t>
      </w:r>
      <w:r>
        <w:rPr>
          <w:lang w:eastAsia="ja-JP"/>
        </w:rPr>
        <w:t>2</w:t>
      </w:r>
      <w:r>
        <w:rPr>
          <w:rFonts w:ascii="ＭＳ ゴシック" w:eastAsia="ＭＳ ゴシック" w:hAnsi="ＭＳ ゴシック" w:cs="ＭＳ ゴシック" w:hint="eastAsia"/>
          <w:lang w:eastAsia="ja-JP"/>
        </w:rPr>
        <w:t>つ以上の製品を有効に比較できるようにするための追加仕様です。製品ルールは、品質が異なる場合があります。新しい製品ルールを開発したり、使用前に既存の製品ルールの品質を評価したりする際に考慮すべき基準には、以下のようなものがあります。</w:t>
      </w:r>
    </w:p>
    <w:p w14:paraId="0FE496DC" w14:textId="1EBE7963" w:rsidR="00FB6ACA" w:rsidRPr="00FB6ACA" w:rsidRDefault="00FB6ACA" w:rsidP="009A0E4A">
      <w:pPr>
        <w:pStyle w:val="a5"/>
        <w:numPr>
          <w:ilvl w:val="0"/>
          <w:numId w:val="30"/>
        </w:numPr>
        <w:tabs>
          <w:tab w:val="left" w:pos="504"/>
        </w:tabs>
        <w:spacing w:line="304" w:lineRule="auto"/>
        <w:ind w:rightChars="443" w:right="975"/>
        <w:rPr>
          <w:color w:val="545456"/>
          <w:sz w:val="19"/>
          <w:lang w:eastAsia="ja-JP"/>
        </w:rPr>
      </w:pPr>
      <w:r w:rsidRPr="00FB6ACA">
        <w:rPr>
          <w:rFonts w:ascii="ＭＳ ゴシック" w:eastAsia="ＭＳ ゴシック" w:hAnsi="ＭＳ ゴシック" w:cs="ＭＳ ゴシック" w:hint="eastAsia"/>
          <w:color w:val="545456"/>
          <w:sz w:val="19"/>
          <w:lang w:eastAsia="ja-JP"/>
        </w:rPr>
        <w:t>ルールは、関連する主題に精通した多様なステークホルダーによって策定される</w:t>
      </w:r>
    </w:p>
    <w:p w14:paraId="4F7C3FCD" w14:textId="6D26B6C7" w:rsidR="00FB6ACA" w:rsidRPr="00FB6ACA" w:rsidRDefault="00FB6ACA" w:rsidP="009A0E4A">
      <w:pPr>
        <w:pStyle w:val="a5"/>
        <w:numPr>
          <w:ilvl w:val="0"/>
          <w:numId w:val="30"/>
        </w:numPr>
        <w:tabs>
          <w:tab w:val="left" w:pos="504"/>
        </w:tabs>
        <w:spacing w:line="304" w:lineRule="auto"/>
        <w:ind w:rightChars="443" w:right="975"/>
        <w:rPr>
          <w:color w:val="545456"/>
          <w:sz w:val="19"/>
          <w:lang w:eastAsia="ja-JP"/>
        </w:rPr>
      </w:pPr>
      <w:r w:rsidRPr="00FB6ACA">
        <w:rPr>
          <w:rFonts w:ascii="ＭＳ ゴシック" w:eastAsia="ＭＳ ゴシック" w:hAnsi="ＭＳ ゴシック" w:cs="ＭＳ ゴシック" w:hint="eastAsia"/>
          <w:color w:val="545456"/>
          <w:sz w:val="19"/>
          <w:lang w:eastAsia="ja-JP"/>
        </w:rPr>
        <w:t>ルールは、資格ある専門家による</w:t>
      </w:r>
      <w:r>
        <w:rPr>
          <w:rFonts w:ascii="ＭＳ ゴシック" w:eastAsia="ＭＳ ゴシック" w:hAnsi="ＭＳ ゴシック" w:cs="ＭＳ ゴシック" w:hint="eastAsia"/>
          <w:color w:val="545456"/>
          <w:sz w:val="19"/>
          <w:lang w:eastAsia="ja-JP"/>
        </w:rPr>
        <w:t>査読</w:t>
      </w:r>
      <w:r w:rsidRPr="00FB6ACA">
        <w:rPr>
          <w:rFonts w:ascii="ＭＳ ゴシック" w:eastAsia="ＭＳ ゴシック" w:hAnsi="ＭＳ ゴシック" w:cs="ＭＳ ゴシック" w:hint="eastAsia"/>
          <w:color w:val="545456"/>
          <w:sz w:val="19"/>
          <w:lang w:eastAsia="ja-JP"/>
        </w:rPr>
        <w:t>を受けている</w:t>
      </w:r>
    </w:p>
    <w:p w14:paraId="16390945" w14:textId="2FEA4E0B" w:rsidR="00FB6ACA" w:rsidRPr="00FB6ACA" w:rsidRDefault="00FB6ACA" w:rsidP="009A0E4A">
      <w:pPr>
        <w:pStyle w:val="a5"/>
        <w:numPr>
          <w:ilvl w:val="0"/>
          <w:numId w:val="30"/>
        </w:numPr>
        <w:tabs>
          <w:tab w:val="left" w:pos="504"/>
        </w:tabs>
        <w:spacing w:line="304" w:lineRule="auto"/>
        <w:ind w:rightChars="443" w:right="975"/>
        <w:rPr>
          <w:color w:val="545456"/>
          <w:sz w:val="19"/>
          <w:lang w:eastAsia="ja-JP"/>
        </w:rPr>
      </w:pPr>
      <w:r w:rsidRPr="00FB6ACA">
        <w:rPr>
          <w:rFonts w:ascii="ＭＳ ゴシック" w:eastAsia="ＭＳ ゴシック" w:hAnsi="ＭＳ ゴシック" w:cs="ＭＳ ゴシック" w:hint="eastAsia"/>
          <w:color w:val="545456"/>
          <w:sz w:val="19"/>
          <w:lang w:eastAsia="ja-JP"/>
        </w:rPr>
        <w:t>利益相反を防止するための保護措置がとら</w:t>
      </w:r>
      <w:r>
        <w:rPr>
          <w:rFonts w:ascii="ＭＳ ゴシック" w:eastAsia="ＭＳ ゴシック" w:hAnsi="ＭＳ ゴシック" w:cs="ＭＳ ゴシック" w:hint="eastAsia"/>
          <w:color w:val="545456"/>
          <w:sz w:val="19"/>
          <w:lang w:eastAsia="ja-JP"/>
        </w:rPr>
        <w:t>れ</w:t>
      </w:r>
      <w:r w:rsidRPr="00FB6ACA">
        <w:rPr>
          <w:rFonts w:ascii="ＭＳ ゴシック" w:eastAsia="ＭＳ ゴシック" w:hAnsi="ＭＳ ゴシック" w:cs="ＭＳ ゴシック" w:hint="eastAsia"/>
          <w:color w:val="545456"/>
          <w:sz w:val="19"/>
          <w:lang w:eastAsia="ja-JP"/>
        </w:rPr>
        <w:t>ている</w:t>
      </w:r>
    </w:p>
    <w:p w14:paraId="26F5B04E" w14:textId="2A690134" w:rsidR="00FB6ACA" w:rsidRPr="00FB6ACA" w:rsidRDefault="00FB6ACA" w:rsidP="009A0E4A">
      <w:pPr>
        <w:pStyle w:val="a5"/>
        <w:numPr>
          <w:ilvl w:val="0"/>
          <w:numId w:val="30"/>
        </w:numPr>
        <w:tabs>
          <w:tab w:val="left" w:pos="504"/>
        </w:tabs>
        <w:spacing w:line="304" w:lineRule="auto"/>
        <w:ind w:rightChars="443" w:right="975"/>
        <w:rPr>
          <w:color w:val="545456"/>
          <w:sz w:val="19"/>
          <w:lang w:eastAsia="ja-JP"/>
        </w:rPr>
      </w:pPr>
      <w:r w:rsidRPr="00FB6ACA">
        <w:rPr>
          <w:rFonts w:ascii="ＭＳ ゴシック" w:eastAsia="ＭＳ ゴシック" w:hAnsi="ＭＳ ゴシック" w:cs="ＭＳ ゴシック" w:hint="eastAsia"/>
          <w:color w:val="545456"/>
          <w:sz w:val="19"/>
          <w:lang w:eastAsia="ja-JP"/>
        </w:rPr>
        <w:t>ルールは国際的に適用されるので、他のプログラムや政策に採用することができる</w:t>
      </w:r>
    </w:p>
    <w:p w14:paraId="36100D51" w14:textId="1CFB938C" w:rsidR="0055291C" w:rsidRDefault="00FB6ACA" w:rsidP="009A0E4A">
      <w:pPr>
        <w:pStyle w:val="a5"/>
        <w:numPr>
          <w:ilvl w:val="0"/>
          <w:numId w:val="30"/>
        </w:numPr>
        <w:tabs>
          <w:tab w:val="left" w:pos="504"/>
        </w:tabs>
        <w:spacing w:line="304" w:lineRule="auto"/>
        <w:ind w:rightChars="443" w:right="975"/>
        <w:rPr>
          <w:sz w:val="19"/>
          <w:lang w:eastAsia="ja-JP"/>
        </w:rPr>
      </w:pPr>
      <w:r w:rsidRPr="00FB6ACA">
        <w:rPr>
          <w:rFonts w:ascii="ＭＳ ゴシック" w:eastAsia="ＭＳ ゴシック" w:hAnsi="ＭＳ ゴシック" w:cs="ＭＳ ゴシック" w:hint="eastAsia"/>
          <w:color w:val="545456"/>
          <w:sz w:val="19"/>
          <w:lang w:eastAsia="ja-JP"/>
        </w:rPr>
        <w:t>製品ルールの更新時期を決定するポリシーがある</w:t>
      </w:r>
      <w:r w:rsidRPr="00FB6ACA">
        <w:rPr>
          <w:color w:val="545456"/>
          <w:sz w:val="19"/>
          <w:lang w:eastAsia="ja-JP"/>
        </w:rPr>
        <w:cr/>
      </w:r>
    </w:p>
    <w:p w14:paraId="20DBA0D6" w14:textId="77777777" w:rsidR="0055291C" w:rsidRDefault="0055291C">
      <w:pPr>
        <w:pStyle w:val="a3"/>
        <w:rPr>
          <w:sz w:val="20"/>
          <w:lang w:eastAsia="ja-JP"/>
        </w:rPr>
      </w:pPr>
    </w:p>
    <w:p w14:paraId="24B6055D" w14:textId="2D103EF6" w:rsidR="0055291C" w:rsidRDefault="009A0E4A">
      <w:pPr>
        <w:pStyle w:val="3"/>
        <w:spacing w:before="141"/>
        <w:ind w:left="243"/>
      </w:pPr>
      <w:r>
        <w:rPr>
          <w:rFonts w:ascii="ＭＳ 明朝" w:eastAsia="ＭＳ 明朝" w:hAnsi="ＭＳ 明朝" w:cs="ＭＳ 明朝" w:hint="eastAsia"/>
          <w:color w:val="00ACA1"/>
          <w:lang w:eastAsia="ja-JP"/>
        </w:rPr>
        <w:t>脚注</w:t>
      </w:r>
    </w:p>
    <w:p w14:paraId="75F88F88" w14:textId="77777777" w:rsidR="0055291C" w:rsidRDefault="00F23C61">
      <w:pPr>
        <w:pStyle w:val="a5"/>
        <w:numPr>
          <w:ilvl w:val="0"/>
          <w:numId w:val="23"/>
        </w:numPr>
        <w:tabs>
          <w:tab w:val="left" w:pos="471"/>
        </w:tabs>
        <w:spacing w:before="61" w:line="345" w:lineRule="auto"/>
        <w:ind w:right="1263"/>
        <w:rPr>
          <w:sz w:val="16"/>
        </w:rPr>
      </w:pPr>
      <w:r>
        <w:rPr>
          <w:color w:val="545456"/>
          <w:sz w:val="16"/>
        </w:rPr>
        <w:t>International</w:t>
      </w:r>
      <w:r>
        <w:rPr>
          <w:color w:val="545456"/>
          <w:spacing w:val="-9"/>
          <w:sz w:val="16"/>
        </w:rPr>
        <w:t xml:space="preserve"> </w:t>
      </w:r>
      <w:r>
        <w:rPr>
          <w:color w:val="545456"/>
          <w:sz w:val="16"/>
        </w:rPr>
        <w:t>Organization</w:t>
      </w:r>
      <w:r>
        <w:rPr>
          <w:color w:val="545456"/>
          <w:spacing w:val="-8"/>
          <w:sz w:val="16"/>
        </w:rPr>
        <w:t xml:space="preserve"> </w:t>
      </w:r>
      <w:r>
        <w:rPr>
          <w:color w:val="545456"/>
          <w:sz w:val="16"/>
        </w:rPr>
        <w:t>for</w:t>
      </w:r>
      <w:r>
        <w:rPr>
          <w:color w:val="545456"/>
          <w:spacing w:val="-8"/>
          <w:sz w:val="16"/>
        </w:rPr>
        <w:t xml:space="preserve"> </w:t>
      </w:r>
      <w:r>
        <w:rPr>
          <w:color w:val="545456"/>
          <w:sz w:val="16"/>
        </w:rPr>
        <w:t>Standardization,</w:t>
      </w:r>
      <w:r>
        <w:rPr>
          <w:color w:val="545456"/>
          <w:spacing w:val="-8"/>
          <w:sz w:val="16"/>
        </w:rPr>
        <w:t xml:space="preserve"> </w:t>
      </w:r>
      <w:r>
        <w:rPr>
          <w:color w:val="545456"/>
          <w:sz w:val="16"/>
        </w:rPr>
        <w:t>ISO</w:t>
      </w:r>
      <w:r>
        <w:rPr>
          <w:color w:val="545456"/>
          <w:spacing w:val="-9"/>
          <w:sz w:val="16"/>
        </w:rPr>
        <w:t xml:space="preserve"> </w:t>
      </w:r>
      <w:r>
        <w:rPr>
          <w:color w:val="545456"/>
          <w:sz w:val="16"/>
        </w:rPr>
        <w:t>14024:1999,</w:t>
      </w:r>
      <w:r>
        <w:rPr>
          <w:color w:val="545456"/>
          <w:spacing w:val="-39"/>
          <w:sz w:val="16"/>
        </w:rPr>
        <w:t xml:space="preserve"> </w:t>
      </w:r>
      <w:r>
        <w:rPr>
          <w:color w:val="545456"/>
          <w:spacing w:val="-1"/>
          <w:sz w:val="16"/>
        </w:rPr>
        <w:t xml:space="preserve">Environmental labels </w:t>
      </w:r>
      <w:r>
        <w:rPr>
          <w:color w:val="545456"/>
          <w:sz w:val="16"/>
        </w:rPr>
        <w:t>and declarations -- Type I environmental</w:t>
      </w:r>
      <w:r>
        <w:rPr>
          <w:color w:val="545456"/>
          <w:spacing w:val="1"/>
          <w:sz w:val="16"/>
        </w:rPr>
        <w:t xml:space="preserve"> </w:t>
      </w:r>
      <w:r>
        <w:rPr>
          <w:color w:val="545456"/>
          <w:sz w:val="16"/>
        </w:rPr>
        <w:t>labeling</w:t>
      </w:r>
      <w:r>
        <w:rPr>
          <w:color w:val="545456"/>
          <w:spacing w:val="-11"/>
          <w:sz w:val="16"/>
        </w:rPr>
        <w:t xml:space="preserve"> </w:t>
      </w:r>
      <w:r>
        <w:rPr>
          <w:color w:val="545456"/>
          <w:sz w:val="16"/>
        </w:rPr>
        <w:t>--</w:t>
      </w:r>
      <w:r>
        <w:rPr>
          <w:color w:val="545456"/>
          <w:spacing w:val="-10"/>
          <w:sz w:val="16"/>
        </w:rPr>
        <w:t xml:space="preserve"> </w:t>
      </w:r>
      <w:r>
        <w:rPr>
          <w:color w:val="545456"/>
          <w:sz w:val="16"/>
        </w:rPr>
        <w:t>Principles</w:t>
      </w:r>
      <w:r>
        <w:rPr>
          <w:color w:val="545456"/>
          <w:spacing w:val="-10"/>
          <w:sz w:val="16"/>
        </w:rPr>
        <w:t xml:space="preserve"> </w:t>
      </w:r>
      <w:r>
        <w:rPr>
          <w:color w:val="545456"/>
          <w:sz w:val="16"/>
        </w:rPr>
        <w:t>and</w:t>
      </w:r>
      <w:r>
        <w:rPr>
          <w:color w:val="545456"/>
          <w:spacing w:val="-10"/>
          <w:sz w:val="16"/>
        </w:rPr>
        <w:t xml:space="preserve"> </w:t>
      </w:r>
      <w:r>
        <w:rPr>
          <w:color w:val="545456"/>
          <w:sz w:val="16"/>
        </w:rPr>
        <w:t>procedures.</w:t>
      </w:r>
      <w:r>
        <w:rPr>
          <w:color w:val="545456"/>
          <w:spacing w:val="-10"/>
          <w:sz w:val="16"/>
        </w:rPr>
        <w:t xml:space="preserve"> </w:t>
      </w:r>
      <w:r>
        <w:rPr>
          <w:color w:val="545456"/>
          <w:sz w:val="16"/>
        </w:rPr>
        <w:t>Geneva.</w:t>
      </w:r>
    </w:p>
    <w:p w14:paraId="5BA750F0" w14:textId="77777777" w:rsidR="0055291C" w:rsidRDefault="00F23C61">
      <w:pPr>
        <w:pStyle w:val="a5"/>
        <w:numPr>
          <w:ilvl w:val="0"/>
          <w:numId w:val="23"/>
        </w:numPr>
        <w:tabs>
          <w:tab w:val="left" w:pos="471"/>
        </w:tabs>
        <w:spacing w:line="345" w:lineRule="auto"/>
        <w:ind w:right="1263"/>
        <w:rPr>
          <w:sz w:val="16"/>
        </w:rPr>
      </w:pPr>
      <w:r>
        <w:rPr>
          <w:color w:val="545456"/>
          <w:sz w:val="16"/>
        </w:rPr>
        <w:t>International</w:t>
      </w:r>
      <w:r>
        <w:rPr>
          <w:color w:val="545456"/>
          <w:spacing w:val="-9"/>
          <w:sz w:val="16"/>
        </w:rPr>
        <w:t xml:space="preserve"> </w:t>
      </w:r>
      <w:r>
        <w:rPr>
          <w:color w:val="545456"/>
          <w:sz w:val="16"/>
        </w:rPr>
        <w:t>Organization</w:t>
      </w:r>
      <w:r>
        <w:rPr>
          <w:color w:val="545456"/>
          <w:spacing w:val="-8"/>
          <w:sz w:val="16"/>
        </w:rPr>
        <w:t xml:space="preserve"> </w:t>
      </w:r>
      <w:r>
        <w:rPr>
          <w:color w:val="545456"/>
          <w:sz w:val="16"/>
        </w:rPr>
        <w:t>for</w:t>
      </w:r>
      <w:r>
        <w:rPr>
          <w:color w:val="545456"/>
          <w:spacing w:val="-8"/>
          <w:sz w:val="16"/>
        </w:rPr>
        <w:t xml:space="preserve"> </w:t>
      </w:r>
      <w:r>
        <w:rPr>
          <w:color w:val="545456"/>
          <w:sz w:val="16"/>
        </w:rPr>
        <w:t>Standardization,</w:t>
      </w:r>
      <w:r>
        <w:rPr>
          <w:color w:val="545456"/>
          <w:spacing w:val="-8"/>
          <w:sz w:val="16"/>
        </w:rPr>
        <w:t xml:space="preserve"> </w:t>
      </w:r>
      <w:r>
        <w:rPr>
          <w:color w:val="545456"/>
          <w:sz w:val="16"/>
        </w:rPr>
        <w:t>ISO</w:t>
      </w:r>
      <w:r>
        <w:rPr>
          <w:color w:val="545456"/>
          <w:spacing w:val="-9"/>
          <w:sz w:val="16"/>
        </w:rPr>
        <w:t xml:space="preserve"> </w:t>
      </w:r>
      <w:r>
        <w:rPr>
          <w:color w:val="545456"/>
          <w:sz w:val="16"/>
        </w:rPr>
        <w:t>14021:1999,</w:t>
      </w:r>
      <w:r>
        <w:rPr>
          <w:color w:val="545456"/>
          <w:spacing w:val="-39"/>
          <w:sz w:val="16"/>
        </w:rPr>
        <w:t xml:space="preserve"> </w:t>
      </w:r>
      <w:r>
        <w:rPr>
          <w:color w:val="545456"/>
          <w:sz w:val="16"/>
        </w:rPr>
        <w:t>Environmental labels and declarations -- Self-declared</w:t>
      </w:r>
      <w:r>
        <w:rPr>
          <w:color w:val="545456"/>
          <w:spacing w:val="1"/>
          <w:sz w:val="16"/>
        </w:rPr>
        <w:t xml:space="preserve"> </w:t>
      </w:r>
      <w:r>
        <w:rPr>
          <w:color w:val="545456"/>
          <w:spacing w:val="-1"/>
          <w:sz w:val="16"/>
        </w:rPr>
        <w:t>environmental</w:t>
      </w:r>
      <w:r>
        <w:rPr>
          <w:color w:val="545456"/>
          <w:spacing w:val="-10"/>
          <w:sz w:val="16"/>
        </w:rPr>
        <w:t xml:space="preserve"> </w:t>
      </w:r>
      <w:r>
        <w:rPr>
          <w:color w:val="545456"/>
          <w:spacing w:val="-1"/>
          <w:sz w:val="16"/>
        </w:rPr>
        <w:t>claims</w:t>
      </w:r>
      <w:r>
        <w:rPr>
          <w:color w:val="545456"/>
          <w:spacing w:val="-9"/>
          <w:sz w:val="16"/>
        </w:rPr>
        <w:t xml:space="preserve"> </w:t>
      </w:r>
      <w:r>
        <w:rPr>
          <w:color w:val="545456"/>
          <w:spacing w:val="-1"/>
          <w:sz w:val="16"/>
        </w:rPr>
        <w:t>(Type</w:t>
      </w:r>
      <w:r>
        <w:rPr>
          <w:color w:val="545456"/>
          <w:spacing w:val="-9"/>
          <w:sz w:val="16"/>
        </w:rPr>
        <w:t xml:space="preserve"> </w:t>
      </w:r>
      <w:r>
        <w:rPr>
          <w:color w:val="545456"/>
          <w:spacing w:val="-1"/>
          <w:sz w:val="16"/>
        </w:rPr>
        <w:t>II</w:t>
      </w:r>
      <w:r>
        <w:rPr>
          <w:color w:val="545456"/>
          <w:spacing w:val="-10"/>
          <w:sz w:val="16"/>
        </w:rPr>
        <w:t xml:space="preserve"> </w:t>
      </w:r>
      <w:r>
        <w:rPr>
          <w:color w:val="545456"/>
          <w:spacing w:val="-1"/>
          <w:sz w:val="16"/>
        </w:rPr>
        <w:t>environmental</w:t>
      </w:r>
      <w:r>
        <w:rPr>
          <w:color w:val="545456"/>
          <w:spacing w:val="-9"/>
          <w:sz w:val="16"/>
        </w:rPr>
        <w:t xml:space="preserve"> </w:t>
      </w:r>
      <w:r>
        <w:rPr>
          <w:color w:val="545456"/>
          <w:spacing w:val="-1"/>
          <w:sz w:val="16"/>
        </w:rPr>
        <w:t>labeling).</w:t>
      </w:r>
      <w:r>
        <w:rPr>
          <w:color w:val="545456"/>
          <w:spacing w:val="-9"/>
          <w:sz w:val="16"/>
        </w:rPr>
        <w:t xml:space="preserve"> </w:t>
      </w:r>
      <w:r>
        <w:rPr>
          <w:color w:val="545456"/>
          <w:sz w:val="16"/>
        </w:rPr>
        <w:t>Geneva.</w:t>
      </w:r>
    </w:p>
    <w:p w14:paraId="3CD8DCD5" w14:textId="77777777" w:rsidR="0055291C" w:rsidRDefault="00F23C61">
      <w:pPr>
        <w:pStyle w:val="a5"/>
        <w:numPr>
          <w:ilvl w:val="0"/>
          <w:numId w:val="23"/>
        </w:numPr>
        <w:tabs>
          <w:tab w:val="left" w:pos="471"/>
        </w:tabs>
        <w:spacing w:line="345" w:lineRule="auto"/>
        <w:ind w:right="1263"/>
        <w:rPr>
          <w:sz w:val="16"/>
        </w:rPr>
      </w:pPr>
      <w:r>
        <w:rPr>
          <w:color w:val="545456"/>
          <w:sz w:val="16"/>
        </w:rPr>
        <w:t>International</w:t>
      </w:r>
      <w:r>
        <w:rPr>
          <w:color w:val="545456"/>
          <w:spacing w:val="-9"/>
          <w:sz w:val="16"/>
        </w:rPr>
        <w:t xml:space="preserve"> </w:t>
      </w:r>
      <w:r>
        <w:rPr>
          <w:color w:val="545456"/>
          <w:sz w:val="16"/>
        </w:rPr>
        <w:t>Organization</w:t>
      </w:r>
      <w:r>
        <w:rPr>
          <w:color w:val="545456"/>
          <w:spacing w:val="-8"/>
          <w:sz w:val="16"/>
        </w:rPr>
        <w:t xml:space="preserve"> </w:t>
      </w:r>
      <w:r>
        <w:rPr>
          <w:color w:val="545456"/>
          <w:sz w:val="16"/>
        </w:rPr>
        <w:t>for</w:t>
      </w:r>
      <w:r>
        <w:rPr>
          <w:color w:val="545456"/>
          <w:spacing w:val="-8"/>
          <w:sz w:val="16"/>
        </w:rPr>
        <w:t xml:space="preserve"> </w:t>
      </w:r>
      <w:r>
        <w:rPr>
          <w:color w:val="545456"/>
          <w:sz w:val="16"/>
        </w:rPr>
        <w:t>Standardization,</w:t>
      </w:r>
      <w:r>
        <w:rPr>
          <w:color w:val="545456"/>
          <w:spacing w:val="-8"/>
          <w:sz w:val="16"/>
        </w:rPr>
        <w:t xml:space="preserve"> </w:t>
      </w:r>
      <w:r>
        <w:rPr>
          <w:color w:val="545456"/>
          <w:sz w:val="16"/>
        </w:rPr>
        <w:t>ISO</w:t>
      </w:r>
      <w:r>
        <w:rPr>
          <w:color w:val="545456"/>
          <w:spacing w:val="-9"/>
          <w:sz w:val="16"/>
        </w:rPr>
        <w:t xml:space="preserve"> </w:t>
      </w:r>
      <w:r>
        <w:rPr>
          <w:color w:val="545456"/>
          <w:sz w:val="16"/>
        </w:rPr>
        <w:t>14025:2006,</w:t>
      </w:r>
      <w:r>
        <w:rPr>
          <w:color w:val="545456"/>
          <w:spacing w:val="-39"/>
          <w:sz w:val="16"/>
        </w:rPr>
        <w:t xml:space="preserve"> </w:t>
      </w:r>
      <w:r>
        <w:rPr>
          <w:color w:val="545456"/>
          <w:spacing w:val="-1"/>
          <w:sz w:val="16"/>
        </w:rPr>
        <w:t xml:space="preserve">Environmental labels and declarations </w:t>
      </w:r>
      <w:r>
        <w:rPr>
          <w:color w:val="545456"/>
          <w:sz w:val="16"/>
        </w:rPr>
        <w:t>-- Type III environmental</w:t>
      </w:r>
      <w:r>
        <w:rPr>
          <w:color w:val="545456"/>
          <w:spacing w:val="1"/>
          <w:sz w:val="16"/>
        </w:rPr>
        <w:t xml:space="preserve"> </w:t>
      </w:r>
      <w:r>
        <w:rPr>
          <w:color w:val="545456"/>
          <w:spacing w:val="-1"/>
          <w:sz w:val="16"/>
        </w:rPr>
        <w:t>declarations</w:t>
      </w:r>
      <w:r>
        <w:rPr>
          <w:color w:val="545456"/>
          <w:spacing w:val="-10"/>
          <w:sz w:val="16"/>
        </w:rPr>
        <w:t xml:space="preserve"> </w:t>
      </w:r>
      <w:r>
        <w:rPr>
          <w:color w:val="545456"/>
          <w:spacing w:val="-1"/>
          <w:sz w:val="16"/>
        </w:rPr>
        <w:t>--</w:t>
      </w:r>
      <w:r>
        <w:rPr>
          <w:color w:val="545456"/>
          <w:spacing w:val="-9"/>
          <w:sz w:val="16"/>
        </w:rPr>
        <w:t xml:space="preserve"> </w:t>
      </w:r>
      <w:r>
        <w:rPr>
          <w:color w:val="545456"/>
          <w:spacing w:val="-1"/>
          <w:sz w:val="16"/>
        </w:rPr>
        <w:t>Principles</w:t>
      </w:r>
      <w:r>
        <w:rPr>
          <w:color w:val="545456"/>
          <w:spacing w:val="-10"/>
          <w:sz w:val="16"/>
        </w:rPr>
        <w:t xml:space="preserve"> </w:t>
      </w:r>
      <w:r>
        <w:rPr>
          <w:color w:val="545456"/>
          <w:spacing w:val="-1"/>
          <w:sz w:val="16"/>
        </w:rPr>
        <w:t>and</w:t>
      </w:r>
      <w:r>
        <w:rPr>
          <w:color w:val="545456"/>
          <w:spacing w:val="-9"/>
          <w:sz w:val="16"/>
        </w:rPr>
        <w:t xml:space="preserve"> </w:t>
      </w:r>
      <w:r>
        <w:rPr>
          <w:color w:val="545456"/>
          <w:spacing w:val="-1"/>
          <w:sz w:val="16"/>
        </w:rPr>
        <w:t>procedures.</w:t>
      </w:r>
      <w:r>
        <w:rPr>
          <w:color w:val="545456"/>
          <w:spacing w:val="-10"/>
          <w:sz w:val="16"/>
        </w:rPr>
        <w:t xml:space="preserve"> </w:t>
      </w:r>
      <w:r>
        <w:rPr>
          <w:color w:val="545456"/>
          <w:spacing w:val="-1"/>
          <w:sz w:val="16"/>
        </w:rPr>
        <w:t>Geneva.</w:t>
      </w:r>
    </w:p>
    <w:p w14:paraId="669CA274" w14:textId="77777777" w:rsidR="0055291C" w:rsidRDefault="00F23C61">
      <w:pPr>
        <w:pStyle w:val="a5"/>
        <w:numPr>
          <w:ilvl w:val="0"/>
          <w:numId w:val="23"/>
        </w:numPr>
        <w:tabs>
          <w:tab w:val="left" w:pos="471"/>
        </w:tabs>
        <w:spacing w:line="345" w:lineRule="auto"/>
        <w:ind w:right="1263"/>
        <w:rPr>
          <w:sz w:val="16"/>
        </w:rPr>
      </w:pPr>
      <w:r>
        <w:rPr>
          <w:color w:val="545456"/>
          <w:sz w:val="16"/>
        </w:rPr>
        <w:t>International</w:t>
      </w:r>
      <w:r>
        <w:rPr>
          <w:color w:val="545456"/>
          <w:spacing w:val="-9"/>
          <w:sz w:val="16"/>
        </w:rPr>
        <w:t xml:space="preserve"> </w:t>
      </w:r>
      <w:r>
        <w:rPr>
          <w:color w:val="545456"/>
          <w:sz w:val="16"/>
        </w:rPr>
        <w:t>Organization</w:t>
      </w:r>
      <w:r>
        <w:rPr>
          <w:color w:val="545456"/>
          <w:spacing w:val="-8"/>
          <w:sz w:val="16"/>
        </w:rPr>
        <w:t xml:space="preserve"> </w:t>
      </w:r>
      <w:r>
        <w:rPr>
          <w:color w:val="545456"/>
          <w:sz w:val="16"/>
        </w:rPr>
        <w:t>for</w:t>
      </w:r>
      <w:r>
        <w:rPr>
          <w:color w:val="545456"/>
          <w:spacing w:val="-8"/>
          <w:sz w:val="16"/>
        </w:rPr>
        <w:t xml:space="preserve"> </w:t>
      </w:r>
      <w:r>
        <w:rPr>
          <w:color w:val="545456"/>
          <w:sz w:val="16"/>
        </w:rPr>
        <w:t>Standardization,</w:t>
      </w:r>
      <w:r>
        <w:rPr>
          <w:color w:val="545456"/>
          <w:spacing w:val="-8"/>
          <w:sz w:val="16"/>
        </w:rPr>
        <w:t xml:space="preserve"> </w:t>
      </w:r>
      <w:r>
        <w:rPr>
          <w:color w:val="545456"/>
          <w:sz w:val="16"/>
        </w:rPr>
        <w:t>ISO</w:t>
      </w:r>
      <w:r>
        <w:rPr>
          <w:color w:val="545456"/>
          <w:spacing w:val="-9"/>
          <w:sz w:val="16"/>
        </w:rPr>
        <w:t xml:space="preserve"> </w:t>
      </w:r>
      <w:r>
        <w:rPr>
          <w:color w:val="545456"/>
          <w:sz w:val="16"/>
        </w:rPr>
        <w:t>14044:2006,</w:t>
      </w:r>
      <w:r>
        <w:rPr>
          <w:color w:val="545456"/>
          <w:spacing w:val="-39"/>
          <w:sz w:val="16"/>
        </w:rPr>
        <w:t xml:space="preserve"> </w:t>
      </w:r>
      <w:r>
        <w:rPr>
          <w:color w:val="545456"/>
          <w:w w:val="95"/>
          <w:sz w:val="16"/>
        </w:rPr>
        <w:t>Life</w:t>
      </w:r>
      <w:r>
        <w:rPr>
          <w:color w:val="545456"/>
          <w:spacing w:val="-4"/>
          <w:w w:val="95"/>
          <w:sz w:val="16"/>
        </w:rPr>
        <w:t xml:space="preserve"> </w:t>
      </w:r>
      <w:r>
        <w:rPr>
          <w:color w:val="545456"/>
          <w:w w:val="95"/>
          <w:sz w:val="16"/>
        </w:rPr>
        <w:t>Cycle</w:t>
      </w:r>
      <w:r>
        <w:rPr>
          <w:color w:val="545456"/>
          <w:spacing w:val="-3"/>
          <w:w w:val="95"/>
          <w:sz w:val="16"/>
        </w:rPr>
        <w:t xml:space="preserve"> </w:t>
      </w:r>
      <w:r>
        <w:rPr>
          <w:color w:val="545456"/>
          <w:w w:val="95"/>
          <w:sz w:val="16"/>
        </w:rPr>
        <w:t>Assessment:</w:t>
      </w:r>
      <w:r>
        <w:rPr>
          <w:color w:val="545456"/>
          <w:spacing w:val="-3"/>
          <w:w w:val="95"/>
          <w:sz w:val="16"/>
        </w:rPr>
        <w:t xml:space="preserve"> </w:t>
      </w:r>
      <w:r>
        <w:rPr>
          <w:color w:val="545456"/>
          <w:w w:val="95"/>
          <w:sz w:val="16"/>
        </w:rPr>
        <w:t>Requirements</w:t>
      </w:r>
      <w:r>
        <w:rPr>
          <w:color w:val="545456"/>
          <w:spacing w:val="-3"/>
          <w:w w:val="95"/>
          <w:sz w:val="16"/>
        </w:rPr>
        <w:t xml:space="preserve"> </w:t>
      </w:r>
      <w:r>
        <w:rPr>
          <w:color w:val="545456"/>
          <w:w w:val="95"/>
          <w:sz w:val="16"/>
        </w:rPr>
        <w:t>and</w:t>
      </w:r>
      <w:r>
        <w:rPr>
          <w:color w:val="545456"/>
          <w:spacing w:val="-4"/>
          <w:w w:val="95"/>
          <w:sz w:val="16"/>
        </w:rPr>
        <w:t xml:space="preserve"> </w:t>
      </w:r>
      <w:r>
        <w:rPr>
          <w:color w:val="545456"/>
          <w:w w:val="95"/>
          <w:sz w:val="16"/>
        </w:rPr>
        <w:t>Guidelines.</w:t>
      </w:r>
    </w:p>
    <w:p w14:paraId="22113C7F" w14:textId="77777777" w:rsidR="0055291C" w:rsidRDefault="0055291C">
      <w:pPr>
        <w:spacing w:line="345" w:lineRule="auto"/>
        <w:rPr>
          <w:sz w:val="16"/>
        </w:rPr>
        <w:sectPr w:rsidR="0055291C">
          <w:type w:val="continuous"/>
          <w:pgSz w:w="12240" w:h="15840"/>
          <w:pgMar w:top="740" w:right="0" w:bottom="280" w:left="0" w:header="0" w:footer="859" w:gutter="0"/>
          <w:cols w:num="2" w:space="720" w:equalWidth="0">
            <w:col w:w="5979" w:space="40"/>
            <w:col w:w="6221"/>
          </w:cols>
        </w:sectPr>
      </w:pPr>
    </w:p>
    <w:p w14:paraId="0A4A8D63" w14:textId="77777777" w:rsidR="0055291C" w:rsidRDefault="00000000">
      <w:pPr>
        <w:pStyle w:val="a3"/>
        <w:rPr>
          <w:sz w:val="20"/>
        </w:rPr>
      </w:pPr>
      <w:r>
        <w:rPr>
          <w:sz w:val="20"/>
        </w:rPr>
      </w:r>
      <w:r>
        <w:rPr>
          <w:sz w:val="20"/>
        </w:rPr>
        <w:pict w14:anchorId="0D105BC1">
          <v:group id="docshapegroup1532" o:spid="_x0000_s2322" style="width:553.75pt;height:101.35pt;mso-position-horizontal-relative:char;mso-position-vertical-relative:line" coordsize="11075,2027">
            <v:shape id="docshape1533" o:spid="_x0000_s2325" style="position:absolute;width:11075;height:2009" coordsize="11075,2009" path="m11073,l,,,2008r10834,l10973,2005r71,-27l11070,1907r4,-139l11074,42,11073,xe" fillcolor="#d8eeec" stroked="f">
              <v:path arrowok="t"/>
            </v:shape>
            <v:shape id="docshape1534" o:spid="_x0000_s2324" type="#_x0000_t202" style="position:absolute;left:9989;top:956;width:1077;height:213" filled="f" stroked="f">
              <v:textbox inset="0,0,0,0">
                <w:txbxContent>
                  <w:p w14:paraId="49CA88D0" w14:textId="77777777" w:rsidR="0055291C" w:rsidRDefault="00F23C61">
                    <w:pPr>
                      <w:spacing w:line="213" w:lineRule="exact"/>
                      <w:rPr>
                        <w:rFonts w:ascii="Arial"/>
                        <w:b/>
                        <w:i/>
                        <w:sz w:val="19"/>
                      </w:rPr>
                    </w:pPr>
                    <w:r>
                      <w:rPr>
                        <w:rFonts w:ascii="Arial"/>
                        <w:b/>
                        <w:i/>
                        <w:color w:val="7F3F98"/>
                        <w:w w:val="95"/>
                        <w:sz w:val="19"/>
                      </w:rPr>
                      <w:t>Appendices</w:t>
                    </w:r>
                  </w:p>
                </w:txbxContent>
              </v:textbox>
            </v:shape>
            <v:shape id="docshape1535" o:spid="_x0000_s2323" type="#_x0000_t202" style="position:absolute;left:1105;top:1488;width:8370;height:539" filled="f" stroked="f">
              <v:textbox inset="0,0,0,0">
                <w:txbxContent>
                  <w:p w14:paraId="719B1635" w14:textId="7EFD59DC" w:rsidR="0055291C" w:rsidRDefault="009A0E4A">
                    <w:pPr>
                      <w:spacing w:line="538" w:lineRule="exact"/>
                      <w:rPr>
                        <w:rFonts w:ascii="Arial"/>
                        <w:b/>
                        <w:i/>
                        <w:sz w:val="48"/>
                        <w:lang w:eastAsia="ja-JP"/>
                      </w:rPr>
                    </w:pPr>
                    <w:r>
                      <w:rPr>
                        <w:rFonts w:ascii="ＭＳ ゴシック" w:eastAsia="ＭＳ ゴシック" w:hAnsi="ＭＳ ゴシック" w:cs="ＭＳ ゴシック" w:hint="eastAsia"/>
                        <w:b/>
                        <w:i/>
                        <w:color w:val="00ACA1"/>
                        <w:spacing w:val="-3"/>
                        <w:w w:val="95"/>
                        <w:sz w:val="48"/>
                        <w:lang w:eastAsia="ja-JP"/>
                      </w:rPr>
                      <w:t>付録</w:t>
                    </w:r>
                    <w:r w:rsidR="00F23C61">
                      <w:rPr>
                        <w:rFonts w:ascii="Arial"/>
                        <w:b/>
                        <w:i/>
                        <w:color w:val="00ACA1"/>
                        <w:spacing w:val="-23"/>
                        <w:w w:val="95"/>
                        <w:sz w:val="48"/>
                        <w:lang w:eastAsia="ja-JP"/>
                      </w:rPr>
                      <w:t xml:space="preserve"> </w:t>
                    </w:r>
                    <w:r w:rsidR="00F23C61">
                      <w:rPr>
                        <w:rFonts w:ascii="Arial"/>
                        <w:b/>
                        <w:i/>
                        <w:color w:val="00ACA1"/>
                        <w:spacing w:val="-3"/>
                        <w:w w:val="95"/>
                        <w:sz w:val="48"/>
                        <w:lang w:eastAsia="ja-JP"/>
                      </w:rPr>
                      <w:t>B.</w:t>
                    </w:r>
                    <w:r>
                      <w:rPr>
                        <w:rFonts w:ascii="ＭＳ ゴシック" w:eastAsia="ＭＳ ゴシック" w:hAnsi="ＭＳ ゴシック" w:cs="ＭＳ ゴシック" w:hint="eastAsia"/>
                        <w:b/>
                        <w:i/>
                        <w:color w:val="545456"/>
                        <w:spacing w:val="-3"/>
                        <w:w w:val="95"/>
                        <w:sz w:val="48"/>
                        <w:lang w:eastAsia="ja-JP"/>
                      </w:rPr>
                      <w:t>土地利用変化による影響</w:t>
                    </w:r>
                  </w:p>
                </w:txbxContent>
              </v:textbox>
            </v:shape>
            <w10:anchorlock/>
          </v:group>
        </w:pict>
      </w:r>
    </w:p>
    <w:p w14:paraId="691EB9BF" w14:textId="77777777" w:rsidR="0055291C" w:rsidRDefault="0055291C">
      <w:pPr>
        <w:pStyle w:val="a3"/>
        <w:rPr>
          <w:sz w:val="20"/>
        </w:rPr>
      </w:pPr>
    </w:p>
    <w:p w14:paraId="5AC8C9B9" w14:textId="77777777" w:rsidR="0055291C" w:rsidRDefault="0055291C">
      <w:pPr>
        <w:pStyle w:val="a3"/>
        <w:spacing w:before="10"/>
        <w:rPr>
          <w:sz w:val="29"/>
        </w:rPr>
      </w:pPr>
    </w:p>
    <w:p w14:paraId="63EFA947" w14:textId="78B2EBEC" w:rsidR="0055291C" w:rsidRDefault="00000000" w:rsidP="009A0E4A">
      <w:pPr>
        <w:pStyle w:val="3"/>
        <w:spacing w:line="364" w:lineRule="auto"/>
        <w:ind w:left="1276" w:right="1132" w:firstLineChars="100" w:firstLine="241"/>
        <w:jc w:val="both"/>
        <w:rPr>
          <w:sz w:val="14"/>
          <w:lang w:eastAsia="ja-JP"/>
        </w:rPr>
      </w:pPr>
      <w:r>
        <w:pict w14:anchorId="479CB0E9">
          <v:shape id="docshape1536" o:spid="_x0000_s2321" style="position:absolute;left:0;text-align:left;margin-left:580.75pt;margin-top:-131.5pt;width:31.3pt;height:285.85pt;z-index:251656704;mso-position-horizontal-relative:page" coordorigin="11615,-2630" coordsize="626,5717" path="m12240,-2630r-625,l11615,2860r3,131l11643,3058r67,25l11842,3086r398,l12240,-2630xe" fillcolor="#00aca1" stroked="f">
            <v:path arrowok="t"/>
            <w10:wrap anchorx="page"/>
          </v:shape>
        </w:pict>
      </w:r>
      <w:r w:rsidR="009A0E4A">
        <w:rPr>
          <w:rFonts w:ascii="ＭＳ 明朝" w:eastAsia="ＭＳ 明朝" w:hAnsi="ＭＳ 明朝" w:cs="ＭＳ 明朝" w:hint="eastAsia"/>
          <w:lang w:eastAsia="ja-JP"/>
        </w:rPr>
        <w:t>本付録は、土地利用変化による影響が調査対象製品に起因する場合を特定するためのガ</w:t>
      </w:r>
      <w:r w:rsidR="009A0E4A">
        <w:rPr>
          <w:lang w:eastAsia="ja-JP"/>
        </w:rPr>
        <w:t xml:space="preserve"> </w:t>
      </w:r>
      <w:r w:rsidR="009A0E4A">
        <w:rPr>
          <w:rFonts w:ascii="ＭＳ 明朝" w:eastAsia="ＭＳ 明朝" w:hAnsi="ＭＳ 明朝" w:cs="ＭＳ 明朝" w:hint="eastAsia"/>
          <w:lang w:eastAsia="ja-JP"/>
        </w:rPr>
        <w:t>イダンスを提供します。また、帰属させる場合、その影響を計算し、配分するための指針も含まれてい</w:t>
      </w:r>
      <w:r w:rsidR="00D01615">
        <w:rPr>
          <w:rFonts w:ascii="ＭＳ 明朝" w:eastAsia="ＭＳ 明朝" w:hAnsi="ＭＳ 明朝" w:cs="ＭＳ 明朝" w:hint="eastAsia"/>
          <w:lang w:eastAsia="ja-JP"/>
        </w:rPr>
        <w:t>ます</w:t>
      </w:r>
      <w:r w:rsidR="009A0E4A">
        <w:rPr>
          <w:rFonts w:ascii="ＭＳ 明朝" w:eastAsia="ＭＳ 明朝" w:hAnsi="ＭＳ 明朝" w:cs="ＭＳ 明朝" w:hint="eastAsia"/>
          <w:lang w:eastAsia="ja-JP"/>
        </w:rPr>
        <w:t>。</w:t>
      </w:r>
      <w:r w:rsidR="00F23C61">
        <w:rPr>
          <w:color w:val="545456"/>
          <w:w w:val="95"/>
          <w:position w:val="8"/>
          <w:sz w:val="14"/>
          <w:lang w:eastAsia="ja-JP"/>
        </w:rPr>
        <w:t>1</w:t>
      </w:r>
    </w:p>
    <w:p w14:paraId="7C3DF848" w14:textId="77777777" w:rsidR="0055291C" w:rsidRDefault="0055291C">
      <w:pPr>
        <w:pStyle w:val="a3"/>
        <w:spacing w:before="1"/>
        <w:rPr>
          <w:rFonts w:ascii="Arial"/>
          <w:b/>
          <w:i/>
          <w:lang w:eastAsia="ja-JP"/>
        </w:rPr>
      </w:pPr>
    </w:p>
    <w:p w14:paraId="706AED25" w14:textId="77777777" w:rsidR="0055291C" w:rsidRDefault="0055291C">
      <w:pPr>
        <w:rPr>
          <w:rFonts w:ascii="Arial"/>
          <w:lang w:eastAsia="ja-JP"/>
        </w:rPr>
        <w:sectPr w:rsidR="0055291C">
          <w:headerReference w:type="default" r:id="rId347"/>
          <w:pgSz w:w="12240" w:h="15840"/>
          <w:pgMar w:top="0" w:right="0" w:bottom="1040" w:left="0" w:header="0" w:footer="859" w:gutter="0"/>
          <w:cols w:space="720"/>
        </w:sectPr>
      </w:pPr>
    </w:p>
    <w:p w14:paraId="28377845" w14:textId="6CB83AE4" w:rsidR="00D01615" w:rsidRDefault="00D01615" w:rsidP="007C0713">
      <w:pPr>
        <w:pStyle w:val="a3"/>
        <w:spacing w:before="141" w:line="276" w:lineRule="auto"/>
        <w:ind w:left="1133" w:firstLineChars="100" w:firstLine="190"/>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ライフサイクルに生物由来材料（生物が生産した、または生物学的プロセスから作られたものであり、化石起源ではないもの）が含まれる調査対象製品の場合、</w:t>
      </w:r>
      <w:r>
        <w:rPr>
          <w:lang w:eastAsia="ja-JP"/>
        </w:rPr>
        <w:t xml:space="preserve"> </w:t>
      </w:r>
      <w:r>
        <w:rPr>
          <w:rFonts w:ascii="ＭＳ ゴシック" w:eastAsia="ＭＳ ゴシック" w:hAnsi="ＭＳ ゴシック" w:cs="ＭＳ ゴシック" w:hint="eastAsia"/>
          <w:lang w:eastAsia="ja-JP"/>
        </w:rPr>
        <w:t>これらの物質に関連する帰属プロセスには、生育、施肥</w:t>
      </w:r>
      <w:r>
        <w:rPr>
          <w:lang w:eastAsia="ja-JP"/>
        </w:rPr>
        <w:t xml:space="preserve"> </w:t>
      </w:r>
      <w:r>
        <w:rPr>
          <w:rFonts w:ascii="ＭＳ ゴシック" w:eastAsia="ＭＳ ゴシック" w:hAnsi="ＭＳ ゴシック" w:cs="ＭＳ ゴシック" w:hint="eastAsia"/>
          <w:lang w:eastAsia="ja-JP"/>
        </w:rPr>
        <w:t>、栽培、収穫などの農業および林業活動に関連する排出と除去が含まれます。これらの農業・林業行為に加え、土地利用変化への影響は、調査対象製品の原材料の入手および前処理段階に起因する可能性があります。</w:t>
      </w:r>
    </w:p>
    <w:p w14:paraId="2E35FF0A" w14:textId="71714E81" w:rsidR="0055291C" w:rsidRDefault="00D01615" w:rsidP="007C0713">
      <w:pPr>
        <w:pStyle w:val="a3"/>
        <w:spacing w:before="141" w:line="276" w:lineRule="auto"/>
        <w:ind w:left="1133" w:firstLineChars="100" w:firstLine="190"/>
        <w:rPr>
          <w:lang w:eastAsia="ja-JP"/>
        </w:rPr>
      </w:pPr>
      <w:r>
        <w:rPr>
          <w:lang w:eastAsia="ja-JP"/>
        </w:rPr>
        <w:t xml:space="preserve"> </w:t>
      </w:r>
      <w:r>
        <w:rPr>
          <w:rFonts w:ascii="ＭＳ ゴシック" w:eastAsia="ＭＳ ゴシック" w:hAnsi="ＭＳ ゴシック" w:cs="ＭＳ ゴシック" w:hint="eastAsia"/>
          <w:lang w:eastAsia="ja-JP"/>
        </w:rPr>
        <w:t>土地利用変化による影響</w:t>
      </w:r>
      <w:r w:rsidRPr="00D01615">
        <w:rPr>
          <w:vertAlign w:val="superscript"/>
          <w:lang w:eastAsia="ja-JP"/>
        </w:rPr>
        <w:t>2</w:t>
      </w:r>
      <w:r>
        <w:rPr>
          <w:rFonts w:ascii="ＭＳ ゴシック" w:eastAsia="ＭＳ ゴシック" w:hAnsi="ＭＳ ゴシック" w:cs="ＭＳ ゴシック" w:hint="eastAsia"/>
          <w:lang w:eastAsia="ja-JP"/>
        </w:rPr>
        <w:t>には、以下のようなものがあります。</w:t>
      </w:r>
    </w:p>
    <w:p w14:paraId="6885DE46" w14:textId="77777777" w:rsidR="0055291C" w:rsidRDefault="0055291C">
      <w:pPr>
        <w:pStyle w:val="a3"/>
        <w:rPr>
          <w:sz w:val="17"/>
          <w:lang w:eastAsia="ja-JP"/>
        </w:rPr>
      </w:pPr>
    </w:p>
    <w:p w14:paraId="4CCB317D" w14:textId="1E538C61" w:rsidR="00D01615" w:rsidRPr="00D01615" w:rsidRDefault="00D01615" w:rsidP="00D01615">
      <w:pPr>
        <w:pStyle w:val="a3"/>
        <w:numPr>
          <w:ilvl w:val="0"/>
          <w:numId w:val="96"/>
        </w:numPr>
        <w:spacing w:before="35"/>
        <w:rPr>
          <w:sz w:val="11"/>
          <w:lang w:eastAsia="ja-JP"/>
        </w:rPr>
      </w:pPr>
      <w:r>
        <w:rPr>
          <w:rFonts w:ascii="ＭＳ ゴシック" w:eastAsia="ＭＳ ゴシック" w:hAnsi="ＭＳ ゴシック" w:cs="ＭＳ ゴシック" w:hint="eastAsia"/>
          <w:lang w:eastAsia="ja-JP"/>
        </w:rPr>
        <w:t>土地利用区分内または区分間での土地転換の結果生じる炭素蓄積量の変化による生物起源</w:t>
      </w:r>
      <w:r>
        <w:rPr>
          <w:lang w:eastAsia="ja-JP"/>
        </w:rPr>
        <w:t xml:space="preserve">CO2 </w:t>
      </w:r>
      <w:r>
        <w:rPr>
          <w:rFonts w:ascii="ＭＳ ゴシック" w:eastAsia="ＭＳ ゴシック" w:hAnsi="ＭＳ ゴシック" w:cs="ＭＳ ゴシック" w:hint="eastAsia"/>
          <w:lang w:eastAsia="ja-JP"/>
        </w:rPr>
        <w:t>排出量および除去量</w:t>
      </w:r>
    </w:p>
    <w:p w14:paraId="20A27067" w14:textId="12525873" w:rsidR="0055291C" w:rsidRDefault="00000C1D" w:rsidP="00D01615">
      <w:pPr>
        <w:pStyle w:val="a3"/>
        <w:numPr>
          <w:ilvl w:val="0"/>
          <w:numId w:val="96"/>
        </w:numPr>
        <w:spacing w:before="35"/>
        <w:rPr>
          <w:sz w:val="11"/>
          <w:lang w:eastAsia="ja-JP"/>
        </w:rPr>
      </w:pPr>
      <w:r>
        <w:rPr>
          <w:rFonts w:ascii="ＭＳ ゴシック" w:eastAsia="ＭＳ ゴシック" w:hAnsi="ＭＳ ゴシック" w:cs="ＭＳ ゴシック" w:hint="eastAsia"/>
          <w:lang w:eastAsia="ja-JP"/>
        </w:rPr>
        <w:t>土地用途</w:t>
      </w:r>
      <w:r w:rsidR="00D01615">
        <w:rPr>
          <w:rFonts w:ascii="ＭＳ ゴシック" w:eastAsia="ＭＳ ゴシック" w:hAnsi="ＭＳ ゴシック" w:cs="ＭＳ ゴシック" w:hint="eastAsia"/>
          <w:lang w:eastAsia="ja-JP"/>
        </w:rPr>
        <w:t>変換</w:t>
      </w:r>
      <w:r>
        <w:rPr>
          <w:rFonts w:ascii="ＭＳ ゴシック" w:eastAsia="ＭＳ ゴシック" w:hAnsi="ＭＳ ゴシック" w:cs="ＭＳ ゴシック" w:hint="eastAsia"/>
          <w:lang w:eastAsia="ja-JP"/>
        </w:rPr>
        <w:t>の準備</w:t>
      </w:r>
      <w:r w:rsidR="00D01615">
        <w:rPr>
          <w:rFonts w:ascii="ＭＳ ゴシック" w:eastAsia="ＭＳ ゴシック" w:hAnsi="ＭＳ ゴシック" w:cs="ＭＳ ゴシック" w:hint="eastAsia"/>
          <w:lang w:eastAsia="ja-JP"/>
        </w:rPr>
        <w:t>に起因する</w:t>
      </w:r>
      <w:r>
        <w:rPr>
          <w:rFonts w:ascii="ＭＳ ゴシック" w:eastAsia="ＭＳ ゴシック" w:hAnsi="ＭＳ ゴシック" w:cs="ＭＳ ゴシック" w:hint="eastAsia"/>
          <w:lang w:eastAsia="ja-JP"/>
        </w:rPr>
        <w:t>、バイオマス焼却や石灰化などの</w:t>
      </w:r>
      <w:r w:rsidR="00D01615">
        <w:rPr>
          <w:rFonts w:ascii="ＭＳ ゴシック" w:eastAsia="ＭＳ ゴシック" w:hAnsi="ＭＳ ゴシック" w:cs="ＭＳ ゴシック" w:hint="eastAsia"/>
          <w:lang w:eastAsia="ja-JP"/>
        </w:rPr>
        <w:t>生物起源および非生物起源の</w:t>
      </w:r>
      <w:r w:rsidR="00D01615">
        <w:rPr>
          <w:lang w:eastAsia="ja-JP"/>
        </w:rPr>
        <w:t>CO</w:t>
      </w:r>
      <w:r w:rsidR="00D01615" w:rsidRPr="00000C1D">
        <w:rPr>
          <w:vertAlign w:val="subscript"/>
          <w:lang w:eastAsia="ja-JP"/>
        </w:rPr>
        <w:t>2</w:t>
      </w:r>
      <w:r w:rsidR="00D01615">
        <w:rPr>
          <w:rFonts w:ascii="ＭＳ ゴシック" w:eastAsia="ＭＳ ゴシック" w:hAnsi="ＭＳ ゴシック" w:cs="ＭＳ ゴシック" w:hint="eastAsia"/>
          <w:lang w:eastAsia="ja-JP"/>
        </w:rPr>
        <w:t>、</w:t>
      </w:r>
      <w:r w:rsidR="00D01615">
        <w:rPr>
          <w:lang w:eastAsia="ja-JP"/>
        </w:rPr>
        <w:t>N</w:t>
      </w:r>
      <w:r w:rsidR="00D01615" w:rsidRPr="00000C1D">
        <w:rPr>
          <w:vertAlign w:val="subscript"/>
          <w:lang w:eastAsia="ja-JP"/>
        </w:rPr>
        <w:t>2</w:t>
      </w:r>
      <w:r w:rsidR="00D01615">
        <w:rPr>
          <w:lang w:eastAsia="ja-JP"/>
        </w:rPr>
        <w:t>O</w:t>
      </w:r>
      <w:r w:rsidR="00D01615">
        <w:rPr>
          <w:rFonts w:ascii="ＭＳ ゴシック" w:eastAsia="ＭＳ ゴシック" w:hAnsi="ＭＳ ゴシック" w:cs="ＭＳ ゴシック" w:hint="eastAsia"/>
          <w:lang w:eastAsia="ja-JP"/>
        </w:rPr>
        <w:t>および</w:t>
      </w:r>
      <w:r w:rsidR="00D01615">
        <w:rPr>
          <w:lang w:eastAsia="ja-JP"/>
        </w:rPr>
        <w:t>CH</w:t>
      </w:r>
      <w:r w:rsidR="00D01615" w:rsidRPr="00000C1D">
        <w:rPr>
          <w:vertAlign w:val="subscript"/>
          <w:lang w:eastAsia="ja-JP"/>
        </w:rPr>
        <w:t>4</w:t>
      </w:r>
      <w:r w:rsidR="00D01615">
        <w:rPr>
          <w:rFonts w:ascii="ＭＳ ゴシック" w:eastAsia="ＭＳ ゴシック" w:hAnsi="ＭＳ ゴシック" w:cs="ＭＳ ゴシック" w:hint="eastAsia"/>
          <w:lang w:eastAsia="ja-JP"/>
        </w:rPr>
        <w:t>排出量</w:t>
      </w:r>
      <w:r w:rsidR="00F23C61">
        <w:rPr>
          <w:color w:val="545456"/>
          <w:position w:val="6"/>
          <w:sz w:val="11"/>
          <w:lang w:eastAsia="ja-JP"/>
        </w:rPr>
        <w:t>3</w:t>
      </w:r>
    </w:p>
    <w:p w14:paraId="12BED299" w14:textId="77777777" w:rsidR="0055291C" w:rsidRDefault="0055291C">
      <w:pPr>
        <w:pStyle w:val="a3"/>
        <w:spacing w:before="2"/>
        <w:rPr>
          <w:sz w:val="18"/>
          <w:lang w:eastAsia="ja-JP"/>
        </w:rPr>
      </w:pPr>
    </w:p>
    <w:p w14:paraId="3DA1ED62" w14:textId="198974CB" w:rsidR="0055291C" w:rsidRDefault="00000C1D" w:rsidP="00000C1D">
      <w:pPr>
        <w:pStyle w:val="a3"/>
        <w:spacing w:line="312" w:lineRule="auto"/>
        <w:ind w:left="1133" w:firstLineChars="100" w:firstLine="190"/>
        <w:rPr>
          <w:lang w:eastAsia="ja-JP"/>
        </w:rPr>
      </w:pPr>
      <w:r>
        <w:rPr>
          <w:rFonts w:ascii="ＭＳ ゴシック" w:eastAsia="ＭＳ ゴシック" w:hAnsi="ＭＳ ゴシック" w:cs="ＭＳ ゴシック" w:hint="eastAsia"/>
          <w:lang w:eastAsia="ja-JP"/>
        </w:rPr>
        <w:t>本付録は、製品または製品付属物の起源となる特定の土地が分かっている場合と、そうでない場合の</w:t>
      </w:r>
      <w:r>
        <w:rPr>
          <w:lang w:eastAsia="ja-JP"/>
        </w:rPr>
        <w:t>2</w:t>
      </w:r>
      <w:r>
        <w:rPr>
          <w:rFonts w:ascii="ＭＳ ゴシック" w:eastAsia="ＭＳ ゴシック" w:hAnsi="ＭＳ ゴシック" w:cs="ＭＳ ゴシック" w:hint="eastAsia"/>
          <w:lang w:eastAsia="ja-JP"/>
        </w:rPr>
        <w:t>つの状況についてガイダンスを提供します。評価期間</w:t>
      </w:r>
      <w:r>
        <w:rPr>
          <w:lang w:eastAsia="ja-JP"/>
        </w:rPr>
        <w:t xml:space="preserve"> </w:t>
      </w:r>
      <w:r>
        <w:rPr>
          <w:rFonts w:ascii="ＭＳ ゴシック" w:eastAsia="ＭＳ ゴシック" w:hAnsi="ＭＳ ゴシック" w:cs="ＭＳ ゴシック" w:hint="eastAsia"/>
          <w:lang w:eastAsia="ja-JP"/>
        </w:rPr>
        <w:t>、償却期間、影響の分布の概念は、両方の状況にわたって使用されます。</w:t>
      </w:r>
    </w:p>
    <w:p w14:paraId="4A380143" w14:textId="3A8E4F33" w:rsidR="0055291C" w:rsidRDefault="00000C1D" w:rsidP="00000C1D">
      <w:pPr>
        <w:pStyle w:val="a3"/>
        <w:spacing w:before="1" w:line="312" w:lineRule="auto"/>
        <w:ind w:left="1133" w:right="126" w:firstLineChars="100" w:firstLine="190"/>
        <w:rPr>
          <w:lang w:eastAsia="ja-JP"/>
        </w:rPr>
      </w:pPr>
      <w:r>
        <w:rPr>
          <w:rFonts w:ascii="ＭＳ ゴシック" w:eastAsia="ＭＳ ゴシック" w:hAnsi="ＭＳ ゴシック" w:cs="ＭＳ ゴシック" w:hint="eastAsia"/>
          <w:lang w:eastAsia="ja-JP"/>
        </w:rPr>
        <w:t>この付録では農産物や林産物に焦点を当てていますが、</w:t>
      </w:r>
      <w:r>
        <w:rPr>
          <w:lang w:eastAsia="ja-JP"/>
        </w:rPr>
        <w:t xml:space="preserve"> </w:t>
      </w:r>
      <w:r>
        <w:rPr>
          <w:rFonts w:ascii="ＭＳ ゴシック" w:eastAsia="ＭＳ ゴシック" w:hAnsi="ＭＳ ゴシック" w:cs="ＭＳ ゴシック" w:hint="eastAsia"/>
          <w:lang w:eastAsia="ja-JP"/>
        </w:rPr>
        <w:t>重大な土地利用変化の影響は生物起源製品に限定されないことに注意することが重要です。</w:t>
      </w:r>
      <w:r>
        <w:rPr>
          <w:lang w:eastAsia="ja-JP"/>
        </w:rPr>
        <w:t xml:space="preserve"> </w:t>
      </w:r>
      <w:r>
        <w:rPr>
          <w:rFonts w:ascii="ＭＳ ゴシック" w:eastAsia="ＭＳ ゴシック" w:hAnsi="ＭＳ ゴシック" w:cs="ＭＳ ゴシック" w:hint="eastAsia"/>
          <w:lang w:eastAsia="ja-JP"/>
        </w:rPr>
        <w:t>新規開拓地など、大量の土地を使用する調査対象製品を持つ企業は、このガイダンスを利用して、評価期間内に土地利用が変化したかどうか、それが地域の炭素蓄積に何</w:t>
      </w:r>
      <w:r w:rsidR="0058144C">
        <w:rPr>
          <w:rFonts w:ascii="ＭＳ ゴシック" w:eastAsia="ＭＳ ゴシック" w:hAnsi="ＭＳ ゴシック" w:cs="ＭＳ ゴシック" w:hint="eastAsia"/>
          <w:lang w:eastAsia="ja-JP"/>
        </w:rPr>
        <w:t>ら</w:t>
      </w:r>
      <w:r>
        <w:rPr>
          <w:rFonts w:ascii="ＭＳ ゴシック" w:eastAsia="ＭＳ ゴシック" w:hAnsi="ＭＳ ゴシック" w:cs="ＭＳ ゴシック" w:hint="eastAsia"/>
          <w:lang w:eastAsia="ja-JP"/>
        </w:rPr>
        <w:t>かの影響を与えたかどうかを判断する必要があります。</w:t>
      </w:r>
    </w:p>
    <w:p w14:paraId="6195412D" w14:textId="2B1B87BA" w:rsidR="0055291C" w:rsidRDefault="0058144C" w:rsidP="0058144C">
      <w:pPr>
        <w:pStyle w:val="a3"/>
        <w:spacing w:before="142" w:line="312" w:lineRule="auto"/>
        <w:ind w:left="1133" w:right="233" w:firstLineChars="100" w:firstLine="190"/>
        <w:rPr>
          <w:lang w:eastAsia="ja-JP"/>
        </w:rPr>
      </w:pPr>
      <w:r>
        <w:rPr>
          <w:lang w:eastAsia="ja-JP"/>
        </w:rPr>
        <w:t>7</w:t>
      </w:r>
      <w:r>
        <w:rPr>
          <w:rFonts w:ascii="ＭＳ ゴシック" w:eastAsia="ＭＳ ゴシック" w:hAnsi="ＭＳ ゴシック" w:cs="ＭＳ ゴシック" w:hint="eastAsia"/>
          <w:lang w:eastAsia="ja-JP"/>
        </w:rPr>
        <w:t>章で言及したように、企業は報告書において、土地利用変化による影響の算出方法を開示することが求められています。</w:t>
      </w:r>
    </w:p>
    <w:p w14:paraId="35F25362" w14:textId="79AEE72C" w:rsidR="0055291C" w:rsidRPr="0058144C" w:rsidRDefault="00F23C61">
      <w:pPr>
        <w:spacing w:before="99"/>
        <w:ind w:left="320"/>
        <w:rPr>
          <w:rFonts w:ascii="Arial"/>
          <w:b/>
          <w:sz w:val="20"/>
          <w:szCs w:val="20"/>
          <w:lang w:eastAsia="ja-JP"/>
        </w:rPr>
      </w:pPr>
      <w:r>
        <w:rPr>
          <w:lang w:eastAsia="ja-JP"/>
        </w:rPr>
        <w:br w:type="column"/>
      </w:r>
      <w:r w:rsidRPr="0058144C">
        <w:rPr>
          <w:rFonts w:ascii="Arial"/>
          <w:b/>
          <w:color w:val="00ACA1"/>
          <w:w w:val="95"/>
          <w:sz w:val="20"/>
          <w:szCs w:val="20"/>
          <w:lang w:eastAsia="ja-JP"/>
        </w:rPr>
        <w:t>Box</w:t>
      </w:r>
      <w:r w:rsidRPr="0058144C">
        <w:rPr>
          <w:rFonts w:ascii="Arial"/>
          <w:b/>
          <w:color w:val="00ACA1"/>
          <w:spacing w:val="-4"/>
          <w:w w:val="95"/>
          <w:sz w:val="20"/>
          <w:szCs w:val="20"/>
          <w:lang w:eastAsia="ja-JP"/>
        </w:rPr>
        <w:t xml:space="preserve"> </w:t>
      </w:r>
      <w:r w:rsidRPr="0058144C">
        <w:rPr>
          <w:rFonts w:ascii="Arial"/>
          <w:b/>
          <w:color w:val="00ACA1"/>
          <w:w w:val="95"/>
          <w:sz w:val="20"/>
          <w:szCs w:val="20"/>
          <w:lang w:eastAsia="ja-JP"/>
        </w:rPr>
        <w:t>[B.1]</w:t>
      </w:r>
      <w:r w:rsidRPr="0058144C">
        <w:rPr>
          <w:rFonts w:ascii="Arial"/>
          <w:b/>
          <w:color w:val="00ACA1"/>
          <w:spacing w:val="-4"/>
          <w:w w:val="95"/>
          <w:sz w:val="20"/>
          <w:szCs w:val="20"/>
          <w:lang w:eastAsia="ja-JP"/>
        </w:rPr>
        <w:t xml:space="preserve"> </w:t>
      </w:r>
      <w:r w:rsidR="0058144C" w:rsidRPr="0058144C">
        <w:rPr>
          <w:rFonts w:ascii="ＭＳ ゴシック" w:eastAsia="ＭＳ ゴシック" w:hAnsi="ＭＳ ゴシック" w:cs="ＭＳ ゴシック" w:hint="eastAsia"/>
          <w:b/>
          <w:bCs/>
          <w:sz w:val="20"/>
          <w:szCs w:val="20"/>
          <w:lang w:eastAsia="ja-JP"/>
        </w:rPr>
        <w:t>土地利用影響における重要な概念</w:t>
      </w:r>
    </w:p>
    <w:p w14:paraId="2C75AFFE" w14:textId="77777777" w:rsidR="0055291C" w:rsidRDefault="00000000">
      <w:pPr>
        <w:pStyle w:val="a3"/>
        <w:spacing w:before="1"/>
        <w:rPr>
          <w:rFonts w:ascii="Arial"/>
          <w:b/>
          <w:sz w:val="15"/>
          <w:lang w:eastAsia="ja-JP"/>
        </w:rPr>
      </w:pPr>
      <w:r>
        <w:pict w14:anchorId="4CEEEF0B">
          <v:group id="docshapegroup1538" o:spid="_x0000_s2317" style="position:absolute;margin-left:313.1pt;margin-top:9.9pt;width:241.1pt;height:419.55pt;z-index:-251464192;mso-wrap-distance-left:0;mso-wrap-distance-right:0;mso-position-horizontal-relative:page" coordorigin="6262,198" coordsize="4822,7969">
            <v:shape id="docshape1539" o:spid="_x0000_s2319" style="position:absolute;left:6261;top:198;width:4822;height:7969" coordorigin="6262,198" coordsize="4822,7969" path="m10857,198r-4368,l6357,202r-67,25l6265,294r-3,131l6262,7940r3,131l6290,8139r67,24l6489,8167r4368,l10988,8163r67,-24l11080,8071r3,-131l11083,425r-3,-131l11055,227r-67,-25l10857,198xe" fillcolor="#e4f3f1" stroked="f">
              <v:path arrowok="t"/>
            </v:shape>
            <v:shape id="docshape1540" o:spid="_x0000_s2318" type="#_x0000_t202" style="position:absolute;left:6261;top:198;width:4822;height:7969" filled="f" stroked="f">
              <v:textbox inset="0,0,0,0">
                <w:txbxContent>
                  <w:p w14:paraId="01A02273" w14:textId="77777777" w:rsidR="0055291C" w:rsidRDefault="0055291C" w:rsidP="007C0713">
                    <w:pPr>
                      <w:spacing w:before="3"/>
                      <w:ind w:rightChars="64" w:right="141"/>
                      <w:rPr>
                        <w:rFonts w:ascii="Arial"/>
                        <w:b/>
                        <w:sz w:val="25"/>
                      </w:rPr>
                    </w:pPr>
                  </w:p>
                  <w:p w14:paraId="424E0AEB" w14:textId="3FB39370" w:rsidR="0055291C" w:rsidRPr="007C0713" w:rsidRDefault="0058144C" w:rsidP="007C0713">
                    <w:pPr>
                      <w:spacing w:before="4" w:line="328" w:lineRule="auto"/>
                      <w:ind w:left="218" w:rightChars="64" w:right="141" w:firstLineChars="100" w:firstLine="191"/>
                      <w:rPr>
                        <w:rFonts w:ascii="ＭＳ ゴシック" w:eastAsia="ＭＳ ゴシック" w:hAnsi="ＭＳ ゴシック"/>
                        <w:sz w:val="19"/>
                        <w:szCs w:val="19"/>
                        <w:lang w:eastAsia="ja-JP"/>
                      </w:rPr>
                    </w:pPr>
                    <w:r w:rsidRPr="007C0713">
                      <w:rPr>
                        <w:rFonts w:ascii="ＭＳ ゴシック" w:eastAsia="ＭＳ ゴシック" w:hAnsi="ＭＳ ゴシック" w:cs="ＭＳ ゴシック" w:hint="eastAsia"/>
                        <w:b/>
                        <w:bCs/>
                        <w:sz w:val="19"/>
                        <w:szCs w:val="19"/>
                        <w:lang w:eastAsia="ja-JP"/>
                      </w:rPr>
                      <w:t>炭素蓄積量</w:t>
                    </w:r>
                    <w:r w:rsidRPr="007C0713">
                      <w:rPr>
                        <w:rFonts w:ascii="ＭＳ ゴシック" w:eastAsia="ＭＳ ゴシック" w:hAnsi="ＭＳ ゴシック" w:cs="ＭＳ ゴシック" w:hint="eastAsia"/>
                        <w:sz w:val="19"/>
                        <w:szCs w:val="19"/>
                        <w:lang w:eastAsia="ja-JP"/>
                      </w:rPr>
                      <w:t>とは、ある土地において、バイオマス（地上・地下）、枯死有機物（枯れ木やゴミ）、土壌有機物のいずれか</w:t>
                    </w:r>
                    <w:r w:rsidRPr="007C0713">
                      <w:rPr>
                        <w:rFonts w:ascii="ＭＳ ゴシック" w:eastAsia="ＭＳ ゴシック" w:hAnsi="ＭＳ ゴシック"/>
                        <w:sz w:val="19"/>
                        <w:szCs w:val="19"/>
                        <w:lang w:eastAsia="ja-JP"/>
                      </w:rPr>
                      <w:t>1</w:t>
                    </w:r>
                    <w:r w:rsidRPr="007C0713">
                      <w:rPr>
                        <w:rFonts w:ascii="ＭＳ ゴシック" w:eastAsia="ＭＳ ゴシック" w:hAnsi="ＭＳ ゴシック" w:cs="ＭＳ ゴシック" w:hint="eastAsia"/>
                        <w:sz w:val="19"/>
                        <w:szCs w:val="19"/>
                        <w:lang w:eastAsia="ja-JP"/>
                      </w:rPr>
                      <w:t>つ以上に蓄積されている炭素の総量のことです</w:t>
                    </w:r>
                    <w:r w:rsidRPr="007C0713">
                      <w:rPr>
                        <w:rFonts w:ascii="ＭＳ ゴシック" w:eastAsia="ＭＳ ゴシック" w:hAnsi="ＭＳ ゴシック"/>
                        <w:sz w:val="19"/>
                        <w:szCs w:val="19"/>
                        <w:vertAlign w:val="superscript"/>
                        <w:lang w:eastAsia="ja-JP"/>
                      </w:rPr>
                      <w:t>4</w:t>
                    </w:r>
                    <w:r w:rsidRPr="007C0713">
                      <w:rPr>
                        <w:rFonts w:ascii="ＭＳ ゴシック" w:eastAsia="ＭＳ ゴシック" w:hAnsi="ＭＳ ゴシック" w:cs="ＭＳ ゴシック" w:hint="eastAsia"/>
                        <w:sz w:val="19"/>
                        <w:szCs w:val="19"/>
                        <w:lang w:eastAsia="ja-JP"/>
                      </w:rPr>
                      <w:t>。炭素蓄積量の変化とは、</w:t>
                    </w:r>
                    <w:r w:rsidR="00827958" w:rsidRPr="007C0713">
                      <w:rPr>
                        <w:rFonts w:ascii="ＭＳ ゴシック" w:eastAsia="ＭＳ ゴシック" w:hAnsi="ＭＳ ゴシック" w:cs="ＭＳ ゴシック" w:hint="eastAsia"/>
                        <w:sz w:val="19"/>
                        <w:szCs w:val="19"/>
                        <w:lang w:eastAsia="ja-JP"/>
                      </w:rPr>
                      <w:t>追加的な</w:t>
                    </w:r>
                    <w:r w:rsidRPr="007C0713">
                      <w:rPr>
                        <w:rFonts w:ascii="ＭＳ ゴシック" w:eastAsia="ＭＳ ゴシック" w:hAnsi="ＭＳ ゴシック" w:cs="ＭＳ ゴシック" w:hint="eastAsia"/>
                        <w:sz w:val="19"/>
                        <w:szCs w:val="19"/>
                        <w:lang w:eastAsia="ja-JP"/>
                      </w:rPr>
                      <w:t>プール、大気から炭素ストックへの</w:t>
                    </w:r>
                    <w:r w:rsidRPr="007C0713">
                      <w:rPr>
                        <w:rFonts w:ascii="ＭＳ ゴシック" w:eastAsia="ＭＳ ゴシック" w:hAnsi="ＭＳ ゴシック"/>
                        <w:sz w:val="19"/>
                        <w:szCs w:val="19"/>
                        <w:lang w:eastAsia="ja-JP"/>
                      </w:rPr>
                      <w:t xml:space="preserve"> CO</w:t>
                    </w:r>
                    <w:r w:rsidRPr="007C0713">
                      <w:rPr>
                        <w:rFonts w:ascii="ＭＳ ゴシック" w:eastAsia="ＭＳ ゴシック" w:hAnsi="ＭＳ ゴシック"/>
                        <w:sz w:val="19"/>
                        <w:szCs w:val="19"/>
                        <w:vertAlign w:val="subscript"/>
                        <w:lang w:eastAsia="ja-JP"/>
                      </w:rPr>
                      <w:t>2</w:t>
                    </w:r>
                    <w:r w:rsidRPr="007C0713">
                      <w:rPr>
                        <w:rFonts w:ascii="ＭＳ ゴシック" w:eastAsia="ＭＳ ゴシック" w:hAnsi="ＭＳ ゴシック"/>
                        <w:sz w:val="19"/>
                        <w:szCs w:val="19"/>
                        <w:lang w:eastAsia="ja-JP"/>
                      </w:rPr>
                      <w:t xml:space="preserve"> </w:t>
                    </w:r>
                    <w:r w:rsidRPr="007C0713">
                      <w:rPr>
                        <w:rFonts w:ascii="ＭＳ ゴシック" w:eastAsia="ＭＳ ゴシック" w:hAnsi="ＭＳ ゴシック" w:cs="ＭＳ ゴシック" w:hint="eastAsia"/>
                        <w:sz w:val="19"/>
                        <w:szCs w:val="19"/>
                        <w:lang w:eastAsia="ja-JP"/>
                      </w:rPr>
                      <w:t>の除去</w:t>
                    </w:r>
                    <w:r w:rsidRPr="007C0713">
                      <w:rPr>
                        <w:rFonts w:ascii="ＭＳ ゴシック" w:eastAsia="ＭＳ ゴシック" w:hAnsi="ＭＳ ゴシック"/>
                        <w:sz w:val="19"/>
                        <w:szCs w:val="19"/>
                        <w:lang w:eastAsia="ja-JP"/>
                      </w:rPr>
                      <w:t xml:space="preserve"> </w:t>
                    </w:r>
                    <w:r w:rsidRPr="007C0713">
                      <w:rPr>
                        <w:rFonts w:ascii="ＭＳ ゴシック" w:eastAsia="ＭＳ ゴシック" w:hAnsi="ＭＳ ゴシック" w:cs="ＭＳ ゴシック" w:hint="eastAsia"/>
                        <w:sz w:val="19"/>
                        <w:szCs w:val="19"/>
                        <w:lang w:eastAsia="ja-JP"/>
                      </w:rPr>
                      <w:t>、または炭素ストックから大気への</w:t>
                    </w:r>
                    <w:r w:rsidRPr="007C0713">
                      <w:rPr>
                        <w:rFonts w:ascii="ＭＳ ゴシック" w:eastAsia="ＭＳ ゴシック" w:hAnsi="ＭＳ ゴシック"/>
                        <w:sz w:val="19"/>
                        <w:szCs w:val="19"/>
                        <w:lang w:eastAsia="ja-JP"/>
                      </w:rPr>
                      <w:t xml:space="preserve"> CO</w:t>
                    </w:r>
                    <w:r w:rsidRPr="007C0713">
                      <w:rPr>
                        <w:rFonts w:ascii="ＭＳ ゴシック" w:eastAsia="ＭＳ ゴシック" w:hAnsi="ＭＳ ゴシック"/>
                        <w:sz w:val="19"/>
                        <w:szCs w:val="19"/>
                        <w:vertAlign w:val="subscript"/>
                        <w:lang w:eastAsia="ja-JP"/>
                      </w:rPr>
                      <w:t>2</w:t>
                    </w:r>
                    <w:r w:rsidRPr="007C0713">
                      <w:rPr>
                        <w:rFonts w:ascii="ＭＳ ゴシック" w:eastAsia="ＭＳ ゴシック" w:hAnsi="ＭＳ ゴシック"/>
                        <w:sz w:val="19"/>
                        <w:szCs w:val="19"/>
                        <w:lang w:eastAsia="ja-JP"/>
                      </w:rPr>
                      <w:t xml:space="preserve"> </w:t>
                    </w:r>
                    <w:r w:rsidRPr="007C0713">
                      <w:rPr>
                        <w:rFonts w:ascii="ＭＳ ゴシック" w:eastAsia="ＭＳ ゴシック" w:hAnsi="ＭＳ ゴシック" w:cs="ＭＳ ゴシック" w:hint="eastAsia"/>
                        <w:sz w:val="19"/>
                        <w:szCs w:val="19"/>
                        <w:lang w:eastAsia="ja-JP"/>
                      </w:rPr>
                      <w:t>の放出</w:t>
                    </w:r>
                    <w:r w:rsidR="00827958" w:rsidRPr="007C0713">
                      <w:rPr>
                        <w:rFonts w:ascii="ＭＳ ゴシック" w:eastAsia="ＭＳ ゴシック" w:hAnsi="ＭＳ ゴシック" w:cs="ＭＳ ゴシック" w:hint="eastAsia"/>
                        <w:sz w:val="19"/>
                        <w:szCs w:val="19"/>
                        <w:lang w:eastAsia="ja-JP"/>
                      </w:rPr>
                      <w:t>のような炭素蓄積量の増加のことを指します。</w:t>
                    </w:r>
                  </w:p>
                  <w:p w14:paraId="4705B6A8" w14:textId="0A044A3E" w:rsidR="0055291C" w:rsidRPr="007C0713" w:rsidRDefault="00827958" w:rsidP="007C0713">
                    <w:pPr>
                      <w:spacing w:before="140" w:line="328" w:lineRule="auto"/>
                      <w:ind w:left="218" w:rightChars="64" w:right="141" w:firstLineChars="100" w:firstLine="191"/>
                      <w:rPr>
                        <w:rFonts w:ascii="ＭＳ ゴシック" w:eastAsia="ＭＳ ゴシック" w:hAnsi="ＭＳ ゴシック"/>
                        <w:sz w:val="19"/>
                        <w:szCs w:val="19"/>
                        <w:lang w:eastAsia="ja-JP"/>
                      </w:rPr>
                    </w:pPr>
                    <w:r w:rsidRPr="007C0713">
                      <w:rPr>
                        <w:rFonts w:ascii="ＭＳ ゴシック" w:eastAsia="ＭＳ ゴシック" w:hAnsi="ＭＳ ゴシック" w:cs="ＭＳ ゴシック" w:hint="eastAsia"/>
                        <w:b/>
                        <w:bCs/>
                        <w:sz w:val="19"/>
                        <w:szCs w:val="19"/>
                        <w:lang w:eastAsia="ja-JP"/>
                      </w:rPr>
                      <w:t>土地利用の変化</w:t>
                    </w:r>
                    <w:r w:rsidRPr="007C0713">
                      <w:rPr>
                        <w:rFonts w:ascii="ＭＳ ゴシック" w:eastAsia="ＭＳ ゴシック" w:hAnsi="ＭＳ ゴシック" w:cs="ＭＳ ゴシック" w:hint="eastAsia"/>
                        <w:sz w:val="19"/>
                        <w:szCs w:val="19"/>
                        <w:lang w:eastAsia="ja-JP"/>
                      </w:rPr>
                      <w:t>は、特定の土地利用に対する需要が</w:t>
                    </w:r>
                    <w:r w:rsidRPr="007C0713">
                      <w:rPr>
                        <w:rFonts w:ascii="ＭＳ ゴシック" w:eastAsia="ＭＳ ゴシック" w:hAnsi="ＭＳ ゴシック"/>
                        <w:sz w:val="19"/>
                        <w:szCs w:val="19"/>
                        <w:lang w:eastAsia="ja-JP"/>
                      </w:rPr>
                      <w:t xml:space="preserve"> </w:t>
                    </w:r>
                    <w:r w:rsidRPr="007C0713">
                      <w:rPr>
                        <w:rFonts w:ascii="ＭＳ ゴシック" w:eastAsia="ＭＳ ゴシック" w:hAnsi="ＭＳ ゴシック" w:cs="ＭＳ ゴシック" w:hint="eastAsia"/>
                        <w:sz w:val="19"/>
                        <w:szCs w:val="19"/>
                        <w:lang w:eastAsia="ja-JP"/>
                      </w:rPr>
                      <w:t>、その土地の炭素蓄積量に変化をもたらす場合に起こります。炭素蓄積量の変化は、ある土地利用区分から別の土地利用区分へ（例：森林から農地への転換）</w:t>
                    </w:r>
                    <w:r w:rsidRPr="007C0713">
                      <w:rPr>
                        <w:rFonts w:ascii="ＭＳ ゴシック" w:eastAsia="ＭＳ ゴシック" w:hAnsi="ＭＳ ゴシック"/>
                        <w:sz w:val="19"/>
                        <w:szCs w:val="19"/>
                        <w:lang w:eastAsia="ja-JP"/>
                      </w:rPr>
                      <w:t xml:space="preserve"> </w:t>
                    </w:r>
                    <w:r w:rsidRPr="007C0713">
                      <w:rPr>
                        <w:rFonts w:ascii="ＭＳ ゴシック" w:eastAsia="ＭＳ ゴシック" w:hAnsi="ＭＳ ゴシック" w:cs="ＭＳ ゴシック" w:hint="eastAsia"/>
                        <w:sz w:val="19"/>
                        <w:szCs w:val="19"/>
                        <w:lang w:eastAsia="ja-JP"/>
                      </w:rPr>
                      <w:t>、あるいはある土地利用区分内で（例：自然林から管理林への転換、農地から</w:t>
                    </w:r>
                    <w:r w:rsidR="007C0713" w:rsidRPr="007C0713">
                      <w:rPr>
                        <w:rFonts w:ascii="ＭＳ ゴシック" w:eastAsia="ＭＳ ゴシック" w:hAnsi="ＭＳ ゴシック" w:cs="ＭＳ ゴシック" w:hint="eastAsia"/>
                        <w:sz w:val="19"/>
                        <w:szCs w:val="19"/>
                        <w:lang w:eastAsia="ja-JP"/>
                      </w:rPr>
                      <w:t>休耕地</w:t>
                    </w:r>
                    <w:r w:rsidRPr="007C0713">
                      <w:rPr>
                        <w:rFonts w:ascii="ＭＳ ゴシック" w:eastAsia="ＭＳ ゴシック" w:hAnsi="ＭＳ ゴシック" w:cs="ＭＳ ゴシック" w:hint="eastAsia"/>
                        <w:sz w:val="19"/>
                        <w:szCs w:val="19"/>
                        <w:lang w:eastAsia="ja-JP"/>
                      </w:rPr>
                      <w:t>への転換）起こりうるもので</w:t>
                    </w:r>
                    <w:r w:rsidR="007C0713" w:rsidRPr="007C0713">
                      <w:rPr>
                        <w:rFonts w:ascii="ＭＳ ゴシック" w:eastAsia="ＭＳ ゴシック" w:hAnsi="ＭＳ ゴシック" w:cs="ＭＳ ゴシック" w:hint="eastAsia"/>
                        <w:sz w:val="19"/>
                        <w:szCs w:val="19"/>
                        <w:lang w:eastAsia="ja-JP"/>
                      </w:rPr>
                      <w:t>す</w:t>
                    </w:r>
                    <w:r w:rsidRPr="007C0713">
                      <w:rPr>
                        <w:rFonts w:ascii="ＭＳ ゴシック" w:eastAsia="ＭＳ ゴシック" w:hAnsi="ＭＳ ゴシック" w:cs="ＭＳ ゴシック" w:hint="eastAsia"/>
                        <w:sz w:val="19"/>
                        <w:szCs w:val="19"/>
                        <w:lang w:eastAsia="ja-JP"/>
                      </w:rPr>
                      <w:t>。土地利用区分の変更には、作付面積や輪作</w:t>
                    </w:r>
                    <w:r w:rsidR="007C0713" w:rsidRPr="007C0713">
                      <w:rPr>
                        <w:rFonts w:ascii="ＭＳ ゴシック" w:eastAsia="ＭＳ ゴシック" w:hAnsi="ＭＳ ゴシック" w:cs="ＭＳ ゴシック" w:hint="eastAsia"/>
                        <w:sz w:val="19"/>
                        <w:szCs w:val="19"/>
                        <w:lang w:eastAsia="ja-JP"/>
                      </w:rPr>
                      <w:t>種類</w:t>
                    </w:r>
                    <w:r w:rsidRPr="007C0713">
                      <w:rPr>
                        <w:rFonts w:ascii="ＭＳ ゴシック" w:eastAsia="ＭＳ ゴシック" w:hAnsi="ＭＳ ゴシック" w:cs="ＭＳ ゴシック" w:hint="eastAsia"/>
                        <w:sz w:val="19"/>
                        <w:szCs w:val="19"/>
                        <w:lang w:eastAsia="ja-JP"/>
                      </w:rPr>
                      <w:t>の変更、森林の伐採と同じ種類の森林への再生（再生した森林が伐採した森林と同等の炭素蓄積量を持つと予想されるもの）は含まれ</w:t>
                    </w:r>
                    <w:r w:rsidR="007C0713" w:rsidRPr="007C0713">
                      <w:rPr>
                        <w:rFonts w:ascii="ＭＳ ゴシック" w:eastAsia="ＭＳ ゴシック" w:hAnsi="ＭＳ ゴシック" w:cs="ＭＳ ゴシック" w:hint="eastAsia"/>
                        <w:sz w:val="19"/>
                        <w:szCs w:val="19"/>
                        <w:lang w:eastAsia="ja-JP"/>
                      </w:rPr>
                      <w:t>ません</w:t>
                    </w:r>
                    <w:r w:rsidRPr="007C0713">
                      <w:rPr>
                        <w:rFonts w:ascii="ＭＳ ゴシック" w:eastAsia="ＭＳ ゴシック" w:hAnsi="ＭＳ ゴシック" w:cs="ＭＳ ゴシック" w:hint="eastAsia"/>
                        <w:sz w:val="19"/>
                        <w:szCs w:val="19"/>
                        <w:lang w:eastAsia="ja-JP"/>
                      </w:rPr>
                      <w:t>。</w:t>
                    </w:r>
                    <w:r w:rsidRPr="007C0713">
                      <w:rPr>
                        <w:rFonts w:ascii="ＭＳ ゴシック" w:eastAsia="ＭＳ ゴシック" w:hAnsi="ＭＳ ゴシック"/>
                        <w:sz w:val="19"/>
                        <w:szCs w:val="19"/>
                        <w:lang w:eastAsia="ja-JP"/>
                      </w:rPr>
                      <w:t xml:space="preserve"> </w:t>
                    </w:r>
                    <w:r w:rsidRPr="007C0713">
                      <w:rPr>
                        <w:rFonts w:ascii="ＭＳ ゴシック" w:eastAsia="ＭＳ ゴシック" w:hAnsi="ＭＳ ゴシック" w:cs="ＭＳ ゴシック" w:hint="eastAsia"/>
                        <w:sz w:val="19"/>
                        <w:szCs w:val="19"/>
                        <w:lang w:eastAsia="ja-JP"/>
                      </w:rPr>
                      <w:t>土地利用区分には、林地、農地、草地、湿地、集落</w:t>
                    </w:r>
                    <w:r w:rsidRPr="007C0713">
                      <w:rPr>
                        <w:rFonts w:ascii="ＭＳ ゴシック" w:eastAsia="ＭＳ ゴシック" w:hAnsi="ＭＳ ゴシック"/>
                        <w:sz w:val="19"/>
                        <w:szCs w:val="19"/>
                        <w:lang w:eastAsia="ja-JP"/>
                      </w:rPr>
                      <w:t xml:space="preserve"> </w:t>
                    </w:r>
                    <w:r w:rsidRPr="007C0713">
                      <w:rPr>
                        <w:rFonts w:ascii="ＭＳ ゴシック" w:eastAsia="ＭＳ ゴシック" w:hAnsi="ＭＳ ゴシック" w:cs="ＭＳ ゴシック" w:hint="eastAsia"/>
                        <w:sz w:val="19"/>
                        <w:szCs w:val="19"/>
                        <w:lang w:eastAsia="ja-JP"/>
                      </w:rPr>
                      <w:t>、その他（裸地、岩石、氷など）が含まれ</w:t>
                    </w:r>
                    <w:r w:rsidR="007C0713" w:rsidRPr="007C0713">
                      <w:rPr>
                        <w:rFonts w:ascii="ＭＳ ゴシック" w:eastAsia="ＭＳ ゴシック" w:hAnsi="ＭＳ ゴシック" w:cs="ＭＳ ゴシック" w:hint="eastAsia"/>
                        <w:sz w:val="19"/>
                        <w:szCs w:val="19"/>
                        <w:lang w:eastAsia="ja-JP"/>
                      </w:rPr>
                      <w:t>ます</w:t>
                    </w:r>
                    <w:r w:rsidRPr="007C0713">
                      <w:rPr>
                        <w:rFonts w:ascii="ＭＳ ゴシック" w:eastAsia="ＭＳ ゴシック" w:hAnsi="ＭＳ ゴシック" w:cs="ＭＳ ゴシック" w:hint="eastAsia"/>
                        <w:sz w:val="19"/>
                        <w:szCs w:val="19"/>
                        <w:lang w:eastAsia="ja-JP"/>
                      </w:rPr>
                      <w:t>。</w:t>
                    </w:r>
                    <w:r w:rsidRPr="007C0713">
                      <w:rPr>
                        <w:rFonts w:ascii="ＭＳ ゴシック" w:eastAsia="ＭＳ ゴシック" w:hAnsi="ＭＳ ゴシック" w:cs="ＭＳ ゴシック" w:hint="eastAsia"/>
                        <w:color w:val="545456"/>
                        <w:position w:val="6"/>
                        <w:sz w:val="19"/>
                        <w:szCs w:val="19"/>
                        <w:vertAlign w:val="superscript"/>
                        <w:lang w:eastAsia="ja-JP"/>
                      </w:rPr>
                      <w:t>5</w:t>
                    </w:r>
                  </w:p>
                  <w:p w14:paraId="413D2A57" w14:textId="2BFD5F86" w:rsidR="0055291C" w:rsidRPr="007C0713" w:rsidRDefault="007C0713" w:rsidP="007C0713">
                    <w:pPr>
                      <w:spacing w:before="149" w:line="328" w:lineRule="auto"/>
                      <w:ind w:left="218" w:rightChars="64" w:right="141" w:firstLineChars="100" w:firstLine="180"/>
                      <w:rPr>
                        <w:rFonts w:ascii="ＭＳ ゴシック" w:eastAsia="ＭＳ ゴシック" w:hAnsi="ＭＳ ゴシック"/>
                        <w:bCs/>
                        <w:sz w:val="19"/>
                        <w:szCs w:val="19"/>
                        <w:lang w:eastAsia="ja-JP"/>
                      </w:rPr>
                    </w:pPr>
                    <w:r w:rsidRPr="007C0713">
                      <w:rPr>
                        <w:rFonts w:ascii="ＭＳ ゴシック" w:eastAsia="ＭＳ ゴシック" w:hAnsi="ＭＳ ゴシック" w:cs="ＭＳ ゴシック" w:hint="eastAsia"/>
                        <w:b/>
                        <w:color w:val="545456"/>
                        <w:w w:val="95"/>
                        <w:sz w:val="19"/>
                        <w:szCs w:val="19"/>
                        <w:lang w:eastAsia="ja-JP"/>
                      </w:rPr>
                      <w:t>土地利用変化による影響</w:t>
                    </w:r>
                    <w:r w:rsidRPr="007C0713">
                      <w:rPr>
                        <w:rFonts w:ascii="ＭＳ ゴシック" w:eastAsia="ＭＳ ゴシック" w:hAnsi="ＭＳ ゴシック" w:cs="ＭＳ ゴシック" w:hint="eastAsia"/>
                        <w:bCs/>
                        <w:color w:val="545456"/>
                        <w:w w:val="95"/>
                        <w:sz w:val="19"/>
                        <w:szCs w:val="19"/>
                        <w:lang w:eastAsia="ja-JP"/>
                      </w:rPr>
                      <w:t>とは、土地利用変化による排出量と除去量のことです。</w:t>
                    </w:r>
                  </w:p>
                </w:txbxContent>
              </v:textbox>
            </v:shape>
            <w10:wrap type="topAndBottom" anchorx="page"/>
          </v:group>
        </w:pict>
      </w:r>
    </w:p>
    <w:p w14:paraId="39ED7180" w14:textId="77777777" w:rsidR="0055291C" w:rsidRDefault="0055291C">
      <w:pPr>
        <w:rPr>
          <w:rFonts w:ascii="Arial"/>
          <w:sz w:val="15"/>
          <w:lang w:eastAsia="ja-JP"/>
        </w:rPr>
        <w:sectPr w:rsidR="0055291C">
          <w:type w:val="continuous"/>
          <w:pgSz w:w="12240" w:h="15840"/>
          <w:pgMar w:top="740" w:right="0" w:bottom="280" w:left="0" w:header="0" w:footer="859" w:gutter="0"/>
          <w:cols w:num="2" w:space="720" w:equalWidth="0">
            <w:col w:w="5920" w:space="40"/>
            <w:col w:w="6280"/>
          </w:cols>
        </w:sectPr>
      </w:pPr>
    </w:p>
    <w:p w14:paraId="65280740" w14:textId="77777777" w:rsidR="0055291C" w:rsidRDefault="0055291C">
      <w:pPr>
        <w:pStyle w:val="a3"/>
        <w:rPr>
          <w:rFonts w:ascii="Arial"/>
          <w:b/>
          <w:sz w:val="20"/>
          <w:lang w:eastAsia="ja-JP"/>
        </w:rPr>
      </w:pPr>
    </w:p>
    <w:p w14:paraId="4BAB1497" w14:textId="77777777" w:rsidR="0055291C" w:rsidRDefault="0055291C">
      <w:pPr>
        <w:pStyle w:val="a3"/>
        <w:rPr>
          <w:rFonts w:ascii="Arial"/>
          <w:b/>
          <w:sz w:val="20"/>
          <w:lang w:eastAsia="ja-JP"/>
        </w:rPr>
      </w:pPr>
    </w:p>
    <w:p w14:paraId="7D41C5BC" w14:textId="77777777" w:rsidR="0055291C" w:rsidRDefault="0055291C">
      <w:pPr>
        <w:pStyle w:val="a3"/>
        <w:rPr>
          <w:rFonts w:ascii="Arial"/>
          <w:b/>
          <w:sz w:val="20"/>
          <w:lang w:eastAsia="ja-JP"/>
        </w:rPr>
      </w:pPr>
    </w:p>
    <w:p w14:paraId="5F4BB82D" w14:textId="77777777" w:rsidR="0055291C" w:rsidRDefault="0055291C">
      <w:pPr>
        <w:pStyle w:val="a3"/>
        <w:spacing w:before="3"/>
        <w:rPr>
          <w:rFonts w:ascii="Arial"/>
          <w:b/>
          <w:sz w:val="28"/>
          <w:lang w:eastAsia="ja-JP"/>
        </w:rPr>
      </w:pPr>
    </w:p>
    <w:p w14:paraId="76E5925A" w14:textId="77777777" w:rsidR="0055291C" w:rsidRDefault="0055291C">
      <w:pPr>
        <w:rPr>
          <w:rFonts w:ascii="Arial"/>
          <w:sz w:val="28"/>
          <w:lang w:eastAsia="ja-JP"/>
        </w:rPr>
        <w:sectPr w:rsidR="0055291C">
          <w:headerReference w:type="even" r:id="rId348"/>
          <w:headerReference w:type="default" r:id="rId349"/>
          <w:footerReference w:type="even" r:id="rId350"/>
          <w:footerReference w:type="default" r:id="rId351"/>
          <w:pgSz w:w="12240" w:h="15840"/>
          <w:pgMar w:top="620" w:right="0" w:bottom="1040" w:left="0" w:header="0" w:footer="859" w:gutter="0"/>
          <w:pgNumType w:start="118"/>
          <w:cols w:space="720"/>
        </w:sectPr>
      </w:pPr>
    </w:p>
    <w:p w14:paraId="602C7823" w14:textId="172F0163" w:rsidR="0055291C" w:rsidRDefault="007C0713" w:rsidP="00355E8C">
      <w:pPr>
        <w:pStyle w:val="3"/>
        <w:numPr>
          <w:ilvl w:val="1"/>
          <w:numId w:val="22"/>
        </w:numPr>
        <w:tabs>
          <w:tab w:val="left" w:pos="851"/>
        </w:tabs>
        <w:spacing w:before="98"/>
        <w:ind w:left="851" w:rightChars="138" w:right="304" w:hanging="142"/>
        <w:rPr>
          <w:lang w:eastAsia="ja-JP"/>
        </w:rPr>
      </w:pPr>
      <w:r>
        <w:rPr>
          <w:rFonts w:ascii="ＭＳ 明朝" w:eastAsia="ＭＳ 明朝" w:hAnsi="ＭＳ 明朝" w:cs="ＭＳ 明朝" w:hint="eastAsia"/>
          <w:color w:val="00ACA1"/>
          <w:w w:val="95"/>
          <w:lang w:eastAsia="ja-JP"/>
        </w:rPr>
        <w:t>特定の土地がわかっている場合</w:t>
      </w:r>
    </w:p>
    <w:p w14:paraId="6615342F" w14:textId="32EDD694" w:rsidR="007C0713" w:rsidRPr="007C0713" w:rsidRDefault="007C0713" w:rsidP="00355E8C">
      <w:pPr>
        <w:pStyle w:val="a5"/>
        <w:numPr>
          <w:ilvl w:val="2"/>
          <w:numId w:val="22"/>
        </w:numPr>
        <w:tabs>
          <w:tab w:val="left" w:pos="851"/>
        </w:tabs>
        <w:spacing w:before="42" w:line="309" w:lineRule="auto"/>
        <w:ind w:left="851" w:rightChars="138" w:right="304" w:hanging="142"/>
        <w:jc w:val="left"/>
        <w:rPr>
          <w:sz w:val="19"/>
          <w:lang w:eastAsia="ja-JP"/>
        </w:rPr>
      </w:pPr>
      <w:r>
        <w:rPr>
          <w:rFonts w:ascii="ＭＳ ゴシック" w:eastAsia="ＭＳ ゴシック" w:hAnsi="ＭＳ ゴシック" w:cs="ＭＳ ゴシック" w:hint="eastAsia"/>
          <w:b/>
          <w:i/>
          <w:color w:val="00B8B1"/>
          <w:spacing w:val="-1"/>
          <w:sz w:val="20"/>
          <w:lang w:eastAsia="ja-JP"/>
        </w:rPr>
        <w:t>帰属する土地利用変化の影響の判断</w:t>
      </w:r>
    </w:p>
    <w:p w14:paraId="2509B0DB" w14:textId="4CFBE4B8" w:rsidR="0055291C" w:rsidRPr="007C0713" w:rsidRDefault="007C0713" w:rsidP="00355E8C">
      <w:pPr>
        <w:pStyle w:val="a5"/>
        <w:tabs>
          <w:tab w:val="left" w:pos="851"/>
        </w:tabs>
        <w:spacing w:before="42" w:line="309" w:lineRule="auto"/>
        <w:ind w:left="851" w:rightChars="138" w:right="304" w:firstLineChars="100" w:firstLine="190"/>
        <w:rPr>
          <w:sz w:val="19"/>
          <w:szCs w:val="19"/>
          <w:lang w:eastAsia="ja-JP"/>
        </w:rPr>
      </w:pPr>
      <w:r w:rsidRPr="007C0713">
        <w:rPr>
          <w:rFonts w:ascii="ＭＳ ゴシック" w:eastAsia="ＭＳ ゴシック" w:hAnsi="ＭＳ ゴシック" w:cs="ＭＳ ゴシック" w:hint="eastAsia"/>
          <w:sz w:val="19"/>
          <w:szCs w:val="19"/>
          <w:lang w:eastAsia="ja-JP"/>
        </w:rPr>
        <w:t>土地利用</w:t>
      </w:r>
      <w:r>
        <w:rPr>
          <w:rFonts w:ascii="ＭＳ ゴシック" w:eastAsia="ＭＳ ゴシック" w:hAnsi="ＭＳ ゴシック" w:cs="ＭＳ ゴシック" w:hint="eastAsia"/>
          <w:sz w:val="19"/>
          <w:szCs w:val="19"/>
          <w:lang w:eastAsia="ja-JP"/>
        </w:rPr>
        <w:t>変化による</w:t>
      </w:r>
      <w:r w:rsidRPr="007C0713">
        <w:rPr>
          <w:rFonts w:ascii="ＭＳ ゴシック" w:eastAsia="ＭＳ ゴシック" w:hAnsi="ＭＳ ゴシック" w:cs="ＭＳ ゴシック" w:hint="eastAsia"/>
          <w:sz w:val="19"/>
          <w:szCs w:val="19"/>
          <w:lang w:eastAsia="ja-JP"/>
        </w:rPr>
        <w:t>影響は</w:t>
      </w:r>
      <w:r>
        <w:rPr>
          <w:rFonts w:ascii="ＭＳ ゴシック" w:eastAsia="ＭＳ ゴシック" w:hAnsi="ＭＳ ゴシック" w:cs="ＭＳ ゴシック" w:hint="eastAsia"/>
          <w:sz w:val="19"/>
          <w:szCs w:val="19"/>
          <w:lang w:eastAsia="ja-JP"/>
        </w:rPr>
        <w:t>、</w:t>
      </w:r>
      <w:r w:rsidRPr="007C0713">
        <w:rPr>
          <w:rFonts w:ascii="ＭＳ ゴシック" w:eastAsia="ＭＳ ゴシック" w:hAnsi="ＭＳ ゴシック" w:cs="ＭＳ ゴシック" w:hint="eastAsia"/>
          <w:sz w:val="19"/>
          <w:szCs w:val="19"/>
          <w:lang w:eastAsia="ja-JP"/>
        </w:rPr>
        <w:t>次のような場合、製品に帰属すると考えられます。</w:t>
      </w:r>
    </w:p>
    <w:p w14:paraId="1970B9A9" w14:textId="0872D485" w:rsidR="007F6B57" w:rsidRPr="007F6B57" w:rsidRDefault="007F6B57" w:rsidP="00355E8C">
      <w:pPr>
        <w:pStyle w:val="a5"/>
        <w:numPr>
          <w:ilvl w:val="1"/>
          <w:numId w:val="23"/>
        </w:numPr>
        <w:tabs>
          <w:tab w:val="left" w:pos="851"/>
          <w:tab w:val="left" w:pos="1394"/>
        </w:tabs>
        <w:spacing w:before="128" w:line="309" w:lineRule="auto"/>
        <w:ind w:left="851" w:rightChars="138" w:right="304" w:hanging="142"/>
        <w:rPr>
          <w:sz w:val="19"/>
          <w:szCs w:val="19"/>
          <w:lang w:eastAsia="ja-JP"/>
        </w:rPr>
      </w:pPr>
      <w:r>
        <w:rPr>
          <w:rFonts w:ascii="ＭＳ ゴシック" w:eastAsia="ＭＳ ゴシック" w:hAnsi="ＭＳ ゴシック" w:cs="ＭＳ ゴシック" w:hint="eastAsia"/>
          <w:sz w:val="19"/>
          <w:szCs w:val="19"/>
          <w:lang w:eastAsia="ja-JP"/>
        </w:rPr>
        <w:t>炭素</w:t>
      </w:r>
      <w:r w:rsidR="00355E8C">
        <w:rPr>
          <w:rFonts w:ascii="ＭＳ ゴシック" w:eastAsia="ＭＳ ゴシック" w:hAnsi="ＭＳ ゴシック" w:cs="ＭＳ ゴシック" w:hint="eastAsia"/>
          <w:sz w:val="19"/>
          <w:szCs w:val="19"/>
          <w:lang w:eastAsia="ja-JP"/>
        </w:rPr>
        <w:t>蓄積</w:t>
      </w:r>
      <w:r>
        <w:rPr>
          <w:rFonts w:ascii="ＭＳ ゴシック" w:eastAsia="ＭＳ ゴシック" w:hAnsi="ＭＳ ゴシック" w:cs="ＭＳ ゴシック" w:hint="eastAsia"/>
          <w:sz w:val="19"/>
          <w:szCs w:val="19"/>
          <w:lang w:eastAsia="ja-JP"/>
        </w:rPr>
        <w:t>量</w:t>
      </w:r>
      <w:r w:rsidRPr="007F6B57">
        <w:rPr>
          <w:rFonts w:ascii="ＭＳ ゴシック" w:eastAsia="ＭＳ ゴシック" w:hAnsi="ＭＳ ゴシック" w:cs="ＭＳ ゴシック" w:hint="eastAsia"/>
          <w:sz w:val="19"/>
          <w:szCs w:val="19"/>
          <w:lang w:eastAsia="ja-JP"/>
        </w:rPr>
        <w:t>の変化は、製品を作るために生物起源</w:t>
      </w:r>
      <w:r w:rsidRPr="007F6B57">
        <w:rPr>
          <w:sz w:val="19"/>
          <w:szCs w:val="19"/>
          <w:lang w:eastAsia="ja-JP"/>
        </w:rPr>
        <w:t xml:space="preserve"> </w:t>
      </w:r>
      <w:r w:rsidRPr="007F6B57">
        <w:rPr>
          <w:rFonts w:ascii="ＭＳ ゴシック" w:eastAsia="ＭＳ ゴシック" w:hAnsi="ＭＳ ゴシック" w:cs="ＭＳ ゴシック" w:hint="eastAsia"/>
          <w:sz w:val="19"/>
          <w:szCs w:val="19"/>
          <w:lang w:eastAsia="ja-JP"/>
        </w:rPr>
        <w:t>物質を抽出または生産した直接の結果である</w:t>
      </w:r>
    </w:p>
    <w:p w14:paraId="4B67A774" w14:textId="3D8A3C1D" w:rsidR="007F6B57" w:rsidRPr="007F6B57" w:rsidRDefault="007F6B57" w:rsidP="00355E8C">
      <w:pPr>
        <w:pStyle w:val="a5"/>
        <w:numPr>
          <w:ilvl w:val="1"/>
          <w:numId w:val="23"/>
        </w:numPr>
        <w:tabs>
          <w:tab w:val="left" w:pos="851"/>
          <w:tab w:val="left" w:pos="1394"/>
        </w:tabs>
        <w:spacing w:before="128" w:line="309" w:lineRule="auto"/>
        <w:ind w:left="851" w:rightChars="138" w:right="304" w:hanging="142"/>
        <w:rPr>
          <w:sz w:val="19"/>
          <w:szCs w:val="19"/>
          <w:lang w:eastAsia="ja-JP"/>
        </w:rPr>
      </w:pPr>
      <w:r>
        <w:rPr>
          <w:rFonts w:ascii="ＭＳ ゴシック" w:eastAsia="ＭＳ ゴシック" w:hAnsi="ＭＳ ゴシック" w:cs="ＭＳ ゴシック" w:hint="eastAsia"/>
          <w:sz w:val="19"/>
          <w:szCs w:val="19"/>
          <w:lang w:eastAsia="ja-JP"/>
        </w:rPr>
        <w:t>炭素</w:t>
      </w:r>
      <w:r w:rsidR="00355E8C">
        <w:rPr>
          <w:rFonts w:ascii="ＭＳ ゴシック" w:eastAsia="ＭＳ ゴシック" w:hAnsi="ＭＳ ゴシック" w:cs="ＭＳ ゴシック" w:hint="eastAsia"/>
          <w:sz w:val="19"/>
          <w:szCs w:val="19"/>
          <w:lang w:eastAsia="ja-JP"/>
        </w:rPr>
        <w:t>蓄積</w:t>
      </w:r>
      <w:r>
        <w:rPr>
          <w:rFonts w:ascii="ＭＳ ゴシック" w:eastAsia="ＭＳ ゴシック" w:hAnsi="ＭＳ ゴシック" w:cs="ＭＳ ゴシック" w:hint="eastAsia"/>
          <w:sz w:val="19"/>
          <w:szCs w:val="19"/>
          <w:lang w:eastAsia="ja-JP"/>
        </w:rPr>
        <w:t>量</w:t>
      </w:r>
      <w:r w:rsidRPr="007F6B57">
        <w:rPr>
          <w:rFonts w:ascii="ＭＳ ゴシック" w:eastAsia="ＭＳ ゴシック" w:hAnsi="ＭＳ ゴシック" w:cs="ＭＳ ゴシック" w:hint="eastAsia"/>
          <w:sz w:val="19"/>
          <w:szCs w:val="19"/>
          <w:lang w:eastAsia="ja-JP"/>
        </w:rPr>
        <w:t>の変化は、製品を作ることを意図した人間の介入によって引き起こされたものである</w:t>
      </w:r>
    </w:p>
    <w:p w14:paraId="5B87DF42" w14:textId="27FE74F7" w:rsidR="0055291C" w:rsidRPr="007F6B57" w:rsidRDefault="007F6B57" w:rsidP="00355E8C">
      <w:pPr>
        <w:pStyle w:val="a5"/>
        <w:numPr>
          <w:ilvl w:val="1"/>
          <w:numId w:val="23"/>
        </w:numPr>
        <w:tabs>
          <w:tab w:val="left" w:pos="851"/>
          <w:tab w:val="left" w:pos="1394"/>
        </w:tabs>
        <w:spacing w:before="128" w:line="309" w:lineRule="auto"/>
        <w:ind w:left="851" w:rightChars="138" w:right="304" w:hanging="142"/>
        <w:rPr>
          <w:sz w:val="19"/>
          <w:szCs w:val="19"/>
          <w:lang w:eastAsia="ja-JP"/>
        </w:rPr>
      </w:pPr>
      <w:r w:rsidRPr="007F6B57">
        <w:rPr>
          <w:rFonts w:ascii="ＭＳ ゴシック" w:eastAsia="ＭＳ ゴシック" w:hAnsi="ＭＳ ゴシック" w:cs="ＭＳ ゴシック" w:hint="eastAsia"/>
          <w:sz w:val="19"/>
          <w:szCs w:val="19"/>
          <w:lang w:eastAsia="ja-JP"/>
        </w:rPr>
        <w:t>評価期間内</w:t>
      </w:r>
      <w:r w:rsidR="00FA5DF4">
        <w:rPr>
          <w:rFonts w:asciiTheme="minorEastAsia" w:eastAsiaTheme="minorEastAsia" w:hAnsiTheme="minorEastAsia" w:hint="eastAsia"/>
          <w:sz w:val="19"/>
          <w:szCs w:val="19"/>
          <w:lang w:eastAsia="ja-JP"/>
        </w:rPr>
        <w:t>（</w:t>
      </w:r>
      <w:r w:rsidR="00FA5DF4" w:rsidRPr="007F6B57">
        <w:rPr>
          <w:sz w:val="19"/>
          <w:szCs w:val="19"/>
          <w:lang w:eastAsia="ja-JP"/>
        </w:rPr>
        <w:t>20</w:t>
      </w:r>
      <w:r w:rsidR="00FA5DF4" w:rsidRPr="007F6B57">
        <w:rPr>
          <w:rFonts w:ascii="ＭＳ ゴシック" w:eastAsia="ＭＳ ゴシック" w:hAnsi="ＭＳ ゴシック" w:cs="ＭＳ ゴシック" w:hint="eastAsia"/>
          <w:sz w:val="19"/>
          <w:szCs w:val="19"/>
          <w:lang w:eastAsia="ja-JP"/>
        </w:rPr>
        <w:t>年</w:t>
      </w:r>
      <w:r w:rsidR="00FA5DF4">
        <w:rPr>
          <w:rFonts w:ascii="ＭＳ ゴシック" w:eastAsia="ＭＳ ゴシック" w:hAnsi="ＭＳ ゴシック" w:cs="ＭＳ ゴシック" w:hint="eastAsia"/>
          <w:sz w:val="19"/>
          <w:szCs w:val="19"/>
          <w:lang w:eastAsia="ja-JP"/>
        </w:rPr>
        <w:t>、</w:t>
      </w:r>
      <w:r w:rsidR="00FA5DF4" w:rsidRPr="007F6B57">
        <w:rPr>
          <w:rFonts w:ascii="ＭＳ ゴシック" w:eastAsia="ＭＳ ゴシック" w:hAnsi="ＭＳ ゴシック" w:cs="ＭＳ ゴシック" w:hint="eastAsia"/>
          <w:sz w:val="19"/>
          <w:szCs w:val="19"/>
          <w:lang w:eastAsia="ja-JP"/>
        </w:rPr>
        <w:t>または</w:t>
      </w:r>
      <w:r w:rsidRPr="007F6B57">
        <w:rPr>
          <w:rFonts w:ascii="ＭＳ ゴシック" w:eastAsia="ＭＳ ゴシック" w:hAnsi="ＭＳ ゴシック" w:cs="ＭＳ ゴシック" w:hint="eastAsia"/>
          <w:sz w:val="19"/>
          <w:szCs w:val="19"/>
          <w:lang w:eastAsia="ja-JP"/>
        </w:rPr>
        <w:t>生物起源製品</w:t>
      </w:r>
      <w:r w:rsidR="00FA5DF4">
        <w:rPr>
          <w:rFonts w:ascii="ＭＳ ゴシック" w:eastAsia="ＭＳ ゴシック" w:hAnsi="ＭＳ ゴシック" w:cs="ＭＳ ゴシック" w:hint="eastAsia"/>
          <w:sz w:val="19"/>
          <w:szCs w:val="19"/>
          <w:lang w:eastAsia="ja-JP"/>
        </w:rPr>
        <w:t>やその</w:t>
      </w:r>
      <w:r w:rsidRPr="007F6B57">
        <w:rPr>
          <w:rFonts w:ascii="ＭＳ ゴシック" w:eastAsia="ＭＳ ゴシック" w:hAnsi="ＭＳ ゴシック" w:cs="ＭＳ ゴシック" w:hint="eastAsia"/>
          <w:sz w:val="19"/>
          <w:szCs w:val="19"/>
          <w:lang w:eastAsia="ja-JP"/>
        </w:rPr>
        <w:t>成分の</w:t>
      </w:r>
      <w:r w:rsidR="00FA5DF4">
        <w:rPr>
          <w:rFonts w:ascii="ＭＳ ゴシック" w:eastAsia="ＭＳ ゴシック" w:hAnsi="ＭＳ ゴシック" w:cs="ＭＳ ゴシック" w:hint="eastAsia"/>
          <w:sz w:val="19"/>
          <w:szCs w:val="19"/>
          <w:lang w:eastAsia="ja-JP"/>
        </w:rPr>
        <w:t>採取</w:t>
      </w:r>
      <w:r w:rsidRPr="007F6B57">
        <w:rPr>
          <w:rFonts w:ascii="ＭＳ ゴシック" w:eastAsia="ＭＳ ゴシック" w:hAnsi="ＭＳ ゴシック" w:cs="ＭＳ ゴシック" w:hint="eastAsia"/>
          <w:sz w:val="19"/>
          <w:szCs w:val="19"/>
          <w:lang w:eastAsia="ja-JP"/>
        </w:rPr>
        <w:t>（例：伐採）から伐採</w:t>
      </w:r>
      <w:r w:rsidR="00FA5DF4">
        <w:rPr>
          <w:rFonts w:ascii="ＭＳ ゴシック" w:eastAsia="ＭＳ ゴシック" w:hAnsi="ＭＳ ゴシック" w:cs="ＭＳ ゴシック" w:hint="eastAsia"/>
          <w:sz w:val="19"/>
          <w:szCs w:val="19"/>
          <w:lang w:eastAsia="ja-JP"/>
        </w:rPr>
        <w:t>までの</w:t>
      </w:r>
      <w:r w:rsidRPr="007F6B57">
        <w:rPr>
          <w:rFonts w:ascii="ＭＳ ゴシック" w:eastAsia="ＭＳ ゴシック" w:hAnsi="ＭＳ ゴシック" w:cs="ＭＳ ゴシック" w:hint="eastAsia"/>
          <w:sz w:val="19"/>
          <w:szCs w:val="19"/>
          <w:lang w:eastAsia="ja-JP"/>
        </w:rPr>
        <w:t>期間のどちらか長い方の期間</w:t>
      </w:r>
      <w:r w:rsidR="00FA5DF4">
        <w:rPr>
          <w:rFonts w:ascii="ＭＳ ゴシック" w:eastAsia="ＭＳ ゴシック" w:hAnsi="ＭＳ ゴシック" w:cs="ＭＳ ゴシック" w:hint="eastAsia"/>
          <w:sz w:val="19"/>
          <w:szCs w:val="19"/>
          <w:lang w:eastAsia="ja-JP"/>
        </w:rPr>
        <w:t>）</w:t>
      </w:r>
      <w:r w:rsidR="00FA5DF4" w:rsidRPr="007F6B57">
        <w:rPr>
          <w:rFonts w:ascii="ＭＳ ゴシック" w:eastAsia="ＭＳ ゴシック" w:hAnsi="ＭＳ ゴシック" w:cs="ＭＳ ゴシック" w:hint="eastAsia"/>
          <w:sz w:val="19"/>
          <w:szCs w:val="19"/>
          <w:lang w:eastAsia="ja-JP"/>
        </w:rPr>
        <w:t>に炭素蓄積量の変化</w:t>
      </w:r>
      <w:r w:rsidR="00FA5DF4">
        <w:rPr>
          <w:rFonts w:ascii="ＭＳ ゴシック" w:eastAsia="ＭＳ ゴシック" w:hAnsi="ＭＳ ゴシック" w:cs="ＭＳ ゴシック" w:hint="eastAsia"/>
          <w:sz w:val="19"/>
          <w:szCs w:val="19"/>
          <w:lang w:eastAsia="ja-JP"/>
        </w:rPr>
        <w:t>が</w:t>
      </w:r>
      <w:r w:rsidR="00FA5DF4" w:rsidRPr="007F6B57">
        <w:rPr>
          <w:rFonts w:ascii="ＭＳ ゴシック" w:eastAsia="ＭＳ ゴシック" w:hAnsi="ＭＳ ゴシック" w:cs="ＭＳ ゴシック" w:hint="eastAsia"/>
          <w:sz w:val="19"/>
          <w:szCs w:val="19"/>
          <w:lang w:eastAsia="ja-JP"/>
        </w:rPr>
        <w:t>発生した</w:t>
      </w:r>
    </w:p>
    <w:p w14:paraId="068CD1FA" w14:textId="67D9F701" w:rsidR="0055291C" w:rsidRDefault="00F23C61" w:rsidP="00355E8C">
      <w:pPr>
        <w:tabs>
          <w:tab w:val="left" w:pos="851"/>
        </w:tabs>
        <w:spacing w:before="174"/>
        <w:ind w:left="851" w:rightChars="138" w:right="304" w:hanging="142"/>
        <w:rPr>
          <w:rFonts w:ascii="Arial"/>
          <w:b/>
          <w:i/>
          <w:sz w:val="14"/>
        </w:rPr>
      </w:pPr>
      <w:r>
        <w:rPr>
          <w:rFonts w:ascii="Arial"/>
          <w:b/>
          <w:i/>
          <w:color w:val="7F3F98"/>
          <w:w w:val="90"/>
          <w:sz w:val="14"/>
        </w:rPr>
        <w:t>E</w:t>
      </w:r>
      <w:r>
        <w:rPr>
          <w:rFonts w:ascii="Arial"/>
          <w:b/>
          <w:i/>
          <w:color w:val="7F3F98"/>
          <w:spacing w:val="4"/>
          <w:w w:val="90"/>
          <w:sz w:val="14"/>
        </w:rPr>
        <w:t xml:space="preserve"> </w:t>
      </w:r>
      <w:r>
        <w:rPr>
          <w:rFonts w:ascii="Arial"/>
          <w:b/>
          <w:i/>
          <w:color w:val="7F3F98"/>
          <w:spacing w:val="22"/>
          <w:w w:val="90"/>
          <w:sz w:val="14"/>
        </w:rPr>
        <w:t>XAMPL</w:t>
      </w:r>
      <w:r>
        <w:rPr>
          <w:rFonts w:ascii="Arial"/>
          <w:b/>
          <w:i/>
          <w:color w:val="7F3F98"/>
          <w:spacing w:val="14"/>
          <w:w w:val="90"/>
          <w:sz w:val="14"/>
        </w:rPr>
        <w:t>ES</w:t>
      </w:r>
      <w:r>
        <w:rPr>
          <w:rFonts w:ascii="Arial"/>
          <w:b/>
          <w:i/>
          <w:color w:val="7F3F98"/>
          <w:spacing w:val="-11"/>
          <w:sz w:val="14"/>
        </w:rPr>
        <w:t xml:space="preserve"> </w:t>
      </w:r>
    </w:p>
    <w:p w14:paraId="636025FB" w14:textId="646F7A7E" w:rsidR="0055291C" w:rsidRPr="00C94B15" w:rsidRDefault="00FA5DF4" w:rsidP="00355E8C">
      <w:pPr>
        <w:pStyle w:val="a5"/>
        <w:numPr>
          <w:ilvl w:val="0"/>
          <w:numId w:val="21"/>
        </w:numPr>
        <w:tabs>
          <w:tab w:val="left" w:pos="993"/>
        </w:tabs>
        <w:spacing w:before="62" w:line="307" w:lineRule="auto"/>
        <w:ind w:left="851" w:rightChars="138" w:right="304" w:hanging="142"/>
        <w:rPr>
          <w:rFonts w:ascii="Arial"/>
          <w:i/>
          <w:sz w:val="19"/>
          <w:szCs w:val="19"/>
          <w:lang w:eastAsia="ja-JP"/>
        </w:rPr>
      </w:pPr>
      <w:r w:rsidRPr="00C94B15">
        <w:rPr>
          <w:sz w:val="19"/>
          <w:szCs w:val="19"/>
          <w:lang w:eastAsia="ja-JP"/>
        </w:rPr>
        <w:t>2010</w:t>
      </w:r>
      <w:r w:rsidRPr="00C94B15">
        <w:rPr>
          <w:rFonts w:ascii="ＭＳ ゴシック" w:eastAsia="ＭＳ ゴシック" w:hAnsi="ＭＳ ゴシック" w:cs="ＭＳ ゴシック" w:hint="eastAsia"/>
          <w:sz w:val="19"/>
          <w:szCs w:val="19"/>
          <w:lang w:eastAsia="ja-JP"/>
        </w:rPr>
        <w:t>年に収穫された一年草の作物から製品が作られています。この作物は、</w:t>
      </w:r>
      <w:r w:rsidRPr="00C94B15">
        <w:rPr>
          <w:sz w:val="19"/>
          <w:szCs w:val="19"/>
          <w:lang w:eastAsia="ja-JP"/>
        </w:rPr>
        <w:t>50</w:t>
      </w:r>
      <w:r w:rsidRPr="00C94B15">
        <w:rPr>
          <w:rFonts w:ascii="ＭＳ ゴシック" w:eastAsia="ＭＳ ゴシック" w:hAnsi="ＭＳ ゴシック" w:cs="ＭＳ ゴシック" w:hint="eastAsia"/>
          <w:sz w:val="19"/>
          <w:szCs w:val="19"/>
          <w:lang w:eastAsia="ja-JP"/>
        </w:rPr>
        <w:t>年前に最後の炭素蓄積量の変化が起こったとされる土地から採取されたものです。この場合、製品に起因する土地利用変化の影響は</w:t>
      </w:r>
      <w:r w:rsidR="00C94B15" w:rsidRPr="00C94B15">
        <w:rPr>
          <w:rFonts w:ascii="ＭＳ ゴシック" w:eastAsia="ＭＳ ゴシック" w:hAnsi="ＭＳ ゴシック" w:cs="ＭＳ ゴシック" w:hint="eastAsia"/>
          <w:sz w:val="19"/>
          <w:szCs w:val="19"/>
          <w:lang w:eastAsia="ja-JP"/>
        </w:rPr>
        <w:t>ありません</w:t>
      </w:r>
      <w:r w:rsidRPr="00C94B15">
        <w:rPr>
          <w:rFonts w:ascii="ＭＳ ゴシック" w:eastAsia="ＭＳ ゴシック" w:hAnsi="ＭＳ ゴシック" w:cs="ＭＳ ゴシック" w:hint="eastAsia"/>
          <w:sz w:val="19"/>
          <w:szCs w:val="19"/>
          <w:lang w:eastAsia="ja-JP"/>
        </w:rPr>
        <w:t>。</w:t>
      </w:r>
    </w:p>
    <w:p w14:paraId="53305F6C" w14:textId="2E78D1CF" w:rsidR="00FA5DF4" w:rsidRPr="00C94B15" w:rsidRDefault="00FA5DF4" w:rsidP="00355E8C">
      <w:pPr>
        <w:pStyle w:val="a5"/>
        <w:numPr>
          <w:ilvl w:val="0"/>
          <w:numId w:val="21"/>
        </w:numPr>
        <w:tabs>
          <w:tab w:val="left" w:pos="993"/>
        </w:tabs>
        <w:spacing w:before="127" w:line="307" w:lineRule="auto"/>
        <w:ind w:left="851" w:rightChars="138" w:right="304" w:hanging="142"/>
        <w:rPr>
          <w:rFonts w:ascii="Arial"/>
          <w:i/>
          <w:sz w:val="19"/>
          <w:szCs w:val="19"/>
          <w:lang w:eastAsia="ja-JP"/>
        </w:rPr>
      </w:pPr>
      <w:r w:rsidRPr="00C94B15">
        <w:rPr>
          <w:rFonts w:ascii="ＭＳ ゴシック" w:eastAsia="ＭＳ ゴシック" w:hAnsi="ＭＳ ゴシック" w:cs="ＭＳ ゴシック" w:hint="eastAsia"/>
          <w:sz w:val="19"/>
          <w:szCs w:val="19"/>
          <w:lang w:eastAsia="ja-JP"/>
        </w:rPr>
        <w:t>製品は、自然に生育した森林から採取された木材から作られてい</w:t>
      </w:r>
      <w:r w:rsidR="00C94B15" w:rsidRPr="00C94B15">
        <w:rPr>
          <w:rFonts w:ascii="ＭＳ ゴシック" w:eastAsia="ＭＳ ゴシック" w:hAnsi="ＭＳ ゴシック" w:cs="ＭＳ ゴシック" w:hint="eastAsia"/>
          <w:sz w:val="19"/>
          <w:szCs w:val="19"/>
          <w:lang w:eastAsia="ja-JP"/>
        </w:rPr>
        <w:t>ます</w:t>
      </w:r>
      <w:r w:rsidRPr="00C94B15">
        <w:rPr>
          <w:rFonts w:ascii="ＭＳ ゴシック" w:eastAsia="ＭＳ ゴシック" w:hAnsi="ＭＳ ゴシック" w:cs="ＭＳ ゴシック" w:hint="eastAsia"/>
          <w:sz w:val="19"/>
          <w:szCs w:val="19"/>
          <w:lang w:eastAsia="ja-JP"/>
        </w:rPr>
        <w:t>（採取と生産が同じ年に行われる）。地上バイオマスの抽出により、土地の炭素蓄積量が変化した場合、その土地利用変化の影響は製品に起因</w:t>
      </w:r>
      <w:r w:rsidR="00C94B15" w:rsidRPr="00C94B15">
        <w:rPr>
          <w:rFonts w:ascii="ＭＳ ゴシック" w:eastAsia="ＭＳ ゴシック" w:hAnsi="ＭＳ ゴシック" w:cs="ＭＳ ゴシック" w:hint="eastAsia"/>
          <w:sz w:val="19"/>
          <w:szCs w:val="19"/>
          <w:lang w:eastAsia="ja-JP"/>
        </w:rPr>
        <w:t>します</w:t>
      </w:r>
      <w:r w:rsidRPr="00C94B15">
        <w:rPr>
          <w:rFonts w:ascii="ＭＳ ゴシック" w:eastAsia="ＭＳ ゴシック" w:hAnsi="ＭＳ ゴシック" w:cs="ＭＳ ゴシック" w:hint="eastAsia"/>
          <w:sz w:val="19"/>
          <w:szCs w:val="19"/>
          <w:lang w:eastAsia="ja-JP"/>
        </w:rPr>
        <w:t>。</w:t>
      </w:r>
      <w:r w:rsidR="00F23C61" w:rsidRPr="006802A5">
        <w:rPr>
          <w:rFonts w:ascii="Arial"/>
          <w:i/>
          <w:color w:val="545456"/>
          <w:position w:val="6"/>
          <w:sz w:val="19"/>
          <w:szCs w:val="19"/>
          <w:vertAlign w:val="superscript"/>
          <w:lang w:eastAsia="ja-JP"/>
        </w:rPr>
        <w:t>6</w:t>
      </w:r>
    </w:p>
    <w:p w14:paraId="28C19A54" w14:textId="77777777" w:rsidR="00C94B15" w:rsidRPr="00C94B15" w:rsidRDefault="00FA5DF4" w:rsidP="00355E8C">
      <w:pPr>
        <w:pStyle w:val="a5"/>
        <w:numPr>
          <w:ilvl w:val="0"/>
          <w:numId w:val="21"/>
        </w:numPr>
        <w:tabs>
          <w:tab w:val="left" w:pos="993"/>
        </w:tabs>
        <w:spacing w:before="127" w:line="307" w:lineRule="auto"/>
        <w:ind w:left="851" w:rightChars="138" w:right="304" w:hanging="142"/>
        <w:rPr>
          <w:rFonts w:ascii="Arial"/>
          <w:i/>
          <w:sz w:val="19"/>
          <w:szCs w:val="19"/>
          <w:lang w:eastAsia="ja-JP"/>
        </w:rPr>
      </w:pPr>
      <w:r w:rsidRPr="00C94B15">
        <w:rPr>
          <w:rFonts w:ascii="ＭＳ ゴシック" w:eastAsia="ＭＳ ゴシック" w:hAnsi="ＭＳ ゴシック" w:cs="ＭＳ ゴシック" w:hint="eastAsia"/>
          <w:sz w:val="19"/>
          <w:szCs w:val="19"/>
          <w:lang w:eastAsia="ja-JP"/>
        </w:rPr>
        <w:t>ある製品は、植林地で育った木材から作られています。</w:t>
      </w:r>
      <w:r w:rsidRPr="00C94B15">
        <w:rPr>
          <w:sz w:val="19"/>
          <w:szCs w:val="19"/>
          <w:lang w:eastAsia="ja-JP"/>
        </w:rPr>
        <w:t>1982</w:t>
      </w:r>
      <w:r w:rsidRPr="00C94B15">
        <w:rPr>
          <w:rFonts w:ascii="ＭＳ ゴシック" w:eastAsia="ＭＳ ゴシック" w:hAnsi="ＭＳ ゴシック" w:cs="ＭＳ ゴシック" w:hint="eastAsia"/>
          <w:sz w:val="19"/>
          <w:szCs w:val="19"/>
          <w:lang w:eastAsia="ja-JP"/>
        </w:rPr>
        <w:t>年に天然林から転換した土地から、</w:t>
      </w:r>
      <w:r w:rsidRPr="00C94B15">
        <w:rPr>
          <w:sz w:val="19"/>
          <w:szCs w:val="19"/>
          <w:lang w:eastAsia="ja-JP"/>
        </w:rPr>
        <w:t>28</w:t>
      </w:r>
      <w:r w:rsidRPr="00C94B15">
        <w:rPr>
          <w:rFonts w:ascii="ＭＳ ゴシック" w:eastAsia="ＭＳ ゴシック" w:hAnsi="ＭＳ ゴシック" w:cs="ＭＳ ゴシック" w:hint="eastAsia"/>
          <w:sz w:val="19"/>
          <w:szCs w:val="19"/>
          <w:lang w:eastAsia="ja-JP"/>
        </w:rPr>
        <w:t>年かけて成長した木材を</w:t>
      </w:r>
      <w:r w:rsidRPr="00C94B15">
        <w:rPr>
          <w:sz w:val="19"/>
          <w:szCs w:val="19"/>
          <w:lang w:eastAsia="ja-JP"/>
        </w:rPr>
        <w:t>2010</w:t>
      </w:r>
      <w:r w:rsidRPr="00C94B15">
        <w:rPr>
          <w:rFonts w:ascii="ＭＳ ゴシック" w:eastAsia="ＭＳ ゴシック" w:hAnsi="ＭＳ ゴシック" w:cs="ＭＳ ゴシック" w:hint="eastAsia"/>
          <w:sz w:val="19"/>
          <w:szCs w:val="19"/>
          <w:lang w:eastAsia="ja-JP"/>
        </w:rPr>
        <w:t>年に伐採しています。伐採サイクルの長さが</w:t>
      </w:r>
      <w:r w:rsidRPr="00C94B15">
        <w:rPr>
          <w:sz w:val="19"/>
          <w:szCs w:val="19"/>
          <w:lang w:eastAsia="ja-JP"/>
        </w:rPr>
        <w:t>20</w:t>
      </w:r>
      <w:r w:rsidRPr="00C94B15">
        <w:rPr>
          <w:rFonts w:ascii="ＭＳ ゴシック" w:eastAsia="ＭＳ ゴシック" w:hAnsi="ＭＳ ゴシック" w:cs="ＭＳ ゴシック" w:hint="eastAsia"/>
          <w:sz w:val="19"/>
          <w:szCs w:val="19"/>
          <w:lang w:eastAsia="ja-JP"/>
        </w:rPr>
        <w:t>年以上である</w:t>
      </w:r>
      <w:r w:rsidR="00C94B15">
        <w:rPr>
          <w:rFonts w:ascii="ＭＳ ゴシック" w:eastAsia="ＭＳ ゴシック" w:hAnsi="ＭＳ ゴシック" w:cs="ＭＳ ゴシック" w:hint="eastAsia"/>
          <w:sz w:val="19"/>
          <w:szCs w:val="19"/>
          <w:lang w:eastAsia="ja-JP"/>
        </w:rPr>
        <w:t>ため</w:t>
      </w:r>
      <w:r w:rsidRPr="00C94B15">
        <w:rPr>
          <w:rFonts w:ascii="ＭＳ ゴシック" w:eastAsia="ＭＳ ゴシック" w:hAnsi="ＭＳ ゴシック" w:cs="ＭＳ ゴシック" w:hint="eastAsia"/>
          <w:sz w:val="19"/>
          <w:szCs w:val="19"/>
          <w:lang w:eastAsia="ja-JP"/>
        </w:rPr>
        <w:t>、</w:t>
      </w:r>
      <w:r w:rsidRPr="00C94B15">
        <w:rPr>
          <w:sz w:val="19"/>
          <w:szCs w:val="19"/>
          <w:lang w:eastAsia="ja-JP"/>
        </w:rPr>
        <w:t>28</w:t>
      </w:r>
      <w:r w:rsidRPr="00C94B15">
        <w:rPr>
          <w:rFonts w:ascii="ＭＳ ゴシック" w:eastAsia="ＭＳ ゴシック" w:hAnsi="ＭＳ ゴシック" w:cs="ＭＳ ゴシック" w:hint="eastAsia"/>
          <w:sz w:val="19"/>
          <w:szCs w:val="19"/>
          <w:lang w:eastAsia="ja-JP"/>
        </w:rPr>
        <w:t>年前</w:t>
      </w:r>
      <w:r w:rsidRPr="00C94B15">
        <w:rPr>
          <w:sz w:val="19"/>
          <w:szCs w:val="19"/>
          <w:lang w:eastAsia="ja-JP"/>
        </w:rPr>
        <w:t xml:space="preserve"> </w:t>
      </w:r>
      <w:r w:rsidRPr="00C94B15">
        <w:rPr>
          <w:rFonts w:ascii="ＭＳ ゴシック" w:eastAsia="ＭＳ ゴシック" w:hAnsi="ＭＳ ゴシック" w:cs="ＭＳ ゴシック" w:hint="eastAsia"/>
          <w:sz w:val="19"/>
          <w:szCs w:val="19"/>
          <w:lang w:eastAsia="ja-JP"/>
        </w:rPr>
        <w:t>（</w:t>
      </w:r>
      <w:r w:rsidR="00C94B15">
        <w:rPr>
          <w:rFonts w:asciiTheme="minorEastAsia" w:eastAsiaTheme="minorEastAsia" w:hAnsiTheme="minorEastAsia" w:hint="eastAsia"/>
          <w:sz w:val="19"/>
          <w:szCs w:val="19"/>
          <w:lang w:eastAsia="ja-JP"/>
        </w:rPr>
        <w:t>1982</w:t>
      </w:r>
      <w:r w:rsidRPr="00C94B15">
        <w:rPr>
          <w:rFonts w:ascii="ＭＳ ゴシック" w:eastAsia="ＭＳ ゴシック" w:hAnsi="ＭＳ ゴシック" w:cs="ＭＳ ゴシック" w:hint="eastAsia"/>
          <w:sz w:val="19"/>
          <w:szCs w:val="19"/>
          <w:lang w:eastAsia="ja-JP"/>
        </w:rPr>
        <w:t>年から</w:t>
      </w:r>
      <w:r w:rsidR="00C94B15">
        <w:rPr>
          <w:rFonts w:ascii="ＭＳ ゴシック" w:eastAsia="ＭＳ ゴシック" w:hAnsi="ＭＳ ゴシック" w:cs="ＭＳ ゴシック" w:hint="eastAsia"/>
          <w:sz w:val="19"/>
          <w:szCs w:val="19"/>
          <w:lang w:eastAsia="ja-JP"/>
        </w:rPr>
        <w:t>2010</w:t>
      </w:r>
      <w:r w:rsidRPr="00C94B15">
        <w:rPr>
          <w:rFonts w:ascii="ＭＳ ゴシック" w:eastAsia="ＭＳ ゴシック" w:hAnsi="ＭＳ ゴシック" w:cs="ＭＳ ゴシック" w:hint="eastAsia"/>
          <w:sz w:val="19"/>
          <w:szCs w:val="19"/>
          <w:lang w:eastAsia="ja-JP"/>
        </w:rPr>
        <w:t>年まで）までに発生した可能性のある炭素蓄積量の変化を考慮しなければ</w:t>
      </w:r>
      <w:r w:rsidR="00C94B15" w:rsidRPr="00C94B15">
        <w:rPr>
          <w:rFonts w:ascii="ＭＳ ゴシック" w:eastAsia="ＭＳ ゴシック" w:hAnsi="ＭＳ ゴシック" w:cs="ＭＳ ゴシック" w:hint="eastAsia"/>
          <w:sz w:val="19"/>
          <w:szCs w:val="19"/>
          <w:lang w:eastAsia="ja-JP"/>
        </w:rPr>
        <w:t>なりません</w:t>
      </w:r>
      <w:r w:rsidRPr="00C94B15">
        <w:rPr>
          <w:rFonts w:ascii="ＭＳ ゴシック" w:eastAsia="ＭＳ ゴシック" w:hAnsi="ＭＳ ゴシック" w:cs="ＭＳ ゴシック" w:hint="eastAsia"/>
          <w:sz w:val="19"/>
          <w:szCs w:val="19"/>
          <w:lang w:eastAsia="ja-JP"/>
        </w:rPr>
        <w:t>。したがって、土地利用変化（すなわち、</w:t>
      </w:r>
      <w:r w:rsidR="00C94B15">
        <w:rPr>
          <w:rFonts w:ascii="ＭＳ ゴシック" w:eastAsia="ＭＳ ゴシック" w:hAnsi="ＭＳ ゴシック" w:cs="ＭＳ ゴシック" w:hint="eastAsia"/>
          <w:sz w:val="19"/>
          <w:szCs w:val="19"/>
          <w:lang w:eastAsia="ja-JP"/>
        </w:rPr>
        <w:t>82年に行われた</w:t>
      </w:r>
      <w:r w:rsidRPr="00C94B15">
        <w:rPr>
          <w:rFonts w:ascii="ＭＳ ゴシック" w:eastAsia="ＭＳ ゴシック" w:hAnsi="ＭＳ ゴシック" w:cs="ＭＳ ゴシック" w:hint="eastAsia"/>
          <w:sz w:val="19"/>
          <w:szCs w:val="19"/>
          <w:lang w:eastAsia="ja-JP"/>
        </w:rPr>
        <w:t>自然林の最初の伐採）の影響は、製品に起因するもので</w:t>
      </w:r>
      <w:r w:rsidR="00C94B15" w:rsidRPr="00C94B15">
        <w:rPr>
          <w:rFonts w:ascii="ＭＳ ゴシック" w:eastAsia="ＭＳ ゴシック" w:hAnsi="ＭＳ ゴシック" w:cs="ＭＳ ゴシック" w:hint="eastAsia"/>
          <w:sz w:val="19"/>
          <w:szCs w:val="19"/>
          <w:lang w:eastAsia="ja-JP"/>
        </w:rPr>
        <w:t>す。</w:t>
      </w:r>
    </w:p>
    <w:p w14:paraId="6CA6F9EA" w14:textId="636F292A" w:rsidR="0055291C" w:rsidRPr="00C94B15" w:rsidRDefault="00C94B15" w:rsidP="00355E8C">
      <w:pPr>
        <w:pStyle w:val="a5"/>
        <w:numPr>
          <w:ilvl w:val="0"/>
          <w:numId w:val="21"/>
        </w:numPr>
        <w:tabs>
          <w:tab w:val="left" w:pos="993"/>
        </w:tabs>
        <w:spacing w:before="127" w:line="307" w:lineRule="auto"/>
        <w:ind w:left="851" w:rightChars="138" w:right="304" w:hanging="142"/>
        <w:rPr>
          <w:rFonts w:ascii="Arial"/>
          <w:i/>
          <w:sz w:val="19"/>
          <w:szCs w:val="19"/>
          <w:lang w:eastAsia="ja-JP"/>
        </w:rPr>
      </w:pPr>
      <w:r w:rsidRPr="00C94B15">
        <w:rPr>
          <w:sz w:val="19"/>
          <w:szCs w:val="19"/>
          <w:lang w:eastAsia="ja-JP"/>
        </w:rPr>
        <w:t>2010</w:t>
      </w:r>
      <w:r w:rsidRPr="00C94B15">
        <w:rPr>
          <w:rFonts w:ascii="ＭＳ ゴシック" w:eastAsia="ＭＳ ゴシック" w:hAnsi="ＭＳ ゴシック" w:cs="ＭＳ ゴシック" w:hint="eastAsia"/>
          <w:sz w:val="19"/>
          <w:szCs w:val="19"/>
          <w:lang w:eastAsia="ja-JP"/>
        </w:rPr>
        <w:t>年に収穫された</w:t>
      </w:r>
      <w:r w:rsidRPr="00C94B15">
        <w:rPr>
          <w:sz w:val="19"/>
          <w:szCs w:val="19"/>
          <w:lang w:eastAsia="ja-JP"/>
        </w:rPr>
        <w:t>2</w:t>
      </w:r>
      <w:r w:rsidRPr="00C94B15">
        <w:rPr>
          <w:rFonts w:ascii="ＭＳ ゴシック" w:eastAsia="ＭＳ ゴシック" w:hAnsi="ＭＳ ゴシック" w:cs="ＭＳ ゴシック" w:hint="eastAsia"/>
          <w:sz w:val="19"/>
          <w:szCs w:val="19"/>
          <w:lang w:eastAsia="ja-JP"/>
        </w:rPr>
        <w:t>年に</w:t>
      </w:r>
      <w:r w:rsidRPr="00C94B15">
        <w:rPr>
          <w:sz w:val="19"/>
          <w:szCs w:val="19"/>
          <w:lang w:eastAsia="ja-JP"/>
        </w:rPr>
        <w:t>1</w:t>
      </w:r>
      <w:r w:rsidRPr="00C94B15">
        <w:rPr>
          <w:rFonts w:ascii="ＭＳ ゴシック" w:eastAsia="ＭＳ ゴシック" w:hAnsi="ＭＳ ゴシック" w:cs="ＭＳ ゴシック" w:hint="eastAsia"/>
          <w:sz w:val="19"/>
          <w:szCs w:val="19"/>
          <w:lang w:eastAsia="ja-JP"/>
        </w:rPr>
        <w:t>度の作物から製品が作られています。その作物を栽培している区画は、</w:t>
      </w:r>
      <w:r w:rsidRPr="00C94B15">
        <w:rPr>
          <w:sz w:val="19"/>
          <w:szCs w:val="19"/>
          <w:lang w:eastAsia="ja-JP"/>
        </w:rPr>
        <w:t>2000</w:t>
      </w:r>
      <w:r w:rsidRPr="00C94B15">
        <w:rPr>
          <w:rFonts w:ascii="ＭＳ ゴシック" w:eastAsia="ＭＳ ゴシック" w:hAnsi="ＭＳ ゴシック" w:cs="ＭＳ ゴシック" w:hint="eastAsia"/>
          <w:sz w:val="19"/>
          <w:szCs w:val="19"/>
          <w:lang w:eastAsia="ja-JP"/>
        </w:rPr>
        <w:t>年に</w:t>
      </w:r>
      <w:r w:rsidRPr="00C94B15">
        <w:rPr>
          <w:sz w:val="19"/>
          <w:szCs w:val="19"/>
          <w:lang w:eastAsia="ja-JP"/>
        </w:rPr>
        <w:t xml:space="preserve"> </w:t>
      </w:r>
      <w:r w:rsidRPr="00C94B15">
        <w:rPr>
          <w:rFonts w:ascii="ＭＳ ゴシック" w:eastAsia="ＭＳ ゴシック" w:hAnsi="ＭＳ ゴシック" w:cs="ＭＳ ゴシック" w:hint="eastAsia"/>
          <w:sz w:val="19"/>
          <w:szCs w:val="19"/>
          <w:lang w:eastAsia="ja-JP"/>
        </w:rPr>
        <w:t>自然発生した火災により森林から転換されたもので</w:t>
      </w:r>
      <w:r>
        <w:rPr>
          <w:rFonts w:ascii="ＭＳ ゴシック" w:eastAsia="ＭＳ ゴシック" w:hAnsi="ＭＳ ゴシック" w:cs="ＭＳ ゴシック" w:hint="eastAsia"/>
          <w:sz w:val="19"/>
          <w:szCs w:val="19"/>
          <w:lang w:eastAsia="ja-JP"/>
        </w:rPr>
        <w:t>す</w:t>
      </w:r>
      <w:r w:rsidRPr="00C94B15">
        <w:rPr>
          <w:rFonts w:ascii="ＭＳ ゴシック" w:eastAsia="ＭＳ ゴシック" w:hAnsi="ＭＳ ゴシック" w:cs="ＭＳ ゴシック" w:hint="eastAsia"/>
          <w:sz w:val="19"/>
          <w:szCs w:val="19"/>
          <w:lang w:eastAsia="ja-JP"/>
        </w:rPr>
        <w:t>。</w:t>
      </w:r>
      <w:r w:rsidRPr="00C94B15">
        <w:rPr>
          <w:sz w:val="19"/>
          <w:szCs w:val="19"/>
          <w:vertAlign w:val="superscript"/>
          <w:lang w:eastAsia="ja-JP"/>
        </w:rPr>
        <w:t>7</w:t>
      </w:r>
      <w:r w:rsidR="00796849">
        <w:rPr>
          <w:rFonts w:ascii="ＭＳ ゴシック" w:eastAsia="ＭＳ ゴシック" w:hAnsi="ＭＳ ゴシック" w:cs="ＭＳ ゴシック" w:hint="eastAsia"/>
          <w:sz w:val="19"/>
          <w:szCs w:val="19"/>
          <w:lang w:eastAsia="ja-JP"/>
        </w:rPr>
        <w:t>炭素</w:t>
      </w:r>
      <w:r w:rsidR="00355E8C">
        <w:rPr>
          <w:rFonts w:ascii="ＭＳ ゴシック" w:eastAsia="ＭＳ ゴシック" w:hAnsi="ＭＳ ゴシック" w:cs="ＭＳ ゴシック" w:hint="eastAsia"/>
          <w:sz w:val="19"/>
          <w:szCs w:val="19"/>
          <w:lang w:eastAsia="ja-JP"/>
        </w:rPr>
        <w:t>蓄積</w:t>
      </w:r>
      <w:r w:rsidR="00796849">
        <w:rPr>
          <w:rFonts w:ascii="ＭＳ ゴシック" w:eastAsia="ＭＳ ゴシック" w:hAnsi="ＭＳ ゴシック" w:cs="ＭＳ ゴシック" w:hint="eastAsia"/>
          <w:sz w:val="19"/>
          <w:szCs w:val="19"/>
          <w:lang w:eastAsia="ja-JP"/>
        </w:rPr>
        <w:t>量の変化は</w:t>
      </w:r>
      <w:r w:rsidRPr="00C94B15">
        <w:rPr>
          <w:rFonts w:ascii="ＭＳ ゴシック" w:eastAsia="ＭＳ ゴシック" w:hAnsi="ＭＳ ゴシック" w:cs="ＭＳ ゴシック" w:hint="eastAsia"/>
          <w:sz w:val="19"/>
          <w:szCs w:val="19"/>
          <w:lang w:eastAsia="ja-JP"/>
        </w:rPr>
        <w:t>製品を作ることを意図した人間の介入によって引き起こされたものではない</w:t>
      </w:r>
      <w:r w:rsidR="00796849">
        <w:rPr>
          <w:rFonts w:ascii="ＭＳ ゴシック" w:eastAsia="ＭＳ ゴシック" w:hAnsi="ＭＳ ゴシック" w:cs="ＭＳ ゴシック" w:hint="eastAsia"/>
          <w:sz w:val="19"/>
          <w:szCs w:val="19"/>
          <w:lang w:eastAsia="ja-JP"/>
        </w:rPr>
        <w:t>ので</w:t>
      </w:r>
      <w:r w:rsidRPr="00C94B15">
        <w:rPr>
          <w:rFonts w:ascii="ＭＳ ゴシック" w:eastAsia="ＭＳ ゴシック" w:hAnsi="ＭＳ ゴシック" w:cs="ＭＳ ゴシック" w:hint="eastAsia"/>
          <w:sz w:val="19"/>
          <w:szCs w:val="19"/>
          <w:lang w:eastAsia="ja-JP"/>
        </w:rPr>
        <w:t>、土地利用変化による影響は製品に起因するものではありません。</w:t>
      </w:r>
    </w:p>
    <w:p w14:paraId="5CCE7D24" w14:textId="77777777" w:rsidR="0055291C" w:rsidRDefault="00F23C61">
      <w:pPr>
        <w:rPr>
          <w:rFonts w:ascii="Arial"/>
          <w:i/>
          <w:sz w:val="20"/>
          <w:lang w:eastAsia="ja-JP"/>
        </w:rPr>
      </w:pPr>
      <w:r>
        <w:rPr>
          <w:lang w:eastAsia="ja-JP"/>
        </w:rPr>
        <w:br w:type="column"/>
      </w:r>
    </w:p>
    <w:p w14:paraId="78A3C716" w14:textId="77777777" w:rsidR="0055291C" w:rsidRDefault="0055291C" w:rsidP="00355E8C">
      <w:pPr>
        <w:pStyle w:val="a3"/>
        <w:spacing w:before="2"/>
        <w:ind w:leftChars="129" w:left="284" w:rightChars="316" w:right="695"/>
        <w:rPr>
          <w:rFonts w:ascii="Arial"/>
          <w:i/>
          <w:sz w:val="16"/>
          <w:lang w:eastAsia="ja-JP"/>
        </w:rPr>
      </w:pPr>
    </w:p>
    <w:p w14:paraId="49581A00" w14:textId="77777777" w:rsidR="00796849" w:rsidRPr="00796849" w:rsidRDefault="00796849" w:rsidP="00355E8C">
      <w:pPr>
        <w:pStyle w:val="a5"/>
        <w:numPr>
          <w:ilvl w:val="2"/>
          <w:numId w:val="22"/>
        </w:numPr>
        <w:tabs>
          <w:tab w:val="left" w:pos="966"/>
          <w:tab w:val="left" w:pos="967"/>
        </w:tabs>
        <w:spacing w:line="309" w:lineRule="auto"/>
        <w:ind w:leftChars="129" w:left="284" w:rightChars="316" w:right="695" w:firstLine="0"/>
        <w:jc w:val="left"/>
        <w:rPr>
          <w:sz w:val="19"/>
          <w:lang w:eastAsia="ja-JP"/>
        </w:rPr>
      </w:pPr>
      <w:r>
        <w:rPr>
          <w:rFonts w:ascii="ＭＳ ゴシック" w:eastAsia="ＭＳ ゴシック" w:hAnsi="ＭＳ ゴシック" w:cs="ＭＳ ゴシック" w:hint="eastAsia"/>
          <w:b/>
          <w:i/>
          <w:color w:val="00B8B1"/>
          <w:w w:val="95"/>
          <w:sz w:val="20"/>
          <w:lang w:eastAsia="ja-JP"/>
        </w:rPr>
        <w:t>土地利用変化による影響の算出</w:t>
      </w:r>
    </w:p>
    <w:p w14:paraId="730CF60C" w14:textId="25A74DA3" w:rsidR="0055291C" w:rsidRDefault="00796849" w:rsidP="00355E8C">
      <w:pPr>
        <w:pStyle w:val="a3"/>
        <w:spacing w:before="6" w:line="312" w:lineRule="auto"/>
        <w:ind w:leftChars="129" w:left="284" w:rightChars="316" w:right="695" w:firstLineChars="100" w:firstLine="190"/>
        <w:rPr>
          <w:lang w:eastAsia="ja-JP"/>
        </w:rPr>
      </w:pPr>
      <w:r>
        <w:rPr>
          <w:rFonts w:ascii="ＭＳ ゴシック" w:eastAsia="ＭＳ ゴシック" w:hAnsi="ＭＳ ゴシック" w:cs="ＭＳ ゴシック" w:hint="eastAsia"/>
          <w:lang w:eastAsia="ja-JP"/>
        </w:rPr>
        <w:t>特定の土地に関する情報が入手可能な場合、土地利用変化による影響のためのデータ収集は、本規格の第</w:t>
      </w:r>
      <w:r>
        <w:rPr>
          <w:lang w:eastAsia="ja-JP"/>
        </w:rPr>
        <w:t>8</w:t>
      </w:r>
      <w:r>
        <w:rPr>
          <w:rFonts w:ascii="ＭＳ ゴシック" w:eastAsia="ＭＳ ゴシック" w:hAnsi="ＭＳ ゴシック" w:cs="ＭＳ ゴシック" w:hint="eastAsia"/>
          <w:lang w:eastAsia="ja-JP"/>
        </w:rPr>
        <w:t>章に示されるデータ収集と品質に関する要件に従います。例えば、報告企業が製品を収穫する土地を所有している場合は、一次データが必要になります。報告企業が所有していない土地については、サプライヤーからの一次データが望ましいでしょう</w:t>
      </w:r>
      <w:r>
        <w:rPr>
          <w:lang w:eastAsia="ja-JP"/>
        </w:rPr>
        <w:t xml:space="preserve"> </w:t>
      </w:r>
      <w:r>
        <w:rPr>
          <w:rFonts w:ascii="ＭＳ ゴシック" w:eastAsia="ＭＳ ゴシック" w:hAnsi="ＭＳ ゴシック" w:cs="ＭＳ ゴシック" w:hint="eastAsia"/>
          <w:lang w:eastAsia="ja-JP"/>
        </w:rPr>
        <w:t>。この種のデータは、生産現場から直接収集され、実際の面積と使用された投入物の質量または量が記載されています。</w:t>
      </w:r>
    </w:p>
    <w:p w14:paraId="53482F48" w14:textId="1CA3A4E0" w:rsidR="0055291C" w:rsidRDefault="00796849" w:rsidP="00355E8C">
      <w:pPr>
        <w:pStyle w:val="a3"/>
        <w:spacing w:before="143" w:line="312" w:lineRule="auto"/>
        <w:ind w:leftChars="129" w:left="284" w:rightChars="316" w:right="695" w:firstLineChars="100" w:firstLine="190"/>
        <w:rPr>
          <w:lang w:eastAsia="ja-JP"/>
        </w:rPr>
      </w:pPr>
      <w:r>
        <w:rPr>
          <w:rFonts w:ascii="ＭＳ ゴシック" w:eastAsia="ＭＳ ゴシック" w:hAnsi="ＭＳ ゴシック" w:cs="ＭＳ ゴシック" w:hint="eastAsia"/>
          <w:lang w:eastAsia="ja-JP"/>
        </w:rPr>
        <w:t>生産現場からの一次データであっても、土壌からの炭素蓄積量の変化や排出量を測定するための一次データを入手できることはまずありません。場合によっては、二次データが査読付き雑誌で入手できることもありますが、そうでなければ、一般的な情報源は以下の通りです。</w:t>
      </w:r>
    </w:p>
    <w:p w14:paraId="134ABFFD" w14:textId="5C8E71AA" w:rsidR="0055291C" w:rsidRPr="00796849" w:rsidRDefault="00796849" w:rsidP="00355E8C">
      <w:pPr>
        <w:pStyle w:val="a5"/>
        <w:numPr>
          <w:ilvl w:val="0"/>
          <w:numId w:val="30"/>
        </w:numPr>
        <w:tabs>
          <w:tab w:val="left" w:pos="507"/>
        </w:tabs>
        <w:spacing w:before="129" w:line="309" w:lineRule="auto"/>
        <w:ind w:leftChars="129" w:left="544" w:rightChars="316" w:right="695"/>
        <w:rPr>
          <w:sz w:val="19"/>
          <w:szCs w:val="19"/>
          <w:lang w:eastAsia="ja-JP"/>
        </w:rPr>
      </w:pPr>
      <w:r w:rsidRPr="00796849">
        <w:rPr>
          <w:rFonts w:ascii="ＭＳ ゴシック" w:eastAsia="ＭＳ ゴシック" w:hAnsi="ＭＳ ゴシック" w:cs="ＭＳ ゴシック" w:hint="eastAsia"/>
          <w:sz w:val="19"/>
          <w:szCs w:val="19"/>
          <w:lang w:eastAsia="ja-JP"/>
        </w:rPr>
        <w:t>セクター固有の活動データ</w:t>
      </w:r>
      <w:r>
        <w:rPr>
          <w:rFonts w:ascii="ＭＳ ゴシック" w:eastAsia="ＭＳ ゴシック" w:hAnsi="ＭＳ ゴシック" w:cs="ＭＳ ゴシック" w:hint="eastAsia"/>
          <w:sz w:val="19"/>
          <w:szCs w:val="19"/>
          <w:lang w:eastAsia="ja-JP"/>
        </w:rPr>
        <w:t>や</w:t>
      </w:r>
      <w:r w:rsidRPr="00796849">
        <w:rPr>
          <w:rFonts w:ascii="ＭＳ ゴシック" w:eastAsia="ＭＳ ゴシック" w:hAnsi="ＭＳ ゴシック" w:cs="ＭＳ ゴシック" w:hint="eastAsia"/>
          <w:sz w:val="19"/>
          <w:szCs w:val="19"/>
          <w:lang w:eastAsia="ja-JP"/>
        </w:rPr>
        <w:t>排出係数。これらのデータは通常、特定のセクターを代表する団体、協同組合、</w:t>
      </w:r>
      <w:r w:rsidRPr="00796849">
        <w:rPr>
          <w:sz w:val="19"/>
          <w:szCs w:val="19"/>
          <w:lang w:eastAsia="ja-JP"/>
        </w:rPr>
        <w:t xml:space="preserve"> </w:t>
      </w:r>
      <w:r w:rsidRPr="00796849">
        <w:rPr>
          <w:rFonts w:ascii="ＭＳ ゴシック" w:eastAsia="ＭＳ ゴシック" w:hAnsi="ＭＳ ゴシック" w:cs="ＭＳ ゴシック" w:hint="eastAsia"/>
          <w:sz w:val="19"/>
          <w:szCs w:val="19"/>
          <w:lang w:eastAsia="ja-JP"/>
        </w:rPr>
        <w:t>研究機関によって提供される。このデータには、サイ</w:t>
      </w:r>
      <w:r w:rsidRPr="00796849">
        <w:rPr>
          <w:sz w:val="19"/>
          <w:szCs w:val="19"/>
          <w:lang w:eastAsia="ja-JP"/>
        </w:rPr>
        <w:t xml:space="preserve"> </w:t>
      </w:r>
      <w:r w:rsidRPr="00796849">
        <w:rPr>
          <w:rFonts w:ascii="ＭＳ ゴシック" w:eastAsia="ＭＳ ゴシック" w:hAnsi="ＭＳ ゴシック" w:cs="ＭＳ ゴシック" w:hint="eastAsia"/>
          <w:sz w:val="19"/>
          <w:szCs w:val="19"/>
          <w:lang w:eastAsia="ja-JP"/>
        </w:rPr>
        <w:t>ト別の活動データ</w:t>
      </w:r>
      <w:r w:rsidRPr="00796849">
        <w:rPr>
          <w:sz w:val="19"/>
          <w:szCs w:val="19"/>
          <w:lang w:eastAsia="ja-JP"/>
        </w:rPr>
        <w:t>/</w:t>
      </w:r>
      <w:r w:rsidRPr="00796849">
        <w:rPr>
          <w:rFonts w:ascii="ＭＳ ゴシック" w:eastAsia="ＭＳ ゴシック" w:hAnsi="ＭＳ ゴシック" w:cs="ＭＳ ゴシック" w:hint="eastAsia"/>
          <w:sz w:val="19"/>
          <w:szCs w:val="19"/>
          <w:lang w:eastAsia="ja-JP"/>
        </w:rPr>
        <w:t>排出量の集計が含まれることもある。</w:t>
      </w:r>
    </w:p>
    <w:p w14:paraId="35B416CA" w14:textId="4328F57E" w:rsidR="0055291C" w:rsidRDefault="00796849" w:rsidP="00355E8C">
      <w:pPr>
        <w:pStyle w:val="a5"/>
        <w:numPr>
          <w:ilvl w:val="0"/>
          <w:numId w:val="30"/>
        </w:numPr>
        <w:tabs>
          <w:tab w:val="left" w:pos="507"/>
        </w:tabs>
        <w:spacing w:line="312" w:lineRule="auto"/>
        <w:ind w:leftChars="129" w:left="544" w:rightChars="316" w:right="695"/>
        <w:rPr>
          <w:sz w:val="19"/>
          <w:lang w:eastAsia="ja-JP"/>
        </w:rPr>
      </w:pPr>
      <w:r w:rsidRPr="00796849">
        <w:rPr>
          <w:rFonts w:ascii="ＭＳ ゴシック" w:eastAsia="ＭＳ ゴシック" w:hAnsi="ＭＳ ゴシック" w:cs="ＭＳ ゴシック" w:hint="eastAsia"/>
          <w:sz w:val="19"/>
          <w:szCs w:val="19"/>
          <w:lang w:eastAsia="ja-JP"/>
        </w:rPr>
        <w:t>国別活動データ</w:t>
      </w:r>
      <w:r>
        <w:rPr>
          <w:rFonts w:ascii="ＭＳ ゴシック" w:eastAsia="ＭＳ ゴシック" w:hAnsi="ＭＳ ゴシック" w:cs="ＭＳ ゴシック" w:hint="eastAsia"/>
          <w:sz w:val="19"/>
          <w:szCs w:val="19"/>
          <w:lang w:eastAsia="ja-JP"/>
        </w:rPr>
        <w:t>や</w:t>
      </w:r>
      <w:r w:rsidRPr="00796849">
        <w:rPr>
          <w:rFonts w:ascii="ＭＳ ゴシック" w:eastAsia="ＭＳ ゴシック" w:hAnsi="ＭＳ ゴシック" w:cs="ＭＳ ゴシック" w:hint="eastAsia"/>
          <w:sz w:val="19"/>
          <w:szCs w:val="19"/>
          <w:lang w:eastAsia="ja-JP"/>
        </w:rPr>
        <w:t>排出係数。国別のバイオマス、農</w:t>
      </w:r>
      <w:r w:rsidRPr="00796849">
        <w:rPr>
          <w:sz w:val="19"/>
          <w:szCs w:val="19"/>
          <w:lang w:eastAsia="ja-JP"/>
        </w:rPr>
        <w:t xml:space="preserve"> </w:t>
      </w:r>
      <w:r w:rsidRPr="00796849">
        <w:rPr>
          <w:rFonts w:ascii="ＭＳ ゴシック" w:eastAsia="ＭＳ ゴシック" w:hAnsi="ＭＳ ゴシック" w:cs="ＭＳ ゴシック" w:hint="eastAsia"/>
          <w:sz w:val="19"/>
          <w:szCs w:val="19"/>
          <w:lang w:eastAsia="ja-JP"/>
        </w:rPr>
        <w:t>法、気候条件、土壌の種類、植生グループなどを反</w:t>
      </w:r>
      <w:r w:rsidRPr="00796849">
        <w:rPr>
          <w:sz w:val="19"/>
          <w:szCs w:val="19"/>
          <w:lang w:eastAsia="ja-JP"/>
        </w:rPr>
        <w:t xml:space="preserve"> </w:t>
      </w:r>
      <w:r w:rsidRPr="00796849">
        <w:rPr>
          <w:rFonts w:ascii="ＭＳ ゴシック" w:eastAsia="ＭＳ ゴシック" w:hAnsi="ＭＳ ゴシック" w:cs="ＭＳ ゴシック" w:hint="eastAsia"/>
          <w:sz w:val="19"/>
          <w:szCs w:val="19"/>
          <w:lang w:eastAsia="ja-JP"/>
        </w:rPr>
        <w:t>映した情報。これはさらに地域別のデータに分ける</w:t>
      </w:r>
      <w:r w:rsidRPr="00796849">
        <w:rPr>
          <w:sz w:val="19"/>
          <w:szCs w:val="19"/>
          <w:lang w:eastAsia="ja-JP"/>
        </w:rPr>
        <w:t xml:space="preserve"> </w:t>
      </w:r>
      <w:r w:rsidRPr="00796849">
        <w:rPr>
          <w:rFonts w:ascii="ＭＳ ゴシック" w:eastAsia="ＭＳ ゴシック" w:hAnsi="ＭＳ ゴシック" w:cs="ＭＳ ゴシック" w:hint="eastAsia"/>
          <w:sz w:val="19"/>
          <w:szCs w:val="19"/>
          <w:lang w:eastAsia="ja-JP"/>
        </w:rPr>
        <w:t>ことができる。この種の情報は、各国の温室効果ガ</w:t>
      </w:r>
      <w:r w:rsidRPr="00796849">
        <w:rPr>
          <w:sz w:val="19"/>
          <w:szCs w:val="19"/>
          <w:lang w:eastAsia="ja-JP"/>
        </w:rPr>
        <w:t xml:space="preserve"> </w:t>
      </w:r>
      <w:r w:rsidRPr="00796849">
        <w:rPr>
          <w:rFonts w:ascii="ＭＳ ゴシック" w:eastAsia="ＭＳ ゴシック" w:hAnsi="ＭＳ ゴシック" w:cs="ＭＳ ゴシック" w:hint="eastAsia"/>
          <w:sz w:val="19"/>
          <w:szCs w:val="19"/>
          <w:lang w:eastAsia="ja-JP"/>
        </w:rPr>
        <w:t>ス</w:t>
      </w:r>
      <w:r w:rsidR="00355E8C">
        <w:rPr>
          <w:rFonts w:ascii="ＭＳ ゴシック" w:eastAsia="ＭＳ ゴシック" w:hAnsi="ＭＳ ゴシック" w:cs="ＭＳ ゴシック" w:hint="eastAsia"/>
          <w:sz w:val="19"/>
          <w:szCs w:val="19"/>
          <w:lang w:eastAsia="ja-JP"/>
        </w:rPr>
        <w:t>排出量</w:t>
      </w:r>
      <w:r w:rsidRPr="00796849">
        <w:rPr>
          <w:rFonts w:ascii="ＭＳ ゴシック" w:eastAsia="ＭＳ ゴシック" w:hAnsi="ＭＳ ゴシック" w:cs="ＭＳ ゴシック" w:hint="eastAsia"/>
          <w:sz w:val="19"/>
          <w:szCs w:val="19"/>
          <w:lang w:eastAsia="ja-JP"/>
        </w:rPr>
        <w:t>やその他の政府公式出版物、また各国の専門家から入手することができる。</w:t>
      </w:r>
    </w:p>
    <w:p w14:paraId="698C9EE9" w14:textId="0163B2DE" w:rsidR="0055291C" w:rsidRDefault="00355E8C" w:rsidP="00355E8C">
      <w:pPr>
        <w:pStyle w:val="a3"/>
        <w:numPr>
          <w:ilvl w:val="0"/>
          <w:numId w:val="30"/>
        </w:numPr>
        <w:spacing w:before="57" w:line="312" w:lineRule="auto"/>
        <w:ind w:leftChars="129" w:left="544" w:rightChars="316" w:right="695"/>
        <w:rPr>
          <w:lang w:eastAsia="ja-JP"/>
        </w:rPr>
      </w:pPr>
      <w:r w:rsidRPr="00355E8C">
        <w:rPr>
          <w:rFonts w:ascii="ＭＳ ゴシック" w:eastAsia="ＭＳ ゴシック" w:hAnsi="ＭＳ ゴシック" w:cs="ＭＳ ゴシック" w:hint="eastAsia"/>
          <w:color w:val="545456"/>
          <w:spacing w:val="-1"/>
          <w:szCs w:val="22"/>
          <w:lang w:eastAsia="ja-JP"/>
        </w:rPr>
        <w:t>一般的な活動データ</w:t>
      </w:r>
      <w:r>
        <w:rPr>
          <w:rFonts w:ascii="ＭＳ ゴシック" w:eastAsia="ＭＳ ゴシック" w:hAnsi="ＭＳ ゴシック" w:cs="ＭＳ ゴシック" w:hint="eastAsia"/>
          <w:color w:val="545456"/>
          <w:spacing w:val="-1"/>
          <w:szCs w:val="22"/>
          <w:lang w:eastAsia="ja-JP"/>
        </w:rPr>
        <w:t>や</w:t>
      </w:r>
      <w:r w:rsidRPr="00355E8C">
        <w:rPr>
          <w:rFonts w:ascii="ＭＳ ゴシック" w:eastAsia="ＭＳ ゴシック" w:hAnsi="ＭＳ ゴシック" w:cs="ＭＳ ゴシック" w:hint="eastAsia"/>
          <w:color w:val="545456"/>
          <w:spacing w:val="-1"/>
          <w:szCs w:val="22"/>
          <w:lang w:eastAsia="ja-JP"/>
        </w:rPr>
        <w:t>排出係数。これらは</w:t>
      </w:r>
      <w:r w:rsidRPr="00355E8C">
        <w:rPr>
          <w:color w:val="545456"/>
          <w:spacing w:val="-1"/>
          <w:szCs w:val="22"/>
          <w:lang w:eastAsia="ja-JP"/>
        </w:rPr>
        <w:t xml:space="preserve">IPCC8 </w:t>
      </w:r>
      <w:r w:rsidRPr="00355E8C">
        <w:rPr>
          <w:rFonts w:ascii="ＭＳ ゴシック" w:eastAsia="ＭＳ ゴシック" w:hAnsi="ＭＳ ゴシック" w:cs="ＭＳ ゴシック" w:hint="eastAsia"/>
          <w:color w:val="545456"/>
          <w:spacing w:val="-1"/>
          <w:szCs w:val="22"/>
          <w:lang w:eastAsia="ja-JP"/>
        </w:rPr>
        <w:t>や</w:t>
      </w:r>
      <w:r w:rsidRPr="00355E8C">
        <w:rPr>
          <w:color w:val="545456"/>
          <w:spacing w:val="-1"/>
          <w:szCs w:val="22"/>
          <w:lang w:eastAsia="ja-JP"/>
        </w:rPr>
        <w:t xml:space="preserve"> FAOSTAT9 </w:t>
      </w:r>
      <w:r w:rsidRPr="00355E8C">
        <w:rPr>
          <w:rFonts w:ascii="ＭＳ ゴシック" w:eastAsia="ＭＳ ゴシック" w:hAnsi="ＭＳ ゴシック" w:cs="ＭＳ ゴシック" w:hint="eastAsia"/>
          <w:color w:val="545456"/>
          <w:spacing w:val="-1"/>
          <w:szCs w:val="22"/>
          <w:lang w:eastAsia="ja-JP"/>
        </w:rPr>
        <w:t>などで提供されている既定値。これらのデータは、高活性粘土土壌や熱帯雨林のような広いカテゴリーを参照しており、通常、炭素</w:t>
      </w:r>
      <w:r>
        <w:rPr>
          <w:rFonts w:ascii="ＭＳ ゴシック" w:eastAsia="ＭＳ ゴシック" w:hAnsi="ＭＳ ゴシック" w:cs="ＭＳ ゴシック" w:hint="eastAsia"/>
          <w:color w:val="545456"/>
          <w:spacing w:val="-1"/>
          <w:szCs w:val="22"/>
          <w:lang w:eastAsia="ja-JP"/>
        </w:rPr>
        <w:t>蓄積量</w:t>
      </w:r>
      <w:r w:rsidRPr="00355E8C">
        <w:rPr>
          <w:rFonts w:ascii="ＭＳ ゴシック" w:eastAsia="ＭＳ ゴシック" w:hAnsi="ＭＳ ゴシック" w:cs="ＭＳ ゴシック" w:hint="eastAsia"/>
          <w:color w:val="545456"/>
          <w:spacing w:val="-1"/>
          <w:szCs w:val="22"/>
          <w:lang w:eastAsia="ja-JP"/>
        </w:rPr>
        <w:t>変化の影響だけでなく、土地利用変化による排出もデフォルトの排出係数に含まれる。</w:t>
      </w:r>
    </w:p>
    <w:p w14:paraId="52B94229" w14:textId="7D73489E" w:rsidR="0055291C" w:rsidRDefault="00355E8C" w:rsidP="00355E8C">
      <w:pPr>
        <w:pStyle w:val="a3"/>
        <w:spacing w:before="142" w:line="312" w:lineRule="auto"/>
        <w:ind w:leftChars="129" w:left="284" w:rightChars="316" w:right="695" w:firstLineChars="100" w:firstLine="190"/>
        <w:rPr>
          <w:lang w:eastAsia="ja-JP"/>
        </w:rPr>
      </w:pPr>
      <w:r>
        <w:rPr>
          <w:rFonts w:ascii="ＭＳ ゴシック" w:eastAsia="ＭＳ ゴシック" w:hAnsi="ＭＳ ゴシック" w:cs="ＭＳ ゴシック" w:hint="eastAsia"/>
          <w:lang w:eastAsia="ja-JP"/>
        </w:rPr>
        <w:t>図</w:t>
      </w:r>
      <w:r>
        <w:rPr>
          <w:lang w:eastAsia="ja-JP"/>
        </w:rPr>
        <w:t>B.1</w:t>
      </w:r>
      <w:r>
        <w:rPr>
          <w:rFonts w:ascii="ＭＳ ゴシック" w:eastAsia="ＭＳ ゴシック" w:hAnsi="ＭＳ ゴシック" w:cs="ＭＳ ゴシック" w:hint="eastAsia"/>
          <w:lang w:eastAsia="ja-JP"/>
        </w:rPr>
        <w:t>は、炭素蓄積量の情報を使って土地利用変化による影響を計算する方法を示す簡略図です。この例では、林地が耕作地に転換され、炭素蓄積量の変化により</w:t>
      </w:r>
      <w:r>
        <w:rPr>
          <w:lang w:eastAsia="ja-JP"/>
        </w:rPr>
        <w:t>150</w:t>
      </w:r>
      <w:r>
        <w:rPr>
          <w:rFonts w:ascii="ＭＳ ゴシック" w:eastAsia="ＭＳ ゴシック" w:hAnsi="ＭＳ ゴシック" w:cs="ＭＳ ゴシック" w:hint="eastAsia"/>
          <w:lang w:eastAsia="ja-JP"/>
        </w:rPr>
        <w:t>トンの炭素が放出されています。評価期間内に複数の炭素蓄積量の変化が発生した場合、すべての変化の総合的な影響を考慮する必要があります。</w:t>
      </w:r>
      <w:r>
        <w:rPr>
          <w:lang w:eastAsia="ja-JP"/>
        </w:rPr>
        <w:t xml:space="preserve"> </w:t>
      </w:r>
    </w:p>
    <w:p w14:paraId="282BFFDB" w14:textId="77777777" w:rsidR="0055291C" w:rsidRDefault="0055291C">
      <w:pPr>
        <w:spacing w:line="312" w:lineRule="auto"/>
        <w:rPr>
          <w:lang w:eastAsia="ja-JP"/>
        </w:rPr>
        <w:sectPr w:rsidR="0055291C">
          <w:type w:val="continuous"/>
          <w:pgSz w:w="12240" w:h="15840"/>
          <w:pgMar w:top="740" w:right="0" w:bottom="280" w:left="0" w:header="957" w:footer="859" w:gutter="0"/>
          <w:cols w:num="2" w:space="720" w:equalWidth="0">
            <w:col w:w="5975" w:space="40"/>
            <w:col w:w="6225"/>
          </w:cols>
        </w:sectPr>
      </w:pPr>
    </w:p>
    <w:p w14:paraId="3B0329AF" w14:textId="77777777" w:rsidR="0055291C" w:rsidRDefault="0055291C">
      <w:pPr>
        <w:pStyle w:val="a3"/>
        <w:rPr>
          <w:sz w:val="20"/>
          <w:lang w:eastAsia="ja-JP"/>
        </w:rPr>
      </w:pPr>
    </w:p>
    <w:p w14:paraId="0362F01A" w14:textId="77777777" w:rsidR="0055291C" w:rsidRDefault="0055291C">
      <w:pPr>
        <w:pStyle w:val="a3"/>
        <w:spacing w:before="8"/>
        <w:rPr>
          <w:sz w:val="25"/>
          <w:lang w:eastAsia="ja-JP"/>
        </w:rPr>
      </w:pPr>
    </w:p>
    <w:p w14:paraId="05A1BA8A" w14:textId="06647BC0" w:rsidR="0055291C" w:rsidRDefault="000B5D34">
      <w:pPr>
        <w:pStyle w:val="6"/>
        <w:rPr>
          <w:lang w:eastAsia="ja-JP"/>
        </w:rPr>
      </w:pPr>
      <w:r>
        <w:rPr>
          <w:rFonts w:ascii="ＭＳ 明朝" w:eastAsia="ＭＳ 明朝" w:hAnsi="ＭＳ 明朝" w:cs="ＭＳ 明朝" w:hint="eastAsia"/>
          <w:color w:val="00ACA1"/>
          <w:w w:val="95"/>
          <w:lang w:eastAsia="ja-JP"/>
        </w:rPr>
        <w:t>図</w:t>
      </w:r>
      <w:r w:rsidR="00F23C61">
        <w:rPr>
          <w:color w:val="00ACA1"/>
          <w:spacing w:val="9"/>
          <w:w w:val="95"/>
          <w:lang w:eastAsia="ja-JP"/>
        </w:rPr>
        <w:t xml:space="preserve"> </w:t>
      </w:r>
      <w:r w:rsidR="00F23C61">
        <w:rPr>
          <w:color w:val="00ACA1"/>
          <w:w w:val="95"/>
          <w:lang w:eastAsia="ja-JP"/>
        </w:rPr>
        <w:t>[B.1]</w:t>
      </w:r>
      <w:r w:rsidRPr="000B5D34">
        <w:rPr>
          <w:lang w:eastAsia="ja-JP"/>
        </w:rPr>
        <w:t xml:space="preserve"> </w:t>
      </w:r>
      <w:r>
        <w:rPr>
          <w:rFonts w:ascii="ＭＳ 明朝" w:eastAsia="ＭＳ 明朝" w:hAnsi="ＭＳ 明朝" w:cs="ＭＳ 明朝" w:hint="eastAsia"/>
          <w:lang w:eastAsia="ja-JP"/>
        </w:rPr>
        <w:t>炭素ストック変化量計算の簡略図</w:t>
      </w:r>
    </w:p>
    <w:p w14:paraId="287DF03D" w14:textId="77777777" w:rsidR="0055291C" w:rsidRDefault="0055291C">
      <w:pPr>
        <w:pStyle w:val="a3"/>
        <w:rPr>
          <w:rFonts w:ascii="Arial"/>
          <w:b/>
          <w:sz w:val="20"/>
          <w:lang w:eastAsia="ja-JP"/>
        </w:rPr>
      </w:pPr>
    </w:p>
    <w:p w14:paraId="02761F2B" w14:textId="77777777" w:rsidR="0055291C" w:rsidRDefault="0055291C">
      <w:pPr>
        <w:pStyle w:val="a3"/>
        <w:spacing w:before="7"/>
        <w:rPr>
          <w:rFonts w:ascii="Arial"/>
          <w:b/>
          <w:sz w:val="15"/>
          <w:lang w:eastAsia="ja-JP"/>
        </w:rPr>
      </w:pPr>
    </w:p>
    <w:p w14:paraId="08966148" w14:textId="77777777" w:rsidR="0055291C" w:rsidRDefault="0055291C">
      <w:pPr>
        <w:rPr>
          <w:rFonts w:ascii="Arial"/>
          <w:sz w:val="15"/>
          <w:lang w:eastAsia="ja-JP"/>
        </w:rPr>
        <w:sectPr w:rsidR="0055291C">
          <w:pgSz w:w="12240" w:h="15840"/>
          <w:pgMar w:top="1160" w:right="0" w:bottom="1040" w:left="0" w:header="957" w:footer="859" w:gutter="0"/>
          <w:cols w:space="720"/>
        </w:sectPr>
      </w:pPr>
    </w:p>
    <w:p w14:paraId="0C1EC487" w14:textId="1A5FC447" w:rsidR="0055291C" w:rsidRDefault="00000000">
      <w:pPr>
        <w:spacing w:before="101" w:line="646" w:lineRule="exact"/>
        <w:ind w:left="2229"/>
        <w:rPr>
          <w:rFonts w:ascii="Arial"/>
          <w:i/>
          <w:sz w:val="23"/>
          <w:lang w:eastAsia="ja-JP"/>
        </w:rPr>
      </w:pPr>
      <w:r>
        <w:pict w14:anchorId="055552D7">
          <v:group id="docshapegroup1545" o:spid="_x0000_s2306" style="position:absolute;left:0;text-align:left;margin-left:117pt;margin-top:12.95pt;width:246.6pt;height:95.65pt;z-index:-251539968;mso-position-horizontal-relative:page" coordorigin="2340,259" coordsize="4932,1913">
            <v:shape id="docshape1546" o:spid="_x0000_s2316" type="#_x0000_t75" style="position:absolute;left:5192;top:259;width:217;height:240">
              <v:imagedata r:id="rId352" o:title=""/>
            </v:shape>
            <v:shape id="docshape1547" o:spid="_x0000_s2315" type="#_x0000_t75" style="position:absolute;left:5192;top:529;width:217;height:240">
              <v:imagedata r:id="rId353" o:title=""/>
            </v:shape>
            <v:shape id="docshape1548" o:spid="_x0000_s2314" type="#_x0000_t75" style="position:absolute;left:5192;top:815;width:217;height:240">
              <v:imagedata r:id="rId354" o:title=""/>
            </v:shape>
            <v:shape id="docshape1549" o:spid="_x0000_s2313" type="#_x0000_t75" style="position:absolute;left:5192;top:1096;width:217;height:240">
              <v:imagedata r:id="rId355" o:title=""/>
            </v:shape>
            <v:shape id="docshape1550" o:spid="_x0000_s2312" type="#_x0000_t75" style="position:absolute;left:4868;top:259;width:217;height:240">
              <v:imagedata r:id="rId356" o:title=""/>
            </v:shape>
            <v:shape id="docshape1551" o:spid="_x0000_s2311" type="#_x0000_t75" style="position:absolute;left:4868;top:529;width:217;height:240">
              <v:imagedata r:id="rId357" o:title=""/>
            </v:shape>
            <v:shape id="docshape1552" o:spid="_x0000_s2310" type="#_x0000_t75" style="position:absolute;left:4868;top:815;width:217;height:240">
              <v:imagedata r:id="rId358" o:title=""/>
            </v:shape>
            <v:shape id="docshape1553" o:spid="_x0000_s2309" type="#_x0000_t75" style="position:absolute;left:4868;top:1096;width:217;height:240">
              <v:imagedata r:id="rId358" o:title=""/>
            </v:shape>
            <v:rect id="docshape1554" o:spid="_x0000_s2308" style="position:absolute;left:5117;top:298;width:35;height:1386" fillcolor="#545456" stroked="f"/>
            <v:shape id="docshape1555" o:spid="_x0000_s2307" style="position:absolute;left:2340;top:1720;width:4932;height:452" coordorigin="2340,1721" coordsize="4932,452" path="m6958,1721r-24,3l6918,1741r-6,30l6913,1839r-147,1l2379,1840r-39,38l2340,2015r4,14l2352,2041r12,8l2379,2053r4387,-1l6913,2052r1,69l6920,2151r16,18l6961,2172r30,-12l7240,2002r24,-22l7272,1953r-8,-26l7241,1903,6988,1734r-30,-13xe" fillcolor="#545456" stroked="f">
              <v:fill opacity=".5"/>
              <v:path arrowok="t"/>
            </v:shape>
            <w10:wrap anchorx="page"/>
          </v:group>
        </w:pict>
      </w:r>
      <w:r>
        <w:pict w14:anchorId="3557AD6A">
          <v:group id="docshapegroup1556" o:spid="_x0000_s2303" style="position:absolute;left:0;text-align:left;margin-left:55.25pt;margin-top:11.6pt;width:45.55pt;height:90.7pt;z-index:251659776;mso-position-horizontal-relative:page" coordorigin="1105,232" coordsize="911,1814">
            <v:shape id="docshape1557" o:spid="_x0000_s2305" type="#_x0000_t75" style="position:absolute;left:1474;top:1794;width:171;height:252">
              <v:imagedata r:id="rId359" o:title=""/>
            </v:shape>
            <v:shape id="docshape1558" o:spid="_x0000_s2304" style="position:absolute;left:1105;top:232;width:911;height:1527" coordorigin="1105,232" coordsize="911,1527" o:spt="100" adj="0,,0" path="m1804,706r-6,-27l1601,255r-20,-20l1557,232r-24,13l1516,271,1326,679r-9,34l1322,739r16,17l1362,763r400,l1786,754r14,-21l1804,706xm1924,1221r-1,-35l1795,855r-10,-20l1774,821r-15,-8l1735,811r-362,l1357,815r-11,10l1335,846r-137,354l1194,1221r4,17l1209,1250r19,4l1866,1254r25,-2l1912,1242r12,-21xm2016,1699r-6,-53l1908,1346r-9,-29l1887,1302r-16,-5l1852,1296r-574,l1254,1297r-17,4l1224,1313r-7,23l1107,1671r-2,40l1110,1739r11,15l1137,1759r852,l2001,1751r10,-19l2016,1699xe" fillcolor="#00aca1" stroked="f">
              <v:stroke joinstyle="round"/>
              <v:formulas/>
              <v:path arrowok="t" o:connecttype="segments"/>
            </v:shape>
            <w10:wrap anchorx="page"/>
          </v:group>
        </w:pict>
      </w:r>
      <w:r w:rsidR="00F23C61">
        <w:rPr>
          <w:rFonts w:ascii="Arial"/>
          <w:b/>
          <w:i/>
          <w:color w:val="545456"/>
          <w:w w:val="102"/>
          <w:sz w:val="86"/>
          <w:lang w:eastAsia="ja-JP"/>
        </w:rPr>
        <w:t>20</w:t>
      </w:r>
      <w:r w:rsidR="00F23C61">
        <w:rPr>
          <w:rFonts w:ascii="Arial"/>
          <w:b/>
          <w:i/>
          <w:color w:val="545456"/>
          <w:spacing w:val="53"/>
          <w:w w:val="102"/>
          <w:sz w:val="86"/>
          <w:lang w:eastAsia="ja-JP"/>
        </w:rPr>
        <w:t>0</w:t>
      </w:r>
      <w:r w:rsidR="00F23C61" w:rsidRPr="000B5D34">
        <w:rPr>
          <w:rFonts w:ascii="Arial"/>
          <w:i/>
          <w:color w:val="545456"/>
          <w:w w:val="101"/>
          <w:position w:val="1"/>
          <w:sz w:val="36"/>
          <w:szCs w:val="36"/>
          <w:lang w:eastAsia="ja-JP"/>
        </w:rPr>
        <w:t>t</w:t>
      </w:r>
      <w:r w:rsidR="00F23C61" w:rsidRPr="000B5D34">
        <w:rPr>
          <w:rFonts w:ascii="Arial"/>
          <w:i/>
          <w:color w:val="545456"/>
          <w:spacing w:val="-9"/>
          <w:position w:val="1"/>
          <w:sz w:val="36"/>
          <w:szCs w:val="36"/>
          <w:lang w:eastAsia="ja-JP"/>
        </w:rPr>
        <w:t xml:space="preserve"> </w:t>
      </w:r>
      <w:r w:rsidR="00F23C61" w:rsidRPr="000B5D34">
        <w:rPr>
          <w:rFonts w:ascii="Arial"/>
          <w:i/>
          <w:color w:val="545456"/>
          <w:spacing w:val="-19"/>
          <w:w w:val="87"/>
          <w:position w:val="1"/>
          <w:sz w:val="36"/>
          <w:szCs w:val="36"/>
          <w:lang w:eastAsia="ja-JP"/>
        </w:rPr>
        <w:t>C</w:t>
      </w:r>
    </w:p>
    <w:p w14:paraId="13663073" w14:textId="07B852BA" w:rsidR="0055291C" w:rsidRDefault="00F23C61">
      <w:pPr>
        <w:spacing w:before="101" w:line="646" w:lineRule="exact"/>
        <w:ind w:left="1272"/>
        <w:rPr>
          <w:rFonts w:ascii="Arial"/>
          <w:i/>
          <w:sz w:val="23"/>
        </w:rPr>
      </w:pPr>
      <w:r>
        <w:rPr>
          <w:lang w:eastAsia="ja-JP"/>
        </w:rPr>
        <w:br w:type="column"/>
      </w:r>
      <w:r>
        <w:rPr>
          <w:rFonts w:ascii="Arial"/>
          <w:b/>
          <w:i/>
          <w:color w:val="545456"/>
          <w:spacing w:val="-2"/>
          <w:sz w:val="86"/>
        </w:rPr>
        <w:t>50</w:t>
      </w:r>
      <w:r>
        <w:rPr>
          <w:rFonts w:ascii="Arial"/>
          <w:b/>
          <w:i/>
          <w:color w:val="545456"/>
          <w:spacing w:val="-136"/>
          <w:sz w:val="86"/>
        </w:rPr>
        <w:t xml:space="preserve"> </w:t>
      </w:r>
      <w:r w:rsidRPr="000B5D34">
        <w:rPr>
          <w:rFonts w:ascii="Arial"/>
          <w:i/>
          <w:color w:val="545456"/>
          <w:spacing w:val="-1"/>
          <w:sz w:val="36"/>
          <w:szCs w:val="36"/>
        </w:rPr>
        <w:t>t</w:t>
      </w:r>
      <w:r w:rsidRPr="000B5D34">
        <w:rPr>
          <w:rFonts w:ascii="Arial"/>
          <w:i/>
          <w:color w:val="545456"/>
          <w:spacing w:val="-9"/>
          <w:sz w:val="36"/>
          <w:szCs w:val="36"/>
        </w:rPr>
        <w:t xml:space="preserve"> </w:t>
      </w:r>
      <w:r w:rsidRPr="000B5D34">
        <w:rPr>
          <w:rFonts w:ascii="Arial"/>
          <w:i/>
          <w:color w:val="545456"/>
          <w:spacing w:val="-1"/>
          <w:sz w:val="36"/>
          <w:szCs w:val="36"/>
        </w:rPr>
        <w:t>C</w:t>
      </w:r>
    </w:p>
    <w:p w14:paraId="525D65F3" w14:textId="0B545256" w:rsidR="0055291C" w:rsidRDefault="00F23C61">
      <w:pPr>
        <w:pStyle w:val="2"/>
        <w:spacing w:line="353" w:lineRule="exact"/>
      </w:pPr>
      <w:r>
        <w:rPr>
          <w:b w:val="0"/>
          <w:i w:val="0"/>
        </w:rPr>
        <w:br w:type="column"/>
      </w:r>
      <w:r w:rsidR="000B5D34">
        <w:rPr>
          <w:rFonts w:ascii="ＭＳ 明朝" w:eastAsia="ＭＳ 明朝" w:hAnsi="ＭＳ 明朝" w:cs="ＭＳ 明朝" w:hint="eastAsia"/>
          <w:color w:val="00ACA1"/>
          <w:lang w:eastAsia="ja-JP"/>
        </w:rPr>
        <w:t>総炭素蓄積量変化</w:t>
      </w:r>
    </w:p>
    <w:p w14:paraId="641CFABC" w14:textId="6606FB4D" w:rsidR="0055291C" w:rsidRDefault="00000000">
      <w:pPr>
        <w:spacing w:line="216" w:lineRule="exact"/>
        <w:ind w:left="931"/>
        <w:rPr>
          <w:rFonts w:ascii="Arial"/>
          <w:b/>
          <w:i/>
          <w:sz w:val="36"/>
        </w:rPr>
      </w:pPr>
      <w:r>
        <w:pict w14:anchorId="67F109C7">
          <v:shape id="docshape1560" o:spid="_x0000_s2301" type="#_x0000_t202" style="position:absolute;left:0;text-align:left;margin-left:516pt;margin-top:61.4pt;width:38.15pt;height:19.15pt;z-index:251662848;mso-position-horizontal-relative:page" filled="f" stroked="f">
            <v:textbox inset="0,0,0,0">
              <w:txbxContent>
                <w:p w14:paraId="028454FC" w14:textId="3CE77147" w:rsidR="0055291C" w:rsidRPr="000B5D34" w:rsidRDefault="00F23C61" w:rsidP="000B5D34">
                  <w:pPr>
                    <w:spacing w:before="6" w:line="261" w:lineRule="exact"/>
                    <w:jc w:val="center"/>
                    <w:rPr>
                      <w:rFonts w:ascii="Arial"/>
                      <w:i/>
                      <w:sz w:val="32"/>
                      <w:szCs w:val="32"/>
                    </w:rPr>
                  </w:pPr>
                  <w:r w:rsidRPr="000B5D34">
                    <w:rPr>
                      <w:rFonts w:ascii="Arial"/>
                      <w:i/>
                      <w:color w:val="545456"/>
                      <w:w w:val="95"/>
                      <w:sz w:val="32"/>
                      <w:szCs w:val="32"/>
                    </w:rPr>
                    <w:t>t</w:t>
                  </w:r>
                  <w:r w:rsidRPr="000B5D34">
                    <w:rPr>
                      <w:rFonts w:ascii="Arial"/>
                      <w:i/>
                      <w:color w:val="545456"/>
                      <w:spacing w:val="-10"/>
                      <w:w w:val="95"/>
                      <w:sz w:val="32"/>
                      <w:szCs w:val="32"/>
                    </w:rPr>
                    <w:t xml:space="preserve"> </w:t>
                  </w:r>
                  <w:r w:rsidRPr="000B5D34">
                    <w:rPr>
                      <w:rFonts w:ascii="Arial"/>
                      <w:i/>
                      <w:color w:val="545456"/>
                      <w:w w:val="95"/>
                      <w:sz w:val="32"/>
                      <w:szCs w:val="32"/>
                    </w:rPr>
                    <w:t>C</w:t>
                  </w:r>
                </w:p>
              </w:txbxContent>
            </v:textbox>
            <w10:wrap anchorx="page"/>
          </v:shape>
        </w:pict>
      </w:r>
      <w:r>
        <w:pict w14:anchorId="7FA494E5">
          <v:shape id="docshape1559" o:spid="_x0000_s2302" style="position:absolute;left:0;text-align:left;margin-left:379.25pt;margin-top:-19.25pt;width:27.6pt;height:99.8pt;z-index:251660800;mso-position-horizontal-relative:page" coordorigin="7585,-385" coordsize="552,1996" path="m7601,-385r-16,l7585,-282r39,1l7659,-278r76,22l7781,-209r23,74l7809,-69r2,80l7811,58r,220l7811,315r5,65l7832,460r26,61l7907,580r46,32l7937,621r-57,49l7848,721r-23,68l7813,876r-2,71l7811,1168r,46l7809,1295r-5,65l7781,1434r-46,47l7659,1503r-74,4l7585,1610r16,l7648,1609r83,-11l7797,1575r52,-33l7902,1473r21,-58l7935,1345r3,-79l7938,866r1,-18l7956,775r43,-61l8067,673r69,-11l8136,561r-69,-10l8014,522r-50,-57l7941,394r-3,-36l7938,-41r-1,-40l7930,-155r-16,-64l7887,-273r-62,-61l7766,-362r-74,-17l7648,-383r-47,-2xe" fillcolor="#545456" stroked="f">
            <v:fill opacity=".5"/>
            <v:path arrowok="t"/>
            <w10:wrap anchorx="page"/>
          </v:shape>
        </w:pict>
      </w:r>
    </w:p>
    <w:p w14:paraId="46CBE7DF" w14:textId="77777777" w:rsidR="0055291C" w:rsidRDefault="0055291C">
      <w:pPr>
        <w:spacing w:line="216" w:lineRule="exact"/>
        <w:rPr>
          <w:rFonts w:ascii="Arial"/>
          <w:sz w:val="36"/>
        </w:rPr>
        <w:sectPr w:rsidR="0055291C">
          <w:type w:val="continuous"/>
          <w:pgSz w:w="12240" w:h="15840"/>
          <w:pgMar w:top="740" w:right="0" w:bottom="280" w:left="0" w:header="0" w:footer="859" w:gutter="0"/>
          <w:cols w:num="3" w:space="720" w:equalWidth="0">
            <w:col w:w="4400" w:space="40"/>
            <w:col w:w="2999" w:space="39"/>
            <w:col w:w="4762"/>
          </w:cols>
        </w:sectPr>
      </w:pPr>
    </w:p>
    <w:p w14:paraId="178B2D3B" w14:textId="4A9B9F07" w:rsidR="0055291C" w:rsidRDefault="000B5D34">
      <w:pPr>
        <w:pStyle w:val="2"/>
        <w:spacing w:before="224"/>
        <w:ind w:left="2309"/>
      </w:pPr>
      <w:r>
        <w:rPr>
          <w:rFonts w:ascii="ＭＳ 明朝" w:eastAsia="ＭＳ 明朝" w:hAnsi="ＭＳ 明朝" w:cs="ＭＳ 明朝" w:hint="eastAsia"/>
          <w:color w:val="545456"/>
          <w:lang w:eastAsia="ja-JP"/>
        </w:rPr>
        <w:t>森林貯蔵</w:t>
      </w:r>
    </w:p>
    <w:p w14:paraId="5152F465" w14:textId="4F30A855" w:rsidR="0055291C" w:rsidRDefault="00000000">
      <w:pPr>
        <w:spacing w:before="210"/>
        <w:ind w:left="1369"/>
        <w:rPr>
          <w:rFonts w:ascii="Arial"/>
          <w:b/>
          <w:i/>
          <w:sz w:val="35"/>
        </w:rPr>
      </w:pPr>
      <w:r>
        <w:pict w14:anchorId="25110969">
          <v:shape id="docshape1561" o:spid="_x0000_s2300" type="#_x0000_t202" style="position:absolute;left:0;text-align:left;margin-left:165pt;margin-top:20.1pt;width:157.5pt;height:10.95pt;z-index:251661824;mso-position-horizontal-relative:page" filled="f" stroked="f">
            <v:textbox inset="0,0,0,0">
              <w:txbxContent>
                <w:p w14:paraId="54528BB2" w14:textId="4E9E728E" w:rsidR="0055291C" w:rsidRDefault="00F23C61">
                  <w:pPr>
                    <w:spacing w:line="213" w:lineRule="exact"/>
                    <w:rPr>
                      <w:rFonts w:ascii="Arial"/>
                      <w:b/>
                      <w:i/>
                      <w:sz w:val="19"/>
                      <w:lang w:eastAsia="ja-JP"/>
                    </w:rPr>
                  </w:pPr>
                  <w:r>
                    <w:rPr>
                      <w:rFonts w:ascii="Arial"/>
                      <w:b/>
                      <w:i/>
                      <w:color w:val="FFFFFF"/>
                      <w:w w:val="95"/>
                      <w:sz w:val="19"/>
                      <w:lang w:eastAsia="ja-JP"/>
                    </w:rPr>
                    <w:t>20</w:t>
                  </w:r>
                  <w:r>
                    <w:rPr>
                      <w:rFonts w:ascii="Arial"/>
                      <w:b/>
                      <w:i/>
                      <w:color w:val="FFFFFF"/>
                      <w:spacing w:val="-8"/>
                      <w:w w:val="95"/>
                      <w:sz w:val="19"/>
                      <w:lang w:eastAsia="ja-JP"/>
                    </w:rPr>
                    <w:t xml:space="preserve"> </w:t>
                  </w:r>
                  <w:r w:rsidR="000B5D34">
                    <w:rPr>
                      <w:rFonts w:ascii="ＭＳ ゴシック" w:eastAsia="ＭＳ ゴシック" w:hAnsi="ＭＳ ゴシック" w:cs="ＭＳ ゴシック" w:hint="eastAsia"/>
                      <w:b/>
                      <w:i/>
                      <w:color w:val="FFFFFF"/>
                      <w:w w:val="95"/>
                      <w:sz w:val="19"/>
                      <w:lang w:eastAsia="ja-JP"/>
                    </w:rPr>
                    <w:t>年</w:t>
                  </w:r>
                  <w:r>
                    <w:rPr>
                      <w:rFonts w:ascii="Arial"/>
                      <w:b/>
                      <w:i/>
                      <w:color w:val="FFFFFF"/>
                      <w:spacing w:val="-8"/>
                      <w:w w:val="95"/>
                      <w:sz w:val="19"/>
                      <w:lang w:eastAsia="ja-JP"/>
                    </w:rPr>
                    <w:t xml:space="preserve"> </w:t>
                  </w:r>
                  <w:r>
                    <w:rPr>
                      <w:rFonts w:ascii="Arial"/>
                      <w:b/>
                      <w:i/>
                      <w:color w:val="FFFFFF"/>
                      <w:w w:val="95"/>
                      <w:sz w:val="19"/>
                      <w:lang w:eastAsia="ja-JP"/>
                    </w:rPr>
                    <w:t>(</w:t>
                  </w:r>
                  <w:r w:rsidR="000B5D34">
                    <w:rPr>
                      <w:rFonts w:ascii="ＭＳ ゴシック" w:eastAsia="ＭＳ ゴシック" w:hAnsi="ＭＳ ゴシック" w:cs="ＭＳ ゴシック" w:hint="eastAsia"/>
                      <w:b/>
                      <w:i/>
                      <w:color w:val="FFFFFF"/>
                      <w:w w:val="95"/>
                      <w:sz w:val="19"/>
                      <w:lang w:eastAsia="ja-JP"/>
                    </w:rPr>
                    <w:t>もしくは収穫までの期間</w:t>
                  </w:r>
                  <w:r>
                    <w:rPr>
                      <w:rFonts w:ascii="Arial"/>
                      <w:b/>
                      <w:i/>
                      <w:color w:val="FFFFFF"/>
                      <w:w w:val="95"/>
                      <w:sz w:val="19"/>
                      <w:lang w:eastAsia="ja-JP"/>
                    </w:rPr>
                    <w:t>)</w:t>
                  </w:r>
                </w:p>
              </w:txbxContent>
            </v:textbox>
            <w10:wrap anchorx="page"/>
          </v:shape>
        </w:pict>
      </w:r>
      <w:r w:rsidR="00F23C61">
        <w:br w:type="column"/>
      </w:r>
      <w:r w:rsidR="000B5D34">
        <w:rPr>
          <w:rFonts w:ascii="ＭＳ ゴシック" w:eastAsia="ＭＳ ゴシック" w:hAnsi="ＭＳ ゴシック" w:cs="ＭＳ ゴシック" w:hint="eastAsia"/>
          <w:b/>
          <w:i/>
          <w:color w:val="545456"/>
          <w:w w:val="95"/>
          <w:sz w:val="35"/>
          <w:lang w:eastAsia="ja-JP"/>
        </w:rPr>
        <w:t>収穫物</w:t>
      </w:r>
    </w:p>
    <w:p w14:paraId="767696DD" w14:textId="77777777" w:rsidR="0055291C" w:rsidRDefault="00F23C61">
      <w:pPr>
        <w:spacing w:line="1457" w:lineRule="exact"/>
        <w:ind w:left="722"/>
        <w:rPr>
          <w:rFonts w:ascii="Arial"/>
          <w:b/>
          <w:i/>
          <w:sz w:val="127"/>
        </w:rPr>
      </w:pPr>
      <w:r>
        <w:br w:type="column"/>
      </w:r>
      <w:r>
        <w:rPr>
          <w:rFonts w:ascii="Arial"/>
          <w:b/>
          <w:i/>
          <w:color w:val="545456"/>
          <w:sz w:val="127"/>
        </w:rPr>
        <w:t>150</w:t>
      </w:r>
    </w:p>
    <w:p w14:paraId="3E8683C3" w14:textId="77777777" w:rsidR="0055291C" w:rsidRDefault="0055291C">
      <w:pPr>
        <w:spacing w:line="1457" w:lineRule="exact"/>
        <w:rPr>
          <w:rFonts w:ascii="Arial"/>
          <w:sz w:val="127"/>
        </w:rPr>
        <w:sectPr w:rsidR="0055291C">
          <w:type w:val="continuous"/>
          <w:pgSz w:w="12240" w:h="15840"/>
          <w:pgMar w:top="740" w:right="0" w:bottom="280" w:left="0" w:header="0" w:footer="859" w:gutter="0"/>
          <w:cols w:num="3" w:space="720" w:equalWidth="0">
            <w:col w:w="4303" w:space="40"/>
            <w:col w:w="3075" w:space="39"/>
            <w:col w:w="4783"/>
          </w:cols>
        </w:sectPr>
      </w:pPr>
    </w:p>
    <w:p w14:paraId="4979A3D6" w14:textId="77777777" w:rsidR="0055291C" w:rsidRDefault="0055291C">
      <w:pPr>
        <w:pStyle w:val="a3"/>
        <w:rPr>
          <w:rFonts w:ascii="Arial"/>
          <w:b/>
          <w:i/>
          <w:sz w:val="25"/>
        </w:rPr>
      </w:pPr>
    </w:p>
    <w:p w14:paraId="5A8F13F8" w14:textId="77777777" w:rsidR="0055291C" w:rsidRDefault="00000000">
      <w:pPr>
        <w:pStyle w:val="a3"/>
        <w:spacing w:line="183" w:lineRule="exact"/>
        <w:ind w:left="1105"/>
        <w:rPr>
          <w:rFonts w:ascii="Arial"/>
          <w:sz w:val="18"/>
        </w:rPr>
      </w:pPr>
      <w:r>
        <w:rPr>
          <w:rFonts w:ascii="Arial"/>
          <w:position w:val="-3"/>
          <w:sz w:val="18"/>
        </w:rPr>
      </w:r>
      <w:r>
        <w:rPr>
          <w:rFonts w:ascii="Arial"/>
          <w:position w:val="-3"/>
          <w:sz w:val="18"/>
        </w:rPr>
        <w:pict w14:anchorId="15A3FF26">
          <v:group id="docshapegroup1562" o:spid="_x0000_s2298" style="width:498.65pt;height:9.2pt;mso-position-horizontal-relative:char;mso-position-vertical-relative:line" coordsize="9973,184">
            <v:rect id="docshape1563" o:spid="_x0000_s2299" style="position:absolute;width:9973;height:184" fillcolor="#545456" stroked="f"/>
            <w10:anchorlock/>
          </v:group>
        </w:pict>
      </w:r>
    </w:p>
    <w:p w14:paraId="3DFDF905" w14:textId="77777777" w:rsidR="0055291C" w:rsidRDefault="0055291C">
      <w:pPr>
        <w:pStyle w:val="a3"/>
        <w:rPr>
          <w:rFonts w:ascii="Arial"/>
          <w:b/>
          <w:i/>
          <w:sz w:val="20"/>
        </w:rPr>
      </w:pPr>
    </w:p>
    <w:p w14:paraId="53470C2F" w14:textId="77777777" w:rsidR="0055291C" w:rsidRDefault="0055291C">
      <w:pPr>
        <w:pStyle w:val="a3"/>
        <w:rPr>
          <w:rFonts w:ascii="Arial"/>
          <w:b/>
          <w:i/>
          <w:sz w:val="20"/>
        </w:rPr>
      </w:pPr>
    </w:p>
    <w:p w14:paraId="67AB38F8" w14:textId="77777777" w:rsidR="0055291C" w:rsidRDefault="0055291C">
      <w:pPr>
        <w:pStyle w:val="a3"/>
        <w:rPr>
          <w:rFonts w:ascii="Arial"/>
          <w:b/>
          <w:i/>
          <w:sz w:val="17"/>
        </w:rPr>
      </w:pPr>
    </w:p>
    <w:p w14:paraId="2EB57064" w14:textId="77777777" w:rsidR="0055291C" w:rsidRDefault="0055291C">
      <w:pPr>
        <w:rPr>
          <w:rFonts w:ascii="Arial"/>
          <w:sz w:val="17"/>
        </w:rPr>
        <w:sectPr w:rsidR="0055291C">
          <w:type w:val="continuous"/>
          <w:pgSz w:w="12240" w:h="15840"/>
          <w:pgMar w:top="740" w:right="0" w:bottom="280" w:left="0" w:header="0" w:footer="859" w:gutter="0"/>
          <w:cols w:space="720"/>
        </w:sectPr>
      </w:pPr>
    </w:p>
    <w:p w14:paraId="42811AAD" w14:textId="683A47FC" w:rsidR="0055291C" w:rsidRDefault="00305FC4" w:rsidP="007212AE">
      <w:pPr>
        <w:pStyle w:val="a3"/>
        <w:spacing w:before="2" w:line="312" w:lineRule="auto"/>
        <w:ind w:left="567" w:right="438"/>
        <w:rPr>
          <w:lang w:eastAsia="ja-JP"/>
        </w:rPr>
      </w:pPr>
      <w:r>
        <w:rPr>
          <w:rFonts w:ascii="ＭＳ ゴシック" w:eastAsia="ＭＳ ゴシック" w:hAnsi="ＭＳ ゴシック" w:cs="ＭＳ ゴシック" w:hint="eastAsia"/>
          <w:lang w:eastAsia="ja-JP"/>
        </w:rPr>
        <w:t>木が転換されない森林</w:t>
      </w:r>
      <w:r>
        <w:rPr>
          <w:lang w:eastAsia="ja-JP"/>
        </w:rPr>
        <w:t>(</w:t>
      </w:r>
      <w:r>
        <w:rPr>
          <w:rFonts w:ascii="ＭＳ ゴシック" w:eastAsia="ＭＳ ゴシック" w:hAnsi="ＭＳ ゴシック" w:cs="ＭＳ ゴシック" w:hint="eastAsia"/>
          <w:lang w:eastAsia="ja-JP"/>
        </w:rPr>
        <w:t>残存林</w:t>
      </w:r>
      <w:r>
        <w:rPr>
          <w:lang w:eastAsia="ja-JP"/>
        </w:rPr>
        <w:t>)</w:t>
      </w:r>
      <w:r>
        <w:rPr>
          <w:rFonts w:ascii="ＭＳ ゴシック" w:eastAsia="ＭＳ ゴシック" w:hAnsi="ＭＳ ゴシック" w:cs="ＭＳ ゴシック" w:hint="eastAsia"/>
          <w:lang w:eastAsia="ja-JP"/>
        </w:rPr>
        <w:t>から伐採された場合、森林密度の変化に基づいて炭素蓄積量の変化を計算することができます。土地利用変化による影響の計算を完了するために、企業は炭素蓄積量や土地利用変化によりどのような排出が発生したかを検討する必要があります。</w:t>
      </w:r>
      <w:r>
        <w:rPr>
          <w:lang w:eastAsia="ja-JP"/>
        </w:rPr>
        <w:t xml:space="preserve"> </w:t>
      </w:r>
      <w:r>
        <w:rPr>
          <w:rFonts w:ascii="ＭＳ ゴシック" w:eastAsia="ＭＳ ゴシック" w:hAnsi="ＭＳ ゴシック" w:cs="ＭＳ ゴシック" w:hint="eastAsia"/>
          <w:lang w:eastAsia="ja-JP"/>
        </w:rPr>
        <w:t>ただし、デフォルトの排出係数にすでに含まれている場合は除きます。</w:t>
      </w:r>
    </w:p>
    <w:p w14:paraId="32320F08" w14:textId="77777777" w:rsidR="00305FC4" w:rsidRPr="00305FC4" w:rsidRDefault="00305FC4" w:rsidP="007212AE">
      <w:pPr>
        <w:pStyle w:val="a5"/>
        <w:numPr>
          <w:ilvl w:val="2"/>
          <w:numId w:val="22"/>
        </w:numPr>
        <w:tabs>
          <w:tab w:val="left" w:pos="1853"/>
          <w:tab w:val="left" w:pos="1854"/>
        </w:tabs>
        <w:spacing w:before="129" w:line="309" w:lineRule="auto"/>
        <w:ind w:left="567" w:right="438" w:firstLine="0"/>
        <w:jc w:val="left"/>
        <w:rPr>
          <w:sz w:val="19"/>
          <w:lang w:eastAsia="ja-JP"/>
        </w:rPr>
      </w:pPr>
      <w:r>
        <w:rPr>
          <w:rFonts w:ascii="ＭＳ ゴシック" w:eastAsia="ＭＳ ゴシック" w:hAnsi="ＭＳ ゴシック" w:cs="ＭＳ ゴシック" w:hint="eastAsia"/>
          <w:b/>
          <w:i/>
          <w:color w:val="00B8B1"/>
          <w:w w:val="95"/>
          <w:sz w:val="20"/>
          <w:lang w:eastAsia="ja-JP"/>
        </w:rPr>
        <w:t>土地利用変化の影響による割り当て</w:t>
      </w:r>
    </w:p>
    <w:p w14:paraId="769F45E4" w14:textId="4FFB8E1C" w:rsidR="0055291C" w:rsidRDefault="00305FC4" w:rsidP="007212AE">
      <w:pPr>
        <w:pStyle w:val="a3"/>
        <w:spacing w:before="1" w:line="276" w:lineRule="auto"/>
        <w:ind w:left="567" w:right="438" w:firstLineChars="100" w:firstLine="190"/>
        <w:rPr>
          <w:lang w:eastAsia="ja-JP"/>
        </w:rPr>
      </w:pPr>
      <w:r>
        <w:rPr>
          <w:rFonts w:ascii="ＭＳ ゴシック" w:eastAsia="ＭＳ ゴシック" w:hAnsi="ＭＳ ゴシック" w:cs="ＭＳ ゴシック" w:hint="eastAsia"/>
          <w:lang w:eastAsia="ja-JP"/>
        </w:rPr>
        <w:t>土地利用変化による影響がライフサイクルに帰属するとみなされ、影響が特定された場合、企業はその影響を調査対象製品とその他の副産物に配分する必要があります。これは、ほとんどの場合、土地利用変化は何年にもわたって製品を生産する土地で発生するため、土地利用変化の影響のすべてをその地域内で最初に発生する製品に適用するのは適切でないためです。上の図</w:t>
      </w:r>
      <w:r>
        <w:rPr>
          <w:lang w:eastAsia="ja-JP"/>
        </w:rPr>
        <w:t>B.1</w:t>
      </w:r>
      <w:r>
        <w:rPr>
          <w:rFonts w:ascii="ＭＳ ゴシック" w:eastAsia="ＭＳ ゴシック" w:hAnsi="ＭＳ ゴシック" w:cs="ＭＳ ゴシック" w:hint="eastAsia"/>
          <w:lang w:eastAsia="ja-JP"/>
        </w:rPr>
        <w:t>の例を用いて、ある</w:t>
      </w:r>
      <w:r>
        <w:rPr>
          <w:lang w:eastAsia="ja-JP"/>
        </w:rPr>
        <w:t xml:space="preserve"> </w:t>
      </w:r>
      <w:r>
        <w:rPr>
          <w:rFonts w:ascii="ＭＳ ゴシック" w:eastAsia="ＭＳ ゴシック" w:hAnsi="ＭＳ ゴシック" w:cs="ＭＳ ゴシック" w:hint="eastAsia"/>
          <w:lang w:eastAsia="ja-JP"/>
        </w:rPr>
        <w:t>企業は製品（この例では作物）に関連する炭素</w:t>
      </w:r>
      <w:r w:rsidR="00934B3D">
        <w:rPr>
          <w:rFonts w:ascii="ＭＳ ゴシック" w:eastAsia="ＭＳ ゴシック" w:hAnsi="ＭＳ ゴシック" w:cs="ＭＳ ゴシック" w:hint="eastAsia"/>
          <w:lang w:eastAsia="ja-JP"/>
        </w:rPr>
        <w:t>蓄積量</w:t>
      </w:r>
      <w:r>
        <w:rPr>
          <w:rFonts w:ascii="ＭＳ ゴシック" w:eastAsia="ＭＳ ゴシック" w:hAnsi="ＭＳ ゴシック" w:cs="ＭＳ ゴシック" w:hint="eastAsia"/>
          <w:lang w:eastAsia="ja-JP"/>
        </w:rPr>
        <w:t>変化を</w:t>
      </w:r>
      <w:r>
        <w:rPr>
          <w:lang w:eastAsia="ja-JP"/>
        </w:rPr>
        <w:t>150</w:t>
      </w:r>
      <w:r>
        <w:rPr>
          <w:rFonts w:ascii="ＭＳ ゴシック" w:eastAsia="ＭＳ ゴシック" w:hAnsi="ＭＳ ゴシック" w:cs="ＭＳ ゴシック" w:hint="eastAsia"/>
          <w:lang w:eastAsia="ja-JP"/>
        </w:rPr>
        <w:t>トン計算し</w:t>
      </w:r>
      <w:r w:rsidR="00934B3D">
        <w:rPr>
          <w:rFonts w:ascii="ＭＳ ゴシック" w:eastAsia="ＭＳ ゴシック" w:hAnsi="ＭＳ ゴシック" w:cs="ＭＳ ゴシック" w:hint="eastAsia"/>
          <w:lang w:eastAsia="ja-JP"/>
        </w:rPr>
        <w:t>ました</w:t>
      </w:r>
      <w:r>
        <w:rPr>
          <w:rFonts w:ascii="ＭＳ ゴシック" w:eastAsia="ＭＳ ゴシック" w:hAnsi="ＭＳ ゴシック" w:cs="ＭＳ ゴシック" w:hint="eastAsia"/>
          <w:lang w:eastAsia="ja-JP"/>
        </w:rPr>
        <w:t>。次の問題は、どのようにその土地から収穫される製品に排出量を分配する</w:t>
      </w:r>
      <w:r w:rsidR="00934B3D">
        <w:rPr>
          <w:rFonts w:ascii="ＭＳ ゴシック" w:eastAsia="ＭＳ ゴシック" w:hAnsi="ＭＳ ゴシック" w:cs="ＭＳ ゴシック" w:hint="eastAsia"/>
          <w:lang w:eastAsia="ja-JP"/>
        </w:rPr>
        <w:t>か、ということです。</w:t>
      </w:r>
      <w:r>
        <w:rPr>
          <w:rFonts w:ascii="ＭＳ ゴシック" w:eastAsia="ＭＳ ゴシック" w:hAnsi="ＭＳ ゴシック" w:cs="ＭＳ ゴシック" w:hint="eastAsia"/>
          <w:lang w:eastAsia="ja-JP"/>
        </w:rPr>
        <w:t>図</w:t>
      </w:r>
      <w:r>
        <w:rPr>
          <w:lang w:eastAsia="ja-JP"/>
        </w:rPr>
        <w:t>B.2</w:t>
      </w:r>
      <w:r>
        <w:rPr>
          <w:rFonts w:ascii="ＭＳ ゴシック" w:eastAsia="ＭＳ ゴシック" w:hAnsi="ＭＳ ゴシック" w:cs="ＭＳ ゴシック" w:hint="eastAsia"/>
          <w:lang w:eastAsia="ja-JP"/>
        </w:rPr>
        <w:t>は、土地利用変化による影響を時間的に分配する</w:t>
      </w:r>
      <w:r>
        <w:rPr>
          <w:lang w:eastAsia="ja-JP"/>
        </w:rPr>
        <w:t>3</w:t>
      </w:r>
      <w:r>
        <w:rPr>
          <w:rFonts w:ascii="ＭＳ ゴシック" w:eastAsia="ＭＳ ゴシック" w:hAnsi="ＭＳ ゴシック" w:cs="ＭＳ ゴシック" w:hint="eastAsia"/>
          <w:lang w:eastAsia="ja-JP"/>
        </w:rPr>
        <w:t>つの方法を示してい</w:t>
      </w:r>
      <w:r w:rsidR="00934B3D">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w:t>
      </w:r>
      <w:r>
        <w:rPr>
          <w:lang w:eastAsia="ja-JP"/>
        </w:rPr>
        <w:t xml:space="preserve"> A) </w:t>
      </w:r>
      <w:r>
        <w:rPr>
          <w:rFonts w:ascii="ＭＳ ゴシック" w:eastAsia="ＭＳ ゴシック" w:hAnsi="ＭＳ ゴシック" w:cs="ＭＳ ゴシック" w:hint="eastAsia"/>
          <w:lang w:eastAsia="ja-JP"/>
        </w:rPr>
        <w:t>単年、</w:t>
      </w:r>
      <w:r>
        <w:rPr>
          <w:lang w:eastAsia="ja-JP"/>
        </w:rPr>
        <w:t>B) 20</w:t>
      </w:r>
      <w:r>
        <w:rPr>
          <w:rFonts w:ascii="ＭＳ ゴシック" w:eastAsia="ＭＳ ゴシック" w:hAnsi="ＭＳ ゴシック" w:cs="ＭＳ ゴシック" w:hint="eastAsia"/>
          <w:lang w:eastAsia="ja-JP"/>
        </w:rPr>
        <w:t>年一定、</w:t>
      </w:r>
      <w:r>
        <w:rPr>
          <w:lang w:eastAsia="ja-JP"/>
        </w:rPr>
        <w:t>C) 20</w:t>
      </w:r>
      <w:r>
        <w:rPr>
          <w:rFonts w:ascii="ＭＳ ゴシック" w:eastAsia="ＭＳ ゴシック" w:hAnsi="ＭＳ ゴシック" w:cs="ＭＳ ゴシック" w:hint="eastAsia"/>
          <w:lang w:eastAsia="ja-JP"/>
        </w:rPr>
        <w:t>年減少の</w:t>
      </w:r>
      <w:r w:rsidR="00934B3D">
        <w:rPr>
          <w:rFonts w:ascii="ＭＳ ゴシック" w:eastAsia="ＭＳ ゴシック" w:hAnsi="ＭＳ ゴシック" w:cs="ＭＳ ゴシック" w:hint="eastAsia"/>
          <w:lang w:eastAsia="ja-JP"/>
        </w:rPr>
        <w:t>３つです。</w:t>
      </w:r>
    </w:p>
    <w:p w14:paraId="574939EE" w14:textId="77777777" w:rsidR="0055291C" w:rsidRDefault="0055291C" w:rsidP="007212AE">
      <w:pPr>
        <w:pStyle w:val="a3"/>
        <w:spacing w:before="1"/>
        <w:ind w:left="567" w:right="438"/>
        <w:rPr>
          <w:sz w:val="18"/>
          <w:lang w:eastAsia="ja-JP"/>
        </w:rPr>
      </w:pPr>
    </w:p>
    <w:p w14:paraId="04D7463B" w14:textId="77777777" w:rsidR="00910F09" w:rsidRDefault="00934B3D" w:rsidP="007212AE">
      <w:pPr>
        <w:pStyle w:val="a3"/>
        <w:spacing w:before="1" w:line="312" w:lineRule="auto"/>
        <w:ind w:left="567" w:right="438" w:firstLineChars="100" w:firstLine="190"/>
        <w:rPr>
          <w:rFonts w:ascii="ＭＳ ゴシック" w:eastAsia="ＭＳ ゴシック" w:hAnsi="ＭＳ ゴシック" w:cs="ＭＳ ゴシック"/>
          <w:color w:val="545456"/>
          <w:lang w:eastAsia="ja-JP"/>
        </w:rPr>
      </w:pPr>
      <w:r>
        <w:rPr>
          <w:rFonts w:ascii="ＭＳ ゴシック" w:eastAsia="ＭＳ ゴシック" w:hAnsi="ＭＳ ゴシック" w:cs="ＭＳ ゴシック" w:hint="eastAsia"/>
          <w:lang w:eastAsia="ja-JP"/>
        </w:rPr>
        <w:t>この基準では、土地利用変化による影響は、</w:t>
      </w:r>
      <w:r>
        <w:rPr>
          <w:lang w:eastAsia="ja-JP"/>
        </w:rPr>
        <w:t>B</w:t>
      </w:r>
      <w:r>
        <w:rPr>
          <w:rFonts w:asciiTheme="minorEastAsia" w:eastAsiaTheme="minorEastAsia" w:hAnsiTheme="minorEastAsia" w:hint="eastAsia"/>
          <w:lang w:eastAsia="ja-JP"/>
        </w:rPr>
        <w:t>)</w:t>
      </w:r>
      <w:r>
        <w:rPr>
          <w:rFonts w:ascii="ＭＳ ゴシック" w:eastAsia="ＭＳ ゴシック" w:hAnsi="ＭＳ ゴシック" w:cs="ＭＳ ゴシック" w:hint="eastAsia"/>
          <w:lang w:eastAsia="ja-JP"/>
        </w:rPr>
        <w:t>を用いて、</w:t>
      </w:r>
      <w:r>
        <w:rPr>
          <w:lang w:eastAsia="ja-JP"/>
        </w:rPr>
        <w:t>20</w:t>
      </w:r>
      <w:r>
        <w:rPr>
          <w:rFonts w:ascii="ＭＳ ゴシック" w:eastAsia="ＭＳ ゴシック" w:hAnsi="ＭＳ ゴシック" w:cs="ＭＳ ゴシック" w:hint="eastAsia"/>
          <w:lang w:eastAsia="ja-JP"/>
        </w:rPr>
        <w:t>年または</w:t>
      </w:r>
      <w:r>
        <w:rPr>
          <w:lang w:eastAsia="ja-JP"/>
        </w:rPr>
        <w:t>1</w:t>
      </w:r>
      <w:r>
        <w:rPr>
          <w:rFonts w:ascii="ＭＳ ゴシック" w:eastAsia="ＭＳ ゴシック" w:hAnsi="ＭＳ ゴシック" w:cs="ＭＳ ゴシック" w:hint="eastAsia"/>
          <w:lang w:eastAsia="ja-JP"/>
        </w:rPr>
        <w:t>回の収穫の長さのいずれか長い償却期間にわたって均等に配分されます（オプション</w:t>
      </w:r>
      <w:r>
        <w:rPr>
          <w:lang w:eastAsia="ja-JP"/>
        </w:rPr>
        <w:t>B</w:t>
      </w:r>
      <w:r>
        <w:rPr>
          <w:rFonts w:ascii="ＭＳ ゴシック" w:eastAsia="ＭＳ ゴシック" w:hAnsi="ＭＳ ゴシック" w:cs="ＭＳ ゴシック" w:hint="eastAsia"/>
          <w:lang w:eastAsia="ja-JP"/>
        </w:rPr>
        <w:t>：</w:t>
      </w:r>
      <w:r>
        <w:rPr>
          <w:lang w:eastAsia="ja-JP"/>
        </w:rPr>
        <w:t>20</w:t>
      </w:r>
      <w:r>
        <w:rPr>
          <w:rFonts w:ascii="ＭＳ ゴシック" w:eastAsia="ＭＳ ゴシック" w:hAnsi="ＭＳ ゴシック" w:cs="ＭＳ ゴシック" w:hint="eastAsia"/>
          <w:lang w:eastAsia="ja-JP"/>
        </w:rPr>
        <w:t>年または</w:t>
      </w:r>
      <w:r>
        <w:rPr>
          <w:lang w:eastAsia="ja-JP"/>
        </w:rPr>
        <w:t>1</w:t>
      </w:r>
      <w:r>
        <w:rPr>
          <w:rFonts w:ascii="ＭＳ ゴシック" w:eastAsia="ＭＳ ゴシック" w:hAnsi="ＭＳ ゴシック" w:cs="ＭＳ ゴシック" w:hint="eastAsia"/>
          <w:lang w:eastAsia="ja-JP"/>
        </w:rPr>
        <w:t>回の収穫の長さのいずれか長い償却期間）。</w:t>
      </w:r>
      <w:r>
        <w:rPr>
          <w:lang w:eastAsia="ja-JP"/>
        </w:rPr>
        <w:t xml:space="preserve"> </w:t>
      </w:r>
      <w:r w:rsidR="00910F09" w:rsidRPr="00910F09">
        <w:rPr>
          <w:rFonts w:ascii="ＭＳ ゴシック" w:eastAsia="ＭＳ ゴシック" w:hAnsi="ＭＳ ゴシック" w:cs="ＭＳ ゴシック" w:hint="eastAsia"/>
          <w:color w:val="545456"/>
          <w:lang w:eastAsia="ja-JP"/>
        </w:rPr>
        <w:t>このオプションは、</w:t>
      </w:r>
      <w:r w:rsidR="00910F09" w:rsidRPr="00910F09">
        <w:rPr>
          <w:color w:val="545456"/>
          <w:lang w:eastAsia="ja-JP"/>
        </w:rPr>
        <w:t>GHG</w:t>
      </w:r>
      <w:r w:rsidR="00910F09">
        <w:rPr>
          <w:rFonts w:ascii="ＭＳ ゴシック" w:eastAsia="ＭＳ ゴシック" w:hAnsi="ＭＳ ゴシック" w:cs="ＭＳ ゴシック" w:hint="eastAsia"/>
          <w:color w:val="545456"/>
          <w:lang w:eastAsia="ja-JP"/>
        </w:rPr>
        <w:t>報告書</w:t>
      </w:r>
      <w:r w:rsidR="00910F09" w:rsidRPr="00910F09">
        <w:rPr>
          <w:rFonts w:ascii="ＭＳ ゴシック" w:eastAsia="ＭＳ ゴシック" w:hAnsi="ＭＳ ゴシック" w:cs="ＭＳ ゴシック" w:hint="eastAsia"/>
          <w:color w:val="545456"/>
          <w:lang w:eastAsia="ja-JP"/>
        </w:rPr>
        <w:t>で使用するために、影響を分配する最も一貫した方法として選択され</w:t>
      </w:r>
      <w:r w:rsidR="00910F09">
        <w:rPr>
          <w:rFonts w:ascii="ＭＳ ゴシック" w:eastAsia="ＭＳ ゴシック" w:hAnsi="ＭＳ ゴシック" w:cs="ＭＳ ゴシック" w:hint="eastAsia"/>
          <w:color w:val="545456"/>
          <w:lang w:eastAsia="ja-JP"/>
        </w:rPr>
        <w:t>ました</w:t>
      </w:r>
      <w:r w:rsidR="00910F09" w:rsidRPr="00910F09">
        <w:rPr>
          <w:rFonts w:ascii="ＭＳ ゴシック" w:eastAsia="ＭＳ ゴシック" w:hAnsi="ＭＳ ゴシック" w:cs="ＭＳ ゴシック" w:hint="eastAsia"/>
          <w:color w:val="545456"/>
          <w:lang w:eastAsia="ja-JP"/>
        </w:rPr>
        <w:t>。</w:t>
      </w:r>
      <w:r w:rsidR="00910F09" w:rsidRPr="00910F09">
        <w:rPr>
          <w:color w:val="545456"/>
          <w:lang w:eastAsia="ja-JP"/>
        </w:rPr>
        <w:t xml:space="preserve"> A</w:t>
      </w:r>
      <w:r w:rsidR="00910F09">
        <w:rPr>
          <w:rFonts w:asciiTheme="minorEastAsia" w:eastAsiaTheme="minorEastAsia" w:hAnsiTheme="minorEastAsia" w:hint="eastAsia"/>
          <w:color w:val="545456"/>
          <w:lang w:eastAsia="ja-JP"/>
        </w:rPr>
        <w:t>)</w:t>
      </w:r>
      <w:r w:rsidR="00910F09" w:rsidRPr="00910F09">
        <w:rPr>
          <w:rFonts w:ascii="ＭＳ ゴシック" w:eastAsia="ＭＳ ゴシック" w:hAnsi="ＭＳ ゴシック" w:cs="ＭＳ ゴシック" w:hint="eastAsia"/>
          <w:color w:val="545456"/>
          <w:lang w:eastAsia="ja-JP"/>
        </w:rPr>
        <w:t>と</w:t>
      </w:r>
      <w:r w:rsidR="00910F09" w:rsidRPr="00910F09">
        <w:rPr>
          <w:color w:val="545456"/>
          <w:lang w:eastAsia="ja-JP"/>
        </w:rPr>
        <w:t>C</w:t>
      </w:r>
      <w:r w:rsidR="00910F09">
        <w:rPr>
          <w:rFonts w:asciiTheme="minorEastAsia" w:eastAsiaTheme="minorEastAsia" w:hAnsiTheme="minorEastAsia" w:hint="eastAsia"/>
          <w:color w:val="545456"/>
          <w:lang w:eastAsia="ja-JP"/>
        </w:rPr>
        <w:t>)</w:t>
      </w:r>
      <w:r w:rsidR="00910F09" w:rsidRPr="00910F09">
        <w:rPr>
          <w:rFonts w:ascii="ＭＳ ゴシック" w:eastAsia="ＭＳ ゴシック" w:hAnsi="ＭＳ ゴシック" w:cs="ＭＳ ゴシック" w:hint="eastAsia"/>
          <w:color w:val="545456"/>
          <w:lang w:eastAsia="ja-JP"/>
        </w:rPr>
        <w:t>は、企業が土地利用変動の影響を減らすために</w:t>
      </w:r>
      <w:r w:rsidR="00910F09">
        <w:rPr>
          <w:rFonts w:ascii="ＭＳ ゴシック" w:eastAsia="ＭＳ ゴシック" w:hAnsi="ＭＳ ゴシック" w:cs="ＭＳ ゴシック" w:hint="eastAsia"/>
          <w:color w:val="545456"/>
          <w:lang w:eastAsia="ja-JP"/>
        </w:rPr>
        <w:t>排出量</w:t>
      </w:r>
      <w:r w:rsidR="00910F09" w:rsidRPr="00910F09">
        <w:rPr>
          <w:rFonts w:ascii="ＭＳ ゴシック" w:eastAsia="ＭＳ ゴシック" w:hAnsi="ＭＳ ゴシック" w:cs="ＭＳ ゴシック" w:hint="eastAsia"/>
          <w:color w:val="545456"/>
          <w:lang w:eastAsia="ja-JP"/>
        </w:rPr>
        <w:t>報告を遅らせるインセンティブとなるため</w:t>
      </w:r>
      <w:r w:rsidR="00910F09">
        <w:rPr>
          <w:rFonts w:ascii="ＭＳ ゴシック" w:eastAsia="ＭＳ ゴシック" w:hAnsi="ＭＳ ゴシック" w:cs="ＭＳ ゴシック" w:hint="eastAsia"/>
          <w:color w:val="545456"/>
          <w:lang w:eastAsia="ja-JP"/>
        </w:rPr>
        <w:t>です</w:t>
      </w:r>
      <w:r w:rsidR="00910F09" w:rsidRPr="00910F09">
        <w:rPr>
          <w:rFonts w:ascii="ＭＳ ゴシック" w:eastAsia="ＭＳ ゴシック" w:hAnsi="ＭＳ ゴシック" w:cs="ＭＳ ゴシック" w:hint="eastAsia"/>
          <w:color w:val="545456"/>
          <w:lang w:eastAsia="ja-JP"/>
        </w:rPr>
        <w:t>。</w:t>
      </w:r>
    </w:p>
    <w:p w14:paraId="651FEE66" w14:textId="4B606B83" w:rsidR="0055291C" w:rsidRDefault="00F23C61" w:rsidP="007212AE">
      <w:pPr>
        <w:pStyle w:val="a3"/>
        <w:spacing w:before="1" w:line="312" w:lineRule="auto"/>
        <w:ind w:left="709" w:right="704" w:firstLineChars="100" w:firstLine="190"/>
        <w:rPr>
          <w:lang w:eastAsia="ja-JP"/>
        </w:rPr>
      </w:pPr>
      <w:r>
        <w:rPr>
          <w:lang w:eastAsia="ja-JP"/>
        </w:rPr>
        <w:br w:type="column"/>
      </w:r>
      <w:r w:rsidR="00F56F57">
        <w:rPr>
          <w:rFonts w:ascii="ＭＳ ゴシック" w:eastAsia="ＭＳ ゴシック" w:hAnsi="ＭＳ ゴシック" w:cs="ＭＳ ゴシック" w:hint="eastAsia"/>
          <w:lang w:eastAsia="ja-JP"/>
        </w:rPr>
        <w:t>排出量の償却に任意の期間を適用することは、企業が土地利用変化なしにその土地で製品を自由に栽培できるようになる恣意的な区切りとなることが認識されています。しかし、期間を特定しないことは、さらなる不確実性と一貫性のない報告書を生み出すことにつながります。</w:t>
      </w:r>
    </w:p>
    <w:p w14:paraId="1509A39D" w14:textId="7053797D" w:rsidR="0055291C" w:rsidRDefault="00F56F57" w:rsidP="007212AE">
      <w:pPr>
        <w:pStyle w:val="a3"/>
        <w:spacing w:before="141" w:line="312" w:lineRule="auto"/>
        <w:ind w:left="709" w:right="704" w:firstLineChars="100" w:firstLine="190"/>
        <w:rPr>
          <w:lang w:eastAsia="ja-JP"/>
        </w:rPr>
      </w:pPr>
      <w:r>
        <w:rPr>
          <w:rFonts w:ascii="ＭＳ ゴシック" w:eastAsia="ＭＳ ゴシック" w:hAnsi="ＭＳ ゴシック" w:cs="ＭＳ ゴシック" w:hint="eastAsia"/>
          <w:lang w:eastAsia="ja-JP"/>
        </w:rPr>
        <w:t>企業が償却期間を用いて土地利用変化による影響を割り当てる方法は、収穫物によっていくつかあります。</w:t>
      </w:r>
    </w:p>
    <w:p w14:paraId="2DD6685F" w14:textId="5FAE3EAE" w:rsidR="0055291C" w:rsidRPr="00116001" w:rsidRDefault="00F56F57" w:rsidP="007212AE">
      <w:pPr>
        <w:pStyle w:val="a5"/>
        <w:numPr>
          <w:ilvl w:val="0"/>
          <w:numId w:val="20"/>
        </w:numPr>
        <w:tabs>
          <w:tab w:val="left" w:pos="516"/>
        </w:tabs>
        <w:spacing w:before="128" w:line="309" w:lineRule="auto"/>
        <w:ind w:left="709" w:right="704"/>
        <w:rPr>
          <w:sz w:val="19"/>
          <w:szCs w:val="19"/>
          <w:lang w:eastAsia="ja-JP"/>
        </w:rPr>
      </w:pPr>
      <w:r w:rsidRPr="00116001">
        <w:rPr>
          <w:rFonts w:ascii="ＭＳ ゴシック" w:eastAsia="ＭＳ ゴシック" w:hAnsi="ＭＳ ゴシック" w:cs="ＭＳ ゴシック" w:hint="eastAsia"/>
          <w:sz w:val="19"/>
          <w:szCs w:val="19"/>
          <w:lang w:eastAsia="ja-JP"/>
        </w:rPr>
        <w:t>毎年収穫される作物に対して、その</w:t>
      </w:r>
      <w:r w:rsidRPr="00116001">
        <w:rPr>
          <w:sz w:val="19"/>
          <w:szCs w:val="19"/>
          <w:lang w:eastAsia="ja-JP"/>
        </w:rPr>
        <w:t>20</w:t>
      </w:r>
      <w:r w:rsidRPr="00116001">
        <w:rPr>
          <w:rFonts w:ascii="ＭＳ ゴシック" w:eastAsia="ＭＳ ゴシック" w:hAnsi="ＭＳ ゴシック" w:cs="ＭＳ ゴシック" w:hint="eastAsia"/>
          <w:sz w:val="19"/>
          <w:szCs w:val="19"/>
          <w:lang w:eastAsia="ja-JP"/>
        </w:rPr>
        <w:t>分の</w:t>
      </w:r>
      <w:r w:rsidRPr="00116001">
        <w:rPr>
          <w:sz w:val="19"/>
          <w:szCs w:val="19"/>
          <w:lang w:eastAsia="ja-JP"/>
        </w:rPr>
        <w:t>1</w:t>
      </w:r>
      <w:r w:rsidRPr="00116001">
        <w:rPr>
          <w:rFonts w:ascii="ＭＳ ゴシック" w:eastAsia="ＭＳ ゴシック" w:hAnsi="ＭＳ ゴシック" w:cs="ＭＳ ゴシック" w:hint="eastAsia"/>
          <w:sz w:val="19"/>
          <w:szCs w:val="19"/>
          <w:lang w:eastAsia="ja-JP"/>
        </w:rPr>
        <w:t>の影響を毎年収穫される製品に適用する</w:t>
      </w:r>
    </w:p>
    <w:p w14:paraId="48184DCC" w14:textId="2E952086" w:rsidR="00116001" w:rsidRPr="00116001" w:rsidRDefault="00F56F57" w:rsidP="007212AE">
      <w:pPr>
        <w:pStyle w:val="a5"/>
        <w:numPr>
          <w:ilvl w:val="0"/>
          <w:numId w:val="20"/>
        </w:numPr>
        <w:tabs>
          <w:tab w:val="left" w:pos="516"/>
        </w:tabs>
        <w:spacing w:before="131" w:line="309" w:lineRule="auto"/>
        <w:ind w:left="709" w:right="704"/>
        <w:rPr>
          <w:sz w:val="19"/>
          <w:szCs w:val="19"/>
          <w:lang w:eastAsia="ja-JP"/>
        </w:rPr>
      </w:pPr>
      <w:r w:rsidRPr="00116001">
        <w:rPr>
          <w:rFonts w:ascii="ＭＳ ゴシック" w:eastAsia="ＭＳ ゴシック" w:hAnsi="ＭＳ ゴシック" w:cs="ＭＳ ゴシック" w:hint="eastAsia"/>
          <w:sz w:val="19"/>
          <w:szCs w:val="19"/>
          <w:lang w:eastAsia="ja-JP"/>
        </w:rPr>
        <w:t>半期作物や草本植物については、企業は</w:t>
      </w:r>
      <w:r w:rsidRPr="00116001">
        <w:rPr>
          <w:sz w:val="19"/>
          <w:szCs w:val="19"/>
          <w:lang w:eastAsia="ja-JP"/>
        </w:rPr>
        <w:t>20</w:t>
      </w:r>
      <w:r w:rsidRPr="00116001">
        <w:rPr>
          <w:rFonts w:ascii="ＭＳ ゴシック" w:eastAsia="ＭＳ ゴシック" w:hAnsi="ＭＳ ゴシック" w:cs="ＭＳ ゴシック" w:hint="eastAsia"/>
          <w:sz w:val="19"/>
          <w:szCs w:val="19"/>
          <w:lang w:eastAsia="ja-JP"/>
        </w:rPr>
        <w:t>年間の土地の生産量を見積もり、収穫されたバイオマス</w:t>
      </w:r>
      <w:r w:rsidRPr="00116001">
        <w:rPr>
          <w:sz w:val="19"/>
          <w:szCs w:val="19"/>
          <w:lang w:eastAsia="ja-JP"/>
        </w:rPr>
        <w:t>1</w:t>
      </w:r>
      <w:r w:rsidRPr="00116001">
        <w:rPr>
          <w:rFonts w:ascii="ＭＳ ゴシック" w:eastAsia="ＭＳ ゴシック" w:hAnsi="ＭＳ ゴシック" w:cs="ＭＳ ゴシック" w:hint="eastAsia"/>
          <w:sz w:val="19"/>
          <w:szCs w:val="19"/>
          <w:lang w:eastAsia="ja-JP"/>
        </w:rPr>
        <w:t>トンごとにその影響を適用する</w:t>
      </w:r>
    </w:p>
    <w:p w14:paraId="572FED11" w14:textId="5E3F44FE" w:rsidR="0055291C" w:rsidRPr="00116001" w:rsidRDefault="00116001" w:rsidP="007212AE">
      <w:pPr>
        <w:pStyle w:val="a5"/>
        <w:numPr>
          <w:ilvl w:val="0"/>
          <w:numId w:val="20"/>
        </w:numPr>
        <w:tabs>
          <w:tab w:val="left" w:pos="516"/>
        </w:tabs>
        <w:spacing w:before="131" w:line="309" w:lineRule="auto"/>
        <w:ind w:left="709" w:right="704"/>
        <w:rPr>
          <w:sz w:val="19"/>
          <w:szCs w:val="19"/>
          <w:lang w:eastAsia="ja-JP"/>
        </w:rPr>
      </w:pPr>
      <w:r w:rsidRPr="00116001">
        <w:rPr>
          <w:rFonts w:ascii="ＭＳ ゴシック" w:eastAsia="ＭＳ ゴシック" w:hAnsi="ＭＳ ゴシック" w:cs="ＭＳ ゴシック" w:hint="eastAsia"/>
          <w:sz w:val="19"/>
          <w:szCs w:val="19"/>
          <w:lang w:eastAsia="ja-JP"/>
        </w:rPr>
        <w:t>収穫期間が長い（</w:t>
      </w:r>
      <w:r w:rsidRPr="00116001">
        <w:rPr>
          <w:sz w:val="19"/>
          <w:szCs w:val="19"/>
          <w:lang w:eastAsia="ja-JP"/>
        </w:rPr>
        <w:t>20</w:t>
      </w:r>
      <w:r w:rsidRPr="00116001">
        <w:rPr>
          <w:rFonts w:ascii="ＭＳ ゴシック" w:eastAsia="ＭＳ ゴシック" w:hAnsi="ＭＳ ゴシック" w:cs="ＭＳ ゴシック" w:hint="eastAsia"/>
          <w:sz w:val="19"/>
          <w:szCs w:val="19"/>
          <w:lang w:eastAsia="ja-JP"/>
        </w:rPr>
        <w:t>年以上）、または土地の追加耕作が計画されていないバイオマスについては</w:t>
      </w:r>
      <w:r w:rsidRPr="00116001">
        <w:rPr>
          <w:sz w:val="19"/>
          <w:szCs w:val="19"/>
          <w:lang w:eastAsia="ja-JP"/>
        </w:rPr>
        <w:t xml:space="preserve"> </w:t>
      </w:r>
      <w:r w:rsidRPr="00116001">
        <w:rPr>
          <w:rFonts w:ascii="ＭＳ ゴシック" w:eastAsia="ＭＳ ゴシック" w:hAnsi="ＭＳ ゴシック" w:cs="ＭＳ ゴシック" w:hint="eastAsia"/>
          <w:sz w:val="19"/>
          <w:szCs w:val="19"/>
          <w:lang w:eastAsia="ja-JP"/>
        </w:rPr>
        <w:t>、土地利用変化による影響はすべて最初の収穫期間の収穫製品に適用</w:t>
      </w:r>
      <w:r>
        <w:rPr>
          <w:rFonts w:ascii="ＭＳ ゴシック" w:eastAsia="ＭＳ ゴシック" w:hAnsi="ＭＳ ゴシック" w:cs="ＭＳ ゴシック" w:hint="eastAsia"/>
          <w:sz w:val="19"/>
          <w:szCs w:val="19"/>
          <w:lang w:eastAsia="ja-JP"/>
        </w:rPr>
        <w:t>する</w:t>
      </w:r>
    </w:p>
    <w:p w14:paraId="654C0CA1" w14:textId="723DBDDF" w:rsidR="0055291C" w:rsidRDefault="00116001" w:rsidP="007212AE">
      <w:pPr>
        <w:pStyle w:val="a3"/>
        <w:spacing w:before="146" w:line="312" w:lineRule="auto"/>
        <w:ind w:left="709" w:right="704"/>
        <w:rPr>
          <w:lang w:eastAsia="ja-JP"/>
        </w:rPr>
      </w:pPr>
      <w:r>
        <w:rPr>
          <w:rFonts w:asciiTheme="minorEastAsia" w:eastAsiaTheme="minorEastAsia" w:hAnsiTheme="minorEastAsia" w:hint="eastAsia"/>
          <w:color w:val="545456"/>
          <w:lang w:eastAsia="ja-JP"/>
        </w:rPr>
        <w:t>1</w:t>
      </w:r>
      <w:r w:rsidR="00B436F7">
        <w:rPr>
          <w:rFonts w:asciiTheme="minorEastAsia" w:eastAsiaTheme="minorEastAsia" w:hAnsiTheme="minorEastAsia" w:hint="eastAsia"/>
          <w:color w:val="545456"/>
          <w:lang w:eastAsia="ja-JP"/>
        </w:rPr>
        <w:t>.</w:t>
      </w:r>
      <w:r>
        <w:rPr>
          <w:rFonts w:ascii="ＭＳ ゴシック" w:eastAsia="ＭＳ ゴシック" w:hAnsi="ＭＳ ゴシック" w:cs="ＭＳ ゴシック" w:hint="eastAsia"/>
          <w:color w:val="545456"/>
          <w:lang w:eastAsia="ja-JP"/>
        </w:rPr>
        <w:t>と2</w:t>
      </w:r>
      <w:r w:rsidR="00B436F7">
        <w:rPr>
          <w:rFonts w:ascii="ＭＳ ゴシック" w:eastAsia="ＭＳ ゴシック" w:hAnsi="ＭＳ ゴシック" w:cs="ＭＳ ゴシック" w:hint="eastAsia"/>
          <w:color w:val="545456"/>
          <w:lang w:eastAsia="ja-JP"/>
        </w:rPr>
        <w:t>.</w:t>
      </w:r>
      <w:r>
        <w:rPr>
          <w:rFonts w:ascii="ＭＳ ゴシック" w:eastAsia="ＭＳ ゴシック" w:hAnsi="ＭＳ ゴシック" w:cs="ＭＳ ゴシック" w:hint="eastAsia"/>
          <w:color w:val="545456"/>
          <w:lang w:eastAsia="ja-JP"/>
        </w:rPr>
        <w:t>は、企業の好みに応じて一年生</w:t>
      </w:r>
      <w:r w:rsidR="00B436F7">
        <w:rPr>
          <w:rFonts w:ascii="ＭＳ ゴシック" w:eastAsia="ＭＳ ゴシック" w:hAnsi="ＭＳ ゴシック" w:cs="ＭＳ ゴシック" w:hint="eastAsia"/>
          <w:color w:val="545456"/>
          <w:lang w:eastAsia="ja-JP"/>
        </w:rPr>
        <w:t>作物</w:t>
      </w:r>
      <w:r>
        <w:rPr>
          <w:rFonts w:ascii="ＭＳ ゴシック" w:eastAsia="ＭＳ ゴシック" w:hAnsi="ＭＳ ゴシック" w:cs="ＭＳ ゴシック" w:hint="eastAsia"/>
          <w:color w:val="545456"/>
          <w:lang w:eastAsia="ja-JP"/>
        </w:rPr>
        <w:t>や半年ごと</w:t>
      </w:r>
      <w:r w:rsidR="00B436F7">
        <w:rPr>
          <w:rFonts w:ascii="ＭＳ ゴシック" w:eastAsia="ＭＳ ゴシック" w:hAnsi="ＭＳ ゴシック" w:cs="ＭＳ ゴシック" w:hint="eastAsia"/>
          <w:color w:val="545456"/>
          <w:lang w:eastAsia="ja-JP"/>
        </w:rPr>
        <w:t>に</w:t>
      </w:r>
      <w:r>
        <w:rPr>
          <w:rFonts w:ascii="ＭＳ ゴシック" w:eastAsia="ＭＳ ゴシック" w:hAnsi="ＭＳ ゴシック" w:cs="ＭＳ ゴシック" w:hint="eastAsia"/>
          <w:color w:val="545456"/>
          <w:lang w:eastAsia="ja-JP"/>
        </w:rPr>
        <w:t>収穫</w:t>
      </w:r>
      <w:r w:rsidR="00B436F7">
        <w:rPr>
          <w:rFonts w:ascii="ＭＳ ゴシック" w:eastAsia="ＭＳ ゴシック" w:hAnsi="ＭＳ ゴシック" w:cs="ＭＳ ゴシック" w:hint="eastAsia"/>
          <w:color w:val="545456"/>
          <w:lang w:eastAsia="ja-JP"/>
        </w:rPr>
        <w:t>する</w:t>
      </w:r>
      <w:r>
        <w:rPr>
          <w:rFonts w:ascii="ＭＳ ゴシック" w:eastAsia="ＭＳ ゴシック" w:hAnsi="ＭＳ ゴシック" w:cs="ＭＳ ゴシック" w:hint="eastAsia"/>
          <w:color w:val="545456"/>
          <w:lang w:eastAsia="ja-JP"/>
        </w:rPr>
        <w:t>作物</w:t>
      </w:r>
      <w:r w:rsidR="00B436F7">
        <w:rPr>
          <w:rFonts w:ascii="ＭＳ ゴシック" w:eastAsia="ＭＳ ゴシック" w:hAnsi="ＭＳ ゴシック" w:cs="ＭＳ ゴシック" w:hint="eastAsia"/>
          <w:color w:val="545456"/>
          <w:lang w:eastAsia="ja-JP"/>
        </w:rPr>
        <w:t>のどちらにも適用することができます。</w:t>
      </w:r>
    </w:p>
    <w:p w14:paraId="318D5CB3" w14:textId="77777777" w:rsidR="0055291C" w:rsidRDefault="0055291C" w:rsidP="007212AE">
      <w:pPr>
        <w:pStyle w:val="a3"/>
        <w:ind w:left="709" w:right="704"/>
        <w:rPr>
          <w:sz w:val="17"/>
          <w:lang w:eastAsia="ja-JP"/>
        </w:rPr>
      </w:pPr>
    </w:p>
    <w:p w14:paraId="1729FB33" w14:textId="6204E201" w:rsidR="0055291C" w:rsidRDefault="00B436F7" w:rsidP="007212AE">
      <w:pPr>
        <w:pStyle w:val="7"/>
        <w:numPr>
          <w:ilvl w:val="2"/>
          <w:numId w:val="22"/>
        </w:numPr>
        <w:tabs>
          <w:tab w:val="left" w:pos="975"/>
          <w:tab w:val="left" w:pos="976"/>
        </w:tabs>
        <w:spacing w:before="0"/>
        <w:ind w:left="709" w:right="704" w:hanging="721"/>
        <w:jc w:val="left"/>
      </w:pPr>
      <w:r>
        <w:rPr>
          <w:rFonts w:ascii="ＭＳ 明朝" w:eastAsia="ＭＳ 明朝" w:hAnsi="ＭＳ 明朝" w:cs="ＭＳ 明朝" w:hint="eastAsia"/>
          <w:color w:val="00B8B1"/>
          <w:w w:val="95"/>
          <w:lang w:eastAsia="ja-JP"/>
        </w:rPr>
        <w:t>林業・木材製品</w:t>
      </w:r>
    </w:p>
    <w:p w14:paraId="40968189" w14:textId="2484B7B7" w:rsidR="0055291C" w:rsidRDefault="00B436F7" w:rsidP="007212AE">
      <w:pPr>
        <w:pStyle w:val="a3"/>
        <w:spacing w:before="63" w:line="312" w:lineRule="auto"/>
        <w:ind w:left="709" w:right="704" w:firstLineChars="100" w:firstLine="190"/>
        <w:rPr>
          <w:lang w:eastAsia="ja-JP"/>
        </w:rPr>
      </w:pPr>
      <w:r>
        <w:rPr>
          <w:rFonts w:ascii="ＭＳ ゴシック" w:eastAsia="ＭＳ ゴシック" w:hAnsi="ＭＳ ゴシック" w:cs="ＭＳ ゴシック" w:hint="eastAsia"/>
          <w:lang w:eastAsia="ja-JP"/>
        </w:rPr>
        <w:t>林産物は、比較的短期間に収穫される管理された森林プランテーションで栽培されている場合もあれば、</w:t>
      </w:r>
      <w:r>
        <w:rPr>
          <w:lang w:eastAsia="ja-JP"/>
        </w:rPr>
        <w:t>100</w:t>
      </w:r>
      <w:r>
        <w:rPr>
          <w:rFonts w:ascii="ＭＳ ゴシック" w:eastAsia="ＭＳ ゴシック" w:hAnsi="ＭＳ ゴシック" w:cs="ＭＳ ゴシック" w:hint="eastAsia"/>
          <w:lang w:eastAsia="ja-JP"/>
        </w:rPr>
        <w:t>年以上かけて成長する天然林から伐採されることもあります。また、一年草を生産する目的で伐採される森林もあれば、伐採時に採取できる木材のストックを目的に伐採される森林もあります。</w:t>
      </w:r>
    </w:p>
    <w:p w14:paraId="68F42C79" w14:textId="77777777" w:rsidR="0055291C" w:rsidRPr="00B436F7" w:rsidRDefault="0055291C">
      <w:pPr>
        <w:spacing w:line="312" w:lineRule="auto"/>
        <w:rPr>
          <w:lang w:eastAsia="ja-JP"/>
        </w:rPr>
        <w:sectPr w:rsidR="0055291C" w:rsidRPr="00B436F7">
          <w:type w:val="continuous"/>
          <w:pgSz w:w="12240" w:h="15840"/>
          <w:pgMar w:top="740" w:right="0" w:bottom="280" w:left="0" w:header="0" w:footer="859" w:gutter="0"/>
          <w:cols w:num="2" w:space="720" w:equalWidth="0">
            <w:col w:w="5967" w:space="40"/>
            <w:col w:w="6233"/>
          </w:cols>
        </w:sectPr>
      </w:pPr>
    </w:p>
    <w:p w14:paraId="7A5B17A3" w14:textId="77777777" w:rsidR="0055291C" w:rsidRDefault="0055291C">
      <w:pPr>
        <w:pStyle w:val="a3"/>
        <w:rPr>
          <w:sz w:val="20"/>
          <w:lang w:eastAsia="ja-JP"/>
        </w:rPr>
      </w:pPr>
    </w:p>
    <w:p w14:paraId="13A6C7D2" w14:textId="77777777" w:rsidR="0055291C" w:rsidRDefault="0055291C">
      <w:pPr>
        <w:pStyle w:val="a3"/>
        <w:rPr>
          <w:sz w:val="20"/>
          <w:lang w:eastAsia="ja-JP"/>
        </w:rPr>
      </w:pPr>
    </w:p>
    <w:p w14:paraId="004C83A8" w14:textId="77777777" w:rsidR="0055291C" w:rsidRDefault="0055291C">
      <w:pPr>
        <w:pStyle w:val="a3"/>
        <w:rPr>
          <w:sz w:val="20"/>
          <w:lang w:eastAsia="ja-JP"/>
        </w:rPr>
      </w:pPr>
    </w:p>
    <w:p w14:paraId="126378A2" w14:textId="77777777" w:rsidR="0055291C" w:rsidRDefault="0055291C">
      <w:pPr>
        <w:pStyle w:val="a3"/>
        <w:rPr>
          <w:sz w:val="20"/>
          <w:lang w:eastAsia="ja-JP"/>
        </w:rPr>
      </w:pPr>
    </w:p>
    <w:p w14:paraId="0D17A5F7" w14:textId="77777777" w:rsidR="0055291C" w:rsidRDefault="0055291C">
      <w:pPr>
        <w:pStyle w:val="a3"/>
        <w:spacing w:before="7"/>
        <w:rPr>
          <w:sz w:val="21"/>
          <w:lang w:eastAsia="ja-JP"/>
        </w:rPr>
      </w:pPr>
    </w:p>
    <w:p w14:paraId="5F469EAC" w14:textId="71512E83" w:rsidR="0055291C" w:rsidRDefault="00236FAA">
      <w:pPr>
        <w:pStyle w:val="6"/>
        <w:spacing w:before="1"/>
        <w:ind w:left="1170"/>
        <w:rPr>
          <w:lang w:eastAsia="ja-JP"/>
        </w:rPr>
      </w:pPr>
      <w:r>
        <w:rPr>
          <w:rFonts w:ascii="ＭＳ 明朝" w:eastAsia="ＭＳ 明朝" w:hAnsi="ＭＳ 明朝" w:cs="ＭＳ 明朝" w:hint="eastAsia"/>
          <w:color w:val="00ACA1"/>
          <w:w w:val="95"/>
          <w:lang w:eastAsia="ja-JP"/>
        </w:rPr>
        <w:t>図</w:t>
      </w:r>
      <w:r w:rsidR="00F23C61">
        <w:rPr>
          <w:color w:val="00ACA1"/>
          <w:spacing w:val="9"/>
          <w:w w:val="95"/>
          <w:lang w:eastAsia="ja-JP"/>
        </w:rPr>
        <w:t xml:space="preserve"> </w:t>
      </w:r>
      <w:r w:rsidR="00F23C61">
        <w:rPr>
          <w:color w:val="00ACA1"/>
          <w:w w:val="95"/>
          <w:lang w:eastAsia="ja-JP"/>
        </w:rPr>
        <w:t>[B.2]</w:t>
      </w:r>
      <w:r w:rsidR="00F23C61">
        <w:rPr>
          <w:color w:val="00ACA1"/>
          <w:spacing w:val="9"/>
          <w:w w:val="95"/>
          <w:lang w:eastAsia="ja-JP"/>
        </w:rPr>
        <w:t xml:space="preserve"> </w:t>
      </w:r>
      <w:r>
        <w:rPr>
          <w:lang w:eastAsia="ja-JP"/>
        </w:rPr>
        <w:t>20</w:t>
      </w:r>
      <w:r>
        <w:rPr>
          <w:rFonts w:ascii="ＭＳ 明朝" w:eastAsia="ＭＳ 明朝" w:hAnsi="ＭＳ 明朝" w:cs="ＭＳ 明朝" w:hint="eastAsia"/>
          <w:lang w:eastAsia="ja-JP"/>
        </w:rPr>
        <w:t>年間の</w:t>
      </w:r>
      <w:r>
        <w:rPr>
          <w:lang w:eastAsia="ja-JP"/>
        </w:rPr>
        <w:t>GHG</w:t>
      </w:r>
      <w:r>
        <w:rPr>
          <w:rFonts w:ascii="ＭＳ 明朝" w:eastAsia="ＭＳ 明朝" w:hAnsi="ＭＳ 明朝" w:cs="ＭＳ 明朝" w:hint="eastAsia"/>
          <w:lang w:eastAsia="ja-JP"/>
        </w:rPr>
        <w:t>影響量の分布</w:t>
      </w:r>
    </w:p>
    <w:p w14:paraId="33420362" w14:textId="77777777" w:rsidR="0055291C" w:rsidRDefault="0055291C">
      <w:pPr>
        <w:rPr>
          <w:lang w:eastAsia="ja-JP"/>
        </w:rPr>
        <w:sectPr w:rsidR="0055291C">
          <w:pgSz w:w="12240" w:h="15840"/>
          <w:pgMar w:top="620" w:right="0" w:bottom="1040" w:left="0" w:header="0" w:footer="859" w:gutter="0"/>
          <w:cols w:space="720"/>
        </w:sectPr>
      </w:pPr>
    </w:p>
    <w:p w14:paraId="06889CEC" w14:textId="77777777" w:rsidR="0055291C" w:rsidRDefault="0055291C">
      <w:pPr>
        <w:pStyle w:val="a3"/>
        <w:rPr>
          <w:rFonts w:ascii="Arial"/>
          <w:b/>
          <w:sz w:val="14"/>
          <w:lang w:eastAsia="ja-JP"/>
        </w:rPr>
      </w:pPr>
    </w:p>
    <w:p w14:paraId="41F8C6CD" w14:textId="77777777" w:rsidR="0055291C" w:rsidRDefault="0055291C">
      <w:pPr>
        <w:pStyle w:val="a3"/>
        <w:rPr>
          <w:rFonts w:ascii="Arial"/>
          <w:b/>
          <w:sz w:val="14"/>
          <w:lang w:eastAsia="ja-JP"/>
        </w:rPr>
      </w:pPr>
    </w:p>
    <w:p w14:paraId="7FEF81BB" w14:textId="77777777" w:rsidR="0055291C" w:rsidRDefault="0055291C">
      <w:pPr>
        <w:pStyle w:val="a3"/>
        <w:spacing w:before="6"/>
        <w:rPr>
          <w:rFonts w:ascii="Arial"/>
          <w:b/>
          <w:sz w:val="17"/>
          <w:lang w:eastAsia="ja-JP"/>
        </w:rPr>
      </w:pPr>
    </w:p>
    <w:p w14:paraId="2250EC47" w14:textId="77777777" w:rsidR="0055291C" w:rsidRDefault="00000000">
      <w:pPr>
        <w:spacing w:before="1"/>
        <w:jc w:val="right"/>
        <w:rPr>
          <w:rFonts w:ascii="Arial"/>
          <w:b/>
          <w:i/>
          <w:sz w:val="13"/>
        </w:rPr>
      </w:pPr>
      <w:r>
        <w:pict w14:anchorId="7CFE6D02">
          <v:shape id="docshape1565" o:spid="_x0000_s2296" type="#_x0000_t202" style="position:absolute;left:0;text-align:left;margin-left:60.3pt;margin-top:12.95pt;width:14.35pt;height:109.2pt;z-index:251666944;mso-position-horizontal-relative:page" filled="f" stroked="f">
            <v:textbox style="layout-flow:vertical;mso-layout-flow-alt:bottom-to-top" inset="0,0,0,0">
              <w:txbxContent>
                <w:p w14:paraId="30F91599" w14:textId="2D821813" w:rsidR="0055291C" w:rsidRDefault="00F23C61">
                  <w:pPr>
                    <w:spacing w:before="18"/>
                    <w:ind w:left="20"/>
                    <w:rPr>
                      <w:rFonts w:ascii="Arial"/>
                      <w:b/>
                      <w:i/>
                    </w:rPr>
                  </w:pPr>
                  <w:r>
                    <w:rPr>
                      <w:rFonts w:ascii="Arial"/>
                      <w:b/>
                      <w:i/>
                      <w:color w:val="545456"/>
                      <w:w w:val="95"/>
                    </w:rPr>
                    <w:t>GHG</w:t>
                  </w:r>
                  <w:r>
                    <w:rPr>
                      <w:rFonts w:ascii="Arial"/>
                      <w:b/>
                      <w:i/>
                      <w:color w:val="545456"/>
                      <w:spacing w:val="20"/>
                      <w:w w:val="95"/>
                    </w:rPr>
                    <w:t xml:space="preserve"> </w:t>
                  </w:r>
                  <w:r w:rsidR="00236FAA">
                    <w:rPr>
                      <w:rFonts w:ascii="ＭＳ ゴシック" w:eastAsia="ＭＳ ゴシック" w:hAnsi="ＭＳ ゴシック" w:cs="ＭＳ ゴシック" w:hint="eastAsia"/>
                      <w:b/>
                      <w:i/>
                      <w:color w:val="545456"/>
                      <w:w w:val="95"/>
                      <w:lang w:eastAsia="ja-JP"/>
                    </w:rPr>
                    <w:t>割り当て</w:t>
                  </w:r>
                  <w:r>
                    <w:rPr>
                      <w:rFonts w:ascii="Arial"/>
                      <w:b/>
                      <w:i/>
                      <w:color w:val="545456"/>
                      <w:spacing w:val="20"/>
                      <w:w w:val="95"/>
                    </w:rPr>
                    <w:t xml:space="preserve"> </w:t>
                  </w:r>
                  <w:r>
                    <w:rPr>
                      <w:rFonts w:ascii="Arial"/>
                      <w:b/>
                      <w:i/>
                      <w:color w:val="545456"/>
                      <w:w w:val="95"/>
                    </w:rPr>
                    <w:t>(%)</w:t>
                  </w:r>
                </w:p>
              </w:txbxContent>
            </v:textbox>
            <w10:wrap anchorx="page"/>
          </v:shape>
        </w:pict>
      </w:r>
      <w:r w:rsidR="00F23C61">
        <w:rPr>
          <w:rFonts w:ascii="Arial"/>
          <w:b/>
          <w:i/>
          <w:color w:val="545456"/>
          <w:w w:val="105"/>
          <w:sz w:val="13"/>
        </w:rPr>
        <w:t>100</w:t>
      </w:r>
    </w:p>
    <w:p w14:paraId="158537B0" w14:textId="28A7C0F9" w:rsidR="0055291C" w:rsidRDefault="00F23C61">
      <w:pPr>
        <w:pStyle w:val="4"/>
        <w:ind w:left="10"/>
      </w:pPr>
      <w:r>
        <w:rPr>
          <w:b w:val="0"/>
          <w:i w:val="0"/>
        </w:rPr>
        <w:br w:type="column"/>
      </w:r>
      <w:r w:rsidR="00236FAA" w:rsidRPr="00236FAA">
        <w:rPr>
          <w:rFonts w:asciiTheme="minorEastAsia" w:eastAsiaTheme="minorEastAsia" w:hAnsiTheme="minorEastAsia" w:hint="eastAsia"/>
          <w:bCs w:val="0"/>
          <w:i w:val="0"/>
          <w:color w:val="00ACA1"/>
          <w:lang w:eastAsia="ja-JP"/>
        </w:rPr>
        <w:t>A)</w:t>
      </w:r>
      <w:r w:rsidR="00236FAA">
        <w:rPr>
          <w:rFonts w:ascii="ＭＳ 明朝" w:eastAsia="ＭＳ 明朝" w:hAnsi="ＭＳ 明朝" w:cs="ＭＳ 明朝" w:hint="eastAsia"/>
          <w:color w:val="545456"/>
          <w:w w:val="95"/>
          <w:lang w:eastAsia="ja-JP"/>
        </w:rPr>
        <w:t>単年</w:t>
      </w:r>
    </w:p>
    <w:p w14:paraId="32B610E3" w14:textId="77777777" w:rsidR="0055291C" w:rsidRDefault="00F23C61">
      <w:pPr>
        <w:rPr>
          <w:rFonts w:ascii="Arial"/>
          <w:b/>
          <w:i/>
          <w:sz w:val="14"/>
        </w:rPr>
      </w:pPr>
      <w:r>
        <w:br w:type="column"/>
      </w:r>
    </w:p>
    <w:p w14:paraId="0DB2A5EA" w14:textId="77777777" w:rsidR="0055291C" w:rsidRDefault="0055291C">
      <w:pPr>
        <w:pStyle w:val="a3"/>
        <w:rPr>
          <w:rFonts w:ascii="Arial"/>
          <w:b/>
          <w:i/>
          <w:sz w:val="14"/>
        </w:rPr>
      </w:pPr>
    </w:p>
    <w:p w14:paraId="1993C67F" w14:textId="77777777" w:rsidR="0055291C" w:rsidRDefault="0055291C">
      <w:pPr>
        <w:pStyle w:val="a3"/>
        <w:spacing w:before="6"/>
        <w:rPr>
          <w:rFonts w:ascii="Arial"/>
          <w:b/>
          <w:i/>
          <w:sz w:val="17"/>
        </w:rPr>
      </w:pPr>
    </w:p>
    <w:p w14:paraId="5532AA5C" w14:textId="77777777" w:rsidR="0055291C" w:rsidRDefault="00000000">
      <w:pPr>
        <w:spacing w:before="1"/>
        <w:jc w:val="right"/>
        <w:rPr>
          <w:rFonts w:ascii="Arial"/>
          <w:b/>
          <w:i/>
          <w:sz w:val="13"/>
        </w:rPr>
      </w:pPr>
      <w:r>
        <w:pict w14:anchorId="47A8D72B">
          <v:group id="docshapegroup1566" o:spid="_x0000_s2292" style="position:absolute;left:0;text-align:left;margin-left:91.75pt;margin-top:1.8pt;width:131.55pt;height:131.55pt;z-index:251665920;mso-position-horizontal-relative:page" coordorigin="1835,36" coordsize="2631,2631">
            <v:shape id="docshape1567" o:spid="_x0000_s2295" style="position:absolute;left:2203;top:472;width:209;height:2141" coordorigin="2203,472" coordsize="209,2141" path="m2367,472r-119,l2230,476r-14,9l2207,499r-4,17l2203,2612r209,l2412,516r-4,-17l2399,485r-14,-9l2367,472xe" fillcolor="#00aca1" stroked="f">
              <v:path arrowok="t"/>
            </v:shape>
            <v:shape id="docshape1568" o:spid="_x0000_s2294" style="position:absolute;left:1835;top:35;width:2631;height:2631" coordorigin="1835,36" coordsize="2631,2631" path="m1942,36r-64,l1861,39r-13,9l1839,62r-4,16l1835,2624r4,16l1848,2654r13,9l1878,2666r2545,l4440,2663r13,-9l4462,2640r4,-16l4466,2560r-59,-39l4381,2581r-2461,l1920,121r22,l1958,117r14,-9l1981,95r3,-17l1981,62r-9,-14l1958,39r-16,-3xe" fillcolor="#545456" stroked="f">
              <v:path arrowok="t"/>
            </v:shape>
            <v:shape id="docshape1569" o:spid="_x0000_s2293" type="#_x0000_t202" style="position:absolute;left:1835;top:35;width:2631;height:2631" filled="f" stroked="f">
              <v:textbox inset="0,0,0,0">
                <w:txbxContent>
                  <w:p w14:paraId="4626B208" w14:textId="57367369" w:rsidR="0055291C" w:rsidRDefault="0055291C">
                    <w:pPr>
                      <w:spacing w:before="14"/>
                      <w:ind w:left="324"/>
                      <w:rPr>
                        <w:rFonts w:ascii="Arial"/>
                        <w:b/>
                        <w:i/>
                      </w:rPr>
                    </w:pPr>
                  </w:p>
                </w:txbxContent>
              </v:textbox>
            </v:shape>
            <w10:wrap anchorx="page"/>
          </v:group>
        </w:pict>
      </w:r>
      <w:r w:rsidR="00F23C61">
        <w:rPr>
          <w:rFonts w:ascii="Arial"/>
          <w:b/>
          <w:i/>
          <w:color w:val="545456"/>
          <w:w w:val="105"/>
          <w:sz w:val="13"/>
        </w:rPr>
        <w:t>100</w:t>
      </w:r>
    </w:p>
    <w:p w14:paraId="13BE7C6B" w14:textId="0B641FFF" w:rsidR="0055291C" w:rsidRDefault="00F23C61">
      <w:pPr>
        <w:pStyle w:val="4"/>
        <w:ind w:left="19"/>
      </w:pPr>
      <w:r>
        <w:rPr>
          <w:b w:val="0"/>
          <w:i w:val="0"/>
        </w:rPr>
        <w:br w:type="column"/>
      </w:r>
      <w:r w:rsidR="00236FAA" w:rsidRPr="00236FAA">
        <w:rPr>
          <w:rFonts w:asciiTheme="minorEastAsia" w:eastAsiaTheme="minorEastAsia" w:hAnsiTheme="minorEastAsia" w:hint="eastAsia"/>
          <w:bCs w:val="0"/>
          <w:i w:val="0"/>
          <w:color w:val="00ACA1"/>
          <w:lang w:eastAsia="ja-JP"/>
        </w:rPr>
        <w:t>B)</w:t>
      </w:r>
      <w:r>
        <w:rPr>
          <w:color w:val="545456"/>
          <w:spacing w:val="-2"/>
        </w:rPr>
        <w:t>20</w:t>
      </w:r>
      <w:r>
        <w:rPr>
          <w:color w:val="545456"/>
          <w:spacing w:val="-12"/>
        </w:rPr>
        <w:t xml:space="preserve"> </w:t>
      </w:r>
      <w:r w:rsidR="00236FAA">
        <w:rPr>
          <w:rFonts w:ascii="ＭＳ 明朝" w:eastAsia="ＭＳ 明朝" w:hAnsi="ＭＳ 明朝" w:cs="ＭＳ 明朝" w:hint="eastAsia"/>
          <w:color w:val="545456"/>
          <w:spacing w:val="-2"/>
          <w:lang w:eastAsia="ja-JP"/>
        </w:rPr>
        <w:t>年一定</w:t>
      </w:r>
    </w:p>
    <w:p w14:paraId="0DB7C50E" w14:textId="77777777" w:rsidR="0055291C" w:rsidRDefault="00F23C61">
      <w:pPr>
        <w:rPr>
          <w:rFonts w:ascii="Arial"/>
          <w:b/>
          <w:i/>
          <w:sz w:val="14"/>
        </w:rPr>
      </w:pPr>
      <w:r>
        <w:br w:type="column"/>
      </w:r>
    </w:p>
    <w:p w14:paraId="5E0F55B1" w14:textId="77777777" w:rsidR="0055291C" w:rsidRDefault="0055291C">
      <w:pPr>
        <w:pStyle w:val="a3"/>
        <w:rPr>
          <w:rFonts w:ascii="Arial"/>
          <w:b/>
          <w:i/>
          <w:sz w:val="14"/>
        </w:rPr>
      </w:pPr>
    </w:p>
    <w:p w14:paraId="0D575C91" w14:textId="77777777" w:rsidR="0055291C" w:rsidRDefault="0055291C">
      <w:pPr>
        <w:pStyle w:val="a3"/>
        <w:spacing w:before="6"/>
        <w:rPr>
          <w:rFonts w:ascii="Arial"/>
          <w:b/>
          <w:i/>
          <w:sz w:val="17"/>
        </w:rPr>
      </w:pPr>
    </w:p>
    <w:p w14:paraId="6B86E46A" w14:textId="77777777" w:rsidR="0055291C" w:rsidRDefault="00000000">
      <w:pPr>
        <w:spacing w:before="1"/>
        <w:jc w:val="right"/>
        <w:rPr>
          <w:rFonts w:ascii="Arial"/>
          <w:b/>
          <w:i/>
          <w:sz w:val="13"/>
        </w:rPr>
      </w:pPr>
      <w:r>
        <w:pict w14:anchorId="335366C3">
          <v:group id="docshapegroup1570" o:spid="_x0000_s2287" style="position:absolute;left:0;text-align:left;margin-left:260.25pt;margin-top:1.8pt;width:131.55pt;height:131.55pt;z-index:251663872;mso-position-horizontal-relative:page" coordorigin="5205,36" coordsize="2631,2631">
            <v:shape id="docshape1571" o:spid="_x0000_s2291" style="position:absolute;left:5253;top:1920;width:2141;height:192" coordorigin="5253,1921" coordsize="2141,192" path="m7349,1921r-2096,l5253,2112r2096,l7366,2108r15,-9l7390,2085r4,-17l7394,1965r-4,-17l7381,1934r-15,-10l7349,1921xe" fillcolor="#00aca1" stroked="f">
              <v:path arrowok="t"/>
            </v:shape>
            <v:shape id="docshape1572" o:spid="_x0000_s2290" style="position:absolute;left:5240;top:707;width:15;height:651" coordorigin="5241,707" coordsize="15,651" o:spt="100" adj="0,,0" path="m5255,1351r-2,-5l5248,1344r-5,2l5241,1351r2,5l5248,1358r5,-2l5255,1351xm5255,715r-2,-5l5248,707r-5,3l5241,715r2,5l5248,722r5,-2l5255,715xe" fillcolor="black" stroked="f">
              <v:stroke joinstyle="round"/>
              <v:formulas/>
              <v:path arrowok="t" o:connecttype="segments"/>
            </v:shape>
            <v:shape id="docshape1573" o:spid="_x0000_s2289" style="position:absolute;left:5205;top:35;width:2631;height:2631" coordorigin="5205,36" coordsize="2631,2631" path="m5311,36r-63,l5231,39r-13,9l5209,62r-4,16l5205,2624r4,16l5218,2654r13,9l5248,2666r2545,l7810,2663r13,-9l7832,2640r4,-16l7836,2560r-59,-39l7751,2581r-2461,l5290,121r21,l5328,117r13,-9l5350,95r4,-17l5350,62r-9,-14l5328,39r-17,-3xe" fillcolor="#545456" stroked="f">
              <v:path arrowok="t"/>
            </v:shape>
            <v:shape id="docshape1574" o:spid="_x0000_s2288" type="#_x0000_t202" style="position:absolute;left:5205;top:35;width:2631;height:2631" filled="f" stroked="f">
              <v:textbox inset="0,0,0,0">
                <w:txbxContent>
                  <w:p w14:paraId="79B2053A" w14:textId="5EF67017" w:rsidR="0055291C" w:rsidRDefault="0055291C">
                    <w:pPr>
                      <w:spacing w:before="14"/>
                      <w:ind w:left="374"/>
                      <w:rPr>
                        <w:rFonts w:ascii="Arial"/>
                        <w:b/>
                        <w:i/>
                      </w:rPr>
                    </w:pPr>
                  </w:p>
                </w:txbxContent>
              </v:textbox>
            </v:shape>
            <w10:wrap anchorx="page"/>
          </v:group>
        </w:pict>
      </w:r>
      <w:r w:rsidR="00F23C61">
        <w:rPr>
          <w:rFonts w:ascii="Arial"/>
          <w:b/>
          <w:i/>
          <w:color w:val="545456"/>
          <w:w w:val="105"/>
          <w:sz w:val="13"/>
        </w:rPr>
        <w:t>100</w:t>
      </w:r>
    </w:p>
    <w:p w14:paraId="30F5AA20" w14:textId="6026D21D" w:rsidR="0055291C" w:rsidRDefault="00F23C61">
      <w:pPr>
        <w:pStyle w:val="4"/>
      </w:pPr>
      <w:r>
        <w:rPr>
          <w:b w:val="0"/>
          <w:i w:val="0"/>
        </w:rPr>
        <w:br w:type="column"/>
      </w:r>
      <w:r w:rsidR="00236FAA" w:rsidRPr="00236FAA">
        <w:rPr>
          <w:rFonts w:asciiTheme="minorEastAsia" w:eastAsiaTheme="minorEastAsia" w:hAnsiTheme="minorEastAsia" w:hint="eastAsia"/>
          <w:bCs w:val="0"/>
          <w:i w:val="0"/>
          <w:color w:val="00ACA1"/>
          <w:lang w:eastAsia="ja-JP"/>
        </w:rPr>
        <w:t>C)</w:t>
      </w:r>
      <w:r>
        <w:rPr>
          <w:color w:val="545456"/>
          <w:w w:val="95"/>
        </w:rPr>
        <w:t>20</w:t>
      </w:r>
      <w:r>
        <w:rPr>
          <w:color w:val="545456"/>
          <w:spacing w:val="21"/>
          <w:w w:val="95"/>
        </w:rPr>
        <w:t xml:space="preserve"> </w:t>
      </w:r>
      <w:r w:rsidR="00236FAA">
        <w:rPr>
          <w:rFonts w:ascii="ＭＳ 明朝" w:eastAsia="ＭＳ 明朝" w:hAnsi="ＭＳ 明朝" w:cs="ＭＳ 明朝" w:hint="eastAsia"/>
          <w:color w:val="545456"/>
          <w:w w:val="95"/>
          <w:lang w:eastAsia="ja-JP"/>
        </w:rPr>
        <w:t>年減少</w:t>
      </w:r>
    </w:p>
    <w:p w14:paraId="5B8C4B97" w14:textId="77777777" w:rsidR="0055291C" w:rsidRDefault="0055291C">
      <w:pPr>
        <w:sectPr w:rsidR="0055291C">
          <w:type w:val="continuous"/>
          <w:pgSz w:w="12240" w:h="15840"/>
          <w:pgMar w:top="740" w:right="0" w:bottom="280" w:left="0" w:header="957" w:footer="859" w:gutter="0"/>
          <w:cols w:num="6" w:space="720" w:equalWidth="0">
            <w:col w:w="1769" w:space="40"/>
            <w:col w:w="1219" w:space="345"/>
            <w:col w:w="1769" w:space="39"/>
            <w:col w:w="1804" w:space="40"/>
            <w:col w:w="1347" w:space="39"/>
            <w:col w:w="3829"/>
          </w:cols>
        </w:sectPr>
      </w:pPr>
    </w:p>
    <w:p w14:paraId="303CC203" w14:textId="77777777" w:rsidR="0055291C" w:rsidRDefault="0055291C">
      <w:pPr>
        <w:pStyle w:val="a3"/>
        <w:rPr>
          <w:rFonts w:ascii="Arial"/>
          <w:b/>
          <w:i/>
          <w:sz w:val="20"/>
        </w:rPr>
      </w:pPr>
    </w:p>
    <w:p w14:paraId="25EBC4FC" w14:textId="77777777" w:rsidR="0055291C" w:rsidRDefault="0055291C">
      <w:pPr>
        <w:pStyle w:val="a3"/>
        <w:rPr>
          <w:rFonts w:ascii="Arial"/>
          <w:b/>
          <w:i/>
          <w:sz w:val="20"/>
        </w:rPr>
      </w:pPr>
    </w:p>
    <w:p w14:paraId="60F0AD7E" w14:textId="77777777" w:rsidR="0055291C" w:rsidRDefault="0055291C">
      <w:pPr>
        <w:pStyle w:val="a3"/>
        <w:rPr>
          <w:rFonts w:ascii="Arial"/>
          <w:b/>
          <w:i/>
          <w:sz w:val="20"/>
        </w:rPr>
      </w:pPr>
    </w:p>
    <w:p w14:paraId="0C3CB296" w14:textId="77777777" w:rsidR="0055291C" w:rsidRDefault="0055291C">
      <w:pPr>
        <w:pStyle w:val="a3"/>
        <w:rPr>
          <w:rFonts w:ascii="Arial"/>
          <w:b/>
          <w:i/>
          <w:sz w:val="20"/>
        </w:rPr>
      </w:pPr>
    </w:p>
    <w:p w14:paraId="0F9BE8FB" w14:textId="77777777" w:rsidR="0055291C" w:rsidRDefault="0055291C">
      <w:pPr>
        <w:pStyle w:val="a3"/>
        <w:rPr>
          <w:rFonts w:ascii="Arial"/>
          <w:b/>
          <w:i/>
          <w:sz w:val="20"/>
        </w:rPr>
      </w:pPr>
    </w:p>
    <w:p w14:paraId="6B459968" w14:textId="77777777" w:rsidR="0055291C" w:rsidRDefault="0055291C">
      <w:pPr>
        <w:pStyle w:val="a3"/>
        <w:rPr>
          <w:rFonts w:ascii="Arial"/>
          <w:b/>
          <w:i/>
          <w:sz w:val="20"/>
        </w:rPr>
      </w:pPr>
    </w:p>
    <w:p w14:paraId="681B1BC5" w14:textId="77777777" w:rsidR="0055291C" w:rsidRDefault="0055291C">
      <w:pPr>
        <w:pStyle w:val="a3"/>
        <w:rPr>
          <w:rFonts w:ascii="Arial"/>
          <w:b/>
          <w:i/>
          <w:sz w:val="20"/>
        </w:rPr>
      </w:pPr>
    </w:p>
    <w:p w14:paraId="73055178" w14:textId="77777777" w:rsidR="0055291C" w:rsidRDefault="0055291C">
      <w:pPr>
        <w:pStyle w:val="a3"/>
        <w:rPr>
          <w:rFonts w:ascii="Arial"/>
          <w:b/>
          <w:i/>
          <w:sz w:val="20"/>
        </w:rPr>
      </w:pPr>
    </w:p>
    <w:p w14:paraId="2E1360EE" w14:textId="77777777" w:rsidR="0055291C" w:rsidRDefault="0055291C">
      <w:pPr>
        <w:pStyle w:val="a3"/>
        <w:rPr>
          <w:rFonts w:ascii="Arial"/>
          <w:b/>
          <w:i/>
          <w:sz w:val="20"/>
        </w:rPr>
      </w:pPr>
    </w:p>
    <w:p w14:paraId="387A5983" w14:textId="77777777" w:rsidR="0055291C" w:rsidRDefault="0055291C">
      <w:pPr>
        <w:pStyle w:val="a3"/>
        <w:spacing w:before="6"/>
        <w:rPr>
          <w:rFonts w:ascii="Arial"/>
          <w:b/>
          <w:i/>
        </w:rPr>
      </w:pPr>
    </w:p>
    <w:p w14:paraId="48C8C244" w14:textId="77777777" w:rsidR="0055291C" w:rsidRDefault="0055291C">
      <w:pPr>
        <w:rPr>
          <w:rFonts w:ascii="Arial"/>
        </w:rPr>
        <w:sectPr w:rsidR="0055291C">
          <w:type w:val="continuous"/>
          <w:pgSz w:w="12240" w:h="15840"/>
          <w:pgMar w:top="740" w:right="0" w:bottom="280" w:left="0" w:header="957" w:footer="859" w:gutter="0"/>
          <w:cols w:space="720"/>
        </w:sectPr>
      </w:pPr>
    </w:p>
    <w:p w14:paraId="58D19613" w14:textId="77777777" w:rsidR="0055291C" w:rsidRDefault="00F23C61">
      <w:pPr>
        <w:spacing w:before="101"/>
        <w:jc w:val="right"/>
        <w:rPr>
          <w:rFonts w:ascii="Arial"/>
          <w:b/>
          <w:i/>
          <w:sz w:val="13"/>
        </w:rPr>
      </w:pPr>
      <w:r>
        <w:rPr>
          <w:rFonts w:ascii="Arial"/>
          <w:b/>
          <w:i/>
          <w:color w:val="545456"/>
          <w:sz w:val="13"/>
        </w:rPr>
        <w:t>0.0</w:t>
      </w:r>
    </w:p>
    <w:p w14:paraId="7B773BE7" w14:textId="77777777" w:rsidR="0055291C" w:rsidRDefault="00F23C61">
      <w:pPr>
        <w:rPr>
          <w:rFonts w:ascii="Arial"/>
          <w:b/>
          <w:i/>
          <w:sz w:val="14"/>
        </w:rPr>
      </w:pPr>
      <w:r>
        <w:br w:type="column"/>
      </w:r>
    </w:p>
    <w:p w14:paraId="2842076D" w14:textId="77777777" w:rsidR="0055291C" w:rsidRDefault="0055291C">
      <w:pPr>
        <w:pStyle w:val="a3"/>
        <w:spacing w:before="1"/>
        <w:rPr>
          <w:rFonts w:ascii="Arial"/>
          <w:b/>
          <w:i/>
          <w:sz w:val="13"/>
        </w:rPr>
      </w:pPr>
    </w:p>
    <w:p w14:paraId="0823B9D7" w14:textId="471A1B5A" w:rsidR="0055291C" w:rsidRDefault="00236FAA">
      <w:pPr>
        <w:spacing w:before="1"/>
        <w:ind w:right="38"/>
        <w:jc w:val="right"/>
        <w:rPr>
          <w:rFonts w:ascii="Arial"/>
          <w:b/>
          <w:i/>
          <w:sz w:val="13"/>
        </w:rPr>
      </w:pPr>
      <w:r>
        <w:rPr>
          <w:rFonts w:ascii="ＭＳ ゴシック" w:eastAsia="ＭＳ ゴシック" w:hAnsi="ＭＳ ゴシック" w:cs="ＭＳ ゴシック" w:hint="eastAsia"/>
          <w:b/>
          <w:i/>
          <w:color w:val="545456"/>
          <w:sz w:val="13"/>
          <w:lang w:eastAsia="ja-JP"/>
        </w:rPr>
        <w:t>時間</w:t>
      </w:r>
    </w:p>
    <w:p w14:paraId="5D9D2D64" w14:textId="77777777" w:rsidR="0055291C" w:rsidRDefault="00F23C61">
      <w:pPr>
        <w:spacing w:before="101"/>
        <w:jc w:val="right"/>
        <w:rPr>
          <w:rFonts w:ascii="Arial"/>
          <w:b/>
          <w:i/>
          <w:sz w:val="13"/>
        </w:rPr>
      </w:pPr>
      <w:r>
        <w:br w:type="column"/>
      </w:r>
      <w:r>
        <w:rPr>
          <w:rFonts w:ascii="Arial"/>
          <w:b/>
          <w:i/>
          <w:color w:val="545456"/>
          <w:sz w:val="13"/>
        </w:rPr>
        <w:t>0.0</w:t>
      </w:r>
    </w:p>
    <w:p w14:paraId="71E34FAF" w14:textId="77777777" w:rsidR="0055291C" w:rsidRDefault="00F23C61">
      <w:pPr>
        <w:rPr>
          <w:rFonts w:ascii="Arial"/>
          <w:b/>
          <w:i/>
          <w:sz w:val="14"/>
        </w:rPr>
      </w:pPr>
      <w:r>
        <w:br w:type="column"/>
      </w:r>
    </w:p>
    <w:p w14:paraId="3874DE2B" w14:textId="77777777" w:rsidR="0055291C" w:rsidRDefault="0055291C">
      <w:pPr>
        <w:pStyle w:val="a3"/>
        <w:spacing w:before="1"/>
        <w:rPr>
          <w:rFonts w:ascii="Arial"/>
          <w:b/>
          <w:i/>
          <w:sz w:val="13"/>
        </w:rPr>
      </w:pPr>
    </w:p>
    <w:p w14:paraId="767BD92E" w14:textId="2131122E" w:rsidR="0055291C" w:rsidRDefault="00236FAA">
      <w:pPr>
        <w:spacing w:before="1"/>
        <w:jc w:val="right"/>
        <w:rPr>
          <w:rFonts w:ascii="Arial"/>
          <w:b/>
          <w:i/>
          <w:sz w:val="13"/>
        </w:rPr>
      </w:pPr>
      <w:r>
        <w:rPr>
          <w:rFonts w:ascii="ＭＳ ゴシック" w:eastAsia="ＭＳ ゴシック" w:hAnsi="ＭＳ ゴシック" w:cs="ＭＳ ゴシック" w:hint="eastAsia"/>
          <w:b/>
          <w:i/>
          <w:color w:val="545456"/>
          <w:sz w:val="13"/>
          <w:lang w:eastAsia="ja-JP"/>
        </w:rPr>
        <w:t>時間</w:t>
      </w:r>
    </w:p>
    <w:p w14:paraId="0847B772" w14:textId="77777777" w:rsidR="0055291C" w:rsidRDefault="00F23C61">
      <w:pPr>
        <w:spacing w:before="101"/>
        <w:jc w:val="right"/>
        <w:rPr>
          <w:rFonts w:ascii="Arial"/>
          <w:b/>
          <w:i/>
          <w:sz w:val="13"/>
        </w:rPr>
      </w:pPr>
      <w:r>
        <w:br w:type="column"/>
      </w:r>
      <w:r>
        <w:rPr>
          <w:rFonts w:ascii="Arial"/>
          <w:b/>
          <w:i/>
          <w:color w:val="545456"/>
          <w:sz w:val="13"/>
        </w:rPr>
        <w:t>0.0</w:t>
      </w:r>
    </w:p>
    <w:p w14:paraId="42553C19" w14:textId="77777777" w:rsidR="0055291C" w:rsidRDefault="00F23C61">
      <w:pPr>
        <w:rPr>
          <w:rFonts w:ascii="Arial"/>
          <w:b/>
          <w:i/>
          <w:sz w:val="14"/>
        </w:rPr>
      </w:pPr>
      <w:r>
        <w:br w:type="column"/>
      </w:r>
    </w:p>
    <w:p w14:paraId="5AEF60F3" w14:textId="77777777" w:rsidR="0055291C" w:rsidRDefault="0055291C">
      <w:pPr>
        <w:pStyle w:val="a3"/>
        <w:spacing w:before="1"/>
        <w:rPr>
          <w:rFonts w:ascii="Arial"/>
          <w:b/>
          <w:i/>
          <w:sz w:val="13"/>
        </w:rPr>
      </w:pPr>
    </w:p>
    <w:p w14:paraId="2C672A43" w14:textId="3E41CE9C" w:rsidR="0055291C" w:rsidRDefault="00000000">
      <w:pPr>
        <w:spacing w:before="1"/>
        <w:ind w:left="1203"/>
        <w:rPr>
          <w:rFonts w:ascii="Arial"/>
          <w:b/>
          <w:i/>
          <w:sz w:val="13"/>
        </w:rPr>
      </w:pPr>
      <w:r>
        <w:pict w14:anchorId="219A0E06">
          <v:group id="docshapegroup1575" o:spid="_x0000_s2283" style="position:absolute;left:0;text-align:left;margin-left:422.45pt;margin-top:-136.05pt;width:131.55pt;height:131.55pt;z-index:251664896;mso-position-horizontal-relative:page" coordorigin="8449,-2721" coordsize="2631,2631">
            <v:shape id="docshape1576" o:spid="_x0000_s2286" style="position:absolute;left:8466;top:-1005;width:2135;height:773" coordorigin="8466,-1005" coordsize="2135,773" path="m8466,-1005r31,218l10519,-234r17,2l10552,-238r13,-11l10573,-265r27,-99l10601,-381r-5,-16l10585,-410r-16,-8l8466,-1005xe" fillcolor="#00aca1" stroked="f">
              <v:path arrowok="t"/>
            </v:shape>
            <v:shape id="docshape1577" o:spid="_x0000_s2285" style="position:absolute;left:8448;top:-2721;width:2631;height:2631" coordorigin="8449,-2721" coordsize="2631,2631" path="m8555,-2721r-64,l8475,-2717r-14,9l8452,-2695r-3,17l8449,-133r3,17l8461,-103r14,9l8491,-90r2546,l11053,-94r14,-9l11076,-116r3,-17l11079,-196r-59,-40l10994,-175r-2460,l8534,-2636r21,l8572,-2639r13,-9l8594,-2662r3,-16l8594,-2695r-9,-13l8572,-2717r-17,-4xe" fillcolor="#545456" stroked="f">
              <v:path arrowok="t"/>
            </v:shape>
            <v:shape id="docshape1578" o:spid="_x0000_s2284" type="#_x0000_t202" style="position:absolute;left:8448;top:-2721;width:2631;height:2631" filled="f" stroked="f">
              <v:textbox inset="0,0,0,0">
                <w:txbxContent>
                  <w:p w14:paraId="5EB2D4D0" w14:textId="2F37003E" w:rsidR="0055291C" w:rsidRDefault="0055291C">
                    <w:pPr>
                      <w:spacing w:before="14"/>
                      <w:ind w:left="269"/>
                      <w:rPr>
                        <w:rFonts w:ascii="Arial"/>
                        <w:b/>
                        <w:i/>
                      </w:rPr>
                    </w:pPr>
                  </w:p>
                </w:txbxContent>
              </v:textbox>
            </v:shape>
            <w10:wrap anchorx="page"/>
          </v:group>
        </w:pict>
      </w:r>
      <w:r w:rsidR="00236FAA">
        <w:rPr>
          <w:rFonts w:ascii="ＭＳ ゴシック" w:eastAsia="ＭＳ ゴシック" w:hAnsi="ＭＳ ゴシック" w:cs="ＭＳ ゴシック" w:hint="eastAsia"/>
          <w:b/>
          <w:i/>
          <w:color w:val="545456"/>
          <w:sz w:val="13"/>
          <w:lang w:eastAsia="ja-JP"/>
        </w:rPr>
        <w:t>時間</w:t>
      </w:r>
    </w:p>
    <w:p w14:paraId="0CCD19F8" w14:textId="77777777" w:rsidR="0055291C" w:rsidRDefault="0055291C">
      <w:pPr>
        <w:rPr>
          <w:rFonts w:ascii="Arial"/>
          <w:sz w:val="13"/>
        </w:rPr>
        <w:sectPr w:rsidR="0055291C">
          <w:type w:val="continuous"/>
          <w:pgSz w:w="12240" w:h="15840"/>
          <w:pgMar w:top="740" w:right="0" w:bottom="280" w:left="0" w:header="957" w:footer="859" w:gutter="0"/>
          <w:cols w:num="6" w:space="720" w:equalWidth="0">
            <w:col w:w="1781" w:space="40"/>
            <w:col w:w="1473" w:space="79"/>
            <w:col w:w="1781" w:space="39"/>
            <w:col w:w="1442" w:space="40"/>
            <w:col w:w="1710" w:space="39"/>
            <w:col w:w="3816"/>
          </w:cols>
        </w:sectPr>
      </w:pPr>
    </w:p>
    <w:p w14:paraId="3369F977" w14:textId="72081549" w:rsidR="0055291C" w:rsidRDefault="00236FAA">
      <w:pPr>
        <w:spacing w:before="134" w:line="345" w:lineRule="auto"/>
        <w:ind w:left="1692" w:right="1138" w:hanging="558"/>
        <w:rPr>
          <w:sz w:val="16"/>
          <w:lang w:eastAsia="ja-JP"/>
        </w:rPr>
      </w:pPr>
      <w:r>
        <w:rPr>
          <w:rFonts w:ascii="ＭＳ ゴシック" w:eastAsia="ＭＳ ゴシック" w:hAnsi="ＭＳ ゴシック" w:cs="ＭＳ ゴシック" w:hint="eastAsia"/>
          <w:color w:val="545456"/>
          <w:w w:val="95"/>
          <w:sz w:val="16"/>
          <w:lang w:eastAsia="ja-JP"/>
        </w:rPr>
        <w:t>参照</w:t>
      </w:r>
      <w:r w:rsidR="00F23C61">
        <w:rPr>
          <w:color w:val="545456"/>
          <w:w w:val="95"/>
          <w:sz w:val="16"/>
        </w:rPr>
        <w:t>:</w:t>
      </w:r>
      <w:r w:rsidR="00F23C61">
        <w:rPr>
          <w:color w:val="545456"/>
          <w:spacing w:val="6"/>
          <w:w w:val="95"/>
          <w:sz w:val="16"/>
        </w:rPr>
        <w:t xml:space="preserve"> </w:t>
      </w:r>
      <w:proofErr w:type="spellStart"/>
      <w:r w:rsidR="00F23C61">
        <w:rPr>
          <w:color w:val="545456"/>
          <w:w w:val="95"/>
          <w:sz w:val="16"/>
        </w:rPr>
        <w:t>Zaks</w:t>
      </w:r>
      <w:proofErr w:type="spellEnd"/>
      <w:r w:rsidR="00F23C61">
        <w:rPr>
          <w:color w:val="545456"/>
          <w:w w:val="95"/>
          <w:sz w:val="16"/>
        </w:rPr>
        <w:t>,</w:t>
      </w:r>
      <w:r w:rsidR="00F23C61">
        <w:rPr>
          <w:color w:val="545456"/>
          <w:spacing w:val="7"/>
          <w:w w:val="95"/>
          <w:sz w:val="16"/>
        </w:rPr>
        <w:t xml:space="preserve"> </w:t>
      </w:r>
      <w:r w:rsidR="00F23C61">
        <w:rPr>
          <w:color w:val="545456"/>
          <w:w w:val="95"/>
          <w:sz w:val="16"/>
        </w:rPr>
        <w:t>D.P.M.,</w:t>
      </w:r>
      <w:r w:rsidR="00F23C61">
        <w:rPr>
          <w:color w:val="545456"/>
          <w:spacing w:val="6"/>
          <w:w w:val="95"/>
          <w:sz w:val="16"/>
        </w:rPr>
        <w:t xml:space="preserve"> </w:t>
      </w:r>
      <w:r w:rsidR="00F23C61">
        <w:rPr>
          <w:color w:val="545456"/>
          <w:w w:val="95"/>
          <w:sz w:val="16"/>
        </w:rPr>
        <w:t>C.</w:t>
      </w:r>
      <w:r w:rsidR="00F23C61">
        <w:rPr>
          <w:color w:val="545456"/>
          <w:spacing w:val="7"/>
          <w:w w:val="95"/>
          <w:sz w:val="16"/>
        </w:rPr>
        <w:t xml:space="preserve"> </w:t>
      </w:r>
      <w:r w:rsidR="00F23C61">
        <w:rPr>
          <w:color w:val="545456"/>
          <w:w w:val="95"/>
          <w:sz w:val="16"/>
        </w:rPr>
        <w:t>C.</w:t>
      </w:r>
      <w:r w:rsidR="00F23C61">
        <w:rPr>
          <w:color w:val="545456"/>
          <w:spacing w:val="6"/>
          <w:w w:val="95"/>
          <w:sz w:val="16"/>
        </w:rPr>
        <w:t xml:space="preserve"> </w:t>
      </w:r>
      <w:r w:rsidR="00F23C61">
        <w:rPr>
          <w:color w:val="545456"/>
          <w:w w:val="95"/>
          <w:sz w:val="16"/>
        </w:rPr>
        <w:t>Barford,</w:t>
      </w:r>
      <w:r w:rsidR="00F23C61">
        <w:rPr>
          <w:color w:val="545456"/>
          <w:spacing w:val="7"/>
          <w:w w:val="95"/>
          <w:sz w:val="16"/>
        </w:rPr>
        <w:t xml:space="preserve"> </w:t>
      </w:r>
      <w:r w:rsidR="00F23C61">
        <w:rPr>
          <w:color w:val="545456"/>
          <w:w w:val="95"/>
          <w:sz w:val="16"/>
        </w:rPr>
        <w:t>N.</w:t>
      </w:r>
      <w:r w:rsidR="00F23C61">
        <w:rPr>
          <w:color w:val="545456"/>
          <w:spacing w:val="7"/>
          <w:w w:val="95"/>
          <w:sz w:val="16"/>
        </w:rPr>
        <w:t xml:space="preserve"> </w:t>
      </w:r>
      <w:proofErr w:type="spellStart"/>
      <w:r w:rsidR="00F23C61">
        <w:rPr>
          <w:color w:val="545456"/>
          <w:w w:val="95"/>
          <w:sz w:val="16"/>
        </w:rPr>
        <w:t>Ramankutty</w:t>
      </w:r>
      <w:proofErr w:type="spellEnd"/>
      <w:r w:rsidR="00F23C61">
        <w:rPr>
          <w:color w:val="545456"/>
          <w:spacing w:val="6"/>
          <w:w w:val="95"/>
          <w:sz w:val="16"/>
        </w:rPr>
        <w:t xml:space="preserve"> </w:t>
      </w:r>
      <w:r w:rsidR="00F23C61">
        <w:rPr>
          <w:color w:val="545456"/>
          <w:w w:val="95"/>
          <w:sz w:val="16"/>
        </w:rPr>
        <w:t>and</w:t>
      </w:r>
      <w:r w:rsidR="00F23C61">
        <w:rPr>
          <w:color w:val="545456"/>
          <w:spacing w:val="7"/>
          <w:w w:val="95"/>
          <w:sz w:val="16"/>
        </w:rPr>
        <w:t xml:space="preserve"> </w:t>
      </w:r>
      <w:r w:rsidR="00F23C61">
        <w:rPr>
          <w:color w:val="545456"/>
          <w:w w:val="95"/>
          <w:sz w:val="16"/>
        </w:rPr>
        <w:t>J.</w:t>
      </w:r>
      <w:r w:rsidR="00F23C61">
        <w:rPr>
          <w:color w:val="545456"/>
          <w:spacing w:val="6"/>
          <w:w w:val="95"/>
          <w:sz w:val="16"/>
        </w:rPr>
        <w:t xml:space="preserve"> </w:t>
      </w:r>
      <w:r w:rsidR="00F23C61">
        <w:rPr>
          <w:color w:val="545456"/>
          <w:w w:val="95"/>
          <w:sz w:val="16"/>
        </w:rPr>
        <w:t>A.</w:t>
      </w:r>
      <w:r w:rsidR="00F23C61">
        <w:rPr>
          <w:color w:val="545456"/>
          <w:spacing w:val="7"/>
          <w:w w:val="95"/>
          <w:sz w:val="16"/>
        </w:rPr>
        <w:t xml:space="preserve"> </w:t>
      </w:r>
      <w:r w:rsidR="00F23C61">
        <w:rPr>
          <w:color w:val="545456"/>
          <w:w w:val="95"/>
          <w:sz w:val="16"/>
        </w:rPr>
        <w:t>Foley,</w:t>
      </w:r>
      <w:r w:rsidR="00F23C61">
        <w:rPr>
          <w:color w:val="545456"/>
          <w:spacing w:val="7"/>
          <w:w w:val="95"/>
          <w:sz w:val="16"/>
        </w:rPr>
        <w:t xml:space="preserve"> </w:t>
      </w:r>
      <w:r w:rsidR="00F23C61">
        <w:rPr>
          <w:color w:val="545456"/>
          <w:w w:val="95"/>
          <w:sz w:val="16"/>
        </w:rPr>
        <w:t>“Producer</w:t>
      </w:r>
      <w:r w:rsidR="00F23C61">
        <w:rPr>
          <w:color w:val="545456"/>
          <w:spacing w:val="6"/>
          <w:w w:val="95"/>
          <w:sz w:val="16"/>
        </w:rPr>
        <w:t xml:space="preserve"> </w:t>
      </w:r>
      <w:r w:rsidR="00F23C61">
        <w:rPr>
          <w:color w:val="545456"/>
          <w:w w:val="95"/>
          <w:sz w:val="16"/>
        </w:rPr>
        <w:t>and</w:t>
      </w:r>
      <w:r w:rsidR="00F23C61">
        <w:rPr>
          <w:color w:val="545456"/>
          <w:spacing w:val="7"/>
          <w:w w:val="95"/>
          <w:sz w:val="16"/>
        </w:rPr>
        <w:t xml:space="preserve"> </w:t>
      </w:r>
      <w:r w:rsidR="00F23C61">
        <w:rPr>
          <w:color w:val="545456"/>
          <w:w w:val="95"/>
          <w:sz w:val="16"/>
        </w:rPr>
        <w:t>consumer</w:t>
      </w:r>
      <w:r w:rsidR="00F23C61">
        <w:rPr>
          <w:color w:val="545456"/>
          <w:spacing w:val="6"/>
          <w:w w:val="95"/>
          <w:sz w:val="16"/>
        </w:rPr>
        <w:t xml:space="preserve"> </w:t>
      </w:r>
      <w:r w:rsidR="00F23C61">
        <w:rPr>
          <w:color w:val="545456"/>
          <w:w w:val="95"/>
          <w:sz w:val="16"/>
        </w:rPr>
        <w:t>responsibility</w:t>
      </w:r>
      <w:r w:rsidR="00F23C61">
        <w:rPr>
          <w:color w:val="545456"/>
          <w:spacing w:val="7"/>
          <w:w w:val="95"/>
          <w:sz w:val="16"/>
        </w:rPr>
        <w:t xml:space="preserve"> </w:t>
      </w:r>
      <w:r w:rsidR="00F23C61">
        <w:rPr>
          <w:color w:val="545456"/>
          <w:w w:val="95"/>
          <w:sz w:val="16"/>
        </w:rPr>
        <w:t>for</w:t>
      </w:r>
      <w:r w:rsidR="00F23C61">
        <w:rPr>
          <w:color w:val="545456"/>
          <w:spacing w:val="6"/>
          <w:w w:val="95"/>
          <w:sz w:val="16"/>
        </w:rPr>
        <w:t xml:space="preserve"> </w:t>
      </w:r>
      <w:r w:rsidR="00F23C61">
        <w:rPr>
          <w:color w:val="545456"/>
          <w:w w:val="95"/>
          <w:sz w:val="16"/>
        </w:rPr>
        <w:t>greenhouse</w:t>
      </w:r>
      <w:r w:rsidR="00F23C61">
        <w:rPr>
          <w:color w:val="545456"/>
          <w:spacing w:val="7"/>
          <w:w w:val="95"/>
          <w:sz w:val="16"/>
        </w:rPr>
        <w:t xml:space="preserve"> </w:t>
      </w:r>
      <w:r w:rsidR="00F23C61">
        <w:rPr>
          <w:color w:val="545456"/>
          <w:w w:val="95"/>
          <w:sz w:val="16"/>
        </w:rPr>
        <w:t>gas</w:t>
      </w:r>
      <w:r w:rsidR="00F23C61">
        <w:rPr>
          <w:color w:val="545456"/>
          <w:spacing w:val="7"/>
          <w:w w:val="95"/>
          <w:sz w:val="16"/>
        </w:rPr>
        <w:t xml:space="preserve"> </w:t>
      </w:r>
      <w:r w:rsidR="00F23C61">
        <w:rPr>
          <w:color w:val="545456"/>
          <w:w w:val="95"/>
          <w:sz w:val="16"/>
        </w:rPr>
        <w:t>emissions</w:t>
      </w:r>
      <w:r w:rsidR="00F23C61">
        <w:rPr>
          <w:color w:val="545456"/>
          <w:spacing w:val="6"/>
          <w:w w:val="95"/>
          <w:sz w:val="16"/>
        </w:rPr>
        <w:t xml:space="preserve"> </w:t>
      </w:r>
      <w:r w:rsidR="00F23C61">
        <w:rPr>
          <w:color w:val="545456"/>
          <w:w w:val="95"/>
          <w:sz w:val="16"/>
        </w:rPr>
        <w:t>from</w:t>
      </w:r>
      <w:r w:rsidR="00F23C61">
        <w:rPr>
          <w:color w:val="545456"/>
          <w:spacing w:val="1"/>
          <w:w w:val="95"/>
          <w:sz w:val="16"/>
        </w:rPr>
        <w:t xml:space="preserve"> </w:t>
      </w:r>
      <w:r w:rsidR="00F23C61">
        <w:rPr>
          <w:color w:val="545456"/>
          <w:sz w:val="16"/>
        </w:rPr>
        <w:t>agricultural</w:t>
      </w:r>
      <w:r w:rsidR="00F23C61">
        <w:rPr>
          <w:color w:val="545456"/>
          <w:spacing w:val="-8"/>
          <w:sz w:val="16"/>
        </w:rPr>
        <w:t xml:space="preserve"> </w:t>
      </w:r>
      <w:r w:rsidR="00F23C61">
        <w:rPr>
          <w:color w:val="545456"/>
          <w:sz w:val="16"/>
        </w:rPr>
        <w:t>production</w:t>
      </w:r>
      <w:r w:rsidR="00F23C61">
        <w:rPr>
          <w:color w:val="545456"/>
          <w:spacing w:val="-7"/>
          <w:sz w:val="16"/>
        </w:rPr>
        <w:t xml:space="preserve"> </w:t>
      </w:r>
      <w:r w:rsidR="00F23C61">
        <w:rPr>
          <w:color w:val="545456"/>
          <w:sz w:val="16"/>
        </w:rPr>
        <w:t>–a</w:t>
      </w:r>
      <w:r w:rsidR="00F23C61">
        <w:rPr>
          <w:color w:val="545456"/>
          <w:spacing w:val="-8"/>
          <w:sz w:val="16"/>
        </w:rPr>
        <w:t xml:space="preserve"> </w:t>
      </w:r>
      <w:r w:rsidR="00F23C61">
        <w:rPr>
          <w:color w:val="545456"/>
          <w:sz w:val="16"/>
        </w:rPr>
        <w:t>perspective</w:t>
      </w:r>
      <w:r w:rsidR="00F23C61">
        <w:rPr>
          <w:color w:val="545456"/>
          <w:spacing w:val="-7"/>
          <w:sz w:val="16"/>
        </w:rPr>
        <w:t xml:space="preserve"> </w:t>
      </w:r>
      <w:r w:rsidR="00F23C61">
        <w:rPr>
          <w:color w:val="545456"/>
          <w:sz w:val="16"/>
        </w:rPr>
        <w:t>from</w:t>
      </w:r>
      <w:r w:rsidR="00F23C61">
        <w:rPr>
          <w:color w:val="545456"/>
          <w:spacing w:val="-8"/>
          <w:sz w:val="16"/>
        </w:rPr>
        <w:t xml:space="preserve"> </w:t>
      </w:r>
      <w:r w:rsidR="00F23C61">
        <w:rPr>
          <w:color w:val="545456"/>
          <w:sz w:val="16"/>
        </w:rPr>
        <w:t>the</w:t>
      </w:r>
      <w:r w:rsidR="00F23C61">
        <w:rPr>
          <w:color w:val="545456"/>
          <w:spacing w:val="-7"/>
          <w:sz w:val="16"/>
        </w:rPr>
        <w:t xml:space="preserve"> </w:t>
      </w:r>
      <w:r w:rsidR="00F23C61">
        <w:rPr>
          <w:color w:val="545456"/>
          <w:sz w:val="16"/>
        </w:rPr>
        <w:t>Brazilian</w:t>
      </w:r>
      <w:r w:rsidR="00F23C61">
        <w:rPr>
          <w:color w:val="545456"/>
          <w:spacing w:val="-8"/>
          <w:sz w:val="16"/>
        </w:rPr>
        <w:t xml:space="preserve"> </w:t>
      </w:r>
      <w:proofErr w:type="spellStart"/>
      <w:r w:rsidR="00F23C61">
        <w:rPr>
          <w:color w:val="545456"/>
          <w:sz w:val="16"/>
        </w:rPr>
        <w:t>Amazon.”Environmental</w:t>
      </w:r>
      <w:proofErr w:type="spellEnd"/>
      <w:r w:rsidR="00F23C61">
        <w:rPr>
          <w:color w:val="545456"/>
          <w:spacing w:val="-7"/>
          <w:sz w:val="16"/>
        </w:rPr>
        <w:t xml:space="preserve"> </w:t>
      </w:r>
      <w:r w:rsidR="00F23C61">
        <w:rPr>
          <w:color w:val="545456"/>
          <w:sz w:val="16"/>
        </w:rPr>
        <w:t>Research</w:t>
      </w:r>
      <w:r w:rsidR="00F23C61">
        <w:rPr>
          <w:color w:val="545456"/>
          <w:spacing w:val="-8"/>
          <w:sz w:val="16"/>
        </w:rPr>
        <w:t xml:space="preserve"> </w:t>
      </w:r>
      <w:r w:rsidR="00F23C61">
        <w:rPr>
          <w:color w:val="545456"/>
          <w:sz w:val="16"/>
        </w:rPr>
        <w:t>Letters.</w:t>
      </w:r>
      <w:r w:rsidR="00F23C61">
        <w:rPr>
          <w:color w:val="545456"/>
          <w:spacing w:val="-7"/>
          <w:sz w:val="16"/>
        </w:rPr>
        <w:t xml:space="preserve"> </w:t>
      </w:r>
      <w:r w:rsidR="00F23C61">
        <w:rPr>
          <w:color w:val="545456"/>
          <w:sz w:val="16"/>
          <w:lang w:eastAsia="ja-JP"/>
        </w:rPr>
        <w:t>4</w:t>
      </w:r>
      <w:r w:rsidR="00F23C61">
        <w:rPr>
          <w:color w:val="545456"/>
          <w:spacing w:val="-7"/>
          <w:sz w:val="16"/>
          <w:lang w:eastAsia="ja-JP"/>
        </w:rPr>
        <w:t xml:space="preserve"> </w:t>
      </w:r>
      <w:r w:rsidR="00F23C61">
        <w:rPr>
          <w:color w:val="545456"/>
          <w:sz w:val="16"/>
          <w:lang w:eastAsia="ja-JP"/>
        </w:rPr>
        <w:t>(2009).</w:t>
      </w:r>
    </w:p>
    <w:p w14:paraId="039410D1" w14:textId="77777777" w:rsidR="0055291C" w:rsidRDefault="0055291C">
      <w:pPr>
        <w:pStyle w:val="a3"/>
        <w:spacing w:before="10"/>
        <w:rPr>
          <w:sz w:val="18"/>
          <w:lang w:eastAsia="ja-JP"/>
        </w:rPr>
      </w:pPr>
    </w:p>
    <w:p w14:paraId="6255D972" w14:textId="77777777" w:rsidR="0055291C" w:rsidRDefault="0055291C">
      <w:pPr>
        <w:rPr>
          <w:sz w:val="18"/>
          <w:lang w:eastAsia="ja-JP"/>
        </w:rPr>
        <w:sectPr w:rsidR="0055291C">
          <w:type w:val="continuous"/>
          <w:pgSz w:w="12240" w:h="15840"/>
          <w:pgMar w:top="740" w:right="0" w:bottom="280" w:left="0" w:header="957" w:footer="859" w:gutter="0"/>
          <w:cols w:space="720"/>
        </w:sectPr>
      </w:pPr>
    </w:p>
    <w:p w14:paraId="3A90C990" w14:textId="110812FA" w:rsidR="0055291C" w:rsidRDefault="00B436F7" w:rsidP="00C753F8">
      <w:pPr>
        <w:pStyle w:val="a3"/>
        <w:spacing w:before="2" w:line="312" w:lineRule="auto"/>
        <w:ind w:left="851" w:right="293"/>
        <w:rPr>
          <w:lang w:eastAsia="ja-JP"/>
        </w:rPr>
      </w:pPr>
      <w:r>
        <w:rPr>
          <w:rFonts w:ascii="ＭＳ ゴシック" w:eastAsia="ＭＳ ゴシック" w:hAnsi="ＭＳ ゴシック" w:cs="ＭＳ ゴシック" w:hint="eastAsia"/>
          <w:lang w:eastAsia="ja-JP"/>
        </w:rPr>
        <w:t>研究対象となる製品や木材の種類、その木材が育つ場所によって、大きく異なる伐採技術が発生し、それが土地利用変化による影響の量と分布に大きな影響を与えるのです。さらに、転換された土地が生物起源副産物も生産する場合、土地利用転換の際に副産物の配分（第</w:t>
      </w:r>
      <w:r>
        <w:rPr>
          <w:lang w:eastAsia="ja-JP"/>
        </w:rPr>
        <w:t>9</w:t>
      </w:r>
      <w:r>
        <w:rPr>
          <w:rFonts w:ascii="ＭＳ ゴシック" w:eastAsia="ＭＳ ゴシック" w:hAnsi="ＭＳ ゴシック" w:cs="ＭＳ ゴシック" w:hint="eastAsia"/>
          <w:lang w:eastAsia="ja-JP"/>
        </w:rPr>
        <w:t>章で定義）が必要となる場合があ</w:t>
      </w:r>
      <w:r w:rsidR="00867502">
        <w:rPr>
          <w:rFonts w:ascii="ＭＳ ゴシック" w:eastAsia="ＭＳ ゴシック" w:hAnsi="ＭＳ ゴシック" w:cs="ＭＳ ゴシック" w:hint="eastAsia"/>
          <w:lang w:eastAsia="ja-JP"/>
        </w:rPr>
        <w:t>ります</w:t>
      </w:r>
      <w:r>
        <w:rPr>
          <w:rFonts w:ascii="ＭＳ ゴシック" w:eastAsia="ＭＳ ゴシック" w:hAnsi="ＭＳ ゴシック" w:cs="ＭＳ ゴシック" w:hint="eastAsia"/>
          <w:lang w:eastAsia="ja-JP"/>
        </w:rPr>
        <w:t>。</w:t>
      </w:r>
      <w:r>
        <w:rPr>
          <w:lang w:eastAsia="ja-JP"/>
        </w:rPr>
        <w:t xml:space="preserve"> </w:t>
      </w:r>
      <w:r>
        <w:rPr>
          <w:rFonts w:ascii="ＭＳ ゴシック" w:eastAsia="ＭＳ ゴシック" w:hAnsi="ＭＳ ゴシック" w:cs="ＭＳ ゴシック" w:hint="eastAsia"/>
          <w:lang w:eastAsia="ja-JP"/>
        </w:rPr>
        <w:t>調査対象製品が作物であっても、土地利用変化</w:t>
      </w:r>
      <w:r w:rsidR="00867502">
        <w:rPr>
          <w:rFonts w:ascii="ＭＳ ゴシック" w:eastAsia="ＭＳ ゴシック" w:hAnsi="ＭＳ ゴシック" w:cs="ＭＳ ゴシック" w:hint="eastAsia"/>
          <w:lang w:eastAsia="ja-JP"/>
        </w:rPr>
        <w:t>により</w:t>
      </w:r>
      <w:r>
        <w:rPr>
          <w:rFonts w:ascii="ＭＳ ゴシック" w:eastAsia="ＭＳ ゴシック" w:hAnsi="ＭＳ ゴシック" w:cs="ＭＳ ゴシック" w:hint="eastAsia"/>
          <w:lang w:eastAsia="ja-JP"/>
        </w:rPr>
        <w:t>副産物</w:t>
      </w:r>
      <w:r w:rsidR="00867502">
        <w:rPr>
          <w:rFonts w:ascii="ＭＳ ゴシック" w:eastAsia="ＭＳ ゴシック" w:hAnsi="ＭＳ ゴシック" w:cs="ＭＳ ゴシック" w:hint="eastAsia"/>
          <w:lang w:eastAsia="ja-JP"/>
        </w:rPr>
        <w:t>として木材</w:t>
      </w:r>
      <w:r>
        <w:rPr>
          <w:rFonts w:ascii="ＭＳ ゴシック" w:eastAsia="ＭＳ ゴシック" w:hAnsi="ＭＳ ゴシック" w:cs="ＭＳ ゴシック" w:hint="eastAsia"/>
          <w:lang w:eastAsia="ja-JP"/>
        </w:rPr>
        <w:t>を生み出した場合、企業はこれらの排出を正確に</w:t>
      </w:r>
      <w:r w:rsidR="00867502">
        <w:rPr>
          <w:rFonts w:ascii="ＭＳ ゴシック" w:eastAsia="ＭＳ ゴシック" w:hAnsi="ＭＳ ゴシック" w:cs="ＭＳ ゴシック" w:hint="eastAsia"/>
          <w:lang w:eastAsia="ja-JP"/>
        </w:rPr>
        <w:t>割り当てる</w:t>
      </w:r>
      <w:r>
        <w:rPr>
          <w:rFonts w:ascii="ＭＳ ゴシック" w:eastAsia="ＭＳ ゴシック" w:hAnsi="ＭＳ ゴシック" w:cs="ＭＳ ゴシック" w:hint="eastAsia"/>
          <w:lang w:eastAsia="ja-JP"/>
        </w:rPr>
        <w:t>必要があ</w:t>
      </w:r>
      <w:r w:rsidR="00867502">
        <w:rPr>
          <w:rFonts w:ascii="ＭＳ ゴシック" w:eastAsia="ＭＳ ゴシック" w:hAnsi="ＭＳ ゴシック" w:cs="ＭＳ ゴシック" w:hint="eastAsia"/>
          <w:lang w:eastAsia="ja-JP"/>
        </w:rPr>
        <w:t>ります</w:t>
      </w:r>
      <w:r>
        <w:rPr>
          <w:rFonts w:ascii="ＭＳ ゴシック" w:eastAsia="ＭＳ ゴシック" w:hAnsi="ＭＳ ゴシック" w:cs="ＭＳ ゴシック" w:hint="eastAsia"/>
          <w:lang w:eastAsia="ja-JP"/>
        </w:rPr>
        <w:t>。以下のシナリオは、森林や木材製品による土地利用の影響の正しい分布と</w:t>
      </w:r>
      <w:r w:rsidR="00867502">
        <w:rPr>
          <w:rFonts w:ascii="ＭＳ ゴシック" w:eastAsia="ＭＳ ゴシック" w:hAnsi="ＭＳ ゴシック" w:cs="ＭＳ ゴシック" w:hint="eastAsia"/>
          <w:lang w:eastAsia="ja-JP"/>
        </w:rPr>
        <w:t>割り当て</w:t>
      </w:r>
      <w:r w:rsidRPr="00867502">
        <w:rPr>
          <w:vertAlign w:val="superscript"/>
          <w:lang w:eastAsia="ja-JP"/>
        </w:rPr>
        <w:t>10</w:t>
      </w:r>
      <w:r>
        <w:rPr>
          <w:rFonts w:ascii="ＭＳ ゴシック" w:eastAsia="ＭＳ ゴシック" w:hAnsi="ＭＳ ゴシック" w:cs="ＭＳ ゴシック" w:hint="eastAsia"/>
          <w:lang w:eastAsia="ja-JP"/>
        </w:rPr>
        <w:t>について、いくつかの洞察を与えてくれ</w:t>
      </w:r>
      <w:r w:rsidR="00867502">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w:t>
      </w:r>
    </w:p>
    <w:p w14:paraId="681E464E" w14:textId="24CB6751" w:rsidR="0055291C" w:rsidRPr="00236FAA" w:rsidRDefault="00F23C61" w:rsidP="00C753F8">
      <w:pPr>
        <w:spacing w:before="89"/>
        <w:ind w:left="851" w:right="293"/>
        <w:rPr>
          <w:rFonts w:ascii="Arial"/>
          <w:b/>
          <w:i/>
          <w:color w:val="7F3F98"/>
          <w:sz w:val="18"/>
          <w:lang w:eastAsia="ja-JP"/>
        </w:rPr>
      </w:pPr>
      <w:r w:rsidRPr="00236FAA">
        <w:rPr>
          <w:rFonts w:ascii="Arial"/>
          <w:b/>
          <w:i/>
          <w:color w:val="7F3F98"/>
          <w:sz w:val="18"/>
          <w:lang w:eastAsia="ja-JP"/>
        </w:rPr>
        <w:t>Scenario</w:t>
      </w:r>
      <w:r w:rsidRPr="00236FAA">
        <w:rPr>
          <w:rFonts w:ascii="Arial"/>
          <w:b/>
          <w:i/>
          <w:color w:val="7F3F98"/>
          <w:spacing w:val="13"/>
          <w:sz w:val="18"/>
          <w:lang w:eastAsia="ja-JP"/>
        </w:rPr>
        <w:t xml:space="preserve"> </w:t>
      </w:r>
      <w:r w:rsidRPr="00236FAA">
        <w:rPr>
          <w:rFonts w:ascii="Arial"/>
          <w:b/>
          <w:i/>
          <w:color w:val="7F3F98"/>
          <w:sz w:val="18"/>
          <w:lang w:eastAsia="ja-JP"/>
        </w:rPr>
        <w:t>A:</w:t>
      </w:r>
      <w:r w:rsidRPr="00236FAA">
        <w:rPr>
          <w:rFonts w:ascii="Arial"/>
          <w:b/>
          <w:i/>
          <w:color w:val="7F3F98"/>
          <w:spacing w:val="13"/>
          <w:sz w:val="18"/>
          <w:lang w:eastAsia="ja-JP"/>
        </w:rPr>
        <w:t xml:space="preserve"> </w:t>
      </w:r>
      <w:r w:rsidR="00867502" w:rsidRPr="00236FAA">
        <w:rPr>
          <w:rFonts w:ascii="ＭＳ ゴシック" w:eastAsia="ＭＳ ゴシック" w:hAnsi="ＭＳ ゴシック" w:cs="ＭＳ ゴシック" w:hint="eastAsia"/>
          <w:b/>
          <w:i/>
          <w:color w:val="7F3F98"/>
          <w:sz w:val="18"/>
          <w:lang w:eastAsia="ja-JP"/>
        </w:rPr>
        <w:t>木材のために森林が伐採されるが、他のカテゴリーに変換されない、または将来の用途が不明な土地</w:t>
      </w:r>
    </w:p>
    <w:p w14:paraId="6C7C17A4" w14:textId="367B143D" w:rsidR="0055291C" w:rsidRPr="00236FAA" w:rsidRDefault="00867502" w:rsidP="00C753F8">
      <w:pPr>
        <w:spacing w:before="30" w:line="307" w:lineRule="auto"/>
        <w:ind w:left="851" w:right="293" w:firstLineChars="100" w:firstLine="190"/>
        <w:rPr>
          <w:rFonts w:ascii="Arial"/>
          <w:i/>
          <w:sz w:val="19"/>
          <w:szCs w:val="19"/>
          <w:lang w:eastAsia="ja-JP"/>
        </w:rPr>
      </w:pPr>
      <w:r w:rsidRPr="00236FAA">
        <w:rPr>
          <w:rFonts w:ascii="ＭＳ ゴシック" w:eastAsia="ＭＳ ゴシック" w:hAnsi="ＭＳ ゴシック" w:cs="ＭＳ ゴシック" w:hint="eastAsia"/>
          <w:i/>
          <w:sz w:val="19"/>
          <w:szCs w:val="19"/>
          <w:lang w:eastAsia="ja-JP"/>
        </w:rPr>
        <w:t>このシナリオにおいては、森林の密度変化に基づいて計算される蓄積量変化は、伐採された木材から作られる製品に起因するものです。追加的な成長が計画されていない、</w:t>
      </w:r>
      <w:r w:rsidRPr="00236FAA">
        <w:rPr>
          <w:i/>
          <w:sz w:val="19"/>
          <w:szCs w:val="19"/>
          <w:lang w:eastAsia="ja-JP"/>
        </w:rPr>
        <w:t xml:space="preserve"> </w:t>
      </w:r>
      <w:r w:rsidRPr="00236FAA">
        <w:rPr>
          <w:rFonts w:ascii="ＭＳ ゴシック" w:eastAsia="ＭＳ ゴシック" w:hAnsi="ＭＳ ゴシック" w:cs="ＭＳ ゴシック" w:hint="eastAsia"/>
          <w:i/>
          <w:sz w:val="19"/>
          <w:szCs w:val="19"/>
          <w:lang w:eastAsia="ja-JP"/>
        </w:rPr>
        <w:t>あるいは不明であるため、割り当ては必要ありません。</w:t>
      </w:r>
    </w:p>
    <w:p w14:paraId="6FA3F1B3" w14:textId="00C3C585" w:rsidR="0055291C" w:rsidRPr="00236FAA" w:rsidRDefault="00F23C61" w:rsidP="00C753F8">
      <w:pPr>
        <w:spacing w:before="171" w:line="278" w:lineRule="auto"/>
        <w:ind w:left="851" w:right="293"/>
        <w:rPr>
          <w:rFonts w:ascii="Arial"/>
          <w:b/>
          <w:i/>
          <w:color w:val="7F3F98"/>
          <w:sz w:val="18"/>
          <w:lang w:eastAsia="ja-JP"/>
        </w:rPr>
      </w:pPr>
      <w:r w:rsidRPr="00236FAA">
        <w:rPr>
          <w:rFonts w:ascii="Arial"/>
          <w:b/>
          <w:i/>
          <w:color w:val="7F3F98"/>
          <w:sz w:val="18"/>
          <w:lang w:eastAsia="ja-JP"/>
        </w:rPr>
        <w:t>Scenario</w:t>
      </w:r>
      <w:r w:rsidRPr="00236FAA">
        <w:rPr>
          <w:rFonts w:ascii="Arial"/>
          <w:b/>
          <w:i/>
          <w:color w:val="7F3F98"/>
          <w:spacing w:val="13"/>
          <w:sz w:val="18"/>
          <w:lang w:eastAsia="ja-JP"/>
        </w:rPr>
        <w:t xml:space="preserve"> </w:t>
      </w:r>
      <w:r w:rsidRPr="00236FAA">
        <w:rPr>
          <w:rFonts w:ascii="Arial"/>
          <w:b/>
          <w:i/>
          <w:color w:val="7F3F98"/>
          <w:sz w:val="18"/>
          <w:lang w:eastAsia="ja-JP"/>
        </w:rPr>
        <w:t>B:</w:t>
      </w:r>
      <w:r w:rsidRPr="00236FAA">
        <w:rPr>
          <w:rFonts w:ascii="Arial"/>
          <w:b/>
          <w:i/>
          <w:color w:val="7F3F98"/>
          <w:spacing w:val="13"/>
          <w:sz w:val="18"/>
          <w:lang w:eastAsia="ja-JP"/>
        </w:rPr>
        <w:t xml:space="preserve"> </w:t>
      </w:r>
      <w:r w:rsidR="007212AE" w:rsidRPr="00236FAA">
        <w:rPr>
          <w:rFonts w:ascii="ＭＳ ゴシック" w:eastAsia="ＭＳ ゴシック" w:hAnsi="ＭＳ ゴシック" w:cs="ＭＳ ゴシック" w:hint="eastAsia"/>
          <w:b/>
          <w:i/>
          <w:color w:val="7F3F98"/>
          <w:sz w:val="18"/>
          <w:lang w:eastAsia="ja-JP"/>
        </w:rPr>
        <w:t>木材のために伐採された森林が、別の管理された土地に転換された場合。</w:t>
      </w:r>
    </w:p>
    <w:p w14:paraId="7F7C5B6E" w14:textId="580FCC7F" w:rsidR="0055291C" w:rsidRPr="00236FAA" w:rsidRDefault="007212AE" w:rsidP="00C753F8">
      <w:pPr>
        <w:spacing w:before="50" w:line="307" w:lineRule="auto"/>
        <w:ind w:left="851" w:right="293" w:firstLineChars="100" w:firstLine="190"/>
        <w:rPr>
          <w:rFonts w:ascii="Arial"/>
          <w:i/>
          <w:sz w:val="19"/>
          <w:lang w:eastAsia="ja-JP"/>
        </w:rPr>
      </w:pPr>
      <w:r w:rsidRPr="00236FAA">
        <w:rPr>
          <w:rFonts w:ascii="ＭＳ ゴシック" w:eastAsia="ＭＳ ゴシック" w:hAnsi="ＭＳ ゴシック" w:cs="ＭＳ ゴシック" w:hint="eastAsia"/>
          <w:i/>
          <w:sz w:val="19"/>
          <w:szCs w:val="19"/>
          <w:lang w:eastAsia="ja-JP"/>
        </w:rPr>
        <w:t>このシナリオでは、土地利用変化の影響は、償却期間内の土地から生産されるすべての製品に分配される必要があります</w:t>
      </w:r>
      <w:r w:rsidRPr="00236FAA">
        <w:rPr>
          <w:i/>
          <w:sz w:val="19"/>
          <w:szCs w:val="19"/>
          <w:lang w:eastAsia="ja-JP"/>
        </w:rPr>
        <w:t xml:space="preserve"> </w:t>
      </w:r>
      <w:r w:rsidRPr="00236FAA">
        <w:rPr>
          <w:rFonts w:ascii="ＭＳ ゴシック" w:eastAsia="ＭＳ ゴシック" w:hAnsi="ＭＳ ゴシック" w:cs="ＭＳ ゴシック" w:hint="eastAsia"/>
          <w:i/>
          <w:sz w:val="19"/>
          <w:szCs w:val="19"/>
          <w:lang w:eastAsia="ja-JP"/>
        </w:rPr>
        <w:t>。</w:t>
      </w:r>
      <w:r w:rsidRPr="00236FAA">
        <w:rPr>
          <w:i/>
          <w:sz w:val="19"/>
          <w:szCs w:val="19"/>
          <w:lang w:eastAsia="ja-JP"/>
        </w:rPr>
        <w:t xml:space="preserve"> </w:t>
      </w:r>
      <w:r w:rsidR="005518AE" w:rsidRPr="00236FAA">
        <w:rPr>
          <w:rFonts w:ascii="ＭＳ ゴシック" w:eastAsia="ＭＳ ゴシック" w:hAnsi="ＭＳ ゴシック" w:cs="ＭＳ ゴシック" w:hint="eastAsia"/>
          <w:i/>
          <w:sz w:val="19"/>
          <w:szCs w:val="19"/>
          <w:lang w:eastAsia="ja-JP"/>
        </w:rPr>
        <w:t>例えば、最初の収穫で</w:t>
      </w:r>
      <w:r w:rsidR="005518AE" w:rsidRPr="00236FAA">
        <w:rPr>
          <w:rFonts w:ascii="ＭＳ ゴシック" w:eastAsia="ＭＳ ゴシック" w:hAnsi="ＭＳ ゴシック" w:cs="ＭＳ ゴシック"/>
          <w:i/>
          <w:sz w:val="19"/>
          <w:szCs w:val="19"/>
          <w:lang w:eastAsia="ja-JP"/>
        </w:rPr>
        <w:t>100</w:t>
      </w:r>
      <w:r w:rsidR="005518AE" w:rsidRPr="00236FAA">
        <w:rPr>
          <w:rFonts w:ascii="ＭＳ ゴシック" w:eastAsia="ＭＳ ゴシック" w:hAnsi="ＭＳ ゴシック" w:cs="ＭＳ ゴシック" w:hint="eastAsia"/>
          <w:i/>
          <w:sz w:val="19"/>
          <w:szCs w:val="19"/>
          <w:lang w:eastAsia="ja-JP"/>
        </w:rPr>
        <w:t>トンの木材を収穫し、残り</w:t>
      </w:r>
      <w:r w:rsidR="005518AE" w:rsidRPr="00236FAA">
        <w:rPr>
          <w:rFonts w:ascii="ＭＳ ゴシック" w:eastAsia="ＭＳ ゴシック" w:hAnsi="ＭＳ ゴシック" w:cs="ＭＳ ゴシック"/>
          <w:i/>
          <w:sz w:val="19"/>
          <w:szCs w:val="19"/>
          <w:lang w:eastAsia="ja-JP"/>
        </w:rPr>
        <w:t>19</w:t>
      </w:r>
      <w:r w:rsidR="005518AE" w:rsidRPr="00236FAA">
        <w:rPr>
          <w:rFonts w:ascii="ＭＳ ゴシック" w:eastAsia="ＭＳ ゴシック" w:hAnsi="ＭＳ ゴシック" w:cs="ＭＳ ゴシック" w:hint="eastAsia"/>
          <w:i/>
          <w:sz w:val="19"/>
          <w:szCs w:val="19"/>
          <w:lang w:eastAsia="ja-JP"/>
        </w:rPr>
        <w:t>年の償却期間で毎年</w:t>
      </w:r>
      <w:r w:rsidR="005518AE" w:rsidRPr="00236FAA">
        <w:rPr>
          <w:rFonts w:ascii="ＭＳ ゴシック" w:eastAsia="ＭＳ ゴシック" w:hAnsi="ＭＳ ゴシック" w:cs="ＭＳ ゴシック"/>
          <w:i/>
          <w:sz w:val="19"/>
          <w:szCs w:val="19"/>
          <w:lang w:eastAsia="ja-JP"/>
        </w:rPr>
        <w:t>1</w:t>
      </w:r>
      <w:r w:rsidR="005518AE" w:rsidRPr="00236FAA">
        <w:rPr>
          <w:rFonts w:ascii="ＭＳ ゴシック" w:eastAsia="ＭＳ ゴシック" w:hAnsi="ＭＳ ゴシック" w:cs="ＭＳ ゴシック" w:hint="eastAsia"/>
          <w:i/>
          <w:sz w:val="19"/>
          <w:szCs w:val="19"/>
          <w:lang w:eastAsia="ja-JP"/>
        </w:rPr>
        <w:t>トンの作物を収穫することで、</w:t>
      </w:r>
      <w:r w:rsidR="005518AE" w:rsidRPr="00236FAA">
        <w:rPr>
          <w:rFonts w:ascii="ＭＳ ゴシック" w:eastAsia="ＭＳ ゴシック" w:hAnsi="ＭＳ ゴシック" w:cs="ＭＳ ゴシック"/>
          <w:i/>
          <w:sz w:val="19"/>
          <w:szCs w:val="19"/>
          <w:lang w:eastAsia="ja-JP"/>
        </w:rPr>
        <w:t>150</w:t>
      </w:r>
      <w:r w:rsidR="005518AE" w:rsidRPr="00236FAA">
        <w:rPr>
          <w:rFonts w:ascii="ＭＳ ゴシック" w:eastAsia="ＭＳ ゴシック" w:hAnsi="ＭＳ ゴシック" w:cs="ＭＳ ゴシック" w:hint="eastAsia"/>
          <w:i/>
          <w:sz w:val="19"/>
          <w:szCs w:val="19"/>
          <w:lang w:eastAsia="ja-JP"/>
        </w:rPr>
        <w:t>トンの炭素のストック変化を計算</w:t>
      </w:r>
      <w:r w:rsidR="00C753F8">
        <w:rPr>
          <w:rFonts w:ascii="ＭＳ ゴシック" w:eastAsia="ＭＳ ゴシック" w:hAnsi="ＭＳ ゴシック" w:cs="ＭＳ ゴシック" w:hint="eastAsia"/>
          <w:i/>
          <w:sz w:val="19"/>
          <w:szCs w:val="19"/>
          <w:lang w:eastAsia="ja-JP"/>
        </w:rPr>
        <w:t>する例</w:t>
      </w:r>
    </w:p>
    <w:p w14:paraId="35D37E58" w14:textId="7124F6B4" w:rsidR="0055291C" w:rsidRPr="00236FAA" w:rsidRDefault="00F23C61" w:rsidP="00C753F8">
      <w:pPr>
        <w:spacing w:before="100" w:line="307" w:lineRule="auto"/>
        <w:ind w:left="426" w:right="992"/>
        <w:rPr>
          <w:rFonts w:ascii="Arial"/>
          <w:i/>
          <w:sz w:val="19"/>
          <w:lang w:eastAsia="ja-JP"/>
        </w:rPr>
      </w:pPr>
      <w:r w:rsidRPr="00236FAA">
        <w:rPr>
          <w:i/>
          <w:lang w:eastAsia="ja-JP"/>
        </w:rPr>
        <w:br w:type="column"/>
      </w:r>
      <w:r w:rsidR="005518AE" w:rsidRPr="00236FAA">
        <w:rPr>
          <w:rFonts w:ascii="ＭＳ ゴシック" w:eastAsia="ＭＳ ゴシック" w:hAnsi="ＭＳ ゴシック" w:cs="ＭＳ ゴシック" w:hint="eastAsia"/>
          <w:i/>
          <w:sz w:val="19"/>
          <w:szCs w:val="19"/>
          <w:lang w:eastAsia="ja-JP"/>
        </w:rPr>
        <w:t>です。つまり、</w:t>
      </w:r>
      <w:r w:rsidR="005518AE" w:rsidRPr="00236FAA">
        <w:rPr>
          <w:i/>
          <w:sz w:val="19"/>
          <w:szCs w:val="19"/>
          <w:lang w:eastAsia="ja-JP"/>
        </w:rPr>
        <w:t xml:space="preserve"> 150</w:t>
      </w:r>
      <w:r w:rsidR="005518AE" w:rsidRPr="00236FAA">
        <w:rPr>
          <w:rFonts w:ascii="ＭＳ ゴシック" w:eastAsia="ＭＳ ゴシック" w:hAnsi="ＭＳ ゴシック" w:cs="ＭＳ ゴシック" w:hint="eastAsia"/>
          <w:i/>
          <w:sz w:val="19"/>
          <w:szCs w:val="19"/>
          <w:lang w:eastAsia="ja-JP"/>
        </w:rPr>
        <w:t>トンの炭素が</w:t>
      </w:r>
      <w:r w:rsidR="005518AE" w:rsidRPr="00236FAA">
        <w:rPr>
          <w:i/>
          <w:sz w:val="19"/>
          <w:szCs w:val="19"/>
          <w:lang w:eastAsia="ja-JP"/>
        </w:rPr>
        <w:t>119</w:t>
      </w:r>
      <w:r w:rsidR="005518AE" w:rsidRPr="00236FAA">
        <w:rPr>
          <w:rFonts w:ascii="ＭＳ ゴシック" w:eastAsia="ＭＳ ゴシック" w:hAnsi="ＭＳ ゴシック" w:cs="ＭＳ ゴシック" w:hint="eastAsia"/>
          <w:i/>
          <w:sz w:val="19"/>
          <w:szCs w:val="19"/>
          <w:lang w:eastAsia="ja-JP"/>
        </w:rPr>
        <w:t>トンの製品に分配されることになります</w:t>
      </w:r>
      <w:r w:rsidR="005518AE" w:rsidRPr="00236FAA">
        <w:rPr>
          <w:i/>
          <w:sz w:val="19"/>
          <w:szCs w:val="19"/>
          <w:lang w:eastAsia="ja-JP"/>
        </w:rPr>
        <w:t xml:space="preserve"> </w:t>
      </w:r>
      <w:r w:rsidR="005518AE" w:rsidRPr="00236FAA">
        <w:rPr>
          <w:rFonts w:ascii="ＭＳ ゴシック" w:eastAsia="ＭＳ ゴシック" w:hAnsi="ＭＳ ゴシック" w:cs="ＭＳ ゴシック" w:hint="eastAsia"/>
          <w:i/>
          <w:sz w:val="19"/>
          <w:szCs w:val="19"/>
          <w:lang w:eastAsia="ja-JP"/>
        </w:rPr>
        <w:t>。土地利用の変化による追加的な影響（例えば、</w:t>
      </w:r>
      <w:r w:rsidR="005518AE" w:rsidRPr="00236FAA">
        <w:rPr>
          <w:i/>
          <w:sz w:val="19"/>
          <w:szCs w:val="19"/>
          <w:lang w:eastAsia="ja-JP"/>
        </w:rPr>
        <w:t xml:space="preserve"> </w:t>
      </w:r>
      <w:r w:rsidR="005518AE" w:rsidRPr="00236FAA">
        <w:rPr>
          <w:rFonts w:ascii="ＭＳ ゴシック" w:eastAsia="ＭＳ ゴシック" w:hAnsi="ＭＳ ゴシック" w:cs="ＭＳ ゴシック" w:hint="eastAsia"/>
          <w:i/>
          <w:sz w:val="19"/>
          <w:szCs w:val="19"/>
          <w:lang w:eastAsia="ja-JP"/>
        </w:rPr>
        <w:t>石灰化処理など）も分配する必要があるかもしれません。</w:t>
      </w:r>
      <w:r w:rsidR="005518AE" w:rsidRPr="00236FAA">
        <w:rPr>
          <w:i/>
          <w:sz w:val="19"/>
          <w:szCs w:val="19"/>
          <w:lang w:eastAsia="ja-JP"/>
        </w:rPr>
        <w:t xml:space="preserve"> </w:t>
      </w:r>
      <w:r w:rsidR="005518AE" w:rsidRPr="00236FAA">
        <w:rPr>
          <w:rFonts w:ascii="ＭＳ ゴシック" w:eastAsia="ＭＳ ゴシック" w:hAnsi="ＭＳ ゴシック" w:cs="ＭＳ ゴシック" w:hint="eastAsia"/>
          <w:i/>
          <w:sz w:val="19"/>
          <w:szCs w:val="19"/>
          <w:lang w:eastAsia="ja-JP"/>
        </w:rPr>
        <w:t>このシナリオは、転換された土地が管理されており、その</w:t>
      </w:r>
      <w:r w:rsidR="005518AE" w:rsidRPr="00236FAA">
        <w:rPr>
          <w:i/>
          <w:sz w:val="19"/>
          <w:szCs w:val="19"/>
          <w:lang w:eastAsia="ja-JP"/>
        </w:rPr>
        <w:t xml:space="preserve"> </w:t>
      </w:r>
      <w:r w:rsidR="005518AE" w:rsidRPr="00236FAA">
        <w:rPr>
          <w:rFonts w:ascii="ＭＳ ゴシック" w:eastAsia="ＭＳ ゴシック" w:hAnsi="ＭＳ ゴシック" w:cs="ＭＳ ゴシック" w:hint="eastAsia"/>
          <w:i/>
          <w:sz w:val="19"/>
          <w:szCs w:val="19"/>
          <w:lang w:eastAsia="ja-JP"/>
        </w:rPr>
        <w:t>土地の生産量がわかっている場合にのみ適用されます。この文脈では、管理されているとは、製品の栽培と収穫を目的として継続的に維持されている土地を指します。分配は、伐採と再植を繰り返したが維持されていない林地や</w:t>
      </w:r>
      <w:r w:rsidR="005518AE" w:rsidRPr="00236FAA">
        <w:rPr>
          <w:i/>
          <w:sz w:val="19"/>
          <w:szCs w:val="19"/>
          <w:lang w:eastAsia="ja-JP"/>
        </w:rPr>
        <w:t xml:space="preserve"> </w:t>
      </w:r>
      <w:r w:rsidR="005518AE" w:rsidRPr="00236FAA">
        <w:rPr>
          <w:rFonts w:ascii="ＭＳ ゴシック" w:eastAsia="ＭＳ ゴシック" w:hAnsi="ＭＳ ゴシック" w:cs="ＭＳ ゴシック" w:hint="eastAsia"/>
          <w:i/>
          <w:sz w:val="19"/>
          <w:szCs w:val="19"/>
          <w:lang w:eastAsia="ja-JP"/>
        </w:rPr>
        <w:t>、再植と管理を行ったが伐採期間が長期に渡る（</w:t>
      </w:r>
      <w:r w:rsidR="005518AE" w:rsidRPr="00236FAA">
        <w:rPr>
          <w:i/>
          <w:sz w:val="19"/>
          <w:szCs w:val="19"/>
          <w:lang w:eastAsia="ja-JP"/>
        </w:rPr>
        <w:t>50</w:t>
      </w:r>
      <w:r w:rsidR="005518AE" w:rsidRPr="00236FAA">
        <w:rPr>
          <w:rFonts w:ascii="ＭＳ ゴシック" w:eastAsia="ＭＳ ゴシック" w:hAnsi="ＭＳ ゴシック" w:cs="ＭＳ ゴシック" w:hint="eastAsia"/>
          <w:i/>
          <w:sz w:val="19"/>
          <w:szCs w:val="19"/>
          <w:lang w:eastAsia="ja-JP"/>
        </w:rPr>
        <w:t>年以上）区画には適用されません。どちらの場合も、最終的な</w:t>
      </w:r>
      <w:r w:rsidR="00236FAA" w:rsidRPr="00236FAA">
        <w:rPr>
          <w:rFonts w:ascii="ＭＳ ゴシック" w:eastAsia="ＭＳ ゴシック" w:hAnsi="ＭＳ ゴシック" w:cs="ＭＳ ゴシック" w:hint="eastAsia"/>
          <w:i/>
          <w:sz w:val="19"/>
          <w:szCs w:val="19"/>
          <w:lang w:eastAsia="ja-JP"/>
        </w:rPr>
        <w:t>再植された木</w:t>
      </w:r>
      <w:r w:rsidR="005518AE" w:rsidRPr="00236FAA">
        <w:rPr>
          <w:rFonts w:ascii="ＭＳ ゴシック" w:eastAsia="ＭＳ ゴシック" w:hAnsi="ＭＳ ゴシック" w:cs="ＭＳ ゴシック" w:hint="eastAsia"/>
          <w:i/>
          <w:sz w:val="19"/>
          <w:szCs w:val="19"/>
          <w:lang w:eastAsia="ja-JP"/>
        </w:rPr>
        <w:t>の生産に関連する不確実性があるため、土地利用変化の影響はすべて最初の木材伐採に適用するのが最も正確です。</w:t>
      </w:r>
    </w:p>
    <w:p w14:paraId="0DA2CD30" w14:textId="5BC69AC5" w:rsidR="0055291C" w:rsidRPr="00236FAA" w:rsidRDefault="00F23C61" w:rsidP="00C753F8">
      <w:pPr>
        <w:spacing w:before="172" w:line="278" w:lineRule="auto"/>
        <w:ind w:left="426" w:right="992"/>
        <w:rPr>
          <w:rFonts w:ascii="Arial"/>
          <w:b/>
          <w:i/>
          <w:color w:val="7F3F98"/>
          <w:spacing w:val="-2"/>
          <w:w w:val="95"/>
          <w:sz w:val="18"/>
          <w:lang w:eastAsia="ja-JP"/>
        </w:rPr>
      </w:pPr>
      <w:r w:rsidRPr="00236FAA">
        <w:rPr>
          <w:rFonts w:ascii="Arial"/>
          <w:b/>
          <w:i/>
          <w:color w:val="7F3F98"/>
          <w:spacing w:val="-2"/>
          <w:w w:val="95"/>
          <w:sz w:val="18"/>
          <w:lang w:eastAsia="ja-JP"/>
        </w:rPr>
        <w:t>Scenario</w:t>
      </w:r>
      <w:r w:rsidRPr="00236FAA">
        <w:rPr>
          <w:rFonts w:ascii="Arial"/>
          <w:b/>
          <w:i/>
          <w:color w:val="7F3F98"/>
          <w:spacing w:val="-14"/>
          <w:w w:val="95"/>
          <w:sz w:val="18"/>
          <w:lang w:eastAsia="ja-JP"/>
        </w:rPr>
        <w:t xml:space="preserve"> </w:t>
      </w:r>
      <w:r w:rsidRPr="00236FAA">
        <w:rPr>
          <w:rFonts w:ascii="Arial"/>
          <w:b/>
          <w:i/>
          <w:color w:val="7F3F98"/>
          <w:spacing w:val="-2"/>
          <w:w w:val="95"/>
          <w:sz w:val="18"/>
          <w:lang w:eastAsia="ja-JP"/>
        </w:rPr>
        <w:t>C:</w:t>
      </w:r>
      <w:r w:rsidRPr="00236FAA">
        <w:rPr>
          <w:rFonts w:ascii="Arial"/>
          <w:b/>
          <w:i/>
          <w:color w:val="7F3F98"/>
          <w:spacing w:val="-13"/>
          <w:w w:val="95"/>
          <w:sz w:val="18"/>
          <w:lang w:eastAsia="ja-JP"/>
        </w:rPr>
        <w:t xml:space="preserve"> </w:t>
      </w:r>
      <w:r w:rsidR="00236FAA" w:rsidRPr="00236FAA">
        <w:rPr>
          <w:rFonts w:ascii="ＭＳ ゴシック" w:eastAsia="ＭＳ ゴシック" w:hAnsi="ＭＳ ゴシック" w:cs="ＭＳ ゴシック" w:hint="eastAsia"/>
          <w:b/>
          <w:i/>
          <w:color w:val="7F3F98"/>
          <w:spacing w:val="-2"/>
          <w:w w:val="95"/>
          <w:sz w:val="18"/>
          <w:lang w:eastAsia="ja-JP"/>
        </w:rPr>
        <w:t>：森林が他の土地カテゴリーに転換され、木材が副産物として収穫されない場合。</w:t>
      </w:r>
    </w:p>
    <w:p w14:paraId="40E60F3A" w14:textId="13ABFC77" w:rsidR="0055291C" w:rsidRPr="00C753F8" w:rsidRDefault="00236FAA" w:rsidP="00C753F8">
      <w:pPr>
        <w:spacing w:before="1" w:line="307" w:lineRule="auto"/>
        <w:ind w:left="426" w:right="992" w:firstLineChars="100" w:firstLine="190"/>
        <w:jc w:val="both"/>
        <w:rPr>
          <w:rFonts w:ascii="Arial"/>
          <w:i/>
          <w:iCs/>
          <w:sz w:val="19"/>
          <w:lang w:eastAsia="ja-JP"/>
        </w:rPr>
      </w:pPr>
      <w:r w:rsidRPr="00C753F8">
        <w:rPr>
          <w:rFonts w:ascii="ＭＳ ゴシック" w:eastAsia="ＭＳ ゴシック" w:hAnsi="ＭＳ ゴシック" w:cs="ＭＳ ゴシック" w:hint="eastAsia"/>
          <w:i/>
          <w:iCs/>
          <w:sz w:val="19"/>
          <w:szCs w:val="19"/>
          <w:lang w:eastAsia="ja-JP"/>
        </w:rPr>
        <w:t>このシナリオでは、木材は副産物の生産に使用され</w:t>
      </w:r>
      <w:r w:rsidRPr="00C753F8">
        <w:rPr>
          <w:i/>
          <w:iCs/>
          <w:sz w:val="19"/>
          <w:szCs w:val="19"/>
          <w:lang w:eastAsia="ja-JP"/>
        </w:rPr>
        <w:t xml:space="preserve"> </w:t>
      </w:r>
      <w:r w:rsidRPr="00C753F8">
        <w:rPr>
          <w:rFonts w:ascii="ＭＳ ゴシック" w:eastAsia="ＭＳ ゴシック" w:hAnsi="ＭＳ ゴシック" w:cs="ＭＳ ゴシック" w:hint="eastAsia"/>
          <w:i/>
          <w:iCs/>
          <w:sz w:val="19"/>
          <w:szCs w:val="19"/>
          <w:lang w:eastAsia="ja-JP"/>
        </w:rPr>
        <w:t>なかったため、企業は土地利用変化による影響を配分することができません。すべての土地利用変化による影響（回収されなかった木材の焼却を含む）は、</w:t>
      </w:r>
      <w:r w:rsidR="00C753F8" w:rsidRPr="00C753F8">
        <w:rPr>
          <w:rFonts w:ascii="ＭＳ ゴシック" w:eastAsia="ＭＳ ゴシック" w:hAnsi="ＭＳ ゴシック" w:cs="ＭＳ ゴシック" w:hint="eastAsia"/>
          <w:i/>
          <w:iCs/>
          <w:sz w:val="19"/>
          <w:szCs w:val="19"/>
          <w:lang w:eastAsia="ja-JP"/>
        </w:rPr>
        <w:t>変換された土地で生産された製品</w:t>
      </w:r>
      <w:r w:rsidRPr="00C753F8">
        <w:rPr>
          <w:rFonts w:ascii="ＭＳ ゴシック" w:eastAsia="ＭＳ ゴシック" w:hAnsi="ＭＳ ゴシック" w:cs="ＭＳ ゴシック" w:hint="eastAsia"/>
          <w:i/>
          <w:iCs/>
          <w:sz w:val="19"/>
          <w:szCs w:val="19"/>
          <w:lang w:eastAsia="ja-JP"/>
        </w:rPr>
        <w:t>に配分されなければな</w:t>
      </w:r>
      <w:r w:rsidR="00C753F8" w:rsidRPr="00C753F8">
        <w:rPr>
          <w:rFonts w:ascii="ＭＳ ゴシック" w:eastAsia="ＭＳ ゴシック" w:hAnsi="ＭＳ ゴシック" w:cs="ＭＳ ゴシック" w:hint="eastAsia"/>
          <w:i/>
          <w:iCs/>
          <w:sz w:val="19"/>
          <w:szCs w:val="19"/>
          <w:lang w:eastAsia="ja-JP"/>
        </w:rPr>
        <w:t>りません</w:t>
      </w:r>
      <w:r w:rsidRPr="00C753F8">
        <w:rPr>
          <w:rFonts w:ascii="ＭＳ ゴシック" w:eastAsia="ＭＳ ゴシック" w:hAnsi="ＭＳ ゴシック" w:cs="ＭＳ ゴシック" w:hint="eastAsia"/>
          <w:i/>
          <w:iCs/>
          <w:sz w:val="19"/>
          <w:szCs w:val="19"/>
          <w:lang w:eastAsia="ja-JP"/>
        </w:rPr>
        <w:t>。シナリオ</w:t>
      </w:r>
      <w:r w:rsidRPr="00C753F8">
        <w:rPr>
          <w:i/>
          <w:iCs/>
          <w:sz w:val="19"/>
          <w:szCs w:val="19"/>
          <w:lang w:eastAsia="ja-JP"/>
        </w:rPr>
        <w:t>B</w:t>
      </w:r>
      <w:r w:rsidRPr="00C753F8">
        <w:rPr>
          <w:rFonts w:ascii="ＭＳ ゴシック" w:eastAsia="ＭＳ ゴシック" w:hAnsi="ＭＳ ゴシック" w:cs="ＭＳ ゴシック" w:hint="eastAsia"/>
          <w:i/>
          <w:iCs/>
          <w:sz w:val="19"/>
          <w:szCs w:val="19"/>
          <w:lang w:eastAsia="ja-JP"/>
        </w:rPr>
        <w:t>の使用を正当化するデータ（木材が伐採され、製品に使用されたという証明）を企業が持っていない場合は、シナリオ</w:t>
      </w:r>
      <w:r w:rsidRPr="00C753F8">
        <w:rPr>
          <w:i/>
          <w:iCs/>
          <w:sz w:val="19"/>
          <w:szCs w:val="19"/>
          <w:lang w:eastAsia="ja-JP"/>
        </w:rPr>
        <w:t>C</w:t>
      </w:r>
      <w:r w:rsidRPr="00C753F8">
        <w:rPr>
          <w:rFonts w:ascii="ＭＳ ゴシック" w:eastAsia="ＭＳ ゴシック" w:hAnsi="ＭＳ ゴシック" w:cs="ＭＳ ゴシック" w:hint="eastAsia"/>
          <w:i/>
          <w:iCs/>
          <w:sz w:val="19"/>
          <w:szCs w:val="19"/>
          <w:lang w:eastAsia="ja-JP"/>
        </w:rPr>
        <w:t>が使用されます。</w:t>
      </w:r>
    </w:p>
    <w:p w14:paraId="54E30B8C" w14:textId="77777777" w:rsidR="0055291C" w:rsidRDefault="0055291C">
      <w:pPr>
        <w:spacing w:line="307" w:lineRule="auto"/>
        <w:jc w:val="both"/>
        <w:rPr>
          <w:rFonts w:ascii="Arial"/>
          <w:sz w:val="19"/>
          <w:lang w:eastAsia="ja-JP"/>
        </w:rPr>
        <w:sectPr w:rsidR="0055291C">
          <w:type w:val="continuous"/>
          <w:pgSz w:w="12240" w:h="15840"/>
          <w:pgMar w:top="740" w:right="0" w:bottom="280" w:left="0" w:header="957" w:footer="859" w:gutter="0"/>
          <w:cols w:num="2" w:space="720" w:equalWidth="0">
            <w:col w:w="5963" w:space="40"/>
            <w:col w:w="6237"/>
          </w:cols>
        </w:sectPr>
      </w:pPr>
    </w:p>
    <w:p w14:paraId="253ECDC8" w14:textId="77777777" w:rsidR="0055291C" w:rsidRDefault="0055291C">
      <w:pPr>
        <w:pStyle w:val="a3"/>
        <w:rPr>
          <w:rFonts w:ascii="Arial"/>
          <w:i/>
          <w:sz w:val="20"/>
          <w:lang w:eastAsia="ja-JP"/>
        </w:rPr>
      </w:pPr>
    </w:p>
    <w:p w14:paraId="60463E0E" w14:textId="77777777" w:rsidR="0055291C" w:rsidRPr="009064CF" w:rsidRDefault="0055291C">
      <w:pPr>
        <w:rPr>
          <w:rFonts w:ascii="Arial" w:eastAsiaTheme="minorEastAsia"/>
          <w:sz w:val="21"/>
          <w:lang w:eastAsia="ja-JP"/>
        </w:rPr>
        <w:sectPr w:rsidR="0055291C" w:rsidRPr="009064CF">
          <w:pgSz w:w="12240" w:h="15840"/>
          <w:pgMar w:top="1160" w:right="0" w:bottom="1040" w:left="0" w:header="957" w:footer="859" w:gutter="0"/>
          <w:cols w:space="720"/>
        </w:sectPr>
      </w:pPr>
    </w:p>
    <w:p w14:paraId="01C7763B" w14:textId="54C77E44" w:rsidR="0055291C" w:rsidRDefault="00000000" w:rsidP="009064CF">
      <w:pPr>
        <w:pStyle w:val="3"/>
        <w:numPr>
          <w:ilvl w:val="1"/>
          <w:numId w:val="22"/>
        </w:numPr>
        <w:tabs>
          <w:tab w:val="left" w:pos="1418"/>
        </w:tabs>
        <w:ind w:left="851" w:rightChars="134" w:right="295" w:hanging="9"/>
        <w:rPr>
          <w:lang w:eastAsia="ja-JP"/>
        </w:rPr>
      </w:pPr>
      <w:r>
        <w:pict w14:anchorId="2E18C516">
          <v:shape id="docshape1579" o:spid="_x0000_s2282" style="position:absolute;left:0;text-align:left;margin-left:580.75pt;margin-top:0;width:31.3pt;height:285.85pt;z-index:251667968;mso-position-horizontal-relative:page;mso-position-vertical-relative:page" coordorigin="11615" coordsize="626,5717" path="m12240,r-625,l11615,5489r3,131l11643,5688r67,25l11842,5716r398,l12240,xe" fillcolor="#00aca1" stroked="f">
            <v:path arrowok="t"/>
            <w10:wrap anchorx="page" anchory="page"/>
          </v:shape>
        </w:pict>
      </w:r>
      <w:r w:rsidR="00C753F8" w:rsidRPr="00C753F8">
        <w:rPr>
          <w:rFonts w:ascii="ＭＳ 明朝" w:eastAsia="ＭＳ 明朝" w:hAnsi="ＭＳ 明朝" w:cs="ＭＳ 明朝" w:hint="eastAsia"/>
          <w:color w:val="00ACA1"/>
          <w:spacing w:val="-3"/>
          <w:w w:val="95"/>
          <w:lang w:eastAsia="ja-JP"/>
        </w:rPr>
        <w:t>具体的な土地利用が不明な場合</w:t>
      </w:r>
    </w:p>
    <w:p w14:paraId="06278FF0" w14:textId="63A7F072" w:rsidR="0055291C" w:rsidRDefault="00C753F8" w:rsidP="009064CF">
      <w:pPr>
        <w:pStyle w:val="a3"/>
        <w:tabs>
          <w:tab w:val="left" w:pos="1418"/>
        </w:tabs>
        <w:spacing w:before="1" w:line="312" w:lineRule="auto"/>
        <w:ind w:left="851" w:rightChars="134" w:right="295" w:firstLineChars="100" w:firstLine="190"/>
        <w:rPr>
          <w:lang w:eastAsia="ja-JP"/>
        </w:rPr>
      </w:pPr>
      <w:r>
        <w:rPr>
          <w:rFonts w:ascii="ＭＳ ゴシック" w:eastAsia="ＭＳ ゴシック" w:hAnsi="ＭＳ ゴシック" w:cs="ＭＳ ゴシック" w:hint="eastAsia"/>
          <w:lang w:eastAsia="ja-JP"/>
        </w:rPr>
        <w:t>製品または製品の構成要素が抽出または収穫された特</w:t>
      </w:r>
      <w:r>
        <w:rPr>
          <w:lang w:eastAsia="ja-JP"/>
        </w:rPr>
        <w:t xml:space="preserve"> </w:t>
      </w:r>
      <w:r>
        <w:rPr>
          <w:rFonts w:ascii="ＭＳ ゴシック" w:eastAsia="ＭＳ ゴシック" w:hAnsi="ＭＳ ゴシック" w:cs="ＭＳ ゴシック" w:hint="eastAsia"/>
          <w:lang w:eastAsia="ja-JP"/>
        </w:rPr>
        <w:t>定の土地に関する情報が限られている場合、影響をどのように帰属または割り当てるかを決定することが困難な場合があります。この状況は、企業が作物やバイオマスをサプライヤーから購入し、そのサプライヤーがさまざまな陸上供給源から区別のつかない出荷を受けた場合に発生します。</w:t>
      </w:r>
      <w:r>
        <w:rPr>
          <w:lang w:eastAsia="ja-JP"/>
        </w:rPr>
        <w:t xml:space="preserve"> </w:t>
      </w:r>
      <w:r>
        <w:rPr>
          <w:rFonts w:ascii="ＭＳ ゴシック" w:eastAsia="ＭＳ ゴシック" w:hAnsi="ＭＳ ゴシック" w:cs="ＭＳ ゴシック" w:hint="eastAsia"/>
          <w:lang w:eastAsia="ja-JP"/>
        </w:rPr>
        <w:t>このような状況下では、一次データが入手でき</w:t>
      </w:r>
      <w:r w:rsidR="00926653">
        <w:rPr>
          <w:rFonts w:ascii="ＭＳ ゴシック" w:eastAsia="ＭＳ ゴシック" w:hAnsi="ＭＳ ゴシック" w:cs="ＭＳ ゴシック" w:hint="eastAsia"/>
          <w:lang w:eastAsia="ja-JP"/>
        </w:rPr>
        <w:t>ないため</w:t>
      </w:r>
      <w:r>
        <w:rPr>
          <w:rFonts w:ascii="ＭＳ ゴシック" w:eastAsia="ＭＳ ゴシック" w:hAnsi="ＭＳ ゴシック" w:cs="ＭＳ ゴシック" w:hint="eastAsia"/>
          <w:lang w:eastAsia="ja-JP"/>
        </w:rPr>
        <w:t>、二次データを用いて蓄積量変化を計算し、土地利用変化の影響をどの程度製品に割り当てするべきかを判断することになります。</w:t>
      </w:r>
    </w:p>
    <w:p w14:paraId="6DFA8837" w14:textId="41567FDB" w:rsidR="0055291C" w:rsidRDefault="00926653" w:rsidP="009064CF">
      <w:pPr>
        <w:pStyle w:val="a3"/>
        <w:tabs>
          <w:tab w:val="left" w:pos="1418"/>
        </w:tabs>
        <w:spacing w:before="1" w:line="312" w:lineRule="auto"/>
        <w:ind w:left="851" w:rightChars="134" w:right="295" w:firstLineChars="100" w:firstLine="190"/>
        <w:rPr>
          <w:lang w:eastAsia="ja-JP"/>
        </w:rPr>
      </w:pPr>
      <w:r>
        <w:rPr>
          <w:rFonts w:ascii="ＭＳ ゴシック" w:eastAsia="ＭＳ ゴシック" w:hAnsi="ＭＳ ゴシック" w:cs="ＭＳ ゴシック" w:hint="eastAsia"/>
          <w:lang w:eastAsia="ja-JP"/>
        </w:rPr>
        <w:t>土地利用変化の影響を推定する最初のステップは、</w:t>
      </w:r>
      <w:r>
        <w:rPr>
          <w:lang w:eastAsia="ja-JP"/>
        </w:rPr>
        <w:t xml:space="preserve"> </w:t>
      </w:r>
      <w:r>
        <w:rPr>
          <w:rFonts w:ascii="ＭＳ ゴシック" w:eastAsia="ＭＳ ゴシック" w:hAnsi="ＭＳ ゴシック" w:cs="ＭＳ ゴシック" w:hint="eastAsia"/>
          <w:lang w:eastAsia="ja-JP"/>
        </w:rPr>
        <w:t>作物またはバイオマスがどのような場所で栽培された可能性が高いかを判断することです。作物またはバイオマスが気候や土壌の種類により、特定の場所でしか栽培されていない場合は、その場所を使用する必要があります。作物やバイオマスが多くの場所で栽培されている場合、企業は最大の生産地や最も可能性の高い場所（例：生産施設に近接している場所）を選択することができます。企業は、複数の場所が妥当である場合、シナリオの不確実性を実行することが推奨されます。企業は、その計算をサポートするデータが利用可能であれば、場所の平均を取ることもできます（例えば、すべての場所で炭素蓄積量の変化のデータが利用可能である場合）。場所が決まったら、</w:t>
      </w:r>
      <w:r>
        <w:rPr>
          <w:lang w:eastAsia="ja-JP"/>
        </w:rPr>
        <w:t xml:space="preserve"> </w:t>
      </w:r>
      <w:r>
        <w:rPr>
          <w:rFonts w:ascii="ＭＳ ゴシック" w:eastAsia="ＭＳ ゴシック" w:hAnsi="ＭＳ ゴシック" w:cs="ＭＳ ゴシック" w:hint="eastAsia"/>
          <w:lang w:eastAsia="ja-JP"/>
        </w:rPr>
        <w:t>企業は以下のデータを使って炭素蓄積量と土地利用変化による影響を推定することができます。</w:t>
      </w:r>
    </w:p>
    <w:p w14:paraId="3F489014" w14:textId="74C5B0F2" w:rsidR="0055291C" w:rsidRPr="00926653" w:rsidRDefault="00926653" w:rsidP="009064CF">
      <w:pPr>
        <w:pStyle w:val="a5"/>
        <w:numPr>
          <w:ilvl w:val="0"/>
          <w:numId w:val="1"/>
        </w:numPr>
        <w:tabs>
          <w:tab w:val="left" w:pos="1418"/>
        </w:tabs>
        <w:spacing w:before="133" w:line="304" w:lineRule="auto"/>
        <w:ind w:left="851" w:rightChars="134" w:right="295" w:hanging="9"/>
        <w:rPr>
          <w:sz w:val="19"/>
          <w:szCs w:val="19"/>
          <w:lang w:eastAsia="ja-JP"/>
        </w:rPr>
      </w:pPr>
      <w:r w:rsidRPr="00926653">
        <w:rPr>
          <w:rFonts w:ascii="ＭＳ ゴシック" w:eastAsia="ＭＳ ゴシック" w:hAnsi="ＭＳ ゴシック" w:cs="ＭＳ ゴシック" w:hint="eastAsia"/>
          <w:sz w:val="19"/>
          <w:szCs w:val="19"/>
          <w:lang w:eastAsia="ja-JP"/>
        </w:rPr>
        <w:t>土地利用イメージと農業需要ベースモデル</w:t>
      </w:r>
    </w:p>
    <w:p w14:paraId="5DCC30E5" w14:textId="23BF2BCE" w:rsidR="0055291C" w:rsidRPr="00926653" w:rsidRDefault="00926653" w:rsidP="009064CF">
      <w:pPr>
        <w:pStyle w:val="a5"/>
        <w:numPr>
          <w:ilvl w:val="0"/>
          <w:numId w:val="1"/>
        </w:numPr>
        <w:tabs>
          <w:tab w:val="left" w:pos="1418"/>
        </w:tabs>
        <w:spacing w:line="225" w:lineRule="exact"/>
        <w:ind w:left="851" w:rightChars="134" w:right="295" w:hanging="9"/>
        <w:rPr>
          <w:color w:val="000000" w:themeColor="text1"/>
          <w:sz w:val="19"/>
          <w:lang w:eastAsia="ja-JP"/>
        </w:rPr>
      </w:pPr>
      <w:r w:rsidRPr="00926653">
        <w:rPr>
          <w:rFonts w:ascii="ＭＳ ゴシック" w:eastAsia="ＭＳ ゴシック" w:hAnsi="ＭＳ ゴシック" w:cs="ＭＳ ゴシック" w:hint="eastAsia"/>
          <w:color w:val="000000" w:themeColor="text1"/>
          <w:spacing w:val="-1"/>
          <w:sz w:val="19"/>
          <w:lang w:eastAsia="ja-JP"/>
        </w:rPr>
        <w:t>以下のような平均データ</w:t>
      </w:r>
    </w:p>
    <w:p w14:paraId="7D7CB507" w14:textId="221C8A06" w:rsidR="0055291C" w:rsidRPr="00926653" w:rsidRDefault="00926653" w:rsidP="009064CF">
      <w:pPr>
        <w:pStyle w:val="a5"/>
        <w:numPr>
          <w:ilvl w:val="2"/>
          <w:numId w:val="1"/>
        </w:numPr>
        <w:tabs>
          <w:tab w:val="left" w:pos="1418"/>
          <w:tab w:val="left" w:pos="1645"/>
        </w:tabs>
        <w:spacing w:before="60"/>
        <w:ind w:rightChars="134" w:right="295"/>
        <w:rPr>
          <w:color w:val="000000" w:themeColor="text1"/>
          <w:sz w:val="19"/>
        </w:rPr>
      </w:pPr>
      <w:r w:rsidRPr="00926653">
        <w:rPr>
          <w:rFonts w:ascii="ＭＳ ゴシック" w:eastAsia="ＭＳ ゴシック" w:hAnsi="ＭＳ ゴシック" w:cs="ＭＳ ゴシック" w:hint="eastAsia"/>
          <w:color w:val="000000" w:themeColor="text1"/>
          <w:sz w:val="19"/>
          <w:lang w:eastAsia="ja-JP"/>
        </w:rPr>
        <w:t>国際統計</w:t>
      </w:r>
    </w:p>
    <w:p w14:paraId="3439C6B4" w14:textId="5ACB7872" w:rsidR="0055291C" w:rsidRPr="00926653" w:rsidRDefault="00926653" w:rsidP="009064CF">
      <w:pPr>
        <w:pStyle w:val="a5"/>
        <w:numPr>
          <w:ilvl w:val="2"/>
          <w:numId w:val="1"/>
        </w:numPr>
        <w:tabs>
          <w:tab w:val="left" w:pos="1418"/>
          <w:tab w:val="left" w:pos="1645"/>
        </w:tabs>
        <w:spacing w:before="61"/>
        <w:ind w:rightChars="134" w:right="295"/>
        <w:rPr>
          <w:color w:val="000000" w:themeColor="text1"/>
          <w:sz w:val="19"/>
          <w:lang w:eastAsia="ja-JP"/>
        </w:rPr>
      </w:pPr>
      <w:r w:rsidRPr="00926653">
        <w:rPr>
          <w:rFonts w:ascii="ＭＳ ゴシック" w:eastAsia="ＭＳ ゴシック" w:hAnsi="ＭＳ ゴシック" w:cs="ＭＳ ゴシック" w:hint="eastAsia"/>
          <w:color w:val="000000" w:themeColor="text1"/>
          <w:spacing w:val="-1"/>
          <w:sz w:val="19"/>
          <w:lang w:eastAsia="ja-JP"/>
        </w:rPr>
        <w:t>国・地域別の統計データベース</w:t>
      </w:r>
    </w:p>
    <w:p w14:paraId="42C618FD" w14:textId="3EDA8EBF" w:rsidR="0055291C" w:rsidRPr="009064CF" w:rsidRDefault="00926653" w:rsidP="009064CF">
      <w:pPr>
        <w:pStyle w:val="a5"/>
        <w:numPr>
          <w:ilvl w:val="2"/>
          <w:numId w:val="1"/>
        </w:numPr>
        <w:tabs>
          <w:tab w:val="left" w:pos="1418"/>
          <w:tab w:val="left" w:pos="1645"/>
        </w:tabs>
        <w:spacing w:before="62"/>
        <w:ind w:rightChars="134" w:right="295"/>
        <w:rPr>
          <w:color w:val="000000" w:themeColor="text1"/>
          <w:sz w:val="19"/>
        </w:rPr>
      </w:pPr>
      <w:r w:rsidRPr="00926653">
        <w:rPr>
          <w:rFonts w:ascii="ＭＳ ゴシック" w:eastAsia="ＭＳ ゴシック" w:hAnsi="ＭＳ ゴシック" w:cs="ＭＳ ゴシック" w:hint="eastAsia"/>
          <w:color w:val="000000" w:themeColor="text1"/>
          <w:spacing w:val="-1"/>
          <w:sz w:val="19"/>
          <w:lang w:eastAsia="ja-JP"/>
        </w:rPr>
        <w:t>統計年鑑</w:t>
      </w:r>
    </w:p>
    <w:p w14:paraId="61A30B2E" w14:textId="77777777" w:rsidR="009064CF" w:rsidRPr="009064CF" w:rsidRDefault="009064CF" w:rsidP="009064CF">
      <w:pPr>
        <w:tabs>
          <w:tab w:val="left" w:pos="1418"/>
          <w:tab w:val="left" w:pos="1645"/>
        </w:tabs>
        <w:spacing w:before="62"/>
        <w:ind w:left="842" w:rightChars="134" w:right="295"/>
        <w:rPr>
          <w:color w:val="000000" w:themeColor="text1"/>
          <w:sz w:val="19"/>
        </w:rPr>
      </w:pPr>
    </w:p>
    <w:p w14:paraId="44B96F29" w14:textId="13366FBC" w:rsidR="0055291C" w:rsidRDefault="009064CF" w:rsidP="009064CF">
      <w:pPr>
        <w:pStyle w:val="a3"/>
        <w:tabs>
          <w:tab w:val="left" w:pos="1418"/>
        </w:tabs>
        <w:spacing w:line="312" w:lineRule="auto"/>
        <w:ind w:left="851" w:rightChars="69" w:right="152" w:firstLineChars="100" w:firstLine="190"/>
        <w:rPr>
          <w:lang w:eastAsia="ja-JP"/>
        </w:rPr>
      </w:pPr>
      <w:r>
        <w:rPr>
          <w:rFonts w:ascii="ＭＳ ゴシック" w:eastAsia="ＭＳ ゴシック" w:hAnsi="ＭＳ ゴシック" w:cs="ＭＳ ゴシック" w:hint="eastAsia"/>
          <w:lang w:eastAsia="ja-JP"/>
        </w:rPr>
        <w:t>土地利用画像及び農業需要に基づくモデルには</w:t>
      </w:r>
      <w:r>
        <w:rPr>
          <w:lang w:eastAsia="ja-JP"/>
        </w:rPr>
        <w:t xml:space="preserve"> </w:t>
      </w:r>
      <w:r>
        <w:rPr>
          <w:rFonts w:ascii="ＭＳ ゴシック" w:eastAsia="ＭＳ ゴシック" w:hAnsi="ＭＳ ゴシック" w:cs="ＭＳ ゴシック" w:hint="eastAsia"/>
          <w:lang w:eastAsia="ja-JP"/>
        </w:rPr>
        <w:t>、</w:t>
      </w:r>
      <w:r w:rsidR="00365E84">
        <w:rPr>
          <w:rFonts w:ascii="ＭＳ ゴシック" w:eastAsia="ＭＳ ゴシック" w:hAnsi="ＭＳ ゴシック" w:cs="ＭＳ ゴシック" w:hint="eastAsia"/>
          <w:lang w:eastAsia="ja-JP"/>
        </w:rPr>
        <w:t>リモート</w:t>
      </w:r>
      <w:r>
        <w:rPr>
          <w:rFonts w:ascii="ＭＳ ゴシック" w:eastAsia="ＭＳ ゴシック" w:hAnsi="ＭＳ ゴシック" w:cs="ＭＳ ゴシック" w:hint="eastAsia"/>
          <w:lang w:eastAsia="ja-JP"/>
        </w:rPr>
        <w:t>センシング</w:t>
      </w:r>
      <w:r w:rsidRPr="009064CF">
        <w:rPr>
          <w:vertAlign w:val="superscript"/>
          <w:lang w:eastAsia="ja-JP"/>
        </w:rPr>
        <w:t>11</w:t>
      </w:r>
      <w:r>
        <w:rPr>
          <w:rFonts w:ascii="ＭＳ ゴシック" w:eastAsia="ＭＳ ゴシック" w:hAnsi="ＭＳ ゴシック" w:cs="ＭＳ ゴシック" w:hint="eastAsia"/>
          <w:lang w:eastAsia="ja-JP"/>
        </w:rPr>
        <w:t>又は</w:t>
      </w:r>
      <w:r>
        <w:rPr>
          <w:lang w:eastAsia="ja-JP"/>
        </w:rPr>
        <w:t>GIS</w:t>
      </w:r>
      <w:r>
        <w:rPr>
          <w:rFonts w:ascii="ＭＳ ゴシック" w:eastAsia="ＭＳ ゴシック" w:hAnsi="ＭＳ ゴシック" w:cs="ＭＳ ゴシック" w:hint="eastAsia"/>
          <w:lang w:eastAsia="ja-JP"/>
        </w:rPr>
        <w:t>データを用いて特定の場所における土地利用の変化を推定するものや、市場ベースのモデル</w:t>
      </w:r>
      <w:r w:rsidRPr="009064CF">
        <w:rPr>
          <w:vertAlign w:val="superscript"/>
          <w:lang w:eastAsia="ja-JP"/>
        </w:rPr>
        <w:t>12</w:t>
      </w:r>
      <w:r>
        <w:rPr>
          <w:rFonts w:ascii="ＭＳ ゴシック" w:eastAsia="ＭＳ ゴシック" w:hAnsi="ＭＳ ゴシック" w:cs="ＭＳ ゴシック" w:hint="eastAsia"/>
          <w:lang w:eastAsia="ja-JP"/>
        </w:rPr>
        <w:t>を用いて作物又は木材製品の市場動向に基づいて土地利用の変化を推定するものがあります。例えば、調査対象製品がニュージーランドで生産されると想定される作物で、衛星画像からその作物の土地利用が過去</w:t>
      </w:r>
      <w:r>
        <w:rPr>
          <w:lang w:eastAsia="ja-JP"/>
        </w:rPr>
        <w:t>20</w:t>
      </w:r>
      <w:r>
        <w:rPr>
          <w:rFonts w:ascii="ＭＳ ゴシック" w:eastAsia="ＭＳ ゴシック" w:hAnsi="ＭＳ ゴシック" w:cs="ＭＳ ゴシック" w:hint="eastAsia"/>
          <w:lang w:eastAsia="ja-JP"/>
        </w:rPr>
        <w:t>年間一定であることがわかった場合、会社は土地利用の変化による自社製品への影響はないと仮定することができます。</w:t>
      </w:r>
    </w:p>
    <w:p w14:paraId="18EA5C27" w14:textId="77777777" w:rsidR="0055291C" w:rsidRDefault="00F23C61">
      <w:pPr>
        <w:rPr>
          <w:sz w:val="20"/>
          <w:lang w:eastAsia="ja-JP"/>
        </w:rPr>
      </w:pPr>
      <w:r>
        <w:rPr>
          <w:lang w:eastAsia="ja-JP"/>
        </w:rPr>
        <w:br w:type="column"/>
      </w:r>
    </w:p>
    <w:p w14:paraId="71DDF8FD" w14:textId="77777777" w:rsidR="0055291C" w:rsidRDefault="0055291C">
      <w:pPr>
        <w:pStyle w:val="a3"/>
        <w:spacing w:before="10"/>
        <w:rPr>
          <w:sz w:val="17"/>
          <w:lang w:eastAsia="ja-JP"/>
        </w:rPr>
      </w:pPr>
    </w:p>
    <w:p w14:paraId="6BA60448" w14:textId="73DD0C03" w:rsidR="0055291C" w:rsidRDefault="009064CF" w:rsidP="00365E84">
      <w:pPr>
        <w:pStyle w:val="a3"/>
        <w:spacing w:line="312" w:lineRule="auto"/>
        <w:ind w:left="256" w:right="1158" w:firstLineChars="100" w:firstLine="190"/>
        <w:rPr>
          <w:lang w:eastAsia="ja-JP"/>
        </w:rPr>
      </w:pPr>
      <w:r>
        <w:rPr>
          <w:rFonts w:ascii="ＭＳ ゴシック" w:eastAsia="ＭＳ ゴシック" w:hAnsi="ＭＳ ゴシック" w:cs="ＭＳ ゴシック" w:hint="eastAsia"/>
          <w:lang w:eastAsia="ja-JP"/>
        </w:rPr>
        <w:t>これらの方法は最も正確かもしれませんが、複雑で時間がかかり、</w:t>
      </w:r>
      <w:r>
        <w:rPr>
          <w:lang w:eastAsia="ja-JP"/>
        </w:rPr>
        <w:t xml:space="preserve"> </w:t>
      </w:r>
      <w:r>
        <w:rPr>
          <w:rFonts w:ascii="ＭＳ ゴシック" w:eastAsia="ＭＳ ゴシック" w:hAnsi="ＭＳ ゴシック" w:cs="ＭＳ ゴシック" w:hint="eastAsia"/>
          <w:lang w:eastAsia="ja-JP"/>
        </w:rPr>
        <w:t>また自由に利用できないことがよくあります。さらに、国によっては正確な情報を提供できない場合もあります。企業がこれらのツールを利用できる場合は、モデル化した結果が正当化され透明性がある限り、土地利用変化による影響を判断するために利用することが推奨されます。</w:t>
      </w:r>
    </w:p>
    <w:p w14:paraId="065482F8" w14:textId="558D228D" w:rsidR="0055291C" w:rsidRPr="001A6A0E" w:rsidRDefault="008529C4" w:rsidP="00365E84">
      <w:pPr>
        <w:pStyle w:val="a3"/>
        <w:spacing w:before="143" w:line="312" w:lineRule="auto"/>
        <w:ind w:left="256" w:right="1158"/>
        <w:rPr>
          <w:rFonts w:ascii="ＭＳ ゴシック" w:eastAsia="ＭＳ ゴシック" w:hAnsi="ＭＳ ゴシック" w:cs="ＭＳ ゴシック"/>
          <w:lang w:eastAsia="ja-JP"/>
        </w:rPr>
      </w:pPr>
      <w:r>
        <w:rPr>
          <w:rFonts w:ascii="ＭＳ ゴシック" w:eastAsia="ＭＳ ゴシック" w:hAnsi="ＭＳ ゴシック" w:cs="ＭＳ ゴシック" w:hint="eastAsia"/>
          <w:lang w:eastAsia="ja-JP"/>
        </w:rPr>
        <w:t>企業がモデルや画像データを利用できない場合、</w:t>
      </w:r>
      <w:r>
        <w:rPr>
          <w:lang w:eastAsia="ja-JP"/>
        </w:rPr>
        <w:t xml:space="preserve"> </w:t>
      </w:r>
      <w:r>
        <w:rPr>
          <w:rFonts w:ascii="ＭＳ ゴシック" w:eastAsia="ＭＳ ゴシック" w:hAnsi="ＭＳ ゴシック" w:cs="ＭＳ ゴシック" w:hint="eastAsia"/>
          <w:lang w:eastAsia="ja-JP"/>
        </w:rPr>
        <w:t>土地利用変化の影響を推定するために、平均的な</w:t>
      </w:r>
      <w:r>
        <w:rPr>
          <w:lang w:eastAsia="ja-JP"/>
        </w:rPr>
        <w:t xml:space="preserve"> </w:t>
      </w:r>
      <w:r>
        <w:rPr>
          <w:rFonts w:ascii="ＭＳ ゴシック" w:eastAsia="ＭＳ ゴシック" w:hAnsi="ＭＳ ゴシック" w:cs="ＭＳ ゴシック" w:hint="eastAsia"/>
          <w:lang w:eastAsia="ja-JP"/>
        </w:rPr>
        <w:t>統計値を使用することができます。例えば、企業は</w:t>
      </w:r>
      <w:r>
        <w:rPr>
          <w:lang w:eastAsia="ja-JP"/>
        </w:rPr>
        <w:t xml:space="preserve"> </w:t>
      </w:r>
      <w:r>
        <w:rPr>
          <w:rFonts w:ascii="ＭＳ ゴシック" w:eastAsia="ＭＳ ゴシック" w:hAnsi="ＭＳ ゴシック" w:cs="ＭＳ ゴシック" w:hint="eastAsia"/>
          <w:lang w:eastAsia="ja-JP"/>
        </w:rPr>
        <w:t>、想定される場所の農業または林業の統計値を用</w:t>
      </w:r>
      <w:r>
        <w:rPr>
          <w:lang w:eastAsia="ja-JP"/>
        </w:rPr>
        <w:t xml:space="preserve"> </w:t>
      </w:r>
      <w:r>
        <w:rPr>
          <w:rFonts w:ascii="ＭＳ ゴシック" w:eastAsia="ＭＳ ゴシック" w:hAnsi="ＭＳ ゴシック" w:cs="ＭＳ ゴシック" w:hint="eastAsia"/>
          <w:lang w:eastAsia="ja-JP"/>
        </w:rPr>
        <w:t>いて、調査対象製品の土地占有量の変化と、総土地変化量との関係を判断することができます。次の例は、企業が農業データを使って土地利用の変化が起きたかどうかを判断するための手順を示しています。</w:t>
      </w:r>
      <w:r w:rsidR="001A6A0E" w:rsidRPr="00FB539C">
        <w:rPr>
          <w:rFonts w:ascii="ＭＳ ゴシック" w:eastAsia="ＭＳ ゴシック" w:hAnsi="ＭＳ ゴシック" w:cs="ＭＳ ゴシック" w:hint="eastAsia"/>
          <w:color w:val="000000" w:themeColor="text1"/>
          <w:lang w:eastAsia="ja-JP"/>
        </w:rPr>
        <w:t>林業データを使った管理木材製品にも同じ手法が使えるかもしれません。もし、調査対象の作物やバイオマスの土地占有面積が、</w:t>
      </w:r>
      <w:r w:rsidR="001A6A0E" w:rsidRPr="00FB539C">
        <w:rPr>
          <w:color w:val="000000" w:themeColor="text1"/>
          <w:lang w:eastAsia="ja-JP"/>
        </w:rPr>
        <w:t>20</w:t>
      </w:r>
      <w:r w:rsidR="001A6A0E" w:rsidRPr="00FB539C">
        <w:rPr>
          <w:rFonts w:ascii="ＭＳ ゴシック" w:eastAsia="ＭＳ ゴシック" w:hAnsi="ＭＳ ゴシック" w:cs="ＭＳ ゴシック" w:hint="eastAsia"/>
          <w:color w:val="000000" w:themeColor="text1"/>
          <w:lang w:eastAsia="ja-JP"/>
        </w:rPr>
        <w:t>年間の評価期間で少なくなることが示された場合、土地利用変化が起きていないと仮定することができます</w:t>
      </w:r>
      <w:r w:rsidR="00FB539C">
        <w:rPr>
          <w:rFonts w:ascii="ＭＳ ゴシック" w:eastAsia="ＭＳ ゴシック" w:hAnsi="ＭＳ ゴシック" w:cs="ＭＳ ゴシック" w:hint="eastAsia"/>
          <w:lang w:eastAsia="ja-JP"/>
        </w:rPr>
        <w:t>。調査対象の作物やバイオマスが占める土地の面積が増えた場合、土地利用変化の影響があったと考えられます。この場合、会社は元の土地区分が何であったかを想定する必要があります。これは、想定した場所に存在する土地の種類に基づくべきで、複数の土地の種類が考えられる場合は、より保守的な選択をすべきです。</w:t>
      </w:r>
    </w:p>
    <w:p w14:paraId="65E22689" w14:textId="61920D53" w:rsidR="0055291C" w:rsidRDefault="00FB539C" w:rsidP="00365E84">
      <w:pPr>
        <w:pStyle w:val="a3"/>
        <w:spacing w:before="2" w:line="312" w:lineRule="auto"/>
        <w:ind w:left="256" w:right="1158" w:firstLineChars="100" w:firstLine="190"/>
        <w:rPr>
          <w:lang w:eastAsia="ja-JP"/>
        </w:rPr>
      </w:pPr>
      <w:r>
        <w:rPr>
          <w:rFonts w:ascii="ＭＳ ゴシック" w:eastAsia="ＭＳ ゴシック" w:hAnsi="ＭＳ ゴシック" w:cs="ＭＳ ゴシック" w:hint="eastAsia"/>
          <w:lang w:eastAsia="ja-JP"/>
        </w:rPr>
        <w:t>土地利用変化による影響について立てた仮定は、</w:t>
      </w:r>
      <w:r>
        <w:rPr>
          <w:lang w:eastAsia="ja-JP"/>
        </w:rPr>
        <w:t xml:space="preserve"> </w:t>
      </w:r>
      <w:r>
        <w:rPr>
          <w:rFonts w:ascii="ＭＳ ゴシック" w:eastAsia="ＭＳ ゴシック" w:hAnsi="ＭＳ ゴシック" w:cs="ＭＳ ゴシック" w:hint="eastAsia"/>
          <w:lang w:eastAsia="ja-JP"/>
        </w:rPr>
        <w:t>あくまで推定に過ぎず、多くの不確実性を伴うことに留意することが重要です。これらの推定技術では、土地利用変化がいつ起こるかを特定できないため、企業は</w:t>
      </w:r>
      <w:r w:rsidR="00365E84">
        <w:rPr>
          <w:rFonts w:ascii="ＭＳ ゴシック" w:eastAsia="ＭＳ ゴシック" w:hAnsi="ＭＳ ゴシック" w:cs="ＭＳ ゴシック" w:hint="eastAsia"/>
          <w:lang w:eastAsia="ja-JP"/>
        </w:rPr>
        <w:t>以下のように、</w:t>
      </w:r>
      <w:r>
        <w:rPr>
          <w:rFonts w:ascii="ＭＳ ゴシック" w:eastAsia="ＭＳ ゴシック" w:hAnsi="ＭＳ ゴシック" w:cs="ＭＳ ゴシック" w:hint="eastAsia"/>
          <w:lang w:eastAsia="ja-JP"/>
        </w:rPr>
        <w:t>常に土地利用変化による影響の</w:t>
      </w:r>
      <w:r>
        <w:rPr>
          <w:lang w:eastAsia="ja-JP"/>
        </w:rPr>
        <w:t xml:space="preserve"> 20</w:t>
      </w:r>
      <w:r>
        <w:rPr>
          <w:rFonts w:ascii="ＭＳ ゴシック" w:eastAsia="ＭＳ ゴシック" w:hAnsi="ＭＳ ゴシック" w:cs="ＭＳ ゴシック" w:hint="eastAsia"/>
          <w:lang w:eastAsia="ja-JP"/>
        </w:rPr>
        <w:t>分の</w:t>
      </w:r>
      <w:r>
        <w:rPr>
          <w:lang w:eastAsia="ja-JP"/>
        </w:rPr>
        <w:t>1</w:t>
      </w:r>
      <w:r>
        <w:rPr>
          <w:rFonts w:ascii="ＭＳ ゴシック" w:eastAsia="ＭＳ ゴシック" w:hAnsi="ＭＳ ゴシック" w:cs="ＭＳ ゴシック" w:hint="eastAsia"/>
          <w:lang w:eastAsia="ja-JP"/>
        </w:rPr>
        <w:t>を想定する必要があります</w:t>
      </w:r>
      <w:r w:rsidR="00365E84">
        <w:rPr>
          <w:rFonts w:ascii="ＭＳ ゴシック" w:eastAsia="ＭＳ ゴシック" w:hAnsi="ＭＳ ゴシック" w:cs="ＭＳ ゴシック" w:hint="eastAsia"/>
          <w:lang w:eastAsia="ja-JP"/>
        </w:rPr>
        <w:t>。また、企業は土地利用変化に関する仮定を行わず、最悪のシナリオのみを用いることもできます（例：最も炭素量の多い土地カテゴリーから全ての土地が転換された場合）。</w:t>
      </w:r>
      <w:r w:rsidR="00365E84">
        <w:rPr>
          <w:lang w:eastAsia="ja-JP"/>
        </w:rPr>
        <w:t xml:space="preserve"> </w:t>
      </w:r>
      <w:r w:rsidR="00365E84">
        <w:rPr>
          <w:rFonts w:ascii="ＭＳ ゴシック" w:eastAsia="ＭＳ ゴシック" w:hAnsi="ＭＳ ゴシック" w:cs="ＭＳ ゴシック" w:hint="eastAsia"/>
          <w:lang w:eastAsia="ja-JP"/>
        </w:rPr>
        <w:t>土地利用変化による影響を判断するために使用された方法に関する情報は、透明性を高めるために報告書に記載されるべきです。</w:t>
      </w:r>
    </w:p>
    <w:p w14:paraId="2FED38D3" w14:textId="77777777" w:rsidR="0055291C" w:rsidRDefault="0055291C">
      <w:pPr>
        <w:spacing w:line="312" w:lineRule="auto"/>
        <w:rPr>
          <w:lang w:eastAsia="ja-JP"/>
        </w:rPr>
        <w:sectPr w:rsidR="0055291C">
          <w:type w:val="continuous"/>
          <w:pgSz w:w="12240" w:h="15840"/>
          <w:pgMar w:top="740" w:right="0" w:bottom="280" w:left="0" w:header="0" w:footer="859" w:gutter="0"/>
          <w:cols w:num="2" w:space="720" w:equalWidth="0">
            <w:col w:w="5965" w:space="40"/>
            <w:col w:w="6235"/>
          </w:cols>
        </w:sectPr>
      </w:pPr>
    </w:p>
    <w:p w14:paraId="3AA9D570" w14:textId="77777777" w:rsidR="0055291C" w:rsidRDefault="0055291C">
      <w:pPr>
        <w:pStyle w:val="a3"/>
        <w:rPr>
          <w:sz w:val="20"/>
          <w:lang w:eastAsia="ja-JP"/>
        </w:rPr>
      </w:pPr>
    </w:p>
    <w:p w14:paraId="206DFAE9" w14:textId="77777777" w:rsidR="0055291C" w:rsidRDefault="0055291C">
      <w:pPr>
        <w:pStyle w:val="a3"/>
        <w:rPr>
          <w:sz w:val="20"/>
          <w:lang w:eastAsia="ja-JP"/>
        </w:rPr>
      </w:pPr>
    </w:p>
    <w:p w14:paraId="363F9297" w14:textId="77777777" w:rsidR="0055291C" w:rsidRDefault="0055291C">
      <w:pPr>
        <w:pStyle w:val="a3"/>
        <w:rPr>
          <w:sz w:val="20"/>
          <w:lang w:eastAsia="ja-JP"/>
        </w:rPr>
      </w:pPr>
    </w:p>
    <w:p w14:paraId="3FE76B72" w14:textId="77777777" w:rsidR="0055291C" w:rsidRDefault="0055291C">
      <w:pPr>
        <w:pStyle w:val="a3"/>
        <w:rPr>
          <w:sz w:val="20"/>
          <w:lang w:eastAsia="ja-JP"/>
        </w:rPr>
      </w:pPr>
    </w:p>
    <w:p w14:paraId="2C11BDEC" w14:textId="77777777" w:rsidR="0055291C" w:rsidRDefault="0055291C">
      <w:pPr>
        <w:pStyle w:val="a3"/>
        <w:spacing w:before="7"/>
        <w:rPr>
          <w:sz w:val="21"/>
          <w:lang w:eastAsia="ja-JP"/>
        </w:rPr>
      </w:pPr>
    </w:p>
    <w:p w14:paraId="3FAFC17A" w14:textId="0F758E17" w:rsidR="0055291C" w:rsidRDefault="00F23C61">
      <w:pPr>
        <w:pStyle w:val="6"/>
        <w:spacing w:before="1"/>
        <w:rPr>
          <w:lang w:eastAsia="ja-JP"/>
        </w:rPr>
      </w:pPr>
      <w:r>
        <w:rPr>
          <w:color w:val="00ACA1"/>
          <w:w w:val="95"/>
          <w:lang w:eastAsia="ja-JP"/>
        </w:rPr>
        <w:t>Box</w:t>
      </w:r>
      <w:r>
        <w:rPr>
          <w:color w:val="00ACA1"/>
          <w:spacing w:val="7"/>
          <w:w w:val="95"/>
          <w:lang w:eastAsia="ja-JP"/>
        </w:rPr>
        <w:t xml:space="preserve"> </w:t>
      </w:r>
      <w:r>
        <w:rPr>
          <w:color w:val="00ACA1"/>
          <w:w w:val="95"/>
          <w:lang w:eastAsia="ja-JP"/>
        </w:rPr>
        <w:t>[B.2]</w:t>
      </w:r>
      <w:r>
        <w:rPr>
          <w:color w:val="00ACA1"/>
          <w:spacing w:val="7"/>
          <w:w w:val="95"/>
          <w:lang w:eastAsia="ja-JP"/>
        </w:rPr>
        <w:t xml:space="preserve"> </w:t>
      </w:r>
      <w:r w:rsidR="00365E84">
        <w:rPr>
          <w:rFonts w:ascii="ＭＳ 明朝" w:eastAsia="ＭＳ 明朝" w:hAnsi="ＭＳ 明朝" w:cs="ＭＳ 明朝" w:hint="eastAsia"/>
          <w:lang w:eastAsia="ja-JP"/>
        </w:rPr>
        <w:t>特定のデータがない場合の土地利用変化による影響の推計</w:t>
      </w:r>
    </w:p>
    <w:p w14:paraId="549E4EBE" w14:textId="77777777" w:rsidR="0055291C" w:rsidRDefault="0055291C">
      <w:pPr>
        <w:pStyle w:val="a3"/>
        <w:rPr>
          <w:rFonts w:ascii="Arial"/>
          <w:b/>
          <w:sz w:val="20"/>
          <w:lang w:eastAsia="ja-JP"/>
        </w:rPr>
      </w:pPr>
    </w:p>
    <w:p w14:paraId="583FBEAA" w14:textId="77777777" w:rsidR="0055291C" w:rsidRDefault="0055291C">
      <w:pPr>
        <w:pStyle w:val="a3"/>
        <w:rPr>
          <w:rFonts w:ascii="Arial"/>
          <w:b/>
          <w:sz w:val="26"/>
          <w:lang w:eastAsia="ja-JP"/>
        </w:rPr>
      </w:pPr>
    </w:p>
    <w:p w14:paraId="20827253" w14:textId="77777777" w:rsidR="0055291C" w:rsidRDefault="0055291C">
      <w:pPr>
        <w:rPr>
          <w:rFonts w:ascii="Arial"/>
          <w:sz w:val="26"/>
          <w:lang w:eastAsia="ja-JP"/>
        </w:rPr>
        <w:sectPr w:rsidR="0055291C">
          <w:pgSz w:w="12240" w:h="15840"/>
          <w:pgMar w:top="620" w:right="0" w:bottom="1040" w:left="0" w:header="0" w:footer="859" w:gutter="0"/>
          <w:cols w:space="720"/>
        </w:sectPr>
      </w:pPr>
    </w:p>
    <w:p w14:paraId="4768A994" w14:textId="5C0BD425" w:rsidR="0055291C" w:rsidRPr="00194110" w:rsidRDefault="00000000" w:rsidP="003010BC">
      <w:pPr>
        <w:spacing w:before="102" w:line="328" w:lineRule="auto"/>
        <w:ind w:left="1384" w:right="-10" w:firstLineChars="100" w:firstLine="190"/>
        <w:rPr>
          <w:sz w:val="19"/>
          <w:szCs w:val="19"/>
          <w:lang w:eastAsia="ja-JP"/>
        </w:rPr>
      </w:pPr>
      <w:r>
        <w:rPr>
          <w:sz w:val="19"/>
          <w:szCs w:val="19"/>
        </w:rPr>
        <w:pict w14:anchorId="074DACB8">
          <v:group id="docshapegroup1580" o:spid="_x0000_s2271" style="position:absolute;left:0;text-align:left;margin-left:56.7pt;margin-top:-13.45pt;width:498.65pt;height:617pt;z-index:-251538944;mso-position-horizontal-relative:page" coordorigin="1134,-269" coordsize="9973,12340">
            <v:shape id="docshape1581" o:spid="_x0000_s2281" style="position:absolute;left:1133;top:-270;width:9973;height:12340" coordorigin="1134,-269" coordsize="9973,12340" path="m10866,-269r-9492,l1235,-265r-71,26l1138,-168r-4,139l1134,11830r4,139l1164,12040r71,26l1374,12070r9492,l11005,12066r71,-26l11102,11969r4,-139l11106,-29r-4,-139l11076,-239r-71,-26l10866,-269xe" fillcolor="#e4f3f1" stroked="f">
              <v:path arrowok="t"/>
            </v:shape>
            <v:shape id="docshape1582" o:spid="_x0000_s2280" style="position:absolute;left:1337;top:7066;width:9528;height:474" coordorigin="1337,7066" coordsize="9528,474" o:spt="100" adj="0,,0" path="m3516,7229r-3,-94l3496,7087r-49,-18l3353,7066r-1853,l1406,7069r-49,18l1340,7135r-3,94l1337,7539r2179,l3516,7229xm7175,7229r-3,-94l7154,7087r-48,-18l7012,7066r-3063,l3855,7069r-48,18l3789,7135r-2,94l3787,7539r3388,l7175,7229xm10864,7229r-2,-94l10844,7087r-48,-18l10702,7066r-3063,l7545,7069r-48,18l7479,7135r-2,94l7477,7539r3387,l10864,7229xe" fillcolor="#00aca1" stroked="f">
              <v:stroke joinstyle="round"/>
              <v:formulas/>
              <v:path arrowok="t" o:connecttype="segments"/>
            </v:shape>
            <v:shape id="docshape1583" o:spid="_x0000_s2279" style="position:absolute;left:1337;top:7599;width:9528;height:3767" coordorigin="1337,7599" coordsize="9528,3767" o:spt="100" adj="0,,0" path="m3516,7599r-2179,l1337,11203r3,94l1357,11345r49,18l1500,11365r1853,l3447,11363r49,-18l3513,11297r3,-94l3516,7599xm7175,7599r-3388,l3787,11203r2,94l3807,11345r48,18l3949,11365r3063,l7106,11363r48,-18l7172,11297r3,-94l7175,7599xm10864,7599r-3387,l7477,11203r2,94l7497,11345r48,18l7639,11365r3063,l10796,11363r48,-18l10862,11297r2,-94l10864,7599xe" fillcolor="#f3f4f4" stroked="f">
              <v:stroke joinstyle="round"/>
              <v:formulas/>
              <v:path arrowok="t" o:connecttype="segments"/>
            </v:shape>
            <v:line id="_x0000_s2278" style="position:absolute" from="1337,8079" to="10889,8079" strokecolor="#e4f3f1" strokeweight=".67417mm"/>
            <v:line id="_x0000_s2277" style="position:absolute" from="1337,8543" to="10889,8543" strokecolor="#e4f3f1" strokeweight=".67417mm"/>
            <v:line id="_x0000_s2276" style="position:absolute" from="1337,8993" to="10889,8993" strokecolor="#e4f3f1" strokeweight=".67417mm"/>
            <v:line id="_x0000_s2275" style="position:absolute" from="1337,9403" to="10889,9403" strokecolor="#e4f3f1" strokeweight=".67417mm"/>
            <v:line id="_x0000_s2274" style="position:absolute" from="1337,9856" to="10889,9856" strokecolor="#e4f3f1" strokeweight=".67417mm"/>
            <v:line id="_x0000_s2273" style="position:absolute" from="1337,10301" to="10889,10301" strokecolor="#e4f3f1" strokeweight=".67417mm"/>
            <v:line id="_x0000_s2272" style="position:absolute" from="1337,10779" to="10889,10779" strokecolor="#e4f3f1" strokeweight=".67417mm"/>
            <w10:wrap anchorx="page"/>
          </v:group>
        </w:pict>
      </w:r>
      <w:r w:rsidR="00365E84" w:rsidRPr="00194110">
        <w:rPr>
          <w:rFonts w:ascii="ＭＳ ゴシック" w:eastAsia="ＭＳ ゴシック" w:hAnsi="ＭＳ ゴシック" w:cs="ＭＳ ゴシック" w:hint="eastAsia"/>
          <w:sz w:val="19"/>
          <w:szCs w:val="19"/>
          <w:lang w:eastAsia="ja-JP"/>
        </w:rPr>
        <w:t>この例では、土地利用変化による影響がパーム油とコメに起因するものかどうかを判断し、起因する場合は土地利用影響の推定値を作成するために、以下の手順を</w:t>
      </w:r>
      <w:r w:rsidR="00A13B92">
        <w:rPr>
          <w:rFonts w:ascii="ＭＳ ゴシック" w:eastAsia="ＭＳ ゴシック" w:hAnsi="ＭＳ ゴシック" w:cs="ＭＳ ゴシック" w:hint="eastAsia"/>
          <w:sz w:val="19"/>
          <w:szCs w:val="19"/>
          <w:lang w:eastAsia="ja-JP"/>
        </w:rPr>
        <w:t>行いました</w:t>
      </w:r>
      <w:r w:rsidR="00365E84" w:rsidRPr="00194110">
        <w:rPr>
          <w:rFonts w:ascii="ＭＳ ゴシック" w:eastAsia="ＭＳ ゴシック" w:hAnsi="ＭＳ ゴシック" w:cs="ＭＳ ゴシック" w:hint="eastAsia"/>
          <w:sz w:val="19"/>
          <w:szCs w:val="19"/>
          <w:lang w:eastAsia="ja-JP"/>
        </w:rPr>
        <w:t>。推定には食糧農業機関（</w:t>
      </w:r>
      <w:r w:rsidR="00365E84" w:rsidRPr="00194110">
        <w:rPr>
          <w:sz w:val="19"/>
          <w:szCs w:val="19"/>
          <w:lang w:eastAsia="ja-JP"/>
        </w:rPr>
        <w:t>FAO</w:t>
      </w:r>
      <w:r w:rsidR="00365E84" w:rsidRPr="00194110">
        <w:rPr>
          <w:rFonts w:ascii="ＭＳ ゴシック" w:eastAsia="ＭＳ ゴシック" w:hAnsi="ＭＳ ゴシック" w:cs="ＭＳ ゴシック" w:hint="eastAsia"/>
          <w:sz w:val="19"/>
          <w:szCs w:val="19"/>
          <w:lang w:eastAsia="ja-JP"/>
        </w:rPr>
        <w:t>）の統計データベースを使用し、両製品ともマレーシア産と仮定し</w:t>
      </w:r>
      <w:r w:rsidR="00194110">
        <w:rPr>
          <w:rFonts w:ascii="ＭＳ ゴシック" w:eastAsia="ＭＳ ゴシック" w:hAnsi="ＭＳ ゴシック" w:cs="ＭＳ ゴシック" w:hint="eastAsia"/>
          <w:sz w:val="19"/>
          <w:szCs w:val="19"/>
          <w:lang w:eastAsia="ja-JP"/>
        </w:rPr>
        <w:t>ました</w:t>
      </w:r>
      <w:r w:rsidR="00365E84" w:rsidRPr="00194110">
        <w:rPr>
          <w:rFonts w:ascii="ＭＳ ゴシック" w:eastAsia="ＭＳ ゴシック" w:hAnsi="ＭＳ ゴシック" w:cs="ＭＳ ゴシック" w:hint="eastAsia"/>
          <w:sz w:val="19"/>
          <w:szCs w:val="19"/>
          <w:lang w:eastAsia="ja-JP"/>
        </w:rPr>
        <w:t>。</w:t>
      </w:r>
      <w:r w:rsidR="00365E84" w:rsidRPr="00194110">
        <w:rPr>
          <w:sz w:val="19"/>
          <w:szCs w:val="19"/>
          <w:lang w:eastAsia="ja-JP"/>
        </w:rPr>
        <w:t>(</w:t>
      </w:r>
      <w:r w:rsidR="00365E84" w:rsidRPr="00194110">
        <w:rPr>
          <w:rFonts w:ascii="ＭＳ ゴシック" w:eastAsia="ＭＳ ゴシック" w:hAnsi="ＭＳ ゴシック" w:cs="ＭＳ ゴシック" w:hint="eastAsia"/>
          <w:sz w:val="19"/>
          <w:szCs w:val="19"/>
          <w:lang w:eastAsia="ja-JP"/>
        </w:rPr>
        <w:t>詳細は</w:t>
      </w:r>
      <w:r w:rsidR="00365E84" w:rsidRPr="00194110">
        <w:rPr>
          <w:sz w:val="19"/>
          <w:szCs w:val="19"/>
          <w:lang w:eastAsia="ja-JP"/>
        </w:rPr>
        <w:t>FAO</w:t>
      </w:r>
      <w:r w:rsidR="00365E84" w:rsidRPr="00194110">
        <w:rPr>
          <w:rFonts w:ascii="ＭＳ ゴシック" w:eastAsia="ＭＳ ゴシック" w:hAnsi="ＭＳ ゴシック" w:cs="ＭＳ ゴシック" w:hint="eastAsia"/>
          <w:sz w:val="19"/>
          <w:szCs w:val="19"/>
          <w:lang w:eastAsia="ja-JP"/>
        </w:rPr>
        <w:t>のウェブサイトを参照：</w:t>
      </w:r>
      <w:r w:rsidR="00365E84" w:rsidRPr="00194110">
        <w:rPr>
          <w:sz w:val="19"/>
          <w:szCs w:val="19"/>
          <w:lang w:eastAsia="ja-JP"/>
        </w:rPr>
        <w:t xml:space="preserve"> http://faostat.fao.org/site/567/default.aspx#ancor.) </w:t>
      </w:r>
    </w:p>
    <w:p w14:paraId="153E5AED" w14:textId="690938BA" w:rsidR="0055291C" w:rsidRPr="00194110" w:rsidRDefault="00194110" w:rsidP="00194110">
      <w:pPr>
        <w:pStyle w:val="a5"/>
        <w:numPr>
          <w:ilvl w:val="1"/>
          <w:numId w:val="19"/>
        </w:numPr>
        <w:tabs>
          <w:tab w:val="left" w:pos="1560"/>
        </w:tabs>
        <w:spacing w:before="145" w:line="324" w:lineRule="auto"/>
        <w:ind w:right="19" w:hanging="461"/>
        <w:jc w:val="left"/>
        <w:rPr>
          <w:rFonts w:ascii="Arial"/>
          <w:b/>
          <w:i/>
          <w:color w:val="7F3F98"/>
          <w:sz w:val="18"/>
          <w:lang w:eastAsia="ja-JP"/>
        </w:rPr>
      </w:pPr>
      <w:r w:rsidRPr="00194110">
        <w:rPr>
          <w:rFonts w:ascii="ＭＳ ゴシック" w:eastAsia="ＭＳ ゴシック" w:hAnsi="ＭＳ ゴシック" w:cs="ＭＳ ゴシック" w:hint="eastAsia"/>
          <w:b/>
          <w:i/>
          <w:color w:val="7F3F98"/>
          <w:sz w:val="18"/>
          <w:lang w:eastAsia="ja-JP"/>
        </w:rPr>
        <w:t>想定した場所で最も多く植えられている作物の決定</w:t>
      </w:r>
    </w:p>
    <w:p w14:paraId="42A582C6" w14:textId="578665DE" w:rsidR="0055291C" w:rsidRDefault="00194110" w:rsidP="00194110">
      <w:pPr>
        <w:spacing w:before="5" w:line="328" w:lineRule="auto"/>
        <w:ind w:left="1384" w:right="174" w:firstLineChars="100" w:firstLine="190"/>
        <w:rPr>
          <w:sz w:val="18"/>
          <w:lang w:eastAsia="ja-JP"/>
        </w:rPr>
      </w:pPr>
      <w:r w:rsidRPr="00194110">
        <w:rPr>
          <w:rFonts w:ascii="ＭＳ ゴシック" w:eastAsia="ＭＳ ゴシック" w:hAnsi="ＭＳ ゴシック" w:cs="ＭＳ ゴシック" w:hint="eastAsia"/>
          <w:sz w:val="19"/>
          <w:szCs w:val="19"/>
          <w:lang w:eastAsia="ja-JP"/>
        </w:rPr>
        <w:t>まず、最も多く作付けされている作物の国別プロファイルを決定します。マレーシアでは多くの農作物が収穫されるため、その国の収穫面積の</w:t>
      </w:r>
      <w:r w:rsidRPr="00194110">
        <w:rPr>
          <w:sz w:val="19"/>
          <w:szCs w:val="19"/>
          <w:lang w:eastAsia="ja-JP"/>
        </w:rPr>
        <w:t>1</w:t>
      </w:r>
      <w:r w:rsidRPr="00194110">
        <w:rPr>
          <w:rFonts w:ascii="ＭＳ ゴシック" w:eastAsia="ＭＳ ゴシック" w:hAnsi="ＭＳ ゴシック" w:cs="ＭＳ ゴシック" w:hint="eastAsia"/>
          <w:sz w:val="19"/>
          <w:szCs w:val="19"/>
          <w:lang w:eastAsia="ja-JP"/>
        </w:rPr>
        <w:t>％以上を占めている作物</w:t>
      </w:r>
      <w:r>
        <w:rPr>
          <w:rFonts w:ascii="ＭＳ ゴシック" w:eastAsia="ＭＳ ゴシック" w:hAnsi="ＭＳ ゴシック" w:cs="ＭＳ ゴシック" w:hint="eastAsia"/>
          <w:sz w:val="19"/>
          <w:szCs w:val="19"/>
          <w:lang w:eastAsia="ja-JP"/>
        </w:rPr>
        <w:t>のみ</w:t>
      </w:r>
      <w:r w:rsidRPr="00194110">
        <w:rPr>
          <w:rFonts w:ascii="ＭＳ ゴシック" w:eastAsia="ＭＳ ゴシック" w:hAnsi="ＭＳ ゴシック" w:cs="ＭＳ ゴシック" w:hint="eastAsia"/>
          <w:sz w:val="19"/>
          <w:szCs w:val="19"/>
          <w:lang w:eastAsia="ja-JP"/>
        </w:rPr>
        <w:t>を</w:t>
      </w:r>
      <w:r>
        <w:rPr>
          <w:rFonts w:ascii="ＭＳ ゴシック" w:eastAsia="ＭＳ ゴシック" w:hAnsi="ＭＳ ゴシック" w:cs="ＭＳ ゴシック" w:hint="eastAsia"/>
          <w:sz w:val="19"/>
          <w:szCs w:val="19"/>
          <w:lang w:eastAsia="ja-JP"/>
        </w:rPr>
        <w:t>考えます</w:t>
      </w:r>
      <w:r w:rsidRPr="00194110">
        <w:rPr>
          <w:rFonts w:ascii="ＭＳ ゴシック" w:eastAsia="ＭＳ ゴシック" w:hAnsi="ＭＳ ゴシック" w:cs="ＭＳ ゴシック" w:hint="eastAsia"/>
          <w:sz w:val="19"/>
          <w:szCs w:val="19"/>
          <w:lang w:eastAsia="ja-JP"/>
        </w:rPr>
        <w:t>。もし調査対象作物がその場所の収穫面積の上位</w:t>
      </w:r>
      <w:r w:rsidRPr="00194110">
        <w:rPr>
          <w:sz w:val="19"/>
          <w:szCs w:val="19"/>
          <w:lang w:eastAsia="ja-JP"/>
        </w:rPr>
        <w:t>1</w:t>
      </w:r>
      <w:r w:rsidRPr="00194110">
        <w:rPr>
          <w:rFonts w:ascii="ＭＳ ゴシック" w:eastAsia="ＭＳ ゴシック" w:hAnsi="ＭＳ ゴシック" w:cs="ＭＳ ゴシック" w:hint="eastAsia"/>
          <w:sz w:val="19"/>
          <w:szCs w:val="19"/>
          <w:lang w:eastAsia="ja-JP"/>
        </w:rPr>
        <w:t>パーセント以内でない場合は、想定した場所が適切でないことを示</w:t>
      </w:r>
      <w:r>
        <w:rPr>
          <w:rFonts w:ascii="ＭＳ ゴシック" w:eastAsia="ＭＳ ゴシック" w:hAnsi="ＭＳ ゴシック" w:cs="ＭＳ ゴシック" w:hint="eastAsia"/>
          <w:sz w:val="19"/>
          <w:szCs w:val="19"/>
          <w:lang w:eastAsia="ja-JP"/>
        </w:rPr>
        <w:t>しています</w:t>
      </w:r>
      <w:r w:rsidRPr="00194110">
        <w:rPr>
          <w:rFonts w:ascii="ＭＳ ゴシック" w:eastAsia="ＭＳ ゴシック" w:hAnsi="ＭＳ ゴシック" w:cs="ＭＳ ゴシック" w:hint="eastAsia"/>
          <w:sz w:val="19"/>
          <w:szCs w:val="19"/>
          <w:lang w:eastAsia="ja-JP"/>
        </w:rPr>
        <w:t>。企業は、</w:t>
      </w:r>
      <w:r w:rsidR="004E51E7" w:rsidRPr="00194110">
        <w:rPr>
          <w:rFonts w:ascii="ＭＳ ゴシック" w:eastAsia="ＭＳ ゴシック" w:hAnsi="ＭＳ ゴシック" w:cs="ＭＳ ゴシック" w:hint="eastAsia"/>
          <w:sz w:val="19"/>
          <w:szCs w:val="19"/>
          <w:lang w:eastAsia="ja-JP"/>
        </w:rPr>
        <w:t>調査対象製品が</w:t>
      </w:r>
      <w:r w:rsidR="004E51E7">
        <w:rPr>
          <w:rFonts w:ascii="ＭＳ ゴシック" w:eastAsia="ＭＳ ゴシック" w:hAnsi="ＭＳ ゴシック" w:cs="ＭＳ ゴシック" w:hint="eastAsia"/>
          <w:sz w:val="19"/>
          <w:szCs w:val="19"/>
          <w:lang w:eastAsia="ja-JP"/>
        </w:rPr>
        <w:t>毎年多く</w:t>
      </w:r>
      <w:r w:rsidR="004E51E7" w:rsidRPr="00194110">
        <w:rPr>
          <w:rFonts w:ascii="ＭＳ ゴシック" w:eastAsia="ＭＳ ゴシック" w:hAnsi="ＭＳ ゴシック" w:cs="ＭＳ ゴシック" w:hint="eastAsia"/>
          <w:sz w:val="19"/>
          <w:szCs w:val="19"/>
          <w:lang w:eastAsia="ja-JP"/>
        </w:rPr>
        <w:t>収穫される</w:t>
      </w:r>
      <w:r w:rsidRPr="00194110">
        <w:rPr>
          <w:rFonts w:ascii="ＭＳ ゴシック" w:eastAsia="ＭＳ ゴシック" w:hAnsi="ＭＳ ゴシック" w:cs="ＭＳ ゴシック" w:hint="eastAsia"/>
          <w:sz w:val="19"/>
          <w:szCs w:val="19"/>
          <w:lang w:eastAsia="ja-JP"/>
        </w:rPr>
        <w:t>場所</w:t>
      </w:r>
      <w:r w:rsidR="004E51E7">
        <w:rPr>
          <w:rFonts w:ascii="ＭＳ ゴシック" w:eastAsia="ＭＳ ゴシック" w:hAnsi="ＭＳ ゴシック" w:cs="ＭＳ ゴシック" w:hint="eastAsia"/>
          <w:sz w:val="19"/>
          <w:szCs w:val="19"/>
          <w:lang w:eastAsia="ja-JP"/>
        </w:rPr>
        <w:t>（一番でなくとも構いません）</w:t>
      </w:r>
      <w:r w:rsidRPr="00194110">
        <w:rPr>
          <w:rFonts w:ascii="ＭＳ ゴシック" w:eastAsia="ＭＳ ゴシック" w:hAnsi="ＭＳ ゴシック" w:cs="ＭＳ ゴシック" w:hint="eastAsia"/>
          <w:sz w:val="19"/>
          <w:szCs w:val="19"/>
          <w:lang w:eastAsia="ja-JP"/>
        </w:rPr>
        <w:t>を想定する必要があ</w:t>
      </w:r>
      <w:r w:rsidR="004E51E7">
        <w:rPr>
          <w:rFonts w:ascii="ＭＳ ゴシック" w:eastAsia="ＭＳ ゴシック" w:hAnsi="ＭＳ ゴシック" w:cs="ＭＳ ゴシック" w:hint="eastAsia"/>
          <w:sz w:val="19"/>
          <w:szCs w:val="19"/>
          <w:lang w:eastAsia="ja-JP"/>
        </w:rPr>
        <w:t>ります</w:t>
      </w:r>
      <w:r w:rsidRPr="00194110">
        <w:rPr>
          <w:rFonts w:ascii="ＭＳ ゴシック" w:eastAsia="ＭＳ ゴシック" w:hAnsi="ＭＳ ゴシック" w:cs="ＭＳ ゴシック" w:hint="eastAsia"/>
          <w:sz w:val="19"/>
          <w:szCs w:val="19"/>
          <w:lang w:eastAsia="ja-JP"/>
        </w:rPr>
        <w:t>。表</w:t>
      </w:r>
      <w:r w:rsidRPr="00194110">
        <w:rPr>
          <w:sz w:val="19"/>
          <w:szCs w:val="19"/>
          <w:lang w:eastAsia="ja-JP"/>
        </w:rPr>
        <w:t>B.1</w:t>
      </w:r>
      <w:r w:rsidRPr="00194110">
        <w:rPr>
          <w:rFonts w:ascii="ＭＳ ゴシック" w:eastAsia="ＭＳ ゴシック" w:hAnsi="ＭＳ ゴシック" w:cs="ＭＳ ゴシック" w:hint="eastAsia"/>
          <w:sz w:val="19"/>
          <w:szCs w:val="19"/>
          <w:lang w:eastAsia="ja-JP"/>
        </w:rPr>
        <w:t>に示す</w:t>
      </w:r>
      <w:r w:rsidR="004E51E7">
        <w:rPr>
          <w:rFonts w:ascii="ＭＳ ゴシック" w:eastAsia="ＭＳ ゴシック" w:hAnsi="ＭＳ ゴシック" w:cs="ＭＳ ゴシック" w:hint="eastAsia"/>
          <w:sz w:val="19"/>
          <w:szCs w:val="19"/>
          <w:lang w:eastAsia="ja-JP"/>
        </w:rPr>
        <w:t>統計では、表示され</w:t>
      </w:r>
    </w:p>
    <w:p w14:paraId="6296CB28" w14:textId="762D2B61" w:rsidR="0055291C" w:rsidRPr="004E51E7" w:rsidRDefault="00F23C61">
      <w:pPr>
        <w:spacing w:before="102" w:line="328" w:lineRule="auto"/>
        <w:ind w:left="256" w:right="1463"/>
        <w:rPr>
          <w:sz w:val="19"/>
          <w:szCs w:val="19"/>
          <w:lang w:eastAsia="ja-JP"/>
        </w:rPr>
      </w:pPr>
      <w:r>
        <w:rPr>
          <w:lang w:eastAsia="ja-JP"/>
        </w:rPr>
        <w:br w:type="column"/>
      </w:r>
      <w:r w:rsidR="004E51E7" w:rsidRPr="004E51E7">
        <w:rPr>
          <w:rFonts w:ascii="ＭＳ ゴシック" w:eastAsia="ＭＳ ゴシック" w:hAnsi="ＭＳ ゴシック" w:cs="ＭＳ ゴシック" w:hint="eastAsia"/>
          <w:sz w:val="19"/>
          <w:szCs w:val="19"/>
          <w:lang w:eastAsia="ja-JP"/>
        </w:rPr>
        <w:t>ていない</w:t>
      </w:r>
      <w:r w:rsidR="004E51E7">
        <w:rPr>
          <w:rFonts w:ascii="ＭＳ ゴシック" w:eastAsia="ＭＳ ゴシック" w:hAnsi="ＭＳ ゴシック" w:cs="ＭＳ ゴシック" w:hint="eastAsia"/>
          <w:sz w:val="19"/>
          <w:szCs w:val="19"/>
          <w:lang w:eastAsia="ja-JP"/>
        </w:rPr>
        <w:t>作物（個別では1％に満たない</w:t>
      </w:r>
      <w:r w:rsidR="003010BC">
        <w:rPr>
          <w:rFonts w:ascii="ＭＳ ゴシック" w:eastAsia="ＭＳ ゴシック" w:hAnsi="ＭＳ ゴシック" w:cs="ＭＳ ゴシック" w:hint="eastAsia"/>
          <w:sz w:val="19"/>
          <w:szCs w:val="19"/>
          <w:lang w:eastAsia="ja-JP"/>
        </w:rPr>
        <w:t>作物</w:t>
      </w:r>
      <w:r w:rsidR="004E51E7">
        <w:rPr>
          <w:rFonts w:ascii="ＭＳ ゴシック" w:eastAsia="ＭＳ ゴシック" w:hAnsi="ＭＳ ゴシック" w:cs="ＭＳ ゴシック" w:hint="eastAsia"/>
          <w:sz w:val="19"/>
          <w:szCs w:val="19"/>
          <w:lang w:eastAsia="ja-JP"/>
        </w:rPr>
        <w:t>）が総面積の4％に相当しています。</w:t>
      </w:r>
    </w:p>
    <w:p w14:paraId="4DFCA695" w14:textId="55B533C2" w:rsidR="0055291C" w:rsidRPr="009C5933" w:rsidRDefault="009C5933" w:rsidP="009C5933">
      <w:pPr>
        <w:pStyle w:val="a5"/>
        <w:numPr>
          <w:ilvl w:val="1"/>
          <w:numId w:val="19"/>
        </w:numPr>
        <w:tabs>
          <w:tab w:val="left" w:pos="561"/>
        </w:tabs>
        <w:spacing w:before="140" w:line="324" w:lineRule="auto"/>
        <w:ind w:right="1691" w:hanging="1453"/>
        <w:jc w:val="left"/>
        <w:rPr>
          <w:rFonts w:ascii="Arial"/>
          <w:b/>
          <w:i/>
          <w:color w:val="7F3F98"/>
          <w:sz w:val="18"/>
          <w:lang w:eastAsia="ja-JP"/>
        </w:rPr>
      </w:pPr>
      <w:r w:rsidRPr="009C5933">
        <w:rPr>
          <w:rFonts w:ascii="ＭＳ ゴシック" w:eastAsia="ＭＳ ゴシック" w:hAnsi="ＭＳ ゴシック" w:cs="ＭＳ ゴシック" w:hint="eastAsia"/>
          <w:b/>
          <w:i/>
          <w:color w:val="7F3F98"/>
          <w:sz w:val="18"/>
          <w:lang w:eastAsia="ja-JP"/>
        </w:rPr>
        <w:t>調査対象製品の過去の土地利用データ</w:t>
      </w:r>
      <w:r>
        <w:rPr>
          <w:rFonts w:ascii="ＭＳ ゴシック" w:eastAsia="ＭＳ ゴシック" w:hAnsi="ＭＳ ゴシック" w:cs="ＭＳ ゴシック" w:hint="eastAsia"/>
          <w:b/>
          <w:i/>
          <w:color w:val="7F3F98"/>
          <w:sz w:val="18"/>
          <w:lang w:eastAsia="ja-JP"/>
        </w:rPr>
        <w:t>の</w:t>
      </w:r>
      <w:r w:rsidRPr="009C5933">
        <w:rPr>
          <w:rFonts w:ascii="ＭＳ ゴシック" w:eastAsia="ＭＳ ゴシック" w:hAnsi="ＭＳ ゴシック" w:cs="ＭＳ ゴシック" w:hint="eastAsia"/>
          <w:b/>
          <w:i/>
          <w:color w:val="7F3F98"/>
          <w:sz w:val="18"/>
          <w:lang w:eastAsia="ja-JP"/>
        </w:rPr>
        <w:t>収集</w:t>
      </w:r>
    </w:p>
    <w:p w14:paraId="499F8145" w14:textId="259EF69A" w:rsidR="0055291C" w:rsidRPr="009C5933" w:rsidRDefault="009C5933" w:rsidP="009C5933">
      <w:pPr>
        <w:spacing w:before="6" w:line="328" w:lineRule="auto"/>
        <w:ind w:left="256" w:right="1535" w:firstLineChars="100" w:firstLine="190"/>
        <w:rPr>
          <w:sz w:val="19"/>
          <w:szCs w:val="19"/>
          <w:lang w:eastAsia="ja-JP"/>
        </w:rPr>
      </w:pPr>
      <w:r w:rsidRPr="009C5933">
        <w:rPr>
          <w:rFonts w:ascii="ＭＳ ゴシック" w:eastAsia="ＭＳ ゴシック" w:hAnsi="ＭＳ ゴシック" w:cs="ＭＳ ゴシック" w:hint="eastAsia"/>
          <w:sz w:val="19"/>
          <w:szCs w:val="19"/>
          <w:lang w:eastAsia="ja-JP"/>
        </w:rPr>
        <w:t>第</w:t>
      </w:r>
      <w:r>
        <w:rPr>
          <w:rFonts w:ascii="ＭＳ ゴシック" w:eastAsia="ＭＳ ゴシック" w:hAnsi="ＭＳ ゴシック" w:cs="ＭＳ ゴシック" w:hint="eastAsia"/>
          <w:sz w:val="19"/>
          <w:szCs w:val="19"/>
          <w:lang w:eastAsia="ja-JP"/>
        </w:rPr>
        <w:t>２</w:t>
      </w:r>
      <w:r w:rsidRPr="009C5933">
        <w:rPr>
          <w:rFonts w:ascii="ＭＳ ゴシック" w:eastAsia="ＭＳ ゴシック" w:hAnsi="ＭＳ ゴシック" w:cs="ＭＳ ゴシック" w:hint="eastAsia"/>
          <w:sz w:val="19"/>
          <w:szCs w:val="19"/>
          <w:lang w:eastAsia="ja-JP"/>
        </w:rPr>
        <w:t>段階は、調査対象製品の過去の土地利用データを収集し、評価期間（この例では</w:t>
      </w:r>
      <w:r w:rsidRPr="009C5933">
        <w:rPr>
          <w:sz w:val="19"/>
          <w:szCs w:val="19"/>
          <w:lang w:eastAsia="ja-JP"/>
        </w:rPr>
        <w:t>20</w:t>
      </w:r>
      <w:r w:rsidRPr="009C5933">
        <w:rPr>
          <w:rFonts w:ascii="ＭＳ ゴシック" w:eastAsia="ＭＳ ゴシック" w:hAnsi="ＭＳ ゴシック" w:cs="ＭＳ ゴシック" w:hint="eastAsia"/>
          <w:sz w:val="19"/>
          <w:szCs w:val="19"/>
          <w:lang w:eastAsia="ja-JP"/>
        </w:rPr>
        <w:t>年）の間に土地利用が増加したか減少したかを判断することで</w:t>
      </w:r>
      <w:r>
        <w:rPr>
          <w:rFonts w:ascii="ＭＳ ゴシック" w:eastAsia="ＭＳ ゴシック" w:hAnsi="ＭＳ ゴシック" w:cs="ＭＳ ゴシック" w:hint="eastAsia"/>
          <w:sz w:val="19"/>
          <w:szCs w:val="19"/>
          <w:lang w:eastAsia="ja-JP"/>
        </w:rPr>
        <w:t>す</w:t>
      </w:r>
      <w:r w:rsidRPr="009C5933">
        <w:rPr>
          <w:rFonts w:ascii="ＭＳ ゴシック" w:eastAsia="ＭＳ ゴシック" w:hAnsi="ＭＳ ゴシック" w:cs="ＭＳ ゴシック" w:hint="eastAsia"/>
          <w:sz w:val="19"/>
          <w:szCs w:val="19"/>
          <w:lang w:eastAsia="ja-JP"/>
        </w:rPr>
        <w:t>。統計的な土地利用データは、予定より数年遅れて発表されることが多いため（例えば、</w:t>
      </w:r>
      <w:r w:rsidRPr="009C5933">
        <w:rPr>
          <w:sz w:val="19"/>
          <w:szCs w:val="19"/>
          <w:lang w:eastAsia="ja-JP"/>
        </w:rPr>
        <w:t>2008</w:t>
      </w:r>
      <w:r w:rsidRPr="009C5933">
        <w:rPr>
          <w:rFonts w:ascii="ＭＳ ゴシック" w:eastAsia="ＭＳ ゴシック" w:hAnsi="ＭＳ ゴシック" w:cs="ＭＳ ゴシック" w:hint="eastAsia"/>
          <w:sz w:val="19"/>
          <w:szCs w:val="19"/>
          <w:lang w:eastAsia="ja-JP"/>
        </w:rPr>
        <w:t>年のデータが</w:t>
      </w:r>
      <w:r w:rsidRPr="009C5933">
        <w:rPr>
          <w:sz w:val="19"/>
          <w:szCs w:val="19"/>
          <w:lang w:eastAsia="ja-JP"/>
        </w:rPr>
        <w:t>2010</w:t>
      </w:r>
      <w:r w:rsidRPr="009C5933">
        <w:rPr>
          <w:rFonts w:ascii="ＭＳ ゴシック" w:eastAsia="ＭＳ ゴシック" w:hAnsi="ＭＳ ゴシック" w:cs="ＭＳ ゴシック" w:hint="eastAsia"/>
          <w:sz w:val="19"/>
          <w:szCs w:val="19"/>
          <w:lang w:eastAsia="ja-JP"/>
        </w:rPr>
        <w:t>年に発表される）、企業では、</w:t>
      </w:r>
      <w:r w:rsidR="0030459A">
        <w:rPr>
          <w:rFonts w:ascii="ＭＳ ゴシック" w:eastAsia="ＭＳ ゴシック" w:hAnsi="ＭＳ ゴシック" w:cs="ＭＳ ゴシック" w:hint="eastAsia"/>
          <w:sz w:val="19"/>
          <w:szCs w:val="19"/>
          <w:lang w:eastAsia="ja-JP"/>
        </w:rPr>
        <w:t>データ</w:t>
      </w:r>
      <w:r w:rsidRPr="009C5933">
        <w:rPr>
          <w:rFonts w:ascii="ＭＳ ゴシック" w:eastAsia="ＭＳ ゴシック" w:hAnsi="ＭＳ ゴシック" w:cs="ＭＳ ゴシック" w:hint="eastAsia"/>
          <w:sz w:val="19"/>
          <w:szCs w:val="19"/>
          <w:lang w:eastAsia="ja-JP"/>
        </w:rPr>
        <w:t>不明</w:t>
      </w:r>
      <w:r w:rsidR="0030459A">
        <w:rPr>
          <w:rFonts w:ascii="ＭＳ ゴシック" w:eastAsia="ＭＳ ゴシック" w:hAnsi="ＭＳ ゴシック" w:cs="ＭＳ ゴシック" w:hint="eastAsia"/>
          <w:sz w:val="19"/>
          <w:szCs w:val="19"/>
          <w:lang w:eastAsia="ja-JP"/>
        </w:rPr>
        <w:t>の</w:t>
      </w:r>
      <w:r w:rsidRPr="009C5933">
        <w:rPr>
          <w:rFonts w:ascii="ＭＳ ゴシック" w:eastAsia="ＭＳ ゴシック" w:hAnsi="ＭＳ ゴシック" w:cs="ＭＳ ゴシック" w:hint="eastAsia"/>
          <w:sz w:val="19"/>
          <w:szCs w:val="19"/>
          <w:lang w:eastAsia="ja-JP"/>
        </w:rPr>
        <w:t>期間が</w:t>
      </w:r>
      <w:r w:rsidRPr="009C5933">
        <w:rPr>
          <w:sz w:val="19"/>
          <w:szCs w:val="19"/>
          <w:lang w:eastAsia="ja-JP"/>
        </w:rPr>
        <w:t>3</w:t>
      </w:r>
      <w:r w:rsidRPr="009C5933">
        <w:rPr>
          <w:rFonts w:ascii="ＭＳ ゴシック" w:eastAsia="ＭＳ ゴシック" w:hAnsi="ＭＳ ゴシック" w:cs="ＭＳ ゴシック" w:hint="eastAsia"/>
          <w:sz w:val="19"/>
          <w:szCs w:val="19"/>
          <w:lang w:eastAsia="ja-JP"/>
        </w:rPr>
        <w:t>年を超えない限り、そのデータを使用することができ</w:t>
      </w:r>
      <w:r>
        <w:rPr>
          <w:rFonts w:ascii="ＭＳ ゴシック" w:eastAsia="ＭＳ ゴシック" w:hAnsi="ＭＳ ゴシック" w:cs="ＭＳ ゴシック" w:hint="eastAsia"/>
          <w:sz w:val="19"/>
          <w:szCs w:val="19"/>
          <w:lang w:eastAsia="ja-JP"/>
        </w:rPr>
        <w:t>ます</w:t>
      </w:r>
      <w:r w:rsidRPr="009C5933">
        <w:rPr>
          <w:rFonts w:ascii="ＭＳ ゴシック" w:eastAsia="ＭＳ ゴシック" w:hAnsi="ＭＳ ゴシック" w:cs="ＭＳ ゴシック" w:hint="eastAsia"/>
          <w:sz w:val="19"/>
          <w:szCs w:val="19"/>
          <w:lang w:eastAsia="ja-JP"/>
        </w:rPr>
        <w:t>。</w:t>
      </w:r>
      <w:r w:rsidR="0030459A">
        <w:rPr>
          <w:rFonts w:ascii="ＭＳ ゴシック" w:eastAsia="ＭＳ ゴシック" w:hAnsi="ＭＳ ゴシック" w:cs="ＭＳ ゴシック" w:hint="eastAsia"/>
          <w:sz w:val="19"/>
          <w:szCs w:val="19"/>
          <w:lang w:eastAsia="ja-JP"/>
        </w:rPr>
        <w:t>データ不明の</w:t>
      </w:r>
      <w:r w:rsidRPr="009C5933">
        <w:rPr>
          <w:rFonts w:ascii="ＭＳ ゴシック" w:eastAsia="ＭＳ ゴシック" w:hAnsi="ＭＳ ゴシック" w:cs="ＭＳ ゴシック" w:hint="eastAsia"/>
          <w:sz w:val="19"/>
          <w:szCs w:val="19"/>
          <w:lang w:eastAsia="ja-JP"/>
        </w:rPr>
        <w:t>期間が</w:t>
      </w:r>
      <w:r w:rsidRPr="009C5933">
        <w:rPr>
          <w:sz w:val="19"/>
          <w:szCs w:val="19"/>
          <w:lang w:eastAsia="ja-JP"/>
        </w:rPr>
        <w:t>3</w:t>
      </w:r>
      <w:r w:rsidRPr="009C5933">
        <w:rPr>
          <w:rFonts w:ascii="ＭＳ ゴシック" w:eastAsia="ＭＳ ゴシック" w:hAnsi="ＭＳ ゴシック" w:cs="ＭＳ ゴシック" w:hint="eastAsia"/>
          <w:sz w:val="19"/>
          <w:szCs w:val="19"/>
          <w:lang w:eastAsia="ja-JP"/>
        </w:rPr>
        <w:t>年を超える場合、企業はより新しい統計でデータを補完するか、土地利用変化</w:t>
      </w:r>
      <w:r w:rsidRPr="009C5933">
        <w:rPr>
          <w:sz w:val="19"/>
          <w:szCs w:val="19"/>
          <w:lang w:eastAsia="ja-JP"/>
        </w:rPr>
        <w:t xml:space="preserve"> </w:t>
      </w:r>
      <w:r w:rsidRPr="009C5933">
        <w:rPr>
          <w:rFonts w:ascii="ＭＳ ゴシック" w:eastAsia="ＭＳ ゴシック" w:hAnsi="ＭＳ ゴシック" w:cs="ＭＳ ゴシック" w:hint="eastAsia"/>
          <w:sz w:val="19"/>
          <w:szCs w:val="19"/>
          <w:lang w:eastAsia="ja-JP"/>
        </w:rPr>
        <w:t>の影響を推定する別の方法を検討する必要がある</w:t>
      </w:r>
      <w:r w:rsidR="0030459A">
        <w:rPr>
          <w:rFonts w:ascii="ＭＳ ゴシック" w:eastAsia="ＭＳ ゴシック" w:hAnsi="ＭＳ ゴシック" w:cs="ＭＳ ゴシック" w:hint="eastAsia"/>
          <w:sz w:val="19"/>
          <w:szCs w:val="19"/>
          <w:lang w:eastAsia="ja-JP"/>
        </w:rPr>
        <w:t>でしょう</w:t>
      </w:r>
      <w:r w:rsidRPr="009C5933">
        <w:rPr>
          <w:rFonts w:ascii="ＭＳ ゴシック" w:eastAsia="ＭＳ ゴシック" w:hAnsi="ＭＳ ゴシック" w:cs="ＭＳ ゴシック" w:hint="eastAsia"/>
          <w:sz w:val="19"/>
          <w:szCs w:val="19"/>
          <w:lang w:eastAsia="ja-JP"/>
        </w:rPr>
        <w:t>。</w:t>
      </w:r>
    </w:p>
    <w:p w14:paraId="072F019F" w14:textId="09B0CD88" w:rsidR="0055291C" w:rsidRPr="0030459A" w:rsidRDefault="0030459A" w:rsidP="0030459A">
      <w:pPr>
        <w:spacing w:before="144" w:line="328" w:lineRule="auto"/>
        <w:ind w:left="256" w:right="1615" w:firstLineChars="100" w:firstLine="190"/>
        <w:rPr>
          <w:sz w:val="19"/>
          <w:szCs w:val="19"/>
          <w:lang w:eastAsia="ja-JP"/>
        </w:rPr>
      </w:pPr>
      <w:r w:rsidRPr="0030459A">
        <w:rPr>
          <w:rFonts w:ascii="ＭＳ ゴシック" w:eastAsia="ＭＳ ゴシック" w:hAnsi="ＭＳ ゴシック" w:cs="ＭＳ ゴシック" w:hint="eastAsia"/>
          <w:sz w:val="19"/>
          <w:szCs w:val="19"/>
          <w:lang w:eastAsia="ja-JP"/>
        </w:rPr>
        <w:t>図</w:t>
      </w:r>
      <w:r w:rsidRPr="0030459A">
        <w:rPr>
          <w:sz w:val="19"/>
          <w:szCs w:val="19"/>
          <w:lang w:eastAsia="ja-JP"/>
        </w:rPr>
        <w:t xml:space="preserve"> B.3 </w:t>
      </w:r>
      <w:r w:rsidRPr="0030459A">
        <w:rPr>
          <w:rFonts w:ascii="ＭＳ ゴシック" w:eastAsia="ＭＳ ゴシック" w:hAnsi="ＭＳ ゴシック" w:cs="ＭＳ ゴシック" w:hint="eastAsia"/>
          <w:sz w:val="19"/>
          <w:szCs w:val="19"/>
          <w:lang w:eastAsia="ja-JP"/>
        </w:rPr>
        <w:t>では、</w:t>
      </w:r>
      <w:r w:rsidRPr="0030459A">
        <w:rPr>
          <w:sz w:val="19"/>
          <w:szCs w:val="19"/>
          <w:lang w:eastAsia="ja-JP"/>
        </w:rPr>
        <w:t>20</w:t>
      </w:r>
      <w:r w:rsidRPr="0030459A">
        <w:rPr>
          <w:rFonts w:ascii="ＭＳ ゴシック" w:eastAsia="ＭＳ ゴシック" w:hAnsi="ＭＳ ゴシック" w:cs="ＭＳ ゴシック" w:hint="eastAsia"/>
          <w:sz w:val="19"/>
          <w:szCs w:val="19"/>
          <w:lang w:eastAsia="ja-JP"/>
        </w:rPr>
        <w:t>年間の水稲の収穫面積の変化の総計は、“ほぼ一定”です（</w:t>
      </w:r>
      <w:r w:rsidRPr="0030459A">
        <w:rPr>
          <w:sz w:val="19"/>
          <w:szCs w:val="19"/>
          <w:lang w:eastAsia="ja-JP"/>
        </w:rPr>
        <w:t>1</w:t>
      </w:r>
      <w:r w:rsidRPr="0030459A">
        <w:rPr>
          <w:rFonts w:ascii="ＭＳ ゴシック" w:eastAsia="ＭＳ ゴシック" w:hAnsi="ＭＳ ゴシック" w:cs="ＭＳ ゴシック" w:hint="eastAsia"/>
          <w:sz w:val="19"/>
          <w:szCs w:val="19"/>
          <w:lang w:eastAsia="ja-JP"/>
        </w:rPr>
        <w:t>％の増加を超えな</w:t>
      </w:r>
    </w:p>
    <w:p w14:paraId="315DE42A" w14:textId="77777777" w:rsidR="0055291C" w:rsidRDefault="0055291C">
      <w:pPr>
        <w:spacing w:line="328" w:lineRule="auto"/>
        <w:rPr>
          <w:sz w:val="18"/>
          <w:lang w:eastAsia="ja-JP"/>
        </w:rPr>
        <w:sectPr w:rsidR="0055291C">
          <w:type w:val="continuous"/>
          <w:pgSz w:w="12240" w:h="15840"/>
          <w:pgMar w:top="740" w:right="0" w:bottom="280" w:left="0" w:header="957" w:footer="859" w:gutter="0"/>
          <w:cols w:num="2" w:space="720" w:equalWidth="0">
            <w:col w:w="5973" w:space="40"/>
            <w:col w:w="6227"/>
          </w:cols>
        </w:sectPr>
      </w:pPr>
    </w:p>
    <w:p w14:paraId="7A06E9F5" w14:textId="77777777" w:rsidR="0055291C" w:rsidRDefault="0055291C">
      <w:pPr>
        <w:pStyle w:val="a3"/>
        <w:spacing w:before="9"/>
        <w:rPr>
          <w:sz w:val="26"/>
          <w:lang w:eastAsia="ja-JP"/>
        </w:rPr>
      </w:pPr>
    </w:p>
    <w:p w14:paraId="764A5FE0" w14:textId="1BF9D1EA" w:rsidR="0055291C" w:rsidRDefault="00F23C61">
      <w:pPr>
        <w:pStyle w:val="6"/>
        <w:spacing w:line="292" w:lineRule="auto"/>
        <w:ind w:left="2372" w:right="1748" w:hanging="1036"/>
        <w:rPr>
          <w:lang w:eastAsia="ja-JP"/>
        </w:rPr>
      </w:pPr>
      <w:r>
        <w:rPr>
          <w:color w:val="00ACA1"/>
          <w:spacing w:val="-1"/>
          <w:lang w:eastAsia="ja-JP"/>
        </w:rPr>
        <w:t>Table</w:t>
      </w:r>
      <w:r>
        <w:rPr>
          <w:color w:val="00ACA1"/>
          <w:spacing w:val="-13"/>
          <w:lang w:eastAsia="ja-JP"/>
        </w:rPr>
        <w:t xml:space="preserve"> </w:t>
      </w:r>
      <w:r>
        <w:rPr>
          <w:color w:val="00ACA1"/>
          <w:spacing w:val="-1"/>
          <w:lang w:eastAsia="ja-JP"/>
        </w:rPr>
        <w:t>[B.1]</w:t>
      </w:r>
      <w:r>
        <w:rPr>
          <w:color w:val="00ACA1"/>
          <w:spacing w:val="-12"/>
          <w:lang w:eastAsia="ja-JP"/>
        </w:rPr>
        <w:t xml:space="preserve"> </w:t>
      </w:r>
      <w:r w:rsidR="00EE4C88">
        <w:rPr>
          <w:lang w:eastAsia="ja-JP"/>
        </w:rPr>
        <w:t>2008</w:t>
      </w:r>
      <w:r w:rsidR="00EE4C88">
        <w:rPr>
          <w:rFonts w:ascii="ＭＳ 明朝" w:eastAsia="ＭＳ 明朝" w:hAnsi="ＭＳ 明朝" w:cs="ＭＳ 明朝" w:hint="eastAsia"/>
          <w:lang w:eastAsia="ja-JP"/>
        </w:rPr>
        <w:t>年にマレーシアで栽培された作物のうち、総収穫面積（</w:t>
      </w:r>
      <w:r w:rsidR="00EE4C88">
        <w:rPr>
          <w:lang w:eastAsia="ja-JP"/>
        </w:rPr>
        <w:t>ha</w:t>
      </w:r>
      <w:r w:rsidR="00EE4C88">
        <w:rPr>
          <w:rFonts w:ascii="ＭＳ 明朝" w:eastAsia="ＭＳ 明朝" w:hAnsi="ＭＳ 明朝" w:cs="ＭＳ 明朝" w:hint="eastAsia"/>
          <w:lang w:eastAsia="ja-JP"/>
        </w:rPr>
        <w:t>）に対して</w:t>
      </w:r>
      <w:r w:rsidR="00EE4C88">
        <w:rPr>
          <w:lang w:eastAsia="ja-JP"/>
        </w:rPr>
        <w:t>1</w:t>
      </w:r>
      <w:r w:rsidR="00EE4C88">
        <w:rPr>
          <w:rFonts w:ascii="ＭＳ 明朝" w:eastAsia="ＭＳ 明朝" w:hAnsi="ＭＳ 明朝" w:cs="ＭＳ 明朝" w:hint="eastAsia"/>
          <w:lang w:eastAsia="ja-JP"/>
        </w:rPr>
        <w:t>％以上を占めている作物の収穫面積</w:t>
      </w:r>
    </w:p>
    <w:p w14:paraId="1E4D0897" w14:textId="77777777" w:rsidR="0055291C" w:rsidRDefault="0055291C">
      <w:pPr>
        <w:pStyle w:val="a3"/>
        <w:spacing w:before="10"/>
        <w:rPr>
          <w:rFonts w:ascii="Arial"/>
          <w:b/>
          <w:sz w:val="12"/>
          <w:lang w:eastAsia="ja-JP"/>
        </w:rPr>
      </w:pPr>
    </w:p>
    <w:p w14:paraId="0C4F5835" w14:textId="63230BE2" w:rsidR="0055291C" w:rsidRDefault="00EE4C88">
      <w:pPr>
        <w:tabs>
          <w:tab w:val="left" w:pos="3993"/>
          <w:tab w:val="left" w:pos="7604"/>
        </w:tabs>
        <w:spacing w:before="99"/>
        <w:ind w:left="1465"/>
        <w:rPr>
          <w:rFonts w:ascii="Arial"/>
          <w:b/>
          <w:i/>
          <w:sz w:val="21"/>
          <w:lang w:eastAsia="ja-JP"/>
        </w:rPr>
      </w:pPr>
      <w:r>
        <w:rPr>
          <w:rFonts w:ascii="ＭＳ ゴシック" w:eastAsia="ＭＳ ゴシック" w:hAnsi="ＭＳ ゴシック" w:cs="ＭＳ ゴシック" w:hint="eastAsia"/>
          <w:b/>
          <w:i/>
          <w:color w:val="F1F1F2"/>
          <w:sz w:val="21"/>
          <w:lang w:eastAsia="ja-JP"/>
        </w:rPr>
        <w:t>作物</w:t>
      </w:r>
      <w:r w:rsidR="00F23C61">
        <w:rPr>
          <w:rFonts w:ascii="Arial"/>
          <w:b/>
          <w:i/>
          <w:color w:val="F1F1F2"/>
          <w:sz w:val="21"/>
          <w:lang w:eastAsia="ja-JP"/>
        </w:rPr>
        <w:tab/>
        <w:t>2008</w:t>
      </w:r>
      <w:r>
        <w:rPr>
          <w:rFonts w:ascii="ＭＳ ゴシック" w:eastAsia="ＭＳ ゴシック" w:hAnsi="ＭＳ ゴシック" w:cs="ＭＳ ゴシック" w:hint="eastAsia"/>
          <w:b/>
          <w:i/>
          <w:color w:val="F1F1F2"/>
          <w:sz w:val="21"/>
          <w:lang w:eastAsia="ja-JP"/>
        </w:rPr>
        <w:t>年の栽培面積</w:t>
      </w:r>
      <w:r w:rsidR="00F23C61">
        <w:rPr>
          <w:rFonts w:ascii="Arial"/>
          <w:b/>
          <w:i/>
          <w:color w:val="F1F1F2"/>
          <w:spacing w:val="-7"/>
          <w:sz w:val="21"/>
          <w:lang w:eastAsia="ja-JP"/>
        </w:rPr>
        <w:t xml:space="preserve"> </w:t>
      </w:r>
      <w:r w:rsidR="00F23C61">
        <w:rPr>
          <w:rFonts w:ascii="Arial"/>
          <w:b/>
          <w:i/>
          <w:color w:val="F1F1F2"/>
          <w:sz w:val="21"/>
          <w:lang w:eastAsia="ja-JP"/>
        </w:rPr>
        <w:t>[ha]</w:t>
      </w:r>
      <w:r w:rsidR="00F23C61">
        <w:rPr>
          <w:rFonts w:ascii="Arial"/>
          <w:b/>
          <w:i/>
          <w:color w:val="F1F1F2"/>
          <w:sz w:val="21"/>
          <w:lang w:eastAsia="ja-JP"/>
        </w:rPr>
        <w:tab/>
      </w:r>
      <w:r>
        <w:rPr>
          <w:rFonts w:ascii="ＭＳ ゴシック" w:eastAsia="ＭＳ ゴシック" w:hAnsi="ＭＳ ゴシック" w:cs="ＭＳ ゴシック" w:hint="eastAsia"/>
          <w:b/>
          <w:i/>
          <w:color w:val="F1F1F2"/>
          <w:sz w:val="21"/>
          <w:lang w:eastAsia="ja-JP"/>
        </w:rPr>
        <w:t>栽培面積割合</w:t>
      </w:r>
    </w:p>
    <w:p w14:paraId="5AF7AA71" w14:textId="77777777" w:rsidR="0055291C" w:rsidRDefault="0055291C">
      <w:pPr>
        <w:pStyle w:val="a3"/>
        <w:spacing w:before="4"/>
        <w:rPr>
          <w:rFonts w:ascii="Arial"/>
          <w:b/>
          <w:i/>
          <w:sz w:val="32"/>
          <w:lang w:eastAsia="ja-JP"/>
        </w:rPr>
      </w:pPr>
    </w:p>
    <w:p w14:paraId="6A528BF0" w14:textId="32909CF5" w:rsidR="0055291C" w:rsidRDefault="00EE4C88">
      <w:pPr>
        <w:tabs>
          <w:tab w:val="left" w:pos="3993"/>
          <w:tab w:val="left" w:pos="7604"/>
        </w:tabs>
        <w:ind w:left="1465"/>
        <w:rPr>
          <w:sz w:val="18"/>
          <w:lang w:eastAsia="ja-JP"/>
        </w:rPr>
      </w:pPr>
      <w:r>
        <w:rPr>
          <w:rFonts w:ascii="ＭＳ ゴシック" w:eastAsia="ＭＳ ゴシック" w:hAnsi="ＭＳ ゴシック" w:cs="ＭＳ ゴシック" w:hint="eastAsia"/>
          <w:b/>
          <w:color w:val="545456"/>
          <w:sz w:val="18"/>
          <w:lang w:eastAsia="ja-JP"/>
        </w:rPr>
        <w:t>キャッサバ</w:t>
      </w:r>
      <w:r w:rsidR="00F23C61">
        <w:rPr>
          <w:rFonts w:ascii="Arial"/>
          <w:b/>
          <w:color w:val="545456"/>
          <w:sz w:val="18"/>
          <w:lang w:eastAsia="ja-JP"/>
        </w:rPr>
        <w:tab/>
      </w:r>
      <w:r w:rsidR="00F23C61">
        <w:rPr>
          <w:color w:val="545456"/>
          <w:sz w:val="18"/>
          <w:lang w:eastAsia="ja-JP"/>
        </w:rPr>
        <w:t>41000</w:t>
      </w:r>
      <w:r w:rsidR="00F23C61">
        <w:rPr>
          <w:color w:val="545456"/>
          <w:sz w:val="18"/>
          <w:lang w:eastAsia="ja-JP"/>
        </w:rPr>
        <w:tab/>
        <w:t>1%</w:t>
      </w:r>
    </w:p>
    <w:p w14:paraId="7BCF5CB0" w14:textId="77777777" w:rsidR="0055291C" w:rsidRDefault="0055291C">
      <w:pPr>
        <w:pStyle w:val="a3"/>
        <w:spacing w:before="3"/>
        <w:rPr>
          <w:sz w:val="18"/>
          <w:lang w:eastAsia="ja-JP"/>
        </w:rPr>
      </w:pPr>
    </w:p>
    <w:p w14:paraId="5D23B85B" w14:textId="25249346" w:rsidR="0055291C" w:rsidRDefault="00EE4C88">
      <w:pPr>
        <w:tabs>
          <w:tab w:val="left" w:pos="3993"/>
          <w:tab w:val="left" w:pos="7604"/>
        </w:tabs>
        <w:ind w:left="1465"/>
        <w:rPr>
          <w:sz w:val="18"/>
          <w:lang w:eastAsia="ja-JP"/>
        </w:rPr>
      </w:pPr>
      <w:r>
        <w:rPr>
          <w:rFonts w:ascii="ＭＳ ゴシック" w:eastAsia="ＭＳ ゴシック" w:hAnsi="ＭＳ ゴシック" w:cs="ＭＳ ゴシック" w:hint="eastAsia"/>
          <w:b/>
          <w:color w:val="545456"/>
          <w:sz w:val="18"/>
          <w:lang w:eastAsia="ja-JP"/>
        </w:rPr>
        <w:t>ココナッツ</w:t>
      </w:r>
      <w:r w:rsidR="00F23C61">
        <w:rPr>
          <w:rFonts w:ascii="Arial"/>
          <w:b/>
          <w:color w:val="545456"/>
          <w:sz w:val="18"/>
          <w:lang w:eastAsia="ja-JP"/>
        </w:rPr>
        <w:tab/>
      </w:r>
      <w:r w:rsidR="00F23C61">
        <w:rPr>
          <w:color w:val="545456"/>
          <w:sz w:val="18"/>
          <w:lang w:eastAsia="ja-JP"/>
        </w:rPr>
        <w:t>174000</w:t>
      </w:r>
      <w:r w:rsidR="00F23C61">
        <w:rPr>
          <w:color w:val="545456"/>
          <w:sz w:val="18"/>
          <w:lang w:eastAsia="ja-JP"/>
        </w:rPr>
        <w:tab/>
        <w:t>3%</w:t>
      </w:r>
    </w:p>
    <w:p w14:paraId="3E6474F8" w14:textId="77777777" w:rsidR="0055291C" w:rsidRDefault="0055291C">
      <w:pPr>
        <w:pStyle w:val="a3"/>
        <w:spacing w:before="2"/>
        <w:rPr>
          <w:sz w:val="21"/>
          <w:lang w:eastAsia="ja-JP"/>
        </w:rPr>
      </w:pPr>
    </w:p>
    <w:p w14:paraId="2EE815E0" w14:textId="39A2F19B" w:rsidR="0055291C" w:rsidRDefault="00EE4C88">
      <w:pPr>
        <w:tabs>
          <w:tab w:val="left" w:pos="3993"/>
          <w:tab w:val="left" w:pos="7604"/>
        </w:tabs>
        <w:ind w:left="1465"/>
        <w:rPr>
          <w:sz w:val="18"/>
          <w:lang w:eastAsia="ja-JP"/>
        </w:rPr>
      </w:pPr>
      <w:r>
        <w:rPr>
          <w:rFonts w:ascii="ＭＳ ゴシック" w:eastAsia="ＭＳ ゴシック" w:hAnsi="ＭＳ ゴシック" w:cs="ＭＳ ゴシック" w:hint="eastAsia"/>
          <w:b/>
          <w:color w:val="545456"/>
          <w:sz w:val="18"/>
          <w:lang w:eastAsia="ja-JP"/>
        </w:rPr>
        <w:t>生コーヒー豆</w:t>
      </w:r>
      <w:r w:rsidR="00F23C61">
        <w:rPr>
          <w:rFonts w:ascii="Arial"/>
          <w:b/>
          <w:color w:val="545456"/>
          <w:sz w:val="18"/>
          <w:lang w:eastAsia="ja-JP"/>
        </w:rPr>
        <w:tab/>
      </w:r>
      <w:r w:rsidR="00F23C61">
        <w:rPr>
          <w:color w:val="545456"/>
          <w:w w:val="105"/>
          <w:sz w:val="18"/>
          <w:lang w:eastAsia="ja-JP"/>
        </w:rPr>
        <w:t>50000</w:t>
      </w:r>
      <w:r w:rsidR="00F23C61">
        <w:rPr>
          <w:color w:val="545456"/>
          <w:w w:val="105"/>
          <w:sz w:val="18"/>
          <w:lang w:eastAsia="ja-JP"/>
        </w:rPr>
        <w:tab/>
        <w:t>1%</w:t>
      </w:r>
    </w:p>
    <w:p w14:paraId="189C0CAB" w14:textId="77777777" w:rsidR="0055291C" w:rsidRDefault="0055291C">
      <w:pPr>
        <w:pStyle w:val="a3"/>
        <w:spacing w:before="9"/>
        <w:rPr>
          <w:sz w:val="18"/>
          <w:lang w:eastAsia="ja-JP"/>
        </w:rPr>
      </w:pPr>
    </w:p>
    <w:p w14:paraId="359EAAE1" w14:textId="4FABAF4A" w:rsidR="0055291C" w:rsidRDefault="00EE4C88">
      <w:pPr>
        <w:tabs>
          <w:tab w:val="left" w:pos="3993"/>
          <w:tab w:val="left" w:pos="7604"/>
        </w:tabs>
        <w:spacing w:before="1"/>
        <w:ind w:left="1465"/>
        <w:rPr>
          <w:sz w:val="18"/>
          <w:lang w:eastAsia="ja-JP"/>
        </w:rPr>
      </w:pPr>
      <w:r>
        <w:rPr>
          <w:rFonts w:ascii="ＭＳ ゴシック" w:eastAsia="ＭＳ ゴシック" w:hAnsi="ＭＳ ゴシック" w:cs="ＭＳ ゴシック" w:hint="eastAsia"/>
          <w:b/>
          <w:color w:val="545456"/>
          <w:sz w:val="18"/>
          <w:lang w:eastAsia="ja-JP"/>
        </w:rPr>
        <w:t>天然ゴム</w:t>
      </w:r>
      <w:r w:rsidR="00F23C61">
        <w:rPr>
          <w:rFonts w:ascii="Arial"/>
          <w:b/>
          <w:color w:val="545456"/>
          <w:sz w:val="18"/>
          <w:lang w:eastAsia="ja-JP"/>
        </w:rPr>
        <w:tab/>
      </w:r>
      <w:r w:rsidR="00F23C61">
        <w:rPr>
          <w:color w:val="545456"/>
          <w:sz w:val="18"/>
          <w:lang w:eastAsia="ja-JP"/>
        </w:rPr>
        <w:t>1247000</w:t>
      </w:r>
      <w:r w:rsidR="00F23C61">
        <w:rPr>
          <w:color w:val="545456"/>
          <w:sz w:val="18"/>
          <w:lang w:eastAsia="ja-JP"/>
        </w:rPr>
        <w:tab/>
        <w:t>19%</w:t>
      </w:r>
    </w:p>
    <w:p w14:paraId="230E3A67" w14:textId="77777777" w:rsidR="0055291C" w:rsidRDefault="0055291C">
      <w:pPr>
        <w:pStyle w:val="a3"/>
        <w:spacing w:before="5"/>
        <w:rPr>
          <w:sz w:val="20"/>
          <w:lang w:eastAsia="ja-JP"/>
        </w:rPr>
      </w:pPr>
    </w:p>
    <w:p w14:paraId="73E351E3" w14:textId="5694D1F3" w:rsidR="0055291C" w:rsidRDefault="00EE4C88">
      <w:pPr>
        <w:tabs>
          <w:tab w:val="left" w:pos="3993"/>
          <w:tab w:val="left" w:pos="7604"/>
        </w:tabs>
        <w:ind w:left="1465"/>
        <w:rPr>
          <w:sz w:val="18"/>
          <w:lang w:eastAsia="ja-JP"/>
        </w:rPr>
      </w:pPr>
      <w:r>
        <w:rPr>
          <w:rFonts w:ascii="ＭＳ ゴシック" w:eastAsia="ＭＳ ゴシック" w:hAnsi="ＭＳ ゴシック" w:cs="ＭＳ ゴシック" w:hint="eastAsia"/>
          <w:b/>
          <w:color w:val="545456"/>
          <w:w w:val="105"/>
          <w:sz w:val="18"/>
          <w:lang w:eastAsia="ja-JP"/>
        </w:rPr>
        <w:t>アブラヤシ</w:t>
      </w:r>
      <w:r w:rsidR="00F23C61">
        <w:rPr>
          <w:rFonts w:ascii="Arial"/>
          <w:b/>
          <w:color w:val="545456"/>
          <w:w w:val="105"/>
          <w:sz w:val="18"/>
          <w:lang w:eastAsia="ja-JP"/>
        </w:rPr>
        <w:tab/>
      </w:r>
      <w:r w:rsidR="00F23C61">
        <w:rPr>
          <w:color w:val="545456"/>
          <w:w w:val="105"/>
          <w:sz w:val="18"/>
          <w:lang w:eastAsia="ja-JP"/>
        </w:rPr>
        <w:t>3900000</w:t>
      </w:r>
      <w:r w:rsidR="00F23C61">
        <w:rPr>
          <w:color w:val="545456"/>
          <w:w w:val="105"/>
          <w:sz w:val="18"/>
          <w:lang w:eastAsia="ja-JP"/>
        </w:rPr>
        <w:tab/>
        <w:t>60%</w:t>
      </w:r>
    </w:p>
    <w:p w14:paraId="72C974D0" w14:textId="77777777" w:rsidR="0055291C" w:rsidRDefault="0055291C">
      <w:pPr>
        <w:pStyle w:val="a3"/>
        <w:spacing w:before="7"/>
        <w:rPr>
          <w:sz w:val="21"/>
          <w:lang w:eastAsia="ja-JP"/>
        </w:rPr>
      </w:pPr>
    </w:p>
    <w:p w14:paraId="35933970" w14:textId="4322A04D" w:rsidR="0055291C" w:rsidRDefault="00EE4C88">
      <w:pPr>
        <w:tabs>
          <w:tab w:val="left" w:pos="3993"/>
          <w:tab w:val="left" w:pos="7604"/>
        </w:tabs>
        <w:ind w:left="1465"/>
        <w:rPr>
          <w:sz w:val="18"/>
          <w:lang w:eastAsia="ja-JP"/>
        </w:rPr>
      </w:pPr>
      <w:r>
        <w:rPr>
          <w:rFonts w:ascii="ＭＳ ゴシック" w:eastAsia="ＭＳ ゴシック" w:hAnsi="ＭＳ ゴシック" w:cs="ＭＳ ゴシック" w:hint="eastAsia"/>
          <w:b/>
          <w:color w:val="545456"/>
          <w:sz w:val="18"/>
          <w:lang w:eastAsia="ja-JP"/>
        </w:rPr>
        <w:t>油脂類</w:t>
      </w:r>
      <w:r w:rsidR="00F23C61">
        <w:rPr>
          <w:rFonts w:ascii="Arial"/>
          <w:b/>
          <w:color w:val="545456"/>
          <w:sz w:val="18"/>
          <w:lang w:eastAsia="ja-JP"/>
        </w:rPr>
        <w:tab/>
      </w:r>
      <w:r w:rsidR="00F23C61">
        <w:rPr>
          <w:color w:val="545456"/>
          <w:sz w:val="18"/>
          <w:lang w:eastAsia="ja-JP"/>
        </w:rPr>
        <w:t>150000</w:t>
      </w:r>
      <w:r w:rsidR="00F23C61">
        <w:rPr>
          <w:color w:val="545456"/>
          <w:sz w:val="18"/>
          <w:lang w:eastAsia="ja-JP"/>
        </w:rPr>
        <w:tab/>
        <w:t>2%</w:t>
      </w:r>
    </w:p>
    <w:p w14:paraId="6C0F4A7D" w14:textId="77777777" w:rsidR="0055291C" w:rsidRDefault="0055291C">
      <w:pPr>
        <w:pStyle w:val="a3"/>
        <w:spacing w:before="9"/>
        <w:rPr>
          <w:sz w:val="17"/>
          <w:lang w:eastAsia="ja-JP"/>
        </w:rPr>
      </w:pPr>
    </w:p>
    <w:p w14:paraId="21A97E38" w14:textId="3467CA00" w:rsidR="0055291C" w:rsidRDefault="00EE4C88">
      <w:pPr>
        <w:tabs>
          <w:tab w:val="left" w:pos="3993"/>
          <w:tab w:val="left" w:pos="7604"/>
        </w:tabs>
        <w:ind w:left="1465"/>
        <w:rPr>
          <w:sz w:val="18"/>
          <w:lang w:eastAsia="ja-JP"/>
        </w:rPr>
      </w:pPr>
      <w:r>
        <w:rPr>
          <w:rFonts w:ascii="ＭＳ ゴシック" w:eastAsia="ＭＳ ゴシック" w:hAnsi="ＭＳ ゴシック" w:cs="ＭＳ ゴシック" w:hint="eastAsia"/>
          <w:b/>
          <w:color w:val="545456"/>
          <w:spacing w:val="-1"/>
          <w:sz w:val="18"/>
          <w:lang w:eastAsia="ja-JP"/>
        </w:rPr>
        <w:t>コメ・もみ</w:t>
      </w:r>
      <w:r w:rsidR="00F23C61">
        <w:rPr>
          <w:rFonts w:ascii="Arial"/>
          <w:b/>
          <w:color w:val="545456"/>
          <w:spacing w:val="-1"/>
          <w:sz w:val="18"/>
          <w:lang w:eastAsia="ja-JP"/>
        </w:rPr>
        <w:tab/>
      </w:r>
      <w:r w:rsidR="00F23C61">
        <w:rPr>
          <w:color w:val="545456"/>
          <w:sz w:val="18"/>
          <w:lang w:eastAsia="ja-JP"/>
        </w:rPr>
        <w:t>667656</w:t>
      </w:r>
      <w:r w:rsidR="00F23C61">
        <w:rPr>
          <w:color w:val="545456"/>
          <w:sz w:val="18"/>
          <w:lang w:eastAsia="ja-JP"/>
        </w:rPr>
        <w:tab/>
        <w:t>10%</w:t>
      </w:r>
    </w:p>
    <w:p w14:paraId="7E5BF7E4" w14:textId="77777777" w:rsidR="0055291C" w:rsidRDefault="0055291C">
      <w:pPr>
        <w:pStyle w:val="a3"/>
        <w:spacing w:before="3"/>
        <w:rPr>
          <w:sz w:val="27"/>
          <w:lang w:eastAsia="ja-JP"/>
        </w:rPr>
      </w:pPr>
    </w:p>
    <w:p w14:paraId="2941E5F5" w14:textId="5D528856" w:rsidR="0055291C" w:rsidRDefault="00EE4C88">
      <w:pPr>
        <w:tabs>
          <w:tab w:val="left" w:pos="3993"/>
          <w:tab w:val="left" w:pos="7604"/>
        </w:tabs>
        <w:spacing w:before="1"/>
        <w:ind w:left="1465"/>
        <w:rPr>
          <w:sz w:val="18"/>
        </w:rPr>
      </w:pPr>
      <w:r>
        <w:rPr>
          <w:rFonts w:ascii="ＭＳ ゴシック" w:eastAsia="ＭＳ ゴシック" w:hAnsi="ＭＳ ゴシック" w:cs="ＭＳ ゴシック" w:hint="eastAsia"/>
          <w:b/>
          <w:color w:val="545456"/>
          <w:w w:val="105"/>
          <w:sz w:val="18"/>
          <w:lang w:eastAsia="ja-JP"/>
        </w:rPr>
        <w:t>合計</w:t>
      </w:r>
      <w:r w:rsidR="00F23C61">
        <w:rPr>
          <w:rFonts w:ascii="Arial"/>
          <w:b/>
          <w:color w:val="545456"/>
          <w:w w:val="105"/>
          <w:sz w:val="18"/>
        </w:rPr>
        <w:tab/>
      </w:r>
      <w:r w:rsidR="00F23C61">
        <w:rPr>
          <w:w w:val="105"/>
          <w:sz w:val="18"/>
        </w:rPr>
        <w:t>6478175</w:t>
      </w:r>
      <w:r w:rsidR="00F23C61">
        <w:rPr>
          <w:w w:val="105"/>
          <w:sz w:val="18"/>
        </w:rPr>
        <w:tab/>
        <w:t>100%</w:t>
      </w:r>
    </w:p>
    <w:p w14:paraId="601FB2DB" w14:textId="77777777" w:rsidR="0055291C" w:rsidRDefault="0055291C">
      <w:pPr>
        <w:pStyle w:val="a3"/>
        <w:rPr>
          <w:sz w:val="20"/>
        </w:rPr>
      </w:pPr>
    </w:p>
    <w:p w14:paraId="3B1D6702" w14:textId="77777777" w:rsidR="0055291C" w:rsidRDefault="0055291C">
      <w:pPr>
        <w:pStyle w:val="a3"/>
        <w:spacing w:before="7"/>
        <w:rPr>
          <w:sz w:val="20"/>
        </w:rPr>
      </w:pPr>
    </w:p>
    <w:p w14:paraId="72057D55" w14:textId="59F6051B" w:rsidR="0055291C" w:rsidRDefault="00EE4C88">
      <w:pPr>
        <w:spacing w:before="1"/>
        <w:ind w:left="1355"/>
        <w:rPr>
          <w:sz w:val="16"/>
        </w:rPr>
      </w:pPr>
      <w:r>
        <w:rPr>
          <w:rFonts w:ascii="ＭＳ ゴシック" w:eastAsia="ＭＳ ゴシック" w:hAnsi="ＭＳ ゴシック" w:cs="ＭＳ ゴシック" w:hint="eastAsia"/>
          <w:color w:val="545456"/>
          <w:spacing w:val="-2"/>
          <w:sz w:val="16"/>
          <w:lang w:eastAsia="ja-JP"/>
        </w:rPr>
        <w:t>出典</w:t>
      </w:r>
      <w:r w:rsidR="00F23C61">
        <w:rPr>
          <w:color w:val="545456"/>
          <w:spacing w:val="-2"/>
          <w:sz w:val="16"/>
        </w:rPr>
        <w:t>:</w:t>
      </w:r>
      <w:r w:rsidR="00F23C61">
        <w:rPr>
          <w:color w:val="545456"/>
          <w:spacing w:val="-8"/>
          <w:sz w:val="16"/>
        </w:rPr>
        <w:t xml:space="preserve"> </w:t>
      </w:r>
      <w:r w:rsidR="00F23C61">
        <w:rPr>
          <w:color w:val="545456"/>
          <w:spacing w:val="-2"/>
          <w:sz w:val="16"/>
        </w:rPr>
        <w:t>FAO,</w:t>
      </w:r>
      <w:r w:rsidR="00F23C61">
        <w:rPr>
          <w:color w:val="545456"/>
          <w:spacing w:val="-8"/>
          <w:sz w:val="16"/>
        </w:rPr>
        <w:t xml:space="preserve"> </w:t>
      </w:r>
      <w:r w:rsidR="00F23C61">
        <w:rPr>
          <w:color w:val="545456"/>
          <w:spacing w:val="-2"/>
          <w:sz w:val="16"/>
        </w:rPr>
        <w:t>FAOSTAT</w:t>
      </w:r>
      <w:r>
        <w:rPr>
          <w:rFonts w:ascii="ＭＳ ゴシック" w:eastAsia="ＭＳ ゴシック" w:hAnsi="ＭＳ ゴシック" w:cs="ＭＳ ゴシック" w:hint="eastAsia"/>
          <w:color w:val="545456"/>
          <w:spacing w:val="-2"/>
          <w:sz w:val="16"/>
          <w:lang w:eastAsia="ja-JP"/>
        </w:rPr>
        <w:t>（</w:t>
      </w:r>
      <w:hyperlink r:id="rId360" w:anchor="ancor" w:history="1">
        <w:r w:rsidRPr="00AC56E6">
          <w:rPr>
            <w:rStyle w:val="ac"/>
            <w:spacing w:val="-1"/>
            <w:sz w:val="16"/>
          </w:rPr>
          <w:t>http://faostat.fao.org/site/567/DesktopDefault.aspx?PageID=567#ancor</w:t>
        </w:r>
      </w:hyperlink>
      <w:r>
        <w:rPr>
          <w:rFonts w:ascii="ＭＳ ゴシック" w:eastAsia="ＭＳ ゴシック" w:hAnsi="ＭＳ ゴシック" w:cs="ＭＳ ゴシック" w:hint="eastAsia"/>
          <w:color w:val="545456"/>
          <w:spacing w:val="-1"/>
          <w:sz w:val="16"/>
          <w:lang w:eastAsia="ja-JP"/>
        </w:rPr>
        <w:t>，</w:t>
      </w:r>
      <w:r w:rsidRPr="00EE4C88">
        <w:rPr>
          <w:color w:val="545456"/>
          <w:spacing w:val="-8"/>
          <w:sz w:val="16"/>
        </w:rPr>
        <w:t xml:space="preserve"> </w:t>
      </w:r>
      <w:r w:rsidR="00F23C61">
        <w:rPr>
          <w:color w:val="545456"/>
          <w:spacing w:val="-1"/>
          <w:sz w:val="16"/>
        </w:rPr>
        <w:t>2011.</w:t>
      </w:r>
      <w:r>
        <w:rPr>
          <w:rFonts w:ascii="ＭＳ ゴシック" w:eastAsia="ＭＳ ゴシック" w:hAnsi="ＭＳ ゴシック" w:cs="ＭＳ ゴシック" w:hint="eastAsia"/>
          <w:color w:val="545456"/>
          <w:spacing w:val="-1"/>
          <w:sz w:val="16"/>
          <w:lang w:eastAsia="ja-JP"/>
        </w:rPr>
        <w:t xml:space="preserve">　）</w:t>
      </w:r>
    </w:p>
    <w:p w14:paraId="57A61C44" w14:textId="77777777" w:rsidR="0055291C" w:rsidRDefault="0055291C">
      <w:pPr>
        <w:rPr>
          <w:sz w:val="16"/>
        </w:rPr>
        <w:sectPr w:rsidR="0055291C">
          <w:type w:val="continuous"/>
          <w:pgSz w:w="12240" w:h="15840"/>
          <w:pgMar w:top="740" w:right="0" w:bottom="280" w:left="0" w:header="957" w:footer="859" w:gutter="0"/>
          <w:cols w:space="720"/>
        </w:sectPr>
      </w:pPr>
    </w:p>
    <w:p w14:paraId="1A97363F" w14:textId="77777777" w:rsidR="0055291C" w:rsidRDefault="0055291C">
      <w:pPr>
        <w:pStyle w:val="a3"/>
        <w:rPr>
          <w:sz w:val="20"/>
        </w:rPr>
      </w:pPr>
    </w:p>
    <w:p w14:paraId="3608C4B0" w14:textId="77777777" w:rsidR="0055291C" w:rsidRDefault="0055291C">
      <w:pPr>
        <w:pStyle w:val="a3"/>
        <w:rPr>
          <w:sz w:val="20"/>
        </w:rPr>
      </w:pPr>
    </w:p>
    <w:p w14:paraId="096E5774" w14:textId="77777777" w:rsidR="0055291C" w:rsidRDefault="0055291C">
      <w:pPr>
        <w:pStyle w:val="a3"/>
        <w:rPr>
          <w:sz w:val="20"/>
        </w:rPr>
      </w:pPr>
    </w:p>
    <w:p w14:paraId="691DA380" w14:textId="77777777" w:rsidR="0055291C" w:rsidRDefault="0055291C">
      <w:pPr>
        <w:pStyle w:val="a3"/>
        <w:rPr>
          <w:sz w:val="20"/>
        </w:rPr>
      </w:pPr>
    </w:p>
    <w:p w14:paraId="311665B4" w14:textId="77777777" w:rsidR="0055291C" w:rsidRDefault="0055291C">
      <w:pPr>
        <w:pStyle w:val="a3"/>
        <w:rPr>
          <w:sz w:val="20"/>
        </w:rPr>
      </w:pPr>
    </w:p>
    <w:p w14:paraId="43487C10" w14:textId="77777777" w:rsidR="0055291C" w:rsidRDefault="0055291C">
      <w:pPr>
        <w:pStyle w:val="a3"/>
        <w:rPr>
          <w:sz w:val="20"/>
        </w:rPr>
      </w:pPr>
    </w:p>
    <w:p w14:paraId="4ECC4B34" w14:textId="77777777" w:rsidR="0055291C" w:rsidRDefault="0055291C">
      <w:pPr>
        <w:pStyle w:val="a3"/>
        <w:spacing w:before="1"/>
        <w:rPr>
          <w:sz w:val="29"/>
        </w:rPr>
      </w:pPr>
    </w:p>
    <w:p w14:paraId="0E6DD81E" w14:textId="281861FC" w:rsidR="0055291C" w:rsidRDefault="00000000">
      <w:pPr>
        <w:pStyle w:val="6"/>
        <w:ind w:left="1102"/>
        <w:rPr>
          <w:lang w:eastAsia="ja-JP"/>
        </w:rPr>
      </w:pPr>
      <w:r>
        <w:pict w14:anchorId="49E7CC82">
          <v:shape id="docshape1588" o:spid="_x0000_s2270" style="position:absolute;left:0;text-align:left;margin-left:580.75pt;margin-top:-84.35pt;width:31.3pt;height:285.85pt;z-index:251668992;mso-position-horizontal-relative:page" coordorigin="11615,-1687" coordsize="626,5717" path="m12240,-1687r-625,l11615,3802r3,131l11643,4000r67,25l11842,4029r398,l12240,-1687xe" fillcolor="#00aca1" stroked="f">
            <v:path arrowok="t"/>
            <w10:wrap anchorx="page"/>
          </v:shape>
        </w:pict>
      </w:r>
      <w:r w:rsidR="00F23C61">
        <w:rPr>
          <w:color w:val="00ACA1"/>
          <w:w w:val="95"/>
          <w:lang w:eastAsia="ja-JP"/>
        </w:rPr>
        <w:t>Box</w:t>
      </w:r>
      <w:r w:rsidR="00F23C61">
        <w:rPr>
          <w:color w:val="00ACA1"/>
          <w:spacing w:val="9"/>
          <w:w w:val="95"/>
          <w:lang w:eastAsia="ja-JP"/>
        </w:rPr>
        <w:t xml:space="preserve"> </w:t>
      </w:r>
      <w:r w:rsidR="00F23C61">
        <w:rPr>
          <w:color w:val="00ACA1"/>
          <w:w w:val="95"/>
          <w:lang w:eastAsia="ja-JP"/>
        </w:rPr>
        <w:t>[B.2]</w:t>
      </w:r>
      <w:r w:rsidR="00F23C61">
        <w:rPr>
          <w:color w:val="00ACA1"/>
          <w:spacing w:val="9"/>
          <w:w w:val="95"/>
          <w:lang w:eastAsia="ja-JP"/>
        </w:rPr>
        <w:t xml:space="preserve"> </w:t>
      </w:r>
      <w:r w:rsidR="00EE4C88">
        <w:rPr>
          <w:rFonts w:ascii="ＭＳ 明朝" w:eastAsia="ＭＳ 明朝" w:hAnsi="ＭＳ 明朝" w:cs="ＭＳ 明朝" w:hint="eastAsia"/>
          <w:lang w:eastAsia="ja-JP"/>
        </w:rPr>
        <w:t>特定のデータがない場合の土地利用変化による影響の推計</w:t>
      </w:r>
      <w:r w:rsidR="00F23C61">
        <w:rPr>
          <w:color w:val="545456"/>
          <w:spacing w:val="9"/>
          <w:w w:val="95"/>
          <w:lang w:eastAsia="ja-JP"/>
        </w:rPr>
        <w:t xml:space="preserve"> </w:t>
      </w:r>
      <w:r w:rsidR="00EE4C88">
        <w:rPr>
          <w:rFonts w:ascii="ＭＳ 明朝" w:eastAsia="ＭＳ 明朝" w:hAnsi="ＭＳ 明朝" w:cs="ＭＳ 明朝" w:hint="eastAsia"/>
          <w:color w:val="545456"/>
          <w:w w:val="95"/>
          <w:lang w:eastAsia="ja-JP"/>
        </w:rPr>
        <w:t>（続き）</w:t>
      </w:r>
    </w:p>
    <w:p w14:paraId="2708C2A7" w14:textId="77777777" w:rsidR="0055291C" w:rsidRDefault="0055291C">
      <w:pPr>
        <w:pStyle w:val="a3"/>
        <w:rPr>
          <w:rFonts w:ascii="Arial"/>
          <w:b/>
          <w:sz w:val="20"/>
          <w:lang w:eastAsia="ja-JP"/>
        </w:rPr>
      </w:pPr>
    </w:p>
    <w:p w14:paraId="16204CA6" w14:textId="77777777" w:rsidR="0055291C" w:rsidRDefault="0055291C">
      <w:pPr>
        <w:rPr>
          <w:rFonts w:ascii="Arial"/>
          <w:sz w:val="20"/>
          <w:lang w:eastAsia="ja-JP"/>
        </w:rPr>
        <w:sectPr w:rsidR="0055291C">
          <w:headerReference w:type="even" r:id="rId361"/>
          <w:headerReference w:type="default" r:id="rId362"/>
          <w:footerReference w:type="even" r:id="rId363"/>
          <w:footerReference w:type="default" r:id="rId364"/>
          <w:pgSz w:w="12240" w:h="15840"/>
          <w:pgMar w:top="0" w:right="0" w:bottom="1040" w:left="0" w:header="0" w:footer="859" w:gutter="0"/>
          <w:pgNumType w:start="123"/>
          <w:cols w:space="720"/>
        </w:sectPr>
      </w:pPr>
    </w:p>
    <w:p w14:paraId="702936D2" w14:textId="77777777" w:rsidR="0055291C" w:rsidRDefault="0055291C">
      <w:pPr>
        <w:pStyle w:val="a3"/>
        <w:spacing w:before="9"/>
        <w:rPr>
          <w:rFonts w:ascii="Arial"/>
          <w:b/>
          <w:sz w:val="20"/>
          <w:lang w:eastAsia="ja-JP"/>
        </w:rPr>
      </w:pPr>
    </w:p>
    <w:p w14:paraId="7829112B" w14:textId="0D227DDC" w:rsidR="0055291C" w:rsidRDefault="00000000" w:rsidP="00FC71FE">
      <w:pPr>
        <w:spacing w:before="1" w:line="292" w:lineRule="auto"/>
        <w:ind w:left="2127" w:hanging="821"/>
        <w:rPr>
          <w:rFonts w:ascii="Arial"/>
          <w:b/>
          <w:sz w:val="20"/>
          <w:lang w:eastAsia="ja-JP"/>
        </w:rPr>
      </w:pPr>
      <w:r>
        <w:pict w14:anchorId="5C9D83DF">
          <v:group id="docshapegroup1589" o:spid="_x0000_s2249" style="position:absolute;left:0;text-align:left;margin-left:55.15pt;margin-top:-10.4pt;width:498.65pt;height:566.15pt;z-index:-251537920;mso-position-horizontal-relative:page" coordorigin="1103,-208" coordsize="9973,11323">
            <v:shape id="docshape1590" o:spid="_x0000_s2269" style="position:absolute;left:1102;top:-209;width:9973;height:11323" coordorigin="1103,-208" coordsize="9973,11323" path="m10835,-208r-9492,l1204,-205r-71,27l1106,-107r-3,139l1103,10874r3,139l1133,11084r71,26l1343,11114r9492,l10974,11110r71,-26l11071,11013r4,-139l11075,32r-4,-139l11045,-178r-71,-27l10835,-208xe" fillcolor="#e4f3f1" stroked="f">
              <v:path arrowok="t"/>
            </v:shape>
            <v:line id="_x0000_s2268" style="position:absolute" from="6900,1032" to="10962,1032" strokecolor="#a5a7aa" strokeweight=".5pt"/>
            <v:line id="_x0000_s2267" style="position:absolute" from="6900,1284" to="10962,1284" strokecolor="#a5a7aa" strokeweight=".5pt"/>
            <v:shape id="docshape1591" o:spid="_x0000_s2266" style="position:absolute;left:6899;top:1535;width:4063;height:252" coordorigin="6900,1535" coordsize="4063,252" o:spt="100" adj="0,,0" path="m6900,1535r3335,m10327,1535r101,m10520,1535r101,m10713,1535r101,m10906,1535r56,m6900,1787r2372,m9364,1787r100,m9556,1787r101,m9749,1787r101,m9942,1787r101,m10135,1787r100,m10327,1787r101,m10520,1787r101,m10713,1787r101,m10906,1787r56,e" filled="f" strokecolor="#a5a7aa" strokeweight=".5pt">
              <v:stroke joinstyle="round"/>
              <v:formulas/>
              <v:path arrowok="t" o:connecttype="segments"/>
            </v:shape>
            <v:shape id="docshape1592" o:spid="_x0000_s2265" style="position:absolute;left:6899;top:2034;width:4063;height:5" coordorigin="6900,2035" coordsize="4063,5" o:spt="100" adj="0,,0" path="m6900,2040r1986,m8978,2040r101,m9171,2040r101,m9364,2040r100,m9556,2040r101,m9749,2040r101,m9942,2040r101,m10135,2040r100,m10327,2040r101,m10520,2040r101,m10713,2040r101,m10906,2040r56,m6900,2035r1986,m8978,2035r101,m9171,2035r101,m9364,2035r100,m9556,2035r101,m9749,2035r101,m9942,2035r101,m10135,2035r100,m10327,2035r101,m10520,2035r101,m10713,2035r101,m10906,2035r56,e" filled="f" strokecolor="#a5a7aa" strokeweight=".1378mm">
              <v:stroke joinstyle="round"/>
              <v:formulas/>
              <v:path arrowok="t" o:connecttype="segments"/>
            </v:shape>
            <v:shape id="docshape1593" o:spid="_x0000_s2264" style="position:absolute;left:6899;top:2290;width:4063;height:756" coordorigin="6900,2291" coordsize="4063,756" o:spt="100" adj="0,,0" path="m6900,2291r1023,m8015,2291r100,m8207,2291r101,m8400,2291r101,m8593,2291r101,m8786,2291r100,m8978,2291r101,m9171,2291r101,m9364,2291r100,m9556,2291r101,m9749,2291r101,m9942,2291r101,m10135,2291r100,m10327,2291r101,m10520,2291r101,m10713,2291r101,m10906,2291r56,m6900,2542r59,m7051,2542r101,m7244,2542r100,m7437,2542r100,m7629,2542r101,m7822,2542r101,m8015,2542r100,m8207,2542r101,m8400,2542r101,m8593,2542r101,m8786,2542r100,m8978,2542r101,m9171,2542r101,m9364,2542r100,m9556,2542r101,m9749,2542r101,m9942,2542r101,m10135,2542r100,m10327,2542r101,m10520,2542r101,m10713,2542r101,m10906,2542r56,m6900,2794r59,m7051,2794r101,m7244,2794r100,m7437,2794r100,m7629,2794r101,m7822,2794r101,m8015,2794r100,m8207,2794r101,m8400,2794r101,m8593,2794r101,m8786,2794r100,m8978,2794r101,m9171,2794r101,m9364,2794r100,m9556,2794r101,m9749,2794r101,m9942,2794r101,m10135,2794r100,m10327,2794r101,m10520,2794r101,m10713,2794r101,m10906,2794r56,m6900,3046r59,m7051,3046r101,m7244,3046r100,m7437,3046r100,m7629,3046r101,m7822,3046r101,m8015,3046r100,m8207,3046r101,m8400,3046r101,m8593,3046r101,m8786,3046r100,m8978,3046r101,m9171,3046r101,m9364,3046r100,m9556,3046r101,m9749,3046r101,m9942,3046r101,m10135,3046r100,m10327,3046r101,m10520,3046r101,m10713,3046r101,m10906,3046r56,e" filled="f" strokecolor="#a5a7aa" strokeweight=".5pt">
              <v:stroke joinstyle="round"/>
              <v:formulas/>
              <v:path arrowok="t" o:connecttype="segments"/>
            </v:shape>
            <v:line id="_x0000_s2263" style="position:absolute" from="6905,1027" to="6905,3298" strokecolor="#a5a7aa" strokeweight=".5pt"/>
            <v:line id="_x0000_s2262" style="position:absolute" from="10958,1027" to="10958,3298" strokecolor="#a5a7aa" strokeweight=".5pt"/>
            <v:shape id="docshape1594" o:spid="_x0000_s2261" style="position:absolute;left:6959;top:1321;width:3947;height:1979" coordorigin="6959,1322" coordsize="3947,1979" o:spt="100" adj="0,,0" path="m7051,2507r-92,l6959,3300r92,l7051,2507xm7244,2467r-92,l7152,3300r92,l7244,2467xm7437,2416r-92,l7345,3300r92,l7437,2416xm7629,2365r-92,l7537,3300r92,l7629,2365xm7822,2336r-92,l7730,3300r92,l7822,2336xm8015,2280r-92,l7923,3300r92,l8015,2280xm8207,2212r-92,l8115,3300r92,l8207,2212xm8400,2144r-92,l8308,3300r92,l8400,2144xm8593,2093r-92,l8501,3300r92,l8593,2093xm8786,2036r-92,l8694,3300r92,l8786,2036xm8978,2005r-92,l8886,3300r92,l8978,2005xm9171,1900r-92,l9079,3300r92,l9171,1900xm9364,1736r-92,l9272,3300r92,l9364,1736xm9556,1600r-92,l9464,3300r92,l9556,1600xm9749,1588r-92,l9657,3300r92,l9749,1588xm9942,1645r-92,l9850,3300r92,l9942,1645xm10135,1583r-92,l10043,3300r92,l10135,1583xm10327,1503r-92,l10235,3300r92,l10327,1503xm10520,1435r-92,l10428,3300r92,l10520,1435xm10713,1418r-92,l10621,3300r92,l10713,1418xm10906,1322r-92,l10814,3300r92,l10906,1322xe" fillcolor="#00aca1" stroked="f">
              <v:stroke joinstyle="round"/>
              <v:formulas/>
              <v:path arrowok="t" o:connecttype="segments"/>
            </v:shape>
            <v:line id="_x0000_s2260" style="position:absolute" from="1923,1006" to="5985,1006" strokecolor="#a5a7aa" strokeweight=".5pt"/>
            <v:line id="_x0000_s2259" style="position:absolute" from="1923,1233" to="3138,1233" strokecolor="#a5a7aa" strokeweight=".5pt"/>
            <v:shape id="docshape1595" o:spid="_x0000_s2258" style="position:absolute;left:3230;top:1230;width:2755;height:5" coordorigin="3230,1230" coordsize="2755,5" o:spt="100" adj="0,,0" path="m3230,1235r2755,m3230,1230r2755,e" filled="f" strokecolor="#a5a7aa" strokeweight=".07992mm">
              <v:stroke joinstyle="round"/>
              <v:formulas/>
              <v:path arrowok="t" o:connecttype="segments"/>
            </v:shape>
            <v:shape id="docshape1596" o:spid="_x0000_s2257" style="position:absolute;left:1922;top:1459;width:4063;height:227" coordorigin="1923,1459" coordsize="4063,227" o:spt="100" adj="0,,0" path="m1923,1459r1023,m3038,1459r100,m3230,1459r487,m3809,1459r293,m4194,1459r101,m4387,1459r1598,m1923,1686r445,m2460,1686r100,m2652,1686r294,m3038,1686r100,m3230,1686r294,m3616,1686r101,m3809,1686r293,m4194,1686r101,e" filled="f" strokecolor="#a5a7aa" strokeweight=".5pt">
              <v:stroke joinstyle="round"/>
              <v:formulas/>
              <v:path arrowok="t" o:connecttype="segments"/>
            </v:shape>
            <v:shape id="docshape1597" o:spid="_x0000_s2256" style="position:absolute;left:4386;top:1682;width:1598;height:5" coordorigin="4387,1682" coordsize="1598,5" o:spt="100" adj="0,,0" path="m4387,1687r679,m5158,1687r827,m4387,1682r679,m5158,1682r827,e" filled="f" strokecolor="#a5a7aa" strokeweight=".1213mm">
              <v:stroke joinstyle="round"/>
              <v:formulas/>
              <v:path arrowok="t" o:connecttype="segments"/>
            </v:shape>
            <v:shape id="docshape1598" o:spid="_x0000_s2255" style="position:absolute;left:1922;top:1912;width:4063;height:1133" coordorigin="1923,1912" coordsize="4063,1133" o:spt="100" adj="0,,0" path="m1923,1912r59,m2074,1912r294,m2460,1912r100,m2652,1912r101,m2845,1912r101,m3038,1912r100,m3230,1912r101,m3423,1912r101,m3616,1912r101,m3809,1912r100,m4001,1912r101,m4194,1912r101,m4387,1912r100,m4580,1912r100,m4772,1912r101,m4965,1912r101,m5158,1912r100,m5350,1912r294,m5736,1912r249,m1923,2139r59,m2074,2139r101,m2267,2139r101,m2460,2139r100,m2652,2139r101,m2845,2139r101,m3038,2139r100,m3230,2139r101,m3423,2139r101,m3616,2139r101,m3809,2139r100,m4001,2139r101,m4194,2139r101,m4387,2139r100,m4580,2139r100,m4772,2139r101,m4965,2139r101,m5158,2139r100,m5350,2139r294,m5736,2139r101,m5929,2139r56,m1923,2365r59,m2074,2365r101,m2267,2365r101,m2460,2365r100,m2652,2365r101,m2845,2365r101,m3038,2365r100,m3230,2365r101,m3423,2365r101,m3616,2365r101,m3809,2365r100,m4001,2365r101,m4194,2365r101,m4387,2365r100,m4580,2365r100,m4772,2365r101,m4965,2365r101,m5158,2365r100,m5350,2365r294,m5736,2365r101,m5929,2365r56,m1923,2592r59,m2074,2592r101,m2267,2592r101,m2460,2592r100,m2652,2592r101,m2845,2592r101,m3038,2592r100,m3230,2592r101,m3423,2592r101,m3616,2592r101,m3809,2592r100,m4001,2592r101,m4194,2592r101,m4387,2592r100,m4580,2592r100,m4772,2592r101,m4965,2592r101,m5158,2592r100,m5350,2592r101,m5543,2592r101,m5736,2592r101,m5929,2592r56,m1923,2818r59,m2074,2818r101,m2267,2818r101,m2460,2818r100,m2652,2818r101,m2845,2818r101,m3038,2818r100,m3230,2818r101,m3423,2818r101,m3616,2818r101,m3809,2818r100,m4001,2818r101,m4194,2818r101,m4387,2818r100,m4580,2818r100,m4772,2818r101,m4965,2818r101,m5158,2818r100,m5350,2818r101,m5543,2818r101,m5736,2818r101,m5929,2818r56,m1923,3045r59,m2074,3045r101,m2267,3045r101,m2460,3045r100,m2652,3045r101,m2845,3045r101,m3038,3045r100,m3230,3045r101,m3423,3045r101,m3616,3045r101,m3809,3045r100,m4001,3045r101,m4194,3045r101,m4387,3045r100,m4580,3045r100,m4772,3045r101,m4965,3045r101,m5158,3045r100,m5350,3045r101,m5543,3045r101,m5736,3045r101,m5929,3045r56,e" filled="f" strokecolor="#a5a7aa" strokeweight=".5pt">
              <v:stroke joinstyle="round"/>
              <v:formulas/>
              <v:path arrowok="t" o:connecttype="segments"/>
            </v:shape>
            <v:line id="_x0000_s2254" style="position:absolute" from="1928,1001" to="1928,3271" strokecolor="#a5a7aa" strokeweight=".5pt"/>
            <v:line id="_x0000_s2253" style="position:absolute" from="5981,1001" to="5981,3271" strokecolor="#a5a7aa" strokeweight=".5pt"/>
            <v:shape id="docshape1599" o:spid="_x0000_s2252" style="position:absolute;left:1982;top:1213;width:3947;height:2061" coordorigin="1982,1213" coordsize="3947,2061" o:spt="100" adj="0,,0" path="m2074,1870r-92,l1982,3274r92,l2074,1870xm2267,2041r-92,l2175,3274r92,l2267,2041xm2460,1654r-92,l2368,3274r92,l2460,1654xm2652,1570r-92,l2560,3274r92,l2652,1570xm2845,1834r-92,l2753,3274r92,l2845,1834xm3038,1361r-92,l2946,3274r92,l3038,1361xm3230,1213r-92,l3138,3274r92,l3230,1213xm3423,1834r-92,l3331,3274r92,l3423,1834xm3616,1525r-92,l3524,3274r92,l3616,1525xm3809,1426r-92,l3717,3274r92,l3809,1426xm4001,1800r-92,l3909,3274r92,l4001,1800xm4194,1398r-92,l4102,3274r92,l4194,1398xm4387,1233r-92,l4295,3274r92,l4387,1233xm4580,1817r-93,l4487,3274r93,l4580,1817xm4772,1684r-92,l4680,3274r92,l4772,1684xm4965,1862r-92,l4873,3274r92,l4965,1862xm5158,1663r-92,l5066,3274r92,l5158,1663xm5350,1766r-92,l5258,3274r92,l5350,1766xm5543,2458r-92,l5451,3274r92,l5543,2458xm5736,1820r-92,l5644,3274r92,l5736,1820xm5929,1964r-92,l5837,3274r92,l5929,1964xe" fillcolor="#00aca1" stroked="f">
              <v:stroke joinstyle="round"/>
              <v:formulas/>
              <v:path arrowok="t" o:connecttype="segments"/>
            </v:shape>
            <v:line id="_x0000_s2251" style="position:absolute" from="1923,3271" to="5985,3271" strokecolor="#a5a7aa" strokeweight=".5pt"/>
            <v:line id="_x0000_s2250" style="position:absolute" from="6894,3289" to="10947,3289" strokecolor="#95979a" strokeweight=".5pt"/>
            <w10:wrap anchorx="page"/>
          </v:group>
        </w:pict>
      </w:r>
      <w:r w:rsidR="00EE4C88">
        <w:rPr>
          <w:rFonts w:ascii="ＭＳ ゴシック" w:eastAsia="ＭＳ ゴシック" w:hAnsi="ＭＳ ゴシック" w:cs="ＭＳ ゴシック" w:hint="eastAsia"/>
          <w:b/>
          <w:color w:val="00ACA1"/>
          <w:sz w:val="20"/>
          <w:lang w:eastAsia="ja-JP"/>
        </w:rPr>
        <w:t>図</w:t>
      </w:r>
      <w:r w:rsidR="00F23C61">
        <w:rPr>
          <w:rFonts w:ascii="Arial"/>
          <w:b/>
          <w:color w:val="00ACA1"/>
          <w:sz w:val="20"/>
          <w:lang w:eastAsia="ja-JP"/>
        </w:rPr>
        <w:t xml:space="preserve"> [B.3] </w:t>
      </w:r>
      <w:r w:rsidR="00EE4C88" w:rsidRPr="00FC71FE">
        <w:rPr>
          <w:sz w:val="19"/>
          <w:szCs w:val="19"/>
          <w:lang w:eastAsia="ja-JP"/>
        </w:rPr>
        <w:t>1988</w:t>
      </w:r>
      <w:r w:rsidR="00EE4C88" w:rsidRPr="00FC71FE">
        <w:rPr>
          <w:rFonts w:ascii="ＭＳ ゴシック" w:eastAsia="ＭＳ ゴシック" w:hAnsi="ＭＳ ゴシック" w:cs="ＭＳ ゴシック" w:hint="eastAsia"/>
          <w:sz w:val="19"/>
          <w:szCs w:val="19"/>
          <w:lang w:eastAsia="ja-JP"/>
        </w:rPr>
        <w:t>年から</w:t>
      </w:r>
      <w:r w:rsidR="00EE4C88" w:rsidRPr="00FC71FE">
        <w:rPr>
          <w:sz w:val="19"/>
          <w:szCs w:val="19"/>
          <w:lang w:eastAsia="ja-JP"/>
        </w:rPr>
        <w:t>2008</w:t>
      </w:r>
      <w:r w:rsidR="00EE4C88" w:rsidRPr="00FC71FE">
        <w:rPr>
          <w:rFonts w:ascii="ＭＳ ゴシック" w:eastAsia="ＭＳ ゴシック" w:hAnsi="ＭＳ ゴシック" w:cs="ＭＳ ゴシック" w:hint="eastAsia"/>
          <w:sz w:val="19"/>
          <w:szCs w:val="19"/>
          <w:lang w:eastAsia="ja-JP"/>
        </w:rPr>
        <w:t>年までのマレーシアの</w:t>
      </w:r>
      <w:r w:rsidR="008956AA">
        <w:rPr>
          <w:rFonts w:ascii="ＭＳ ゴシック" w:eastAsia="ＭＳ ゴシック" w:hAnsi="ＭＳ ゴシック" w:cs="ＭＳ ゴシック" w:hint="eastAsia"/>
          <w:sz w:val="19"/>
          <w:szCs w:val="19"/>
          <w:lang w:eastAsia="ja-JP"/>
        </w:rPr>
        <w:t>コメ</w:t>
      </w:r>
      <w:r w:rsidR="00EE4C88" w:rsidRPr="00FC71FE">
        <w:rPr>
          <w:rFonts w:ascii="ＭＳ ゴシック" w:eastAsia="ＭＳ ゴシック" w:hAnsi="ＭＳ ゴシック" w:cs="ＭＳ ゴシック" w:hint="eastAsia"/>
          <w:sz w:val="19"/>
          <w:szCs w:val="19"/>
          <w:lang w:eastAsia="ja-JP"/>
        </w:rPr>
        <w:t>生産における収穫面積（</w:t>
      </w:r>
      <w:r w:rsidR="00EE4C88" w:rsidRPr="00FC71FE">
        <w:rPr>
          <w:sz w:val="19"/>
          <w:szCs w:val="19"/>
          <w:lang w:eastAsia="ja-JP"/>
        </w:rPr>
        <w:t>1000ha</w:t>
      </w:r>
      <w:r w:rsidR="00EE4C88" w:rsidRPr="00FC71FE">
        <w:rPr>
          <w:rFonts w:ascii="ＭＳ ゴシック" w:eastAsia="ＭＳ ゴシック" w:hAnsi="ＭＳ ゴシック" w:cs="ＭＳ ゴシック" w:hint="eastAsia"/>
          <w:sz w:val="19"/>
          <w:szCs w:val="19"/>
          <w:lang w:eastAsia="ja-JP"/>
        </w:rPr>
        <w:t>）</w:t>
      </w:r>
    </w:p>
    <w:p w14:paraId="5A849AA0" w14:textId="77777777" w:rsidR="0055291C" w:rsidRDefault="00F23C61">
      <w:pPr>
        <w:spacing w:before="36"/>
        <w:ind w:left="1515"/>
        <w:rPr>
          <w:rFonts w:ascii="Arial"/>
          <w:b/>
          <w:i/>
          <w:sz w:val="18"/>
          <w:lang w:eastAsia="ja-JP"/>
        </w:rPr>
      </w:pPr>
      <w:r>
        <w:rPr>
          <w:rFonts w:ascii="Arial"/>
          <w:b/>
          <w:i/>
          <w:color w:val="545456"/>
          <w:sz w:val="18"/>
          <w:lang w:eastAsia="ja-JP"/>
        </w:rPr>
        <w:t>710</w:t>
      </w:r>
    </w:p>
    <w:p w14:paraId="2C2CDDA5" w14:textId="77777777" w:rsidR="0055291C" w:rsidRDefault="00000000">
      <w:pPr>
        <w:spacing w:before="23"/>
        <w:ind w:left="1515"/>
        <w:rPr>
          <w:rFonts w:ascii="Arial"/>
          <w:b/>
          <w:i/>
          <w:sz w:val="18"/>
          <w:lang w:eastAsia="ja-JP"/>
        </w:rPr>
      </w:pPr>
      <w:r>
        <w:pict w14:anchorId="21D8EA64">
          <v:shape id="docshape1600" o:spid="_x0000_s2248" type="#_x0000_t202" style="position:absolute;left:0;text-align:left;margin-left:58.45pt;margin-top:2.1pt;width:11pt;height:95pt;z-index:251670016;mso-position-horizontal-relative:page" filled="f" stroked="f">
            <v:textbox style="layout-flow:vertical;mso-layout-flow-alt:bottom-to-top" inset="0,0,0,0">
              <w:txbxContent>
                <w:p w14:paraId="1495AE9D" w14:textId="570E54FB" w:rsidR="0055291C" w:rsidRDefault="00FC71FE">
                  <w:pPr>
                    <w:spacing w:before="19"/>
                    <w:ind w:left="20"/>
                    <w:rPr>
                      <w:rFonts w:ascii="Arial"/>
                      <w:b/>
                      <w:sz w:val="16"/>
                    </w:rPr>
                  </w:pPr>
                  <w:r>
                    <w:rPr>
                      <w:rFonts w:ascii="ＭＳ ゴシック" w:eastAsia="ＭＳ ゴシック" w:hAnsi="ＭＳ ゴシック" w:cs="ＭＳ ゴシック" w:hint="eastAsia"/>
                      <w:b/>
                      <w:color w:val="545456"/>
                      <w:sz w:val="16"/>
                      <w:lang w:eastAsia="ja-JP"/>
                    </w:rPr>
                    <w:t>収穫面積</w:t>
                  </w:r>
                  <w:r w:rsidR="00F23C61">
                    <w:rPr>
                      <w:rFonts w:ascii="Arial"/>
                      <w:b/>
                      <w:color w:val="545456"/>
                      <w:spacing w:val="-5"/>
                      <w:sz w:val="16"/>
                    </w:rPr>
                    <w:t xml:space="preserve"> </w:t>
                  </w:r>
                  <w:r w:rsidR="00F23C61">
                    <w:rPr>
                      <w:rFonts w:ascii="Arial"/>
                      <w:b/>
                      <w:color w:val="545456"/>
                      <w:sz w:val="16"/>
                    </w:rPr>
                    <w:t>(1000</w:t>
                  </w:r>
                  <w:r w:rsidR="00F23C61">
                    <w:rPr>
                      <w:rFonts w:ascii="Arial"/>
                      <w:b/>
                      <w:color w:val="545456"/>
                      <w:spacing w:val="-5"/>
                      <w:sz w:val="16"/>
                    </w:rPr>
                    <w:t xml:space="preserve"> </w:t>
                  </w:r>
                  <w:r w:rsidR="00F23C61">
                    <w:rPr>
                      <w:rFonts w:ascii="Arial"/>
                      <w:b/>
                      <w:color w:val="545456"/>
                      <w:sz w:val="16"/>
                    </w:rPr>
                    <w:t>ha)</w:t>
                  </w:r>
                </w:p>
              </w:txbxContent>
            </v:textbox>
            <w10:wrap anchorx="page"/>
          </v:shape>
        </w:pict>
      </w:r>
      <w:r w:rsidR="00F23C61">
        <w:rPr>
          <w:rFonts w:ascii="Arial"/>
          <w:b/>
          <w:i/>
          <w:color w:val="545456"/>
          <w:sz w:val="18"/>
          <w:lang w:eastAsia="ja-JP"/>
        </w:rPr>
        <w:t>700</w:t>
      </w:r>
    </w:p>
    <w:p w14:paraId="503FBD89" w14:textId="77777777" w:rsidR="0055291C" w:rsidRDefault="00F23C61">
      <w:pPr>
        <w:spacing w:before="23"/>
        <w:ind w:left="1515"/>
        <w:rPr>
          <w:rFonts w:ascii="Arial"/>
          <w:b/>
          <w:i/>
          <w:sz w:val="18"/>
          <w:lang w:eastAsia="ja-JP"/>
        </w:rPr>
      </w:pPr>
      <w:r>
        <w:rPr>
          <w:rFonts w:ascii="Arial"/>
          <w:b/>
          <w:i/>
          <w:color w:val="545456"/>
          <w:sz w:val="18"/>
          <w:lang w:eastAsia="ja-JP"/>
        </w:rPr>
        <w:t>690</w:t>
      </w:r>
    </w:p>
    <w:p w14:paraId="38570C42" w14:textId="77777777" w:rsidR="0055291C" w:rsidRDefault="00F23C61">
      <w:pPr>
        <w:spacing w:before="23"/>
        <w:ind w:left="1515"/>
        <w:rPr>
          <w:rFonts w:ascii="Arial"/>
          <w:b/>
          <w:i/>
          <w:sz w:val="18"/>
          <w:lang w:eastAsia="ja-JP"/>
        </w:rPr>
      </w:pPr>
      <w:r>
        <w:rPr>
          <w:rFonts w:ascii="Arial"/>
          <w:b/>
          <w:i/>
          <w:color w:val="545456"/>
          <w:sz w:val="18"/>
          <w:lang w:eastAsia="ja-JP"/>
        </w:rPr>
        <w:t>680</w:t>
      </w:r>
    </w:p>
    <w:p w14:paraId="7E7E117F" w14:textId="77777777" w:rsidR="0055291C" w:rsidRDefault="00F23C61">
      <w:pPr>
        <w:spacing w:before="23"/>
        <w:ind w:left="1515"/>
        <w:rPr>
          <w:rFonts w:ascii="Arial"/>
          <w:b/>
          <w:i/>
          <w:sz w:val="18"/>
          <w:lang w:eastAsia="ja-JP"/>
        </w:rPr>
      </w:pPr>
      <w:r>
        <w:rPr>
          <w:rFonts w:ascii="Arial"/>
          <w:b/>
          <w:i/>
          <w:color w:val="545456"/>
          <w:sz w:val="18"/>
          <w:lang w:eastAsia="ja-JP"/>
        </w:rPr>
        <w:t>670</w:t>
      </w:r>
    </w:p>
    <w:p w14:paraId="457226F4" w14:textId="77777777" w:rsidR="0055291C" w:rsidRDefault="00F23C61">
      <w:pPr>
        <w:spacing w:before="23"/>
        <w:ind w:left="1515"/>
        <w:rPr>
          <w:rFonts w:ascii="Arial"/>
          <w:b/>
          <w:i/>
          <w:sz w:val="18"/>
          <w:lang w:eastAsia="ja-JP"/>
        </w:rPr>
      </w:pPr>
      <w:r>
        <w:rPr>
          <w:rFonts w:ascii="Arial"/>
          <w:b/>
          <w:i/>
          <w:color w:val="545456"/>
          <w:sz w:val="18"/>
          <w:lang w:eastAsia="ja-JP"/>
        </w:rPr>
        <w:t>660</w:t>
      </w:r>
    </w:p>
    <w:p w14:paraId="474D352F" w14:textId="77777777" w:rsidR="0055291C" w:rsidRDefault="00F23C61">
      <w:pPr>
        <w:spacing w:before="23"/>
        <w:ind w:left="1515"/>
        <w:rPr>
          <w:rFonts w:ascii="Arial"/>
          <w:b/>
          <w:i/>
          <w:sz w:val="18"/>
          <w:lang w:eastAsia="ja-JP"/>
        </w:rPr>
      </w:pPr>
      <w:r>
        <w:rPr>
          <w:rFonts w:ascii="Arial"/>
          <w:b/>
          <w:i/>
          <w:color w:val="545456"/>
          <w:sz w:val="18"/>
          <w:lang w:eastAsia="ja-JP"/>
        </w:rPr>
        <w:t>650</w:t>
      </w:r>
    </w:p>
    <w:p w14:paraId="77FE1E0B" w14:textId="77777777" w:rsidR="0055291C" w:rsidRDefault="00F23C61">
      <w:pPr>
        <w:spacing w:before="23"/>
        <w:ind w:left="1515"/>
        <w:rPr>
          <w:rFonts w:ascii="Arial"/>
          <w:b/>
          <w:i/>
          <w:sz w:val="18"/>
          <w:lang w:eastAsia="ja-JP"/>
        </w:rPr>
      </w:pPr>
      <w:r>
        <w:rPr>
          <w:rFonts w:ascii="Arial"/>
          <w:b/>
          <w:i/>
          <w:color w:val="545456"/>
          <w:sz w:val="18"/>
          <w:lang w:eastAsia="ja-JP"/>
        </w:rPr>
        <w:t>640</w:t>
      </w:r>
    </w:p>
    <w:p w14:paraId="6AD38142" w14:textId="77777777" w:rsidR="0055291C" w:rsidRDefault="00F23C61">
      <w:pPr>
        <w:spacing w:before="23"/>
        <w:ind w:left="1515"/>
        <w:rPr>
          <w:rFonts w:ascii="Arial"/>
          <w:b/>
          <w:i/>
          <w:sz w:val="18"/>
          <w:lang w:eastAsia="ja-JP"/>
        </w:rPr>
      </w:pPr>
      <w:r>
        <w:rPr>
          <w:rFonts w:ascii="Arial"/>
          <w:b/>
          <w:i/>
          <w:color w:val="545456"/>
          <w:sz w:val="18"/>
          <w:lang w:eastAsia="ja-JP"/>
        </w:rPr>
        <w:t>630</w:t>
      </w:r>
    </w:p>
    <w:p w14:paraId="4F12A528" w14:textId="77777777" w:rsidR="0055291C" w:rsidRDefault="00F23C61">
      <w:pPr>
        <w:spacing w:before="23"/>
        <w:ind w:left="1515"/>
        <w:rPr>
          <w:rFonts w:ascii="Arial"/>
          <w:b/>
          <w:i/>
          <w:sz w:val="18"/>
          <w:lang w:eastAsia="ja-JP"/>
        </w:rPr>
      </w:pPr>
      <w:r>
        <w:rPr>
          <w:rFonts w:ascii="Arial"/>
          <w:b/>
          <w:i/>
          <w:color w:val="545456"/>
          <w:sz w:val="18"/>
          <w:lang w:eastAsia="ja-JP"/>
        </w:rPr>
        <w:t>620</w:t>
      </w:r>
    </w:p>
    <w:p w14:paraId="1956C3D4" w14:textId="77777777" w:rsidR="0055291C" w:rsidRDefault="00000000">
      <w:pPr>
        <w:spacing w:before="23"/>
        <w:ind w:left="1515"/>
        <w:rPr>
          <w:rFonts w:ascii="Arial"/>
          <w:b/>
          <w:i/>
          <w:sz w:val="18"/>
          <w:lang w:eastAsia="ja-JP"/>
        </w:rPr>
      </w:pPr>
      <w:r>
        <w:pict w14:anchorId="19A4B2C8">
          <v:shape id="docshape1601" o:spid="_x0000_s2247" type="#_x0000_t202" style="position:absolute;left:0;text-align:left;margin-left:116.25pt;margin-top:7.5pt;width:8.75pt;height:15.4pt;z-index:251671040;mso-position-horizontal-relative:page" filled="f" stroked="f">
            <v:textbox style="layout-flow:vertical;mso-layout-flow-alt:bottom-to-top" inset="0,0,0,0">
              <w:txbxContent>
                <w:p w14:paraId="54544999" w14:textId="77777777" w:rsidR="0055291C" w:rsidRDefault="00F23C61">
                  <w:pPr>
                    <w:spacing w:before="19"/>
                    <w:ind w:left="20"/>
                    <w:rPr>
                      <w:rFonts w:ascii="Arial"/>
                      <w:b/>
                      <w:i/>
                      <w:sz w:val="12"/>
                    </w:rPr>
                  </w:pPr>
                  <w:r>
                    <w:rPr>
                      <w:rFonts w:ascii="Arial"/>
                      <w:b/>
                      <w:i/>
                      <w:color w:val="545456"/>
                      <w:sz w:val="12"/>
                    </w:rPr>
                    <w:t>1990</w:t>
                  </w:r>
                </w:p>
              </w:txbxContent>
            </v:textbox>
            <w10:wrap anchorx="page"/>
          </v:shape>
        </w:pict>
      </w:r>
      <w:r>
        <w:pict w14:anchorId="5E6B5BD3">
          <v:shape id="docshape1602" o:spid="_x0000_s2246" type="#_x0000_t202" style="position:absolute;left:0;text-align:left;margin-left:164.8pt;margin-top:7.5pt;width:8.75pt;height:15.4pt;z-index:251672064;mso-position-horizontal-relative:page" filled="f" stroked="f">
            <v:textbox style="layout-flow:vertical;mso-layout-flow-alt:bottom-to-top" inset="0,0,0,0">
              <w:txbxContent>
                <w:p w14:paraId="2F2B6C39" w14:textId="77777777" w:rsidR="0055291C" w:rsidRDefault="00F23C61">
                  <w:pPr>
                    <w:spacing w:before="19"/>
                    <w:ind w:left="20"/>
                    <w:rPr>
                      <w:rFonts w:ascii="Arial"/>
                      <w:b/>
                      <w:i/>
                      <w:sz w:val="12"/>
                    </w:rPr>
                  </w:pPr>
                  <w:r>
                    <w:rPr>
                      <w:rFonts w:ascii="Arial"/>
                      <w:b/>
                      <w:i/>
                      <w:color w:val="545456"/>
                      <w:sz w:val="12"/>
                    </w:rPr>
                    <w:t>1995</w:t>
                  </w:r>
                </w:p>
              </w:txbxContent>
            </v:textbox>
            <w10:wrap anchorx="page"/>
          </v:shape>
        </w:pict>
      </w:r>
      <w:r>
        <w:pict w14:anchorId="57AE9E32">
          <v:shape id="docshape1603" o:spid="_x0000_s2245" type="#_x0000_t202" style="position:absolute;left:0;text-align:left;margin-left:212.7pt;margin-top:7.5pt;width:8.75pt;height:15.4pt;z-index:251673088;mso-position-horizontal-relative:page" filled="f" stroked="f">
            <v:textbox style="layout-flow:vertical;mso-layout-flow-alt:bottom-to-top" inset="0,0,0,0">
              <w:txbxContent>
                <w:p w14:paraId="4B5383DE" w14:textId="77777777" w:rsidR="0055291C" w:rsidRDefault="00F23C61">
                  <w:pPr>
                    <w:spacing w:before="19"/>
                    <w:ind w:left="20"/>
                    <w:rPr>
                      <w:rFonts w:ascii="Arial"/>
                      <w:b/>
                      <w:i/>
                      <w:sz w:val="12"/>
                    </w:rPr>
                  </w:pPr>
                  <w:r>
                    <w:rPr>
                      <w:rFonts w:ascii="Arial"/>
                      <w:b/>
                      <w:i/>
                      <w:color w:val="545456"/>
                      <w:sz w:val="12"/>
                    </w:rPr>
                    <w:t>2000</w:t>
                  </w:r>
                </w:p>
              </w:txbxContent>
            </v:textbox>
            <w10:wrap anchorx="page"/>
          </v:shape>
        </w:pict>
      </w:r>
      <w:r>
        <w:pict w14:anchorId="60F7B742">
          <v:shape id="docshape1604" o:spid="_x0000_s2244" type="#_x0000_t202" style="position:absolute;left:0;text-align:left;margin-left:260.6pt;margin-top:7.5pt;width:8.75pt;height:15.4pt;z-index:251674112;mso-position-horizontal-relative:page" filled="f" stroked="f">
            <v:textbox style="layout-flow:vertical;mso-layout-flow-alt:bottom-to-top" inset="0,0,0,0">
              <w:txbxContent>
                <w:p w14:paraId="5B69BBEB" w14:textId="77777777" w:rsidR="0055291C" w:rsidRDefault="00F23C61">
                  <w:pPr>
                    <w:spacing w:before="19"/>
                    <w:ind w:left="20"/>
                    <w:rPr>
                      <w:rFonts w:ascii="Arial"/>
                      <w:b/>
                      <w:i/>
                      <w:sz w:val="12"/>
                    </w:rPr>
                  </w:pPr>
                  <w:r>
                    <w:rPr>
                      <w:rFonts w:ascii="Arial"/>
                      <w:b/>
                      <w:i/>
                      <w:color w:val="545456"/>
                      <w:sz w:val="12"/>
                    </w:rPr>
                    <w:t>2005</w:t>
                  </w:r>
                </w:p>
              </w:txbxContent>
            </v:textbox>
            <w10:wrap anchorx="page"/>
          </v:shape>
        </w:pict>
      </w:r>
      <w:r w:rsidR="00F23C61">
        <w:rPr>
          <w:rFonts w:ascii="Arial"/>
          <w:b/>
          <w:i/>
          <w:color w:val="545456"/>
          <w:sz w:val="18"/>
          <w:lang w:eastAsia="ja-JP"/>
        </w:rPr>
        <w:t>610</w:t>
      </w:r>
    </w:p>
    <w:p w14:paraId="30A35CC1" w14:textId="77777777" w:rsidR="0055291C" w:rsidRDefault="00F23C61">
      <w:pPr>
        <w:spacing w:before="9"/>
        <w:rPr>
          <w:rFonts w:ascii="Arial"/>
          <w:b/>
          <w:i/>
          <w:sz w:val="20"/>
          <w:lang w:eastAsia="ja-JP"/>
        </w:rPr>
      </w:pPr>
      <w:r>
        <w:rPr>
          <w:lang w:eastAsia="ja-JP"/>
        </w:rPr>
        <w:br w:type="column"/>
      </w:r>
    </w:p>
    <w:p w14:paraId="062A2F8F" w14:textId="22722250" w:rsidR="0055291C" w:rsidRDefault="00EE4C88" w:rsidP="00FC71FE">
      <w:pPr>
        <w:pStyle w:val="6"/>
        <w:spacing w:before="1" w:line="292" w:lineRule="auto"/>
        <w:ind w:left="993" w:right="1319" w:hanging="709"/>
        <w:rPr>
          <w:lang w:eastAsia="ja-JP"/>
        </w:rPr>
      </w:pPr>
      <w:r>
        <w:rPr>
          <w:rFonts w:ascii="ＭＳ 明朝" w:eastAsia="ＭＳ 明朝" w:hAnsi="ＭＳ 明朝" w:cs="ＭＳ 明朝" w:hint="eastAsia"/>
          <w:color w:val="00ACA1"/>
          <w:spacing w:val="-1"/>
          <w:lang w:eastAsia="ja-JP"/>
        </w:rPr>
        <w:t>図</w:t>
      </w:r>
      <w:r w:rsidR="00F23C61">
        <w:rPr>
          <w:color w:val="00ACA1"/>
          <w:spacing w:val="-1"/>
          <w:lang w:eastAsia="ja-JP"/>
        </w:rPr>
        <w:t>[B.4]</w:t>
      </w:r>
      <w:r w:rsidR="00F23C61">
        <w:rPr>
          <w:color w:val="00ACA1"/>
          <w:spacing w:val="-13"/>
          <w:lang w:eastAsia="ja-JP"/>
        </w:rPr>
        <w:t xml:space="preserve"> </w:t>
      </w:r>
      <w:r w:rsidR="00FC71FE" w:rsidRPr="00FC71FE">
        <w:rPr>
          <w:sz w:val="19"/>
          <w:szCs w:val="19"/>
          <w:lang w:eastAsia="ja-JP"/>
        </w:rPr>
        <w:t>1988</w:t>
      </w:r>
      <w:r w:rsidR="00FC71FE" w:rsidRPr="00FC71FE">
        <w:rPr>
          <w:rFonts w:ascii="ＭＳ 明朝" w:eastAsia="ＭＳ 明朝" w:hAnsi="ＭＳ 明朝" w:cs="ＭＳ 明朝" w:hint="eastAsia"/>
          <w:sz w:val="19"/>
          <w:szCs w:val="19"/>
          <w:lang w:eastAsia="ja-JP"/>
        </w:rPr>
        <w:t>年から</w:t>
      </w:r>
      <w:r w:rsidR="00FC71FE" w:rsidRPr="00FC71FE">
        <w:rPr>
          <w:sz w:val="19"/>
          <w:szCs w:val="19"/>
          <w:lang w:eastAsia="ja-JP"/>
        </w:rPr>
        <w:t>2008</w:t>
      </w:r>
      <w:r w:rsidR="00FC71FE" w:rsidRPr="00FC71FE">
        <w:rPr>
          <w:rFonts w:ascii="ＭＳ 明朝" w:eastAsia="ＭＳ 明朝" w:hAnsi="ＭＳ 明朝" w:cs="ＭＳ 明朝" w:hint="eastAsia"/>
          <w:sz w:val="19"/>
          <w:szCs w:val="19"/>
          <w:lang w:eastAsia="ja-JP"/>
        </w:rPr>
        <w:t>年までのマレーシアにおける</w:t>
      </w:r>
      <w:r w:rsidR="00FC71FE" w:rsidRPr="00FC71FE">
        <w:rPr>
          <w:sz w:val="19"/>
          <w:szCs w:val="19"/>
          <w:lang w:eastAsia="ja-JP"/>
        </w:rPr>
        <w:t xml:space="preserve"> </w:t>
      </w:r>
      <w:r w:rsidR="00FC71FE" w:rsidRPr="00FC71FE">
        <w:rPr>
          <w:rFonts w:ascii="ＭＳ 明朝" w:eastAsia="ＭＳ 明朝" w:hAnsi="ＭＳ 明朝" w:cs="ＭＳ 明朝" w:hint="eastAsia"/>
          <w:sz w:val="19"/>
          <w:szCs w:val="19"/>
          <w:lang w:eastAsia="ja-JP"/>
        </w:rPr>
        <w:t>アブラヤシ果実生産の収穫面積（</w:t>
      </w:r>
      <w:r w:rsidR="00FC71FE" w:rsidRPr="00FC71FE">
        <w:rPr>
          <w:sz w:val="19"/>
          <w:szCs w:val="19"/>
          <w:lang w:eastAsia="ja-JP"/>
        </w:rPr>
        <w:t>1000ha</w:t>
      </w:r>
      <w:r w:rsidR="00FC71FE" w:rsidRPr="00FC71FE">
        <w:rPr>
          <w:rFonts w:ascii="ＭＳ 明朝" w:eastAsia="ＭＳ 明朝" w:hAnsi="ＭＳ 明朝" w:cs="ＭＳ 明朝" w:hint="eastAsia"/>
          <w:sz w:val="19"/>
          <w:szCs w:val="19"/>
          <w:lang w:eastAsia="ja-JP"/>
        </w:rPr>
        <w:t>）</w:t>
      </w:r>
    </w:p>
    <w:p w14:paraId="1B6F3374" w14:textId="77777777" w:rsidR="0055291C" w:rsidRDefault="00000000">
      <w:pPr>
        <w:spacing w:before="91"/>
        <w:ind w:right="5382"/>
        <w:jc w:val="right"/>
        <w:rPr>
          <w:rFonts w:ascii="Arial"/>
          <w:b/>
          <w:i/>
          <w:sz w:val="18"/>
        </w:rPr>
      </w:pPr>
      <w:r>
        <w:pict w14:anchorId="1A3E49AD">
          <v:shape id="docshape1605" o:spid="_x0000_s2243" type="#_x0000_t202" style="position:absolute;left:0;text-align:left;margin-left:309.35pt;margin-top:14.3pt;width:11pt;height:95pt;z-index:251675136;mso-position-horizontal-relative:page" filled="f" stroked="f">
            <v:textbox style="layout-flow:vertical;mso-layout-flow-alt:bottom-to-top" inset="0,0,0,0">
              <w:txbxContent>
                <w:p w14:paraId="7AE9E958" w14:textId="045A0BE5" w:rsidR="0055291C" w:rsidRDefault="00FC71FE">
                  <w:pPr>
                    <w:spacing w:before="19"/>
                    <w:ind w:left="20"/>
                    <w:rPr>
                      <w:rFonts w:ascii="Arial"/>
                      <w:b/>
                      <w:sz w:val="16"/>
                    </w:rPr>
                  </w:pPr>
                  <w:r>
                    <w:rPr>
                      <w:rFonts w:ascii="ＭＳ ゴシック" w:eastAsia="ＭＳ ゴシック" w:hAnsi="ＭＳ ゴシック" w:cs="ＭＳ ゴシック" w:hint="eastAsia"/>
                      <w:b/>
                      <w:color w:val="545456"/>
                      <w:sz w:val="16"/>
                      <w:lang w:eastAsia="ja-JP"/>
                    </w:rPr>
                    <w:t>収穫面積</w:t>
                  </w:r>
                  <w:r w:rsidR="00F23C61">
                    <w:rPr>
                      <w:rFonts w:ascii="Arial"/>
                      <w:b/>
                      <w:color w:val="545456"/>
                      <w:spacing w:val="-5"/>
                      <w:sz w:val="16"/>
                    </w:rPr>
                    <w:t xml:space="preserve"> </w:t>
                  </w:r>
                  <w:r w:rsidR="00F23C61">
                    <w:rPr>
                      <w:rFonts w:ascii="Arial"/>
                      <w:b/>
                      <w:color w:val="545456"/>
                      <w:sz w:val="16"/>
                    </w:rPr>
                    <w:t>(1000</w:t>
                  </w:r>
                  <w:r w:rsidR="00F23C61">
                    <w:rPr>
                      <w:rFonts w:ascii="Arial"/>
                      <w:b/>
                      <w:color w:val="545456"/>
                      <w:spacing w:val="-5"/>
                      <w:sz w:val="16"/>
                    </w:rPr>
                    <w:t xml:space="preserve"> </w:t>
                  </w:r>
                  <w:r w:rsidR="00F23C61">
                    <w:rPr>
                      <w:rFonts w:ascii="Arial"/>
                      <w:b/>
                      <w:color w:val="545456"/>
                      <w:sz w:val="16"/>
                    </w:rPr>
                    <w:t>ha)</w:t>
                  </w:r>
                </w:p>
              </w:txbxContent>
            </v:textbox>
            <w10:wrap anchorx="page"/>
          </v:shape>
        </w:pict>
      </w:r>
      <w:r w:rsidR="00F23C61">
        <w:rPr>
          <w:rFonts w:ascii="Arial"/>
          <w:b/>
          <w:i/>
          <w:color w:val="545456"/>
          <w:sz w:val="18"/>
        </w:rPr>
        <w:t>4500</w:t>
      </w:r>
    </w:p>
    <w:p w14:paraId="1415ACF4" w14:textId="77777777" w:rsidR="0055291C" w:rsidRDefault="00F23C61">
      <w:pPr>
        <w:spacing w:before="43"/>
        <w:ind w:right="5382"/>
        <w:jc w:val="right"/>
        <w:rPr>
          <w:rFonts w:ascii="Arial"/>
          <w:b/>
          <w:i/>
          <w:sz w:val="18"/>
        </w:rPr>
      </w:pPr>
      <w:r>
        <w:rPr>
          <w:rFonts w:ascii="Arial"/>
          <w:b/>
          <w:i/>
          <w:color w:val="545456"/>
          <w:sz w:val="18"/>
        </w:rPr>
        <w:t>4000</w:t>
      </w:r>
    </w:p>
    <w:p w14:paraId="1E98CEE1" w14:textId="77777777" w:rsidR="0055291C" w:rsidRDefault="00F23C61">
      <w:pPr>
        <w:spacing w:before="43"/>
        <w:ind w:right="5382"/>
        <w:jc w:val="right"/>
        <w:rPr>
          <w:rFonts w:ascii="Arial"/>
          <w:b/>
          <w:i/>
          <w:sz w:val="18"/>
        </w:rPr>
      </w:pPr>
      <w:r>
        <w:rPr>
          <w:rFonts w:ascii="Arial"/>
          <w:b/>
          <w:i/>
          <w:color w:val="545456"/>
          <w:sz w:val="18"/>
        </w:rPr>
        <w:t>3500</w:t>
      </w:r>
    </w:p>
    <w:p w14:paraId="67455717" w14:textId="77777777" w:rsidR="0055291C" w:rsidRDefault="00F23C61">
      <w:pPr>
        <w:spacing w:before="43"/>
        <w:ind w:right="5382"/>
        <w:jc w:val="right"/>
        <w:rPr>
          <w:rFonts w:ascii="Arial"/>
          <w:b/>
          <w:i/>
          <w:sz w:val="18"/>
        </w:rPr>
      </w:pPr>
      <w:r>
        <w:rPr>
          <w:rFonts w:ascii="Arial"/>
          <w:b/>
          <w:i/>
          <w:color w:val="545456"/>
          <w:sz w:val="18"/>
        </w:rPr>
        <w:t>3000</w:t>
      </w:r>
    </w:p>
    <w:p w14:paraId="6A2B06E3" w14:textId="77777777" w:rsidR="0055291C" w:rsidRDefault="00F23C61">
      <w:pPr>
        <w:spacing w:before="43"/>
        <w:ind w:right="5382"/>
        <w:jc w:val="right"/>
        <w:rPr>
          <w:rFonts w:ascii="Arial"/>
          <w:b/>
          <w:i/>
          <w:sz w:val="18"/>
        </w:rPr>
      </w:pPr>
      <w:r>
        <w:rPr>
          <w:rFonts w:ascii="Arial"/>
          <w:b/>
          <w:i/>
          <w:color w:val="545456"/>
          <w:sz w:val="18"/>
        </w:rPr>
        <w:t>2500</w:t>
      </w:r>
    </w:p>
    <w:p w14:paraId="0FB42422" w14:textId="77777777" w:rsidR="0055291C" w:rsidRDefault="00F23C61">
      <w:pPr>
        <w:spacing w:before="43"/>
        <w:ind w:right="5382"/>
        <w:jc w:val="right"/>
        <w:rPr>
          <w:rFonts w:ascii="Arial"/>
          <w:b/>
          <w:i/>
          <w:sz w:val="18"/>
        </w:rPr>
      </w:pPr>
      <w:r>
        <w:rPr>
          <w:rFonts w:ascii="Arial"/>
          <w:b/>
          <w:i/>
          <w:color w:val="545456"/>
          <w:sz w:val="18"/>
        </w:rPr>
        <w:t>2000</w:t>
      </w:r>
    </w:p>
    <w:p w14:paraId="0CDAF4E3" w14:textId="77777777" w:rsidR="0055291C" w:rsidRDefault="00F23C61">
      <w:pPr>
        <w:spacing w:before="43"/>
        <w:ind w:right="5382"/>
        <w:jc w:val="right"/>
        <w:rPr>
          <w:rFonts w:ascii="Arial"/>
          <w:b/>
          <w:i/>
          <w:sz w:val="18"/>
        </w:rPr>
      </w:pPr>
      <w:r>
        <w:rPr>
          <w:rFonts w:ascii="Arial"/>
          <w:b/>
          <w:i/>
          <w:color w:val="545456"/>
          <w:sz w:val="18"/>
        </w:rPr>
        <w:t>1500</w:t>
      </w:r>
    </w:p>
    <w:p w14:paraId="46F15559" w14:textId="77777777" w:rsidR="0055291C" w:rsidRDefault="00F23C61">
      <w:pPr>
        <w:spacing w:before="43"/>
        <w:ind w:right="5382"/>
        <w:jc w:val="right"/>
        <w:rPr>
          <w:rFonts w:ascii="Arial"/>
          <w:b/>
          <w:i/>
          <w:sz w:val="18"/>
        </w:rPr>
      </w:pPr>
      <w:r>
        <w:rPr>
          <w:rFonts w:ascii="Arial"/>
          <w:b/>
          <w:i/>
          <w:color w:val="545456"/>
          <w:sz w:val="18"/>
        </w:rPr>
        <w:t>1000</w:t>
      </w:r>
    </w:p>
    <w:p w14:paraId="3364099B" w14:textId="77777777" w:rsidR="0055291C" w:rsidRDefault="00F23C61">
      <w:pPr>
        <w:spacing w:before="43"/>
        <w:ind w:right="5382"/>
        <w:jc w:val="right"/>
        <w:rPr>
          <w:rFonts w:ascii="Arial"/>
          <w:b/>
          <w:i/>
          <w:sz w:val="18"/>
        </w:rPr>
      </w:pPr>
      <w:r>
        <w:rPr>
          <w:rFonts w:ascii="Arial"/>
          <w:b/>
          <w:i/>
          <w:color w:val="545456"/>
          <w:sz w:val="18"/>
        </w:rPr>
        <w:t>500</w:t>
      </w:r>
    </w:p>
    <w:p w14:paraId="1FD143B8" w14:textId="77777777" w:rsidR="0055291C" w:rsidRDefault="00000000">
      <w:pPr>
        <w:spacing w:before="43"/>
        <w:ind w:right="5382"/>
        <w:jc w:val="right"/>
        <w:rPr>
          <w:rFonts w:ascii="Arial"/>
          <w:b/>
          <w:i/>
          <w:sz w:val="18"/>
        </w:rPr>
      </w:pPr>
      <w:r>
        <w:pict w14:anchorId="629D3E7F">
          <v:shape id="docshape1606" o:spid="_x0000_s2242" type="#_x0000_t202" style="position:absolute;left:0;text-align:left;margin-left:365.1pt;margin-top:9.6pt;width:8.75pt;height:15.4pt;z-index:251676160;mso-position-horizontal-relative:page" filled="f" stroked="f">
            <v:textbox style="layout-flow:vertical;mso-layout-flow-alt:bottom-to-top" inset="0,0,0,0">
              <w:txbxContent>
                <w:p w14:paraId="5D41E5D1" w14:textId="77777777" w:rsidR="0055291C" w:rsidRDefault="00F23C61">
                  <w:pPr>
                    <w:spacing w:before="19"/>
                    <w:ind w:left="20"/>
                    <w:rPr>
                      <w:rFonts w:ascii="Arial"/>
                      <w:b/>
                      <w:i/>
                      <w:sz w:val="12"/>
                    </w:rPr>
                  </w:pPr>
                  <w:r>
                    <w:rPr>
                      <w:rFonts w:ascii="Arial"/>
                      <w:b/>
                      <w:i/>
                      <w:color w:val="545456"/>
                      <w:sz w:val="12"/>
                    </w:rPr>
                    <w:t>1990</w:t>
                  </w:r>
                </w:p>
              </w:txbxContent>
            </v:textbox>
            <w10:wrap anchorx="page"/>
          </v:shape>
        </w:pict>
      </w:r>
      <w:r>
        <w:pict w14:anchorId="4573875F">
          <v:shape id="docshape1607" o:spid="_x0000_s2241" type="#_x0000_t202" style="position:absolute;left:0;text-align:left;margin-left:413.65pt;margin-top:9.6pt;width:8.75pt;height:15.4pt;z-index:251677184;mso-position-horizontal-relative:page" filled="f" stroked="f">
            <v:textbox style="layout-flow:vertical;mso-layout-flow-alt:bottom-to-top" inset="0,0,0,0">
              <w:txbxContent>
                <w:p w14:paraId="41DBA315" w14:textId="77777777" w:rsidR="0055291C" w:rsidRDefault="00F23C61">
                  <w:pPr>
                    <w:spacing w:before="19"/>
                    <w:ind w:left="20"/>
                    <w:rPr>
                      <w:rFonts w:ascii="Arial"/>
                      <w:b/>
                      <w:i/>
                      <w:sz w:val="12"/>
                    </w:rPr>
                  </w:pPr>
                  <w:r>
                    <w:rPr>
                      <w:rFonts w:ascii="Arial"/>
                      <w:b/>
                      <w:i/>
                      <w:color w:val="545456"/>
                      <w:sz w:val="12"/>
                    </w:rPr>
                    <w:t>1995</w:t>
                  </w:r>
                </w:p>
              </w:txbxContent>
            </v:textbox>
            <w10:wrap anchorx="page"/>
          </v:shape>
        </w:pict>
      </w:r>
      <w:r>
        <w:pict w14:anchorId="7C1D1D4D">
          <v:shape id="docshape1608" o:spid="_x0000_s2240" type="#_x0000_t202" style="position:absolute;left:0;text-align:left;margin-left:461.55pt;margin-top:9.6pt;width:8.75pt;height:15.4pt;z-index:251678208;mso-position-horizontal-relative:page" filled="f" stroked="f">
            <v:textbox style="layout-flow:vertical;mso-layout-flow-alt:bottom-to-top" inset="0,0,0,0">
              <w:txbxContent>
                <w:p w14:paraId="4A6721B2" w14:textId="77777777" w:rsidR="0055291C" w:rsidRDefault="00F23C61">
                  <w:pPr>
                    <w:spacing w:before="19"/>
                    <w:ind w:left="20"/>
                    <w:rPr>
                      <w:rFonts w:ascii="Arial"/>
                      <w:b/>
                      <w:i/>
                      <w:sz w:val="12"/>
                    </w:rPr>
                  </w:pPr>
                  <w:r>
                    <w:rPr>
                      <w:rFonts w:ascii="Arial"/>
                      <w:b/>
                      <w:i/>
                      <w:color w:val="545456"/>
                      <w:sz w:val="12"/>
                    </w:rPr>
                    <w:t>2000</w:t>
                  </w:r>
                </w:p>
              </w:txbxContent>
            </v:textbox>
            <w10:wrap anchorx="page"/>
          </v:shape>
        </w:pict>
      </w:r>
      <w:r>
        <w:pict w14:anchorId="03FA125B">
          <v:shape id="docshape1609" o:spid="_x0000_s2239" type="#_x0000_t202" style="position:absolute;left:0;text-align:left;margin-left:509.45pt;margin-top:9.6pt;width:8.75pt;height:15.4pt;z-index:251679232;mso-position-horizontal-relative:page" filled="f" stroked="f">
            <v:textbox style="layout-flow:vertical;mso-layout-flow-alt:bottom-to-top" inset="0,0,0,0">
              <w:txbxContent>
                <w:p w14:paraId="03EF3AF4" w14:textId="77777777" w:rsidR="0055291C" w:rsidRDefault="00F23C61">
                  <w:pPr>
                    <w:spacing w:before="19"/>
                    <w:ind w:left="20"/>
                    <w:rPr>
                      <w:rFonts w:ascii="Arial"/>
                      <w:b/>
                      <w:i/>
                      <w:sz w:val="12"/>
                    </w:rPr>
                  </w:pPr>
                  <w:r>
                    <w:rPr>
                      <w:rFonts w:ascii="Arial"/>
                      <w:b/>
                      <w:i/>
                      <w:color w:val="545456"/>
                      <w:sz w:val="12"/>
                    </w:rPr>
                    <w:t>2005</w:t>
                  </w:r>
                </w:p>
              </w:txbxContent>
            </v:textbox>
            <w10:wrap anchorx="page"/>
          </v:shape>
        </w:pict>
      </w:r>
      <w:r w:rsidR="00F23C61">
        <w:rPr>
          <w:rFonts w:ascii="Arial"/>
          <w:b/>
          <w:i/>
          <w:color w:val="545456"/>
          <w:w w:val="102"/>
          <w:sz w:val="18"/>
        </w:rPr>
        <w:t>0</w:t>
      </w:r>
    </w:p>
    <w:p w14:paraId="3A1FBD77" w14:textId="77777777" w:rsidR="0055291C" w:rsidRDefault="0055291C">
      <w:pPr>
        <w:jc w:val="right"/>
        <w:rPr>
          <w:rFonts w:ascii="Arial"/>
          <w:sz w:val="18"/>
        </w:rPr>
        <w:sectPr w:rsidR="0055291C">
          <w:type w:val="continuous"/>
          <w:pgSz w:w="12240" w:h="15840"/>
          <w:pgMar w:top="740" w:right="0" w:bottom="280" w:left="0" w:header="0" w:footer="859" w:gutter="0"/>
          <w:cols w:num="2" w:space="720" w:equalWidth="0">
            <w:col w:w="5778" w:space="40"/>
            <w:col w:w="6422"/>
          </w:cols>
        </w:sectPr>
      </w:pPr>
    </w:p>
    <w:p w14:paraId="6EB44CFA" w14:textId="77777777" w:rsidR="0055291C" w:rsidRDefault="0055291C">
      <w:pPr>
        <w:pStyle w:val="a3"/>
        <w:spacing w:before="4"/>
        <w:rPr>
          <w:rFonts w:ascii="Arial"/>
          <w:b/>
          <w:i/>
          <w:sz w:val="16"/>
        </w:rPr>
      </w:pPr>
    </w:p>
    <w:p w14:paraId="15FA0F5B" w14:textId="107CCC36" w:rsidR="0055291C" w:rsidRDefault="00FC71FE">
      <w:pPr>
        <w:tabs>
          <w:tab w:val="left" w:pos="5346"/>
        </w:tabs>
        <w:spacing w:before="100"/>
        <w:ind w:left="275"/>
        <w:jc w:val="center"/>
        <w:rPr>
          <w:rFonts w:ascii="Arial"/>
          <w:b/>
          <w:sz w:val="16"/>
        </w:rPr>
      </w:pPr>
      <w:r>
        <w:rPr>
          <w:rFonts w:ascii="ＭＳ ゴシック" w:eastAsia="ＭＳ ゴシック" w:hAnsi="ＭＳ ゴシック" w:cs="ＭＳ ゴシック" w:hint="eastAsia"/>
          <w:b/>
          <w:color w:val="545456"/>
          <w:sz w:val="16"/>
          <w:lang w:eastAsia="ja-JP"/>
        </w:rPr>
        <w:t>年度</w:t>
      </w:r>
      <w:r w:rsidR="00F23C61">
        <w:rPr>
          <w:rFonts w:ascii="Arial"/>
          <w:b/>
          <w:color w:val="545456"/>
          <w:sz w:val="16"/>
        </w:rPr>
        <w:tab/>
      </w:r>
      <w:r>
        <w:rPr>
          <w:rFonts w:ascii="ＭＳ ゴシック" w:eastAsia="ＭＳ ゴシック" w:hAnsi="ＭＳ ゴシック" w:cs="ＭＳ ゴシック" w:hint="eastAsia"/>
          <w:b/>
          <w:color w:val="545456"/>
          <w:sz w:val="16"/>
          <w:lang w:eastAsia="ja-JP"/>
        </w:rPr>
        <w:t>年度</w:t>
      </w:r>
    </w:p>
    <w:p w14:paraId="352BC557" w14:textId="77777777" w:rsidR="0055291C" w:rsidRDefault="0055291C">
      <w:pPr>
        <w:pStyle w:val="a3"/>
        <w:spacing w:before="5"/>
        <w:rPr>
          <w:rFonts w:ascii="Arial"/>
          <w:b/>
          <w:sz w:val="9"/>
        </w:rPr>
      </w:pPr>
    </w:p>
    <w:p w14:paraId="6B3E65AE" w14:textId="77777777" w:rsidR="0055291C" w:rsidRDefault="0055291C">
      <w:pPr>
        <w:rPr>
          <w:rFonts w:ascii="Arial"/>
          <w:sz w:val="9"/>
        </w:rPr>
        <w:sectPr w:rsidR="0055291C">
          <w:type w:val="continuous"/>
          <w:pgSz w:w="12240" w:h="15840"/>
          <w:pgMar w:top="740" w:right="0" w:bottom="280" w:left="0" w:header="0" w:footer="859" w:gutter="0"/>
          <w:cols w:space="720"/>
        </w:sectPr>
      </w:pPr>
    </w:p>
    <w:p w14:paraId="53CFC490" w14:textId="3B1A79AA" w:rsidR="0055291C" w:rsidRDefault="00FC71FE">
      <w:pPr>
        <w:spacing w:before="102" w:line="302" w:lineRule="auto"/>
        <w:ind w:left="1927" w:right="-15" w:hanging="488"/>
        <w:rPr>
          <w:sz w:val="14"/>
        </w:rPr>
      </w:pPr>
      <w:r>
        <w:rPr>
          <w:rFonts w:ascii="ＭＳ ゴシック" w:eastAsia="ＭＳ ゴシック" w:hAnsi="ＭＳ ゴシック" w:cs="ＭＳ ゴシック" w:hint="eastAsia"/>
          <w:color w:val="545456"/>
          <w:spacing w:val="-1"/>
          <w:sz w:val="14"/>
          <w:lang w:eastAsia="ja-JP"/>
        </w:rPr>
        <w:t>出典</w:t>
      </w:r>
      <w:r w:rsidR="00F23C61">
        <w:rPr>
          <w:color w:val="545456"/>
          <w:spacing w:val="-1"/>
          <w:sz w:val="14"/>
        </w:rPr>
        <w:t xml:space="preserve">: FAO, FAOSTAT. </w:t>
      </w:r>
      <w:r w:rsidR="00EE4C88" w:rsidRPr="00FC71FE">
        <w:rPr>
          <w:color w:val="545456"/>
          <w:spacing w:val="-1"/>
          <w:sz w:val="14"/>
        </w:rPr>
        <w:t>http://faostat.fao.org/site/567/</w:t>
      </w:r>
      <w:r w:rsidR="00F23C61">
        <w:rPr>
          <w:color w:val="545456"/>
          <w:spacing w:val="-35"/>
          <w:sz w:val="14"/>
        </w:rPr>
        <w:t xml:space="preserve"> </w:t>
      </w:r>
      <w:proofErr w:type="spellStart"/>
      <w:r w:rsidR="00F23C61">
        <w:rPr>
          <w:color w:val="545456"/>
          <w:spacing w:val="-1"/>
          <w:sz w:val="14"/>
        </w:rPr>
        <w:t>DesktopDefault.aspx?PageID</w:t>
      </w:r>
      <w:proofErr w:type="spellEnd"/>
      <w:r w:rsidR="00F23C61">
        <w:rPr>
          <w:color w:val="545456"/>
          <w:spacing w:val="-1"/>
          <w:sz w:val="14"/>
        </w:rPr>
        <w:t>=567#ancor,</w:t>
      </w:r>
      <w:r w:rsidR="00F23C61">
        <w:rPr>
          <w:color w:val="545456"/>
          <w:spacing w:val="-9"/>
          <w:sz w:val="14"/>
        </w:rPr>
        <w:t xml:space="preserve"> </w:t>
      </w:r>
      <w:r w:rsidR="00F23C61">
        <w:rPr>
          <w:color w:val="545456"/>
          <w:sz w:val="14"/>
        </w:rPr>
        <w:t>2011.</w:t>
      </w:r>
    </w:p>
    <w:p w14:paraId="64B4A7FE" w14:textId="7BEE729C" w:rsidR="0055291C" w:rsidRDefault="00F23C61">
      <w:pPr>
        <w:spacing w:before="102" w:line="302" w:lineRule="auto"/>
        <w:ind w:left="1093" w:right="1579" w:hanging="488"/>
        <w:rPr>
          <w:sz w:val="14"/>
        </w:rPr>
      </w:pPr>
      <w:r>
        <w:br w:type="column"/>
      </w:r>
      <w:r w:rsidR="00FC71FE">
        <w:rPr>
          <w:rFonts w:ascii="ＭＳ ゴシック" w:eastAsia="ＭＳ ゴシック" w:hAnsi="ＭＳ ゴシック" w:cs="ＭＳ ゴシック" w:hint="eastAsia"/>
          <w:color w:val="545456"/>
          <w:spacing w:val="-1"/>
          <w:sz w:val="14"/>
          <w:lang w:eastAsia="ja-JP"/>
        </w:rPr>
        <w:t>出典</w:t>
      </w:r>
      <w:r>
        <w:rPr>
          <w:color w:val="545456"/>
          <w:spacing w:val="-1"/>
          <w:sz w:val="14"/>
        </w:rPr>
        <w:t xml:space="preserve">: FAO, FAOSTAT. </w:t>
      </w:r>
      <w:hyperlink r:id="rId365">
        <w:r>
          <w:rPr>
            <w:color w:val="545456"/>
            <w:spacing w:val="-1"/>
            <w:sz w:val="14"/>
          </w:rPr>
          <w:t>http://faostat.fao.org/site/567/</w:t>
        </w:r>
      </w:hyperlink>
      <w:r>
        <w:rPr>
          <w:color w:val="545456"/>
          <w:spacing w:val="-35"/>
          <w:sz w:val="14"/>
        </w:rPr>
        <w:t xml:space="preserve"> </w:t>
      </w:r>
      <w:proofErr w:type="spellStart"/>
      <w:r>
        <w:rPr>
          <w:color w:val="545456"/>
          <w:spacing w:val="-1"/>
          <w:sz w:val="14"/>
        </w:rPr>
        <w:t>DesktopDefault.aspx?PageID</w:t>
      </w:r>
      <w:proofErr w:type="spellEnd"/>
      <w:r>
        <w:rPr>
          <w:color w:val="545456"/>
          <w:spacing w:val="-1"/>
          <w:sz w:val="14"/>
        </w:rPr>
        <w:t>=567#ancor,</w:t>
      </w:r>
      <w:r>
        <w:rPr>
          <w:color w:val="545456"/>
          <w:spacing w:val="-9"/>
          <w:sz w:val="14"/>
        </w:rPr>
        <w:t xml:space="preserve"> </w:t>
      </w:r>
      <w:r>
        <w:rPr>
          <w:color w:val="545456"/>
          <w:sz w:val="14"/>
        </w:rPr>
        <w:t>2011.</w:t>
      </w:r>
    </w:p>
    <w:p w14:paraId="019DB9C2" w14:textId="77777777" w:rsidR="0055291C" w:rsidRDefault="0055291C">
      <w:pPr>
        <w:spacing w:line="302" w:lineRule="auto"/>
        <w:rPr>
          <w:sz w:val="14"/>
        </w:rPr>
        <w:sectPr w:rsidR="0055291C">
          <w:type w:val="continuous"/>
          <w:pgSz w:w="12240" w:h="15840"/>
          <w:pgMar w:top="740" w:right="0" w:bottom="280" w:left="0" w:header="0" w:footer="859" w:gutter="0"/>
          <w:cols w:num="2" w:space="720" w:equalWidth="0">
            <w:col w:w="5720" w:space="40"/>
            <w:col w:w="6480"/>
          </w:cols>
        </w:sectPr>
      </w:pPr>
    </w:p>
    <w:p w14:paraId="1AEBEBF8" w14:textId="77777777" w:rsidR="0055291C" w:rsidRDefault="0055291C">
      <w:pPr>
        <w:pStyle w:val="a3"/>
        <w:rPr>
          <w:sz w:val="20"/>
        </w:rPr>
      </w:pPr>
    </w:p>
    <w:p w14:paraId="67C84E2D" w14:textId="77777777" w:rsidR="0055291C" w:rsidRDefault="0055291C">
      <w:pPr>
        <w:pStyle w:val="a3"/>
        <w:spacing w:before="1"/>
        <w:rPr>
          <w:sz w:val="23"/>
        </w:rPr>
      </w:pPr>
    </w:p>
    <w:p w14:paraId="0A6C0BD3" w14:textId="77777777" w:rsidR="0055291C" w:rsidRDefault="0055291C">
      <w:pPr>
        <w:rPr>
          <w:sz w:val="23"/>
        </w:rPr>
        <w:sectPr w:rsidR="0055291C">
          <w:type w:val="continuous"/>
          <w:pgSz w:w="12240" w:h="15840"/>
          <w:pgMar w:top="740" w:right="0" w:bottom="280" w:left="0" w:header="0" w:footer="859" w:gutter="0"/>
          <w:cols w:space="720"/>
        </w:sectPr>
      </w:pPr>
    </w:p>
    <w:p w14:paraId="37060841" w14:textId="43B46B42" w:rsidR="0055291C" w:rsidRDefault="0030459A" w:rsidP="00FC71FE">
      <w:pPr>
        <w:spacing w:before="102" w:line="328" w:lineRule="auto"/>
        <w:ind w:left="1350" w:right="132"/>
        <w:rPr>
          <w:sz w:val="18"/>
          <w:lang w:eastAsia="ja-JP"/>
        </w:rPr>
      </w:pPr>
      <w:r w:rsidRPr="0030459A">
        <w:rPr>
          <w:rFonts w:ascii="ＭＳ ゴシック" w:eastAsia="ＭＳ ゴシック" w:hAnsi="ＭＳ ゴシック" w:cs="ＭＳ ゴシック" w:hint="eastAsia"/>
          <w:sz w:val="19"/>
          <w:szCs w:val="19"/>
          <w:lang w:eastAsia="ja-JP"/>
        </w:rPr>
        <w:t>い）。</w:t>
      </w:r>
      <w:r w:rsidRPr="0030459A">
        <w:rPr>
          <w:rFonts w:ascii="ＭＳ ゴシック" w:eastAsia="ＭＳ ゴシック" w:hAnsi="ＭＳ ゴシック" w:cs="ＭＳ ゴシック" w:hint="eastAsia"/>
          <w:color w:val="545456"/>
          <w:sz w:val="19"/>
          <w:szCs w:val="19"/>
          <w:lang w:eastAsia="ja-JP"/>
        </w:rPr>
        <w:t>評価期間中、マレーシアでは</w:t>
      </w:r>
      <w:r w:rsidR="008956AA">
        <w:rPr>
          <w:rFonts w:ascii="ＭＳ ゴシック" w:eastAsia="ＭＳ ゴシック" w:hAnsi="ＭＳ ゴシック" w:cs="ＭＳ ゴシック" w:hint="eastAsia"/>
          <w:color w:val="545456"/>
          <w:sz w:val="19"/>
          <w:szCs w:val="19"/>
          <w:lang w:eastAsia="ja-JP"/>
        </w:rPr>
        <w:t>コメ</w:t>
      </w:r>
      <w:r w:rsidRPr="0030459A">
        <w:rPr>
          <w:rFonts w:ascii="ＭＳ ゴシック" w:eastAsia="ＭＳ ゴシック" w:hAnsi="ＭＳ ゴシック" w:cs="ＭＳ ゴシック" w:hint="eastAsia"/>
          <w:color w:val="545456"/>
          <w:sz w:val="19"/>
          <w:szCs w:val="19"/>
          <w:lang w:eastAsia="ja-JP"/>
        </w:rPr>
        <w:t>の生産による土地利用変化は起こらなかったと推測</w:t>
      </w:r>
      <w:r>
        <w:rPr>
          <w:rFonts w:ascii="ＭＳ ゴシック" w:eastAsia="ＭＳ ゴシック" w:hAnsi="ＭＳ ゴシック" w:cs="ＭＳ ゴシック" w:hint="eastAsia"/>
          <w:color w:val="545456"/>
          <w:sz w:val="19"/>
          <w:szCs w:val="19"/>
          <w:lang w:eastAsia="ja-JP"/>
        </w:rPr>
        <w:t>できます</w:t>
      </w:r>
      <w:r w:rsidRPr="0030459A">
        <w:rPr>
          <w:rFonts w:ascii="ＭＳ ゴシック" w:eastAsia="ＭＳ ゴシック" w:hAnsi="ＭＳ ゴシック" w:cs="ＭＳ ゴシック" w:hint="eastAsia"/>
          <w:color w:val="545456"/>
          <w:sz w:val="19"/>
          <w:szCs w:val="19"/>
          <w:lang w:eastAsia="ja-JP"/>
        </w:rPr>
        <w:t>。</w:t>
      </w:r>
      <w:r w:rsidR="00F23C61">
        <w:rPr>
          <w:color w:val="545456"/>
          <w:spacing w:val="-6"/>
          <w:sz w:val="18"/>
          <w:lang w:eastAsia="ja-JP"/>
        </w:rPr>
        <w:t xml:space="preserve"> </w:t>
      </w:r>
      <w:r w:rsidR="00FC71FE" w:rsidRPr="00FC71FE">
        <w:rPr>
          <w:color w:val="545456"/>
          <w:sz w:val="18"/>
          <w:lang w:eastAsia="ja-JP"/>
        </w:rPr>
        <w:t>GHG</w:t>
      </w:r>
      <w:r w:rsidR="00FC71FE">
        <w:rPr>
          <w:rFonts w:ascii="ＭＳ ゴシック" w:eastAsia="ＭＳ ゴシック" w:hAnsi="ＭＳ ゴシック" w:cs="ＭＳ ゴシック" w:hint="eastAsia"/>
          <w:color w:val="545456"/>
          <w:sz w:val="18"/>
          <w:lang w:eastAsia="ja-JP"/>
        </w:rPr>
        <w:t>算出</w:t>
      </w:r>
      <w:r w:rsidR="00FC71FE" w:rsidRPr="00FC71FE">
        <w:rPr>
          <w:rFonts w:ascii="ＭＳ ゴシック" w:eastAsia="ＭＳ ゴシック" w:hAnsi="ＭＳ ゴシック" w:cs="ＭＳ ゴシック" w:hint="eastAsia"/>
          <w:color w:val="545456"/>
          <w:sz w:val="18"/>
          <w:lang w:eastAsia="ja-JP"/>
        </w:rPr>
        <w:t>が</w:t>
      </w:r>
      <w:r w:rsidR="00FC71FE" w:rsidRPr="00FC71FE">
        <w:rPr>
          <w:color w:val="545456"/>
          <w:sz w:val="18"/>
          <w:lang w:eastAsia="ja-JP"/>
        </w:rPr>
        <w:t>2010</w:t>
      </w:r>
      <w:r w:rsidR="00FC71FE" w:rsidRPr="00FC71FE">
        <w:rPr>
          <w:rFonts w:ascii="ＭＳ ゴシック" w:eastAsia="ＭＳ ゴシック" w:hAnsi="ＭＳ ゴシック" w:cs="ＭＳ ゴシック" w:hint="eastAsia"/>
          <w:color w:val="545456"/>
          <w:sz w:val="18"/>
          <w:lang w:eastAsia="ja-JP"/>
        </w:rPr>
        <w:t>年に評価されると仮定すると、企業は</w:t>
      </w:r>
      <w:r w:rsidR="008956AA">
        <w:rPr>
          <w:rFonts w:ascii="ＭＳ ゴシック" w:eastAsia="ＭＳ ゴシック" w:hAnsi="ＭＳ ゴシック" w:cs="ＭＳ ゴシック" w:hint="eastAsia"/>
          <w:color w:val="545456"/>
          <w:sz w:val="18"/>
          <w:lang w:eastAsia="ja-JP"/>
        </w:rPr>
        <w:t>、</w:t>
      </w:r>
      <w:r w:rsidR="00FC71FE" w:rsidRPr="00FC71FE">
        <w:rPr>
          <w:rFonts w:ascii="ＭＳ ゴシック" w:eastAsia="ＭＳ ゴシック" w:hAnsi="ＭＳ ゴシック" w:cs="ＭＳ ゴシック" w:hint="eastAsia"/>
          <w:color w:val="545456"/>
          <w:sz w:val="18"/>
          <w:lang w:eastAsia="ja-JP"/>
        </w:rPr>
        <w:t>マレーシアの土地利用における</w:t>
      </w:r>
      <w:r w:rsidR="008956AA">
        <w:rPr>
          <w:rFonts w:ascii="ＭＳ ゴシック" w:eastAsia="ＭＳ ゴシック" w:hAnsi="ＭＳ ゴシック" w:cs="ＭＳ ゴシック" w:hint="eastAsia"/>
          <w:color w:val="545456"/>
          <w:sz w:val="18"/>
          <w:lang w:eastAsia="ja-JP"/>
        </w:rPr>
        <w:t>直近</w:t>
      </w:r>
      <w:r w:rsidR="00FC71FE" w:rsidRPr="00FC71FE">
        <w:rPr>
          <w:rFonts w:ascii="ＭＳ ゴシック" w:eastAsia="ＭＳ ゴシック" w:hAnsi="ＭＳ ゴシック" w:cs="ＭＳ ゴシック" w:hint="eastAsia"/>
          <w:color w:val="545456"/>
          <w:sz w:val="18"/>
          <w:lang w:eastAsia="ja-JP"/>
        </w:rPr>
        <w:t>の変化が、データに示されていない</w:t>
      </w:r>
      <w:r w:rsidR="008956AA">
        <w:rPr>
          <w:rFonts w:ascii="ＭＳ ゴシック" w:eastAsia="ＭＳ ゴシック" w:hAnsi="ＭＳ ゴシック" w:cs="ＭＳ ゴシック" w:hint="eastAsia"/>
          <w:color w:val="545456"/>
          <w:sz w:val="18"/>
          <w:lang w:eastAsia="ja-JP"/>
        </w:rPr>
        <w:t>直近</w:t>
      </w:r>
      <w:r w:rsidR="00FC71FE" w:rsidRPr="00FC71FE">
        <w:rPr>
          <w:color w:val="545456"/>
          <w:sz w:val="18"/>
          <w:lang w:eastAsia="ja-JP"/>
        </w:rPr>
        <w:t>2</w:t>
      </w:r>
      <w:r w:rsidR="00FC71FE" w:rsidRPr="00FC71FE">
        <w:rPr>
          <w:rFonts w:ascii="ＭＳ ゴシック" w:eastAsia="ＭＳ ゴシック" w:hAnsi="ＭＳ ゴシック" w:cs="ＭＳ ゴシック" w:hint="eastAsia"/>
          <w:color w:val="545456"/>
          <w:sz w:val="18"/>
          <w:lang w:eastAsia="ja-JP"/>
        </w:rPr>
        <w:t>年間の</w:t>
      </w:r>
      <w:r w:rsidR="008956AA">
        <w:rPr>
          <w:rFonts w:ascii="ＭＳ ゴシック" w:eastAsia="ＭＳ ゴシック" w:hAnsi="ＭＳ ゴシック" w:cs="ＭＳ ゴシック" w:hint="eastAsia"/>
          <w:color w:val="545456"/>
          <w:sz w:val="18"/>
          <w:lang w:eastAsia="ja-JP"/>
        </w:rPr>
        <w:t>コメ</w:t>
      </w:r>
      <w:r w:rsidR="00FC71FE" w:rsidRPr="00FC71FE">
        <w:rPr>
          <w:rFonts w:ascii="ＭＳ ゴシック" w:eastAsia="ＭＳ ゴシック" w:hAnsi="ＭＳ ゴシック" w:cs="ＭＳ ゴシック" w:hint="eastAsia"/>
          <w:color w:val="545456"/>
          <w:sz w:val="18"/>
          <w:lang w:eastAsia="ja-JP"/>
        </w:rPr>
        <w:t>の生産量の増加を引き起こしている</w:t>
      </w:r>
      <w:r w:rsidR="008956AA">
        <w:rPr>
          <w:rFonts w:ascii="ＭＳ ゴシック" w:eastAsia="ＭＳ ゴシック" w:hAnsi="ＭＳ ゴシック" w:cs="ＭＳ ゴシック" w:hint="eastAsia"/>
          <w:color w:val="545456"/>
          <w:sz w:val="18"/>
          <w:lang w:eastAsia="ja-JP"/>
        </w:rPr>
        <w:t>かどうか検討する必要があります</w:t>
      </w:r>
      <w:r w:rsidR="00FC71FE" w:rsidRPr="00FC71FE">
        <w:rPr>
          <w:rFonts w:ascii="ＭＳ ゴシック" w:eastAsia="ＭＳ ゴシック" w:hAnsi="ＭＳ ゴシック" w:cs="ＭＳ ゴシック" w:hint="eastAsia"/>
          <w:color w:val="545456"/>
          <w:sz w:val="18"/>
          <w:lang w:eastAsia="ja-JP"/>
        </w:rPr>
        <w:t>。</w:t>
      </w:r>
      <w:r w:rsidR="008956AA" w:rsidRPr="008956AA">
        <w:rPr>
          <w:rFonts w:ascii="ＭＳ ゴシック" w:eastAsia="ＭＳ ゴシック" w:hAnsi="ＭＳ ゴシック" w:cs="ＭＳ ゴシック" w:hint="eastAsia"/>
          <w:sz w:val="19"/>
          <w:szCs w:val="19"/>
          <w:lang w:eastAsia="ja-JP"/>
        </w:rPr>
        <w:t>そう考える理由がなければ、調査対象製品であるコメに起因する土地利用変化の影響はないと判断することができます。</w:t>
      </w:r>
    </w:p>
    <w:p w14:paraId="7D777FC0" w14:textId="0B815C85" w:rsidR="0055291C" w:rsidRPr="008956AA" w:rsidRDefault="008956AA" w:rsidP="008956AA">
      <w:pPr>
        <w:spacing w:before="145" w:line="328" w:lineRule="auto"/>
        <w:ind w:left="1350" w:firstLineChars="100" w:firstLine="190"/>
        <w:rPr>
          <w:sz w:val="19"/>
          <w:szCs w:val="19"/>
          <w:lang w:eastAsia="ja-JP"/>
        </w:rPr>
      </w:pPr>
      <w:r w:rsidRPr="008956AA">
        <w:rPr>
          <w:rFonts w:ascii="ＭＳ ゴシック" w:eastAsia="ＭＳ ゴシック" w:hAnsi="ＭＳ ゴシック" w:cs="ＭＳ ゴシック" w:hint="eastAsia"/>
          <w:sz w:val="19"/>
          <w:szCs w:val="19"/>
          <w:lang w:eastAsia="ja-JP"/>
        </w:rPr>
        <w:t>パーム油についても同様のアプローチをとると、図</w:t>
      </w:r>
      <w:r w:rsidRPr="008956AA">
        <w:rPr>
          <w:sz w:val="19"/>
          <w:szCs w:val="19"/>
          <w:lang w:eastAsia="ja-JP"/>
        </w:rPr>
        <w:t xml:space="preserve">B.4 </w:t>
      </w:r>
      <w:r w:rsidRPr="008956AA">
        <w:rPr>
          <w:rFonts w:ascii="ＭＳ ゴシック" w:eastAsia="ＭＳ ゴシック" w:hAnsi="ＭＳ ゴシック" w:cs="ＭＳ ゴシック" w:hint="eastAsia"/>
          <w:sz w:val="19"/>
          <w:szCs w:val="19"/>
          <w:lang w:eastAsia="ja-JP"/>
        </w:rPr>
        <w:t>から、評価期間中にパーム生産に使用される土地が増加していることは明らかで</w:t>
      </w:r>
      <w:r>
        <w:rPr>
          <w:rFonts w:ascii="ＭＳ ゴシック" w:eastAsia="ＭＳ ゴシック" w:hAnsi="ＭＳ ゴシック" w:cs="ＭＳ ゴシック" w:hint="eastAsia"/>
          <w:sz w:val="19"/>
          <w:szCs w:val="19"/>
          <w:lang w:eastAsia="ja-JP"/>
        </w:rPr>
        <w:t>す</w:t>
      </w:r>
      <w:r w:rsidRPr="008956AA">
        <w:rPr>
          <w:rFonts w:ascii="ＭＳ ゴシック" w:eastAsia="ＭＳ ゴシック" w:hAnsi="ＭＳ ゴシック" w:cs="ＭＳ ゴシック" w:hint="eastAsia"/>
          <w:sz w:val="19"/>
          <w:szCs w:val="19"/>
          <w:lang w:eastAsia="ja-JP"/>
        </w:rPr>
        <w:t>。</w:t>
      </w:r>
    </w:p>
    <w:p w14:paraId="2665EAAB" w14:textId="56050B66" w:rsidR="0055291C" w:rsidRPr="008956AA" w:rsidRDefault="008956AA" w:rsidP="008956AA">
      <w:pPr>
        <w:spacing w:before="3" w:line="328" w:lineRule="auto"/>
        <w:ind w:left="1350" w:firstLineChars="100" w:firstLine="190"/>
        <w:rPr>
          <w:sz w:val="19"/>
          <w:szCs w:val="19"/>
          <w:lang w:eastAsia="ja-JP"/>
        </w:rPr>
      </w:pPr>
      <w:r w:rsidRPr="008956AA">
        <w:rPr>
          <w:rFonts w:ascii="ＭＳ ゴシック" w:eastAsia="ＭＳ ゴシック" w:hAnsi="ＭＳ ゴシック" w:cs="ＭＳ ゴシック" w:hint="eastAsia"/>
          <w:sz w:val="19"/>
          <w:szCs w:val="19"/>
          <w:lang w:eastAsia="ja-JP"/>
        </w:rPr>
        <w:t>この時点で、企業はすべての土地が異なる土地分類（例えば、森林、草原）からパームヤシに変換されると仮定するか（ステップ</w:t>
      </w:r>
      <w:r w:rsidRPr="008956AA">
        <w:rPr>
          <w:sz w:val="19"/>
          <w:szCs w:val="19"/>
          <w:lang w:eastAsia="ja-JP"/>
        </w:rPr>
        <w:t>4</w:t>
      </w:r>
      <w:r w:rsidRPr="008956AA">
        <w:rPr>
          <w:rFonts w:ascii="ＭＳ ゴシック" w:eastAsia="ＭＳ ゴシック" w:hAnsi="ＭＳ ゴシック" w:cs="ＭＳ ゴシック" w:hint="eastAsia"/>
          <w:sz w:val="19"/>
          <w:szCs w:val="19"/>
          <w:lang w:eastAsia="ja-JP"/>
        </w:rPr>
        <w:t>参照）、または、</w:t>
      </w:r>
      <w:r w:rsidR="004E01FF" w:rsidRPr="008956AA">
        <w:rPr>
          <w:rFonts w:ascii="ＭＳ ゴシック" w:eastAsia="ＭＳ ゴシック" w:hAnsi="ＭＳ ゴシック" w:cs="ＭＳ ゴシック" w:hint="eastAsia"/>
          <w:sz w:val="19"/>
          <w:szCs w:val="19"/>
          <w:lang w:eastAsia="ja-JP"/>
        </w:rPr>
        <w:t>耕作地カテゴリー内で変換され</w:t>
      </w:r>
      <w:r w:rsidR="004E01FF">
        <w:rPr>
          <w:rFonts w:ascii="ＭＳ ゴシック" w:eastAsia="ＭＳ ゴシック" w:hAnsi="ＭＳ ゴシック" w:cs="ＭＳ ゴシック" w:hint="eastAsia"/>
          <w:sz w:val="19"/>
          <w:szCs w:val="19"/>
          <w:lang w:eastAsia="ja-JP"/>
        </w:rPr>
        <w:t>るため</w:t>
      </w:r>
      <w:r w:rsidR="004E01FF" w:rsidRPr="008956AA">
        <w:rPr>
          <w:rFonts w:ascii="ＭＳ ゴシック" w:eastAsia="ＭＳ ゴシック" w:hAnsi="ＭＳ ゴシック" w:cs="ＭＳ ゴシック" w:hint="eastAsia"/>
          <w:sz w:val="19"/>
          <w:szCs w:val="19"/>
          <w:lang w:eastAsia="ja-JP"/>
        </w:rPr>
        <w:t>土地利用変化の対象とならない土地の割合はどの程度か</w:t>
      </w:r>
      <w:r w:rsidRPr="008956AA">
        <w:rPr>
          <w:rFonts w:ascii="ＭＳ ゴシック" w:eastAsia="ＭＳ ゴシック" w:hAnsi="ＭＳ ゴシック" w:cs="ＭＳ ゴシック" w:hint="eastAsia"/>
          <w:sz w:val="19"/>
          <w:szCs w:val="19"/>
          <w:lang w:eastAsia="ja-JP"/>
        </w:rPr>
        <w:t>推定することができます。</w:t>
      </w:r>
    </w:p>
    <w:p w14:paraId="2EE8597F" w14:textId="1B56F0D0" w:rsidR="0055291C" w:rsidRPr="004E01FF" w:rsidRDefault="00F23C61" w:rsidP="004E01FF">
      <w:pPr>
        <w:pStyle w:val="a5"/>
        <w:numPr>
          <w:ilvl w:val="0"/>
          <w:numId w:val="18"/>
        </w:numPr>
        <w:tabs>
          <w:tab w:val="left" w:pos="522"/>
        </w:tabs>
        <w:spacing w:before="99" w:line="324" w:lineRule="auto"/>
        <w:ind w:right="1350"/>
        <w:jc w:val="left"/>
        <w:rPr>
          <w:rFonts w:ascii="Arial"/>
          <w:b/>
          <w:i/>
          <w:color w:val="7F3F98"/>
          <w:sz w:val="18"/>
          <w:lang w:eastAsia="ja-JP"/>
        </w:rPr>
      </w:pPr>
      <w:r>
        <w:rPr>
          <w:rFonts w:ascii="Arial"/>
          <w:b/>
          <w:i/>
          <w:color w:val="7F3F98"/>
          <w:spacing w:val="5"/>
          <w:w w:val="103"/>
          <w:sz w:val="18"/>
          <w:lang w:eastAsia="ja-JP"/>
        </w:rPr>
        <w:br w:type="column"/>
      </w:r>
      <w:r w:rsidR="004E01FF" w:rsidRPr="004E01FF">
        <w:rPr>
          <w:rFonts w:ascii="ＭＳ ゴシック" w:eastAsia="ＭＳ ゴシック" w:hAnsi="ＭＳ ゴシック" w:cs="ＭＳ ゴシック" w:hint="eastAsia"/>
          <w:b/>
          <w:i/>
          <w:color w:val="7F3F98"/>
          <w:sz w:val="18"/>
          <w:lang w:eastAsia="ja-JP"/>
        </w:rPr>
        <w:t>土地利用変化のうち、転換された耕作地</w:t>
      </w:r>
      <w:r w:rsidR="004E01FF">
        <w:rPr>
          <w:rFonts w:ascii="ＭＳ ゴシック" w:eastAsia="ＭＳ ゴシック" w:hAnsi="ＭＳ ゴシック" w:cs="ＭＳ ゴシック" w:hint="eastAsia"/>
          <w:b/>
          <w:i/>
          <w:color w:val="7F3F98"/>
          <w:sz w:val="18"/>
          <w:lang w:eastAsia="ja-JP"/>
        </w:rPr>
        <w:t>の割合の</w:t>
      </w:r>
      <w:r w:rsidR="004E01FF" w:rsidRPr="004E01FF">
        <w:rPr>
          <w:rFonts w:ascii="ＭＳ ゴシック" w:eastAsia="ＭＳ ゴシック" w:hAnsi="ＭＳ ゴシック" w:cs="ＭＳ ゴシック" w:hint="eastAsia"/>
          <w:b/>
          <w:i/>
          <w:color w:val="7F3F98"/>
          <w:sz w:val="18"/>
          <w:lang w:eastAsia="ja-JP"/>
        </w:rPr>
        <w:t>判断</w:t>
      </w:r>
      <w:r w:rsidR="004E01FF" w:rsidRPr="004E01FF">
        <w:rPr>
          <w:rFonts w:ascii="Arial"/>
          <w:b/>
          <w:i/>
          <w:color w:val="7F3F98"/>
          <w:sz w:val="18"/>
          <w:lang w:eastAsia="ja-JP"/>
        </w:rPr>
        <w:cr/>
      </w:r>
    </w:p>
    <w:p w14:paraId="22BE1988" w14:textId="65A6961D" w:rsidR="0055291C" w:rsidRPr="004E01FF" w:rsidRDefault="004E01FF" w:rsidP="004E01FF">
      <w:pPr>
        <w:spacing w:before="4" w:line="328" w:lineRule="auto"/>
        <w:ind w:left="265" w:right="1389" w:firstLineChars="100" w:firstLine="190"/>
        <w:rPr>
          <w:sz w:val="19"/>
          <w:szCs w:val="19"/>
          <w:lang w:eastAsia="ja-JP"/>
        </w:rPr>
      </w:pPr>
      <w:r w:rsidRPr="004E01FF">
        <w:rPr>
          <w:rFonts w:ascii="ＭＳ ゴシック" w:eastAsia="ＭＳ ゴシック" w:hAnsi="ＭＳ ゴシック" w:cs="ＭＳ ゴシック" w:hint="eastAsia"/>
          <w:sz w:val="19"/>
          <w:szCs w:val="19"/>
          <w:lang w:eastAsia="ja-JP"/>
        </w:rPr>
        <w:t>過去</w:t>
      </w:r>
      <w:r w:rsidRPr="004E01FF">
        <w:rPr>
          <w:sz w:val="19"/>
          <w:szCs w:val="19"/>
          <w:lang w:eastAsia="ja-JP"/>
        </w:rPr>
        <w:t xml:space="preserve"> 20 </w:t>
      </w:r>
      <w:r w:rsidRPr="004E01FF">
        <w:rPr>
          <w:rFonts w:ascii="ＭＳ ゴシック" w:eastAsia="ＭＳ ゴシック" w:hAnsi="ＭＳ ゴシック" w:cs="ＭＳ ゴシック" w:hint="eastAsia"/>
          <w:sz w:val="19"/>
          <w:szCs w:val="19"/>
          <w:lang w:eastAsia="ja-JP"/>
        </w:rPr>
        <w:t>年間のマレーシアの主要作物の動態を見ると、表</w:t>
      </w:r>
      <w:r w:rsidRPr="004E01FF">
        <w:rPr>
          <w:sz w:val="19"/>
          <w:szCs w:val="19"/>
          <w:lang w:eastAsia="ja-JP"/>
        </w:rPr>
        <w:t xml:space="preserve"> B.2 </w:t>
      </w:r>
      <w:r w:rsidRPr="004E01FF">
        <w:rPr>
          <w:rFonts w:ascii="ＭＳ ゴシック" w:eastAsia="ＭＳ ゴシック" w:hAnsi="ＭＳ ゴシック" w:cs="ＭＳ ゴシック" w:hint="eastAsia"/>
          <w:sz w:val="19"/>
          <w:szCs w:val="19"/>
          <w:lang w:eastAsia="ja-JP"/>
        </w:rPr>
        <w:t>に示すように、一部の作物で収穫面積が減少し、パー</w:t>
      </w:r>
      <w:r w:rsidRPr="004E01FF">
        <w:rPr>
          <w:sz w:val="19"/>
          <w:szCs w:val="19"/>
          <w:lang w:eastAsia="ja-JP"/>
        </w:rPr>
        <w:t xml:space="preserve"> </w:t>
      </w:r>
      <w:r w:rsidRPr="004E01FF">
        <w:rPr>
          <w:rFonts w:ascii="ＭＳ ゴシック" w:eastAsia="ＭＳ ゴシック" w:hAnsi="ＭＳ ゴシック" w:cs="ＭＳ ゴシック" w:hint="eastAsia"/>
          <w:sz w:val="19"/>
          <w:szCs w:val="19"/>
          <w:lang w:eastAsia="ja-JP"/>
        </w:rPr>
        <w:t>ム油の収穫面積が増加していることがわかります。これは、</w:t>
      </w:r>
      <w:r w:rsidRPr="004E01FF">
        <w:rPr>
          <w:sz w:val="19"/>
          <w:szCs w:val="19"/>
          <w:lang w:eastAsia="ja-JP"/>
        </w:rPr>
        <w:t xml:space="preserve"> </w:t>
      </w:r>
      <w:r w:rsidRPr="004E01FF">
        <w:rPr>
          <w:rFonts w:ascii="ＭＳ ゴシック" w:eastAsia="ＭＳ ゴシック" w:hAnsi="ＭＳ ゴシック" w:cs="ＭＳ ゴシック" w:hint="eastAsia"/>
          <w:sz w:val="19"/>
          <w:szCs w:val="19"/>
          <w:lang w:eastAsia="ja-JP"/>
        </w:rPr>
        <w:t>同国の収穫面積の伸びの全体が、パーム油の生産量の増加によってもたらされていることを示しています。</w:t>
      </w:r>
    </w:p>
    <w:p w14:paraId="18133078" w14:textId="0229BB27" w:rsidR="004E01FF" w:rsidRPr="004E01FF" w:rsidRDefault="004E01FF" w:rsidP="004E01FF">
      <w:pPr>
        <w:spacing w:before="4" w:line="328" w:lineRule="auto"/>
        <w:ind w:left="265" w:right="1434" w:firstLineChars="100" w:firstLine="180"/>
        <w:rPr>
          <w:color w:val="545456"/>
          <w:sz w:val="18"/>
          <w:lang w:eastAsia="ja-JP"/>
        </w:rPr>
      </w:pPr>
      <w:r w:rsidRPr="004E01FF">
        <w:rPr>
          <w:rFonts w:ascii="ＭＳ ゴシック" w:eastAsia="ＭＳ ゴシック" w:hAnsi="ＭＳ ゴシック" w:cs="ＭＳ ゴシック" w:hint="eastAsia"/>
          <w:color w:val="545456"/>
          <w:sz w:val="18"/>
          <w:lang w:eastAsia="ja-JP"/>
        </w:rPr>
        <w:t>表</w:t>
      </w:r>
      <w:r w:rsidRPr="004E01FF">
        <w:rPr>
          <w:color w:val="545456"/>
          <w:sz w:val="18"/>
          <w:lang w:eastAsia="ja-JP"/>
        </w:rPr>
        <w:t xml:space="preserve"> B.2 </w:t>
      </w:r>
      <w:r w:rsidRPr="004E01FF">
        <w:rPr>
          <w:rFonts w:ascii="ＭＳ ゴシック" w:eastAsia="ＭＳ ゴシック" w:hAnsi="ＭＳ ゴシック" w:cs="ＭＳ ゴシック" w:hint="eastAsia"/>
          <w:color w:val="545456"/>
          <w:sz w:val="18"/>
          <w:lang w:eastAsia="ja-JP"/>
        </w:rPr>
        <w:t>が示すように、土地利用全体の増加分の約</w:t>
      </w:r>
      <w:r w:rsidRPr="004E01FF">
        <w:rPr>
          <w:color w:val="545456"/>
          <w:sz w:val="18"/>
          <w:lang w:eastAsia="ja-JP"/>
        </w:rPr>
        <w:t xml:space="preserve"> 27</w:t>
      </w:r>
      <w:r w:rsidRPr="004E01FF">
        <w:rPr>
          <w:rFonts w:ascii="ＭＳ ゴシック" w:eastAsia="ＭＳ ゴシック" w:hAnsi="ＭＳ ゴシック" w:cs="ＭＳ ゴシック" w:hint="eastAsia"/>
          <w:color w:val="545456"/>
          <w:sz w:val="18"/>
          <w:lang w:eastAsia="ja-JP"/>
        </w:rPr>
        <w:t>％は、面積が減少している他の農地への転換でもたらされ</w:t>
      </w:r>
      <w:r>
        <w:rPr>
          <w:rFonts w:ascii="ＭＳ ゴシック" w:eastAsia="ＭＳ ゴシック" w:hAnsi="ＭＳ ゴシック" w:cs="ＭＳ ゴシック" w:hint="eastAsia"/>
          <w:color w:val="545456"/>
          <w:sz w:val="18"/>
          <w:lang w:eastAsia="ja-JP"/>
        </w:rPr>
        <w:t>てい</w:t>
      </w:r>
      <w:r w:rsidRPr="004E01FF">
        <w:rPr>
          <w:rFonts w:ascii="ＭＳ ゴシック" w:eastAsia="ＭＳ ゴシック" w:hAnsi="ＭＳ ゴシック" w:cs="ＭＳ ゴシック" w:hint="eastAsia"/>
          <w:color w:val="545456"/>
          <w:sz w:val="18"/>
          <w:lang w:eastAsia="ja-JP"/>
        </w:rPr>
        <w:t>る可能性があ</w:t>
      </w:r>
      <w:r>
        <w:rPr>
          <w:rFonts w:ascii="ＭＳ ゴシック" w:eastAsia="ＭＳ ゴシック" w:hAnsi="ＭＳ ゴシック" w:cs="ＭＳ ゴシック" w:hint="eastAsia"/>
          <w:color w:val="545456"/>
          <w:sz w:val="18"/>
          <w:lang w:eastAsia="ja-JP"/>
        </w:rPr>
        <w:t>ります</w:t>
      </w:r>
      <w:r w:rsidRPr="004E01FF">
        <w:rPr>
          <w:rFonts w:ascii="ＭＳ ゴシック" w:eastAsia="ＭＳ ゴシック" w:hAnsi="ＭＳ ゴシック" w:cs="ＭＳ ゴシック" w:hint="eastAsia"/>
          <w:color w:val="545456"/>
          <w:sz w:val="18"/>
          <w:lang w:eastAsia="ja-JP"/>
        </w:rPr>
        <w:t>。したがって、同社は、マレーシアで生産されるパーム油の</w:t>
      </w:r>
      <w:r w:rsidRPr="004E01FF">
        <w:rPr>
          <w:color w:val="545456"/>
          <w:sz w:val="18"/>
          <w:lang w:eastAsia="ja-JP"/>
        </w:rPr>
        <w:t>72</w:t>
      </w:r>
      <w:r w:rsidRPr="004E01FF">
        <w:rPr>
          <w:rFonts w:ascii="ＭＳ ゴシック" w:eastAsia="ＭＳ ゴシック" w:hAnsi="ＭＳ ゴシック" w:cs="ＭＳ ゴシック" w:hint="eastAsia"/>
          <w:color w:val="545456"/>
          <w:sz w:val="18"/>
          <w:lang w:eastAsia="ja-JP"/>
        </w:rPr>
        <w:t>％は、別の土地カテゴリーから変換されたものであると想定してい</w:t>
      </w:r>
      <w:r>
        <w:rPr>
          <w:rFonts w:ascii="ＭＳ ゴシック" w:eastAsia="ＭＳ ゴシック" w:hAnsi="ＭＳ ゴシック" w:cs="ＭＳ ゴシック" w:hint="eastAsia"/>
          <w:color w:val="545456"/>
          <w:sz w:val="18"/>
          <w:lang w:eastAsia="ja-JP"/>
        </w:rPr>
        <w:t>ます</w:t>
      </w:r>
      <w:r w:rsidRPr="004E01FF">
        <w:rPr>
          <w:rFonts w:ascii="ＭＳ ゴシック" w:eastAsia="ＭＳ ゴシック" w:hAnsi="ＭＳ ゴシック" w:cs="ＭＳ ゴシック" w:hint="eastAsia"/>
          <w:color w:val="545456"/>
          <w:sz w:val="18"/>
          <w:lang w:eastAsia="ja-JP"/>
        </w:rPr>
        <w:t>。</w:t>
      </w:r>
    </w:p>
    <w:p w14:paraId="2831BA22" w14:textId="485DB850" w:rsidR="0055291C" w:rsidRDefault="004E01FF" w:rsidP="004E01FF">
      <w:pPr>
        <w:spacing w:before="4" w:line="328" w:lineRule="auto"/>
        <w:ind w:left="265" w:right="1434"/>
        <w:rPr>
          <w:sz w:val="18"/>
          <w:lang w:eastAsia="ja-JP"/>
        </w:rPr>
      </w:pPr>
      <w:r w:rsidRPr="004E01FF">
        <w:rPr>
          <w:rFonts w:ascii="ＭＳ ゴシック" w:eastAsia="ＭＳ ゴシック" w:hAnsi="ＭＳ ゴシック" w:cs="ＭＳ ゴシック" w:hint="eastAsia"/>
          <w:color w:val="545456"/>
          <w:sz w:val="18"/>
          <w:lang w:eastAsia="ja-JP"/>
        </w:rPr>
        <w:t>農地の総面積が減少している場合や、劣化した農地を牧草地や他の種類の土地カテゴリーに転換するための具体的な取り組みが行われている場合には、この仮定は成り立たないはずで</w:t>
      </w:r>
      <w:r>
        <w:rPr>
          <w:rFonts w:ascii="ＭＳ ゴシック" w:eastAsia="ＭＳ ゴシック" w:hAnsi="ＭＳ ゴシック" w:cs="ＭＳ ゴシック" w:hint="eastAsia"/>
          <w:color w:val="545456"/>
          <w:sz w:val="18"/>
          <w:lang w:eastAsia="ja-JP"/>
        </w:rPr>
        <w:t>す</w:t>
      </w:r>
      <w:r w:rsidRPr="004E01FF">
        <w:rPr>
          <w:rFonts w:ascii="ＭＳ ゴシック" w:eastAsia="ＭＳ ゴシック" w:hAnsi="ＭＳ ゴシック" w:cs="ＭＳ ゴシック" w:hint="eastAsia"/>
          <w:color w:val="545456"/>
          <w:sz w:val="18"/>
          <w:lang w:eastAsia="ja-JP"/>
        </w:rPr>
        <w:t>。このような場合、他の農地が減少しているのは、そうした努力や調査対象製品への転換によるものである可能性が</w:t>
      </w:r>
      <w:r>
        <w:rPr>
          <w:rFonts w:ascii="ＭＳ ゴシック" w:eastAsia="ＭＳ ゴシック" w:hAnsi="ＭＳ ゴシック" w:cs="ＭＳ ゴシック" w:hint="eastAsia"/>
          <w:color w:val="545456"/>
          <w:sz w:val="18"/>
          <w:lang w:eastAsia="ja-JP"/>
        </w:rPr>
        <w:t>ります</w:t>
      </w:r>
      <w:r w:rsidRPr="004E01FF">
        <w:rPr>
          <w:rFonts w:ascii="ＭＳ ゴシック" w:eastAsia="ＭＳ ゴシック" w:hAnsi="ＭＳ ゴシック" w:cs="ＭＳ ゴシック" w:hint="eastAsia"/>
          <w:color w:val="545456"/>
          <w:sz w:val="18"/>
          <w:lang w:eastAsia="ja-JP"/>
        </w:rPr>
        <w:t>。</w:t>
      </w:r>
    </w:p>
    <w:p w14:paraId="16BE7ECC" w14:textId="77777777" w:rsidR="0055291C" w:rsidRDefault="0055291C">
      <w:pPr>
        <w:spacing w:line="328" w:lineRule="auto"/>
        <w:rPr>
          <w:sz w:val="18"/>
          <w:lang w:eastAsia="ja-JP"/>
        </w:rPr>
        <w:sectPr w:rsidR="0055291C">
          <w:type w:val="continuous"/>
          <w:pgSz w:w="12240" w:h="15840"/>
          <w:pgMar w:top="740" w:right="0" w:bottom="280" w:left="0" w:header="0" w:footer="859" w:gutter="0"/>
          <w:cols w:num="2" w:space="720" w:equalWidth="0">
            <w:col w:w="5957" w:space="40"/>
            <w:col w:w="6243"/>
          </w:cols>
        </w:sectPr>
      </w:pPr>
    </w:p>
    <w:p w14:paraId="251326C9" w14:textId="77777777" w:rsidR="0055291C" w:rsidRDefault="0055291C">
      <w:pPr>
        <w:spacing w:line="328" w:lineRule="auto"/>
        <w:rPr>
          <w:sz w:val="18"/>
          <w:lang w:eastAsia="ja-JP"/>
        </w:rPr>
        <w:sectPr w:rsidR="0055291C">
          <w:type w:val="continuous"/>
          <w:pgSz w:w="12240" w:h="15840"/>
          <w:pgMar w:top="740" w:right="0" w:bottom="280" w:left="0" w:header="0" w:footer="859" w:gutter="0"/>
          <w:cols w:space="720"/>
        </w:sectPr>
      </w:pPr>
    </w:p>
    <w:p w14:paraId="6AC3BC37" w14:textId="77777777" w:rsidR="0055291C" w:rsidRDefault="0055291C">
      <w:pPr>
        <w:pStyle w:val="a3"/>
        <w:rPr>
          <w:sz w:val="20"/>
          <w:lang w:eastAsia="ja-JP"/>
        </w:rPr>
      </w:pPr>
    </w:p>
    <w:p w14:paraId="721889F5" w14:textId="77777777" w:rsidR="0055291C" w:rsidRDefault="0055291C">
      <w:pPr>
        <w:pStyle w:val="a3"/>
        <w:rPr>
          <w:sz w:val="20"/>
          <w:lang w:eastAsia="ja-JP"/>
        </w:rPr>
      </w:pPr>
    </w:p>
    <w:p w14:paraId="32715F23" w14:textId="77777777" w:rsidR="0055291C" w:rsidRDefault="0055291C">
      <w:pPr>
        <w:pStyle w:val="a3"/>
        <w:rPr>
          <w:sz w:val="20"/>
          <w:lang w:eastAsia="ja-JP"/>
        </w:rPr>
      </w:pPr>
    </w:p>
    <w:p w14:paraId="425B812E" w14:textId="77777777" w:rsidR="0055291C" w:rsidRDefault="0055291C">
      <w:pPr>
        <w:pStyle w:val="a3"/>
        <w:rPr>
          <w:sz w:val="20"/>
          <w:lang w:eastAsia="ja-JP"/>
        </w:rPr>
      </w:pPr>
    </w:p>
    <w:p w14:paraId="4B7795C8" w14:textId="77777777" w:rsidR="0055291C" w:rsidRDefault="0055291C">
      <w:pPr>
        <w:pStyle w:val="a3"/>
        <w:spacing w:before="7"/>
        <w:rPr>
          <w:sz w:val="21"/>
          <w:lang w:eastAsia="ja-JP"/>
        </w:rPr>
      </w:pPr>
    </w:p>
    <w:p w14:paraId="45B9EBDA" w14:textId="315CABC6" w:rsidR="0055291C" w:rsidRDefault="00F23C61">
      <w:pPr>
        <w:pStyle w:val="6"/>
        <w:spacing w:before="1"/>
        <w:rPr>
          <w:lang w:eastAsia="ja-JP"/>
        </w:rPr>
      </w:pPr>
      <w:r>
        <w:rPr>
          <w:color w:val="00ACA1"/>
          <w:w w:val="95"/>
          <w:lang w:eastAsia="ja-JP"/>
        </w:rPr>
        <w:t>Box</w:t>
      </w:r>
      <w:r>
        <w:rPr>
          <w:color w:val="00ACA1"/>
          <w:spacing w:val="8"/>
          <w:w w:val="95"/>
          <w:lang w:eastAsia="ja-JP"/>
        </w:rPr>
        <w:t xml:space="preserve"> </w:t>
      </w:r>
      <w:r>
        <w:rPr>
          <w:color w:val="00ACA1"/>
          <w:w w:val="95"/>
          <w:lang w:eastAsia="ja-JP"/>
        </w:rPr>
        <w:t>[B.2]</w:t>
      </w:r>
      <w:r>
        <w:rPr>
          <w:color w:val="00ACA1"/>
          <w:spacing w:val="66"/>
          <w:lang w:eastAsia="ja-JP"/>
        </w:rPr>
        <w:t xml:space="preserve"> </w:t>
      </w:r>
      <w:r w:rsidR="00EE4C88">
        <w:rPr>
          <w:rFonts w:ascii="ＭＳ 明朝" w:eastAsia="ＭＳ 明朝" w:hAnsi="ＭＳ 明朝" w:cs="ＭＳ 明朝" w:hint="eastAsia"/>
          <w:lang w:eastAsia="ja-JP"/>
        </w:rPr>
        <w:t>特定のデータがない場合の土地利用変化による影響の推計</w:t>
      </w:r>
      <w:r w:rsidR="00EE4C88">
        <w:rPr>
          <w:color w:val="545456"/>
          <w:spacing w:val="9"/>
          <w:w w:val="95"/>
          <w:lang w:eastAsia="ja-JP"/>
        </w:rPr>
        <w:t xml:space="preserve"> </w:t>
      </w:r>
      <w:r w:rsidR="00EE4C88">
        <w:rPr>
          <w:rFonts w:ascii="ＭＳ 明朝" w:eastAsia="ＭＳ 明朝" w:hAnsi="ＭＳ 明朝" w:cs="ＭＳ 明朝" w:hint="eastAsia"/>
          <w:color w:val="545456"/>
          <w:w w:val="95"/>
          <w:lang w:eastAsia="ja-JP"/>
        </w:rPr>
        <w:t>（続き）</w:t>
      </w:r>
    </w:p>
    <w:p w14:paraId="0899EE01" w14:textId="77777777" w:rsidR="0055291C" w:rsidRDefault="0055291C">
      <w:pPr>
        <w:pStyle w:val="a3"/>
        <w:rPr>
          <w:rFonts w:ascii="Arial"/>
          <w:b/>
          <w:sz w:val="20"/>
          <w:lang w:eastAsia="ja-JP"/>
        </w:rPr>
      </w:pPr>
    </w:p>
    <w:p w14:paraId="144C4DBE" w14:textId="582DCA17" w:rsidR="0055291C" w:rsidRDefault="00000000">
      <w:pPr>
        <w:pStyle w:val="a3"/>
        <w:spacing w:before="10"/>
        <w:rPr>
          <w:rFonts w:ascii="Arial"/>
          <w:b/>
          <w:sz w:val="20"/>
          <w:lang w:eastAsia="ja-JP"/>
        </w:rPr>
      </w:pPr>
      <w:r>
        <w:rPr>
          <w:sz w:val="22"/>
        </w:rPr>
        <w:pict w14:anchorId="2B9ED872">
          <v:group id="docshapegroup1610" o:spid="_x0000_s2207" style="position:absolute;margin-left:56.65pt;margin-top:9.6pt;width:498.65pt;height:542.1pt;z-index:-251536896;mso-position-horizontal-relative:page" coordorigin="1134,-187" coordsize="9973,10842">
            <v:shape id="docshape1611" o:spid="_x0000_s2238" style="position:absolute;left:1133;top:-188;width:9973;height:10842" coordorigin="1134,-187" coordsize="9973,10842" path="m10866,-187r-9492,l1235,-184r-71,27l1138,-86r-4,139l1134,10414r4,138l1164,10624r71,26l1374,10654r9492,l11005,10650r71,-26l11102,10552r4,-138l11106,53r-4,-139l11076,-157r-71,-27l10866,-187xe" fillcolor="#e4f3f1" stroked="f">
              <v:path arrowok="t"/>
            </v:shape>
            <v:shape id="docshape1612" o:spid="_x0000_s2237" style="position:absolute;left:1397;top:474;width:9444;height:716" coordorigin="1398,474" coordsize="9444,716" o:spt="100" adj="0,,0" path="m3555,635r-3,-93l3535,494r-48,-17l3394,474r-1836,l1465,477r-47,17l1400,542r-2,93l1398,1189r2157,l3555,635xm6001,635r-3,-93l5981,494r-48,-17l5840,474r-1836,l3911,477r-47,17l3846,542r-2,93l3844,1189r2157,l6001,635xm8411,635r-2,-93l8391,494r-48,-17l8250,474r-1835,l6322,477r-48,17l6257,542r-3,93l6254,1189r2157,l8411,635xm10841,635r-2,-93l10821,494r-48,-17l10680,474r-1835,l8752,477r-48,17l8687,542r-3,93l8684,1189r2157,l10841,635xe" fillcolor="#00aca1" stroked="f">
              <v:stroke joinstyle="round"/>
              <v:formulas/>
              <v:path arrowok="t" o:connecttype="segments"/>
            </v:shape>
            <v:shape id="docshape1613" o:spid="_x0000_s2236" style="position:absolute;left:1397;top:1248;width:9444;height:3924" coordorigin="1398,1248" coordsize="9444,3924" o:spt="100" adj="0,,0" path="m3555,1248r-2157,l1398,5011r2,93l1418,5152r47,17l1558,5172r1836,l3487,5169r48,-17l3552,5104r3,-93l3555,1248xm6001,1248r-2157,l3844,5011r2,93l3864,5152r47,17l4004,5172r1836,l5933,5169r48,-17l5998,5104r3,-93l6001,1248xm8411,1248r-2157,l6254,5011r3,93l6274,5152r48,17l6415,5172r1835,l8343,5169r48,-17l8409,5104r2,-93l8411,1248xm10841,1248r-2157,l8684,5011r3,93l8704,5152r48,17l8845,5172r1835,l10773,5169r48,-17l10839,5104r2,-93l10841,1248xe" fillcolor="#f3f4f4" stroked="f">
              <v:stroke joinstyle="round"/>
              <v:formulas/>
              <v:path arrowok="t" o:connecttype="segments"/>
            </v:shape>
            <v:line id="_x0000_s2235" style="position:absolute" from="3555,2966" to="1398,2966" strokecolor="#e4f3f1" strokeweight="2pt"/>
            <v:line id="_x0000_s2234" style="position:absolute" from="3555,2554" to="1398,2554" strokecolor="#e4f3f1" strokeweight="2pt"/>
            <v:line id="_x0000_s2233" style="position:absolute" from="3555,2114" to="1398,2114" strokecolor="#e4f3f1" strokeweight="2pt"/>
            <v:line id="_x0000_s2232" style="position:absolute" from="3555,1674" to="1398,1674" strokecolor="#e4f3f1" strokeweight="2pt"/>
            <v:line id="_x0000_s2231" style="position:absolute" from="3555,3974" to="1398,3974" strokecolor="#e4f3f1" strokeweight="2pt"/>
            <v:line id="_x0000_s2230" style="position:absolute" from="3555,4354" to="1398,4354" strokecolor="#e4f3f1" strokeweight="2pt"/>
            <v:line id="_x0000_s2229" style="position:absolute" from="6001,2966" to="3844,2966" strokecolor="#e4f3f1" strokeweight="2pt"/>
            <v:line id="_x0000_s2228" style="position:absolute" from="6001,2554" to="3844,2554" strokecolor="#e4f3f1" strokeweight="2pt"/>
            <v:line id="_x0000_s2227" style="position:absolute" from="6001,2114" to="3844,2114" strokecolor="#e4f3f1" strokeweight="2pt"/>
            <v:line id="_x0000_s2226" style="position:absolute" from="6001,1674" to="3844,1674" strokecolor="#e4f3f1" strokeweight="2pt"/>
            <v:line id="_x0000_s2225" style="position:absolute" from="6001,3974" to="3844,3974" strokecolor="#e4f3f1" strokeweight="2pt"/>
            <v:line id="_x0000_s2224" style="position:absolute" from="6001,4354" to="3844,4354" strokecolor="#e4f3f1" strokeweight="2pt"/>
            <v:line id="_x0000_s2223" style="position:absolute" from="8428,2966" to="6271,2966" strokecolor="#e4f3f1" strokeweight="2pt"/>
            <v:line id="_x0000_s2222" style="position:absolute" from="8428,2554" to="6271,2554" strokecolor="#e4f3f1" strokeweight="2pt"/>
            <v:line id="_x0000_s2221" style="position:absolute" from="8428,2114" to="6271,2114" strokecolor="#e4f3f1" strokeweight="2pt"/>
            <v:line id="_x0000_s2220" style="position:absolute" from="8428,1674" to="6271,1674" strokecolor="#e4f3f1" strokeweight="2pt"/>
            <v:line id="_x0000_s2219" style="position:absolute" from="8428,3974" to="6271,3974" strokecolor="#e4f3f1" strokeweight="2pt"/>
            <v:line id="_x0000_s2218" style="position:absolute" from="8428,4354" to="6271,4354" strokecolor="#e4f3f1" strokeweight="2pt"/>
            <v:line id="_x0000_s2217" style="position:absolute" from="3555,3498" to="1398,3498" strokecolor="white" strokeweight=".66744mm"/>
            <v:line id="_x0000_s2216" style="position:absolute" from="6001,3498" to="3844,3498" strokecolor="white" strokeweight=".66744mm"/>
            <v:line id="_x0000_s2215" style="position:absolute" from="8428,3498" to="6271,3498" strokecolor="white" strokeweight=".66744mm"/>
            <v:line id="_x0000_s2214" style="position:absolute" from="10853,3498" to="8696,3498" strokecolor="white" strokeweight=".66744mm"/>
            <v:line id="_x0000_s2213" style="position:absolute" from="10853,2966" to="8696,2966" strokecolor="#e4f3f1" strokeweight="2pt"/>
            <v:line id="_x0000_s2212" style="position:absolute" from="10853,2554" to="8696,2554" strokecolor="#e4f3f1" strokeweight="2pt"/>
            <v:line id="_x0000_s2211" style="position:absolute" from="10853,2114" to="8696,2114" strokecolor="#e4f3f1" strokeweight="2pt"/>
            <v:line id="_x0000_s2210" style="position:absolute" from="10853,1674" to="8696,1674" strokecolor="#e4f3f1" strokeweight="2pt"/>
            <v:line id="_x0000_s2209" style="position:absolute" from="10853,3974" to="8696,3974" strokecolor="#e4f3f1" strokeweight="2pt"/>
            <v:line id="_x0000_s2208" style="position:absolute" from="10853,4354" to="8696,4354" strokecolor="#e4f3f1" strokeweight="2pt"/>
            <w10:wrap anchorx="page"/>
          </v:group>
        </w:pict>
      </w:r>
    </w:p>
    <w:p w14:paraId="4E4F4066" w14:textId="0F5DEC24" w:rsidR="0055291C" w:rsidRDefault="004E01FF">
      <w:pPr>
        <w:ind w:left="1440"/>
        <w:rPr>
          <w:rFonts w:ascii="Arial"/>
          <w:b/>
          <w:sz w:val="20"/>
          <w:lang w:eastAsia="ja-JP"/>
        </w:rPr>
      </w:pPr>
      <w:r>
        <w:rPr>
          <w:rFonts w:ascii="ＭＳ ゴシック" w:eastAsia="ＭＳ ゴシック" w:hAnsi="ＭＳ ゴシック" w:cs="ＭＳ ゴシック" w:hint="eastAsia"/>
          <w:b/>
          <w:color w:val="00ACA1"/>
          <w:w w:val="95"/>
          <w:sz w:val="20"/>
          <w:lang w:eastAsia="ja-JP"/>
        </w:rPr>
        <w:t>表</w:t>
      </w:r>
      <w:r w:rsidR="00F23C61">
        <w:rPr>
          <w:rFonts w:ascii="Arial"/>
          <w:b/>
          <w:color w:val="00ACA1"/>
          <w:spacing w:val="9"/>
          <w:w w:val="95"/>
          <w:sz w:val="20"/>
          <w:lang w:eastAsia="ja-JP"/>
        </w:rPr>
        <w:t xml:space="preserve"> </w:t>
      </w:r>
      <w:r w:rsidR="00F23C61">
        <w:rPr>
          <w:rFonts w:ascii="Arial"/>
          <w:b/>
          <w:color w:val="00ACA1"/>
          <w:w w:val="95"/>
          <w:sz w:val="20"/>
          <w:lang w:eastAsia="ja-JP"/>
        </w:rPr>
        <w:t>[B.2]</w:t>
      </w:r>
      <w:r w:rsidR="00F23C61">
        <w:rPr>
          <w:rFonts w:ascii="Arial"/>
          <w:b/>
          <w:color w:val="00ACA1"/>
          <w:spacing w:val="10"/>
          <w:w w:val="95"/>
          <w:sz w:val="20"/>
          <w:lang w:eastAsia="ja-JP"/>
        </w:rPr>
        <w:t xml:space="preserve"> </w:t>
      </w:r>
      <w:r>
        <w:rPr>
          <w:rFonts w:ascii="ＭＳ ゴシック" w:eastAsia="ＭＳ ゴシック" w:hAnsi="ＭＳ ゴシック" w:cs="ＭＳ ゴシック" w:hint="eastAsia"/>
          <w:lang w:eastAsia="ja-JP"/>
        </w:rPr>
        <w:t>マレーシアにおける</w:t>
      </w:r>
      <w:r>
        <w:rPr>
          <w:lang w:eastAsia="ja-JP"/>
        </w:rPr>
        <w:t>1988</w:t>
      </w:r>
      <w:r>
        <w:rPr>
          <w:rFonts w:ascii="ＭＳ ゴシック" w:eastAsia="ＭＳ ゴシック" w:hAnsi="ＭＳ ゴシック" w:cs="ＭＳ ゴシック" w:hint="eastAsia"/>
          <w:lang w:eastAsia="ja-JP"/>
        </w:rPr>
        <w:t>年から</w:t>
      </w:r>
      <w:r>
        <w:rPr>
          <w:lang w:eastAsia="ja-JP"/>
        </w:rPr>
        <w:t>2010</w:t>
      </w:r>
      <w:r>
        <w:rPr>
          <w:rFonts w:ascii="ＭＳ ゴシック" w:eastAsia="ＭＳ ゴシック" w:hAnsi="ＭＳ ゴシック" w:cs="ＭＳ ゴシック" w:hint="eastAsia"/>
          <w:lang w:eastAsia="ja-JP"/>
        </w:rPr>
        <w:t>年までの上位作物と収穫面積の差（</w:t>
      </w:r>
      <w:r>
        <w:rPr>
          <w:lang w:eastAsia="ja-JP"/>
        </w:rPr>
        <w:t>ha</w:t>
      </w:r>
      <w:r w:rsidR="0088080E">
        <w:rPr>
          <w:rFonts w:ascii="ＭＳ ゴシック" w:eastAsia="ＭＳ ゴシック" w:hAnsi="ＭＳ ゴシック" w:cs="ＭＳ ゴシック" w:hint="eastAsia"/>
          <w:lang w:eastAsia="ja-JP"/>
        </w:rPr>
        <w:t>）</w:t>
      </w:r>
    </w:p>
    <w:p w14:paraId="516662BE" w14:textId="77777777" w:rsidR="0055291C" w:rsidRDefault="0055291C">
      <w:pPr>
        <w:pStyle w:val="a3"/>
        <w:rPr>
          <w:rFonts w:ascii="Arial"/>
          <w:b/>
          <w:sz w:val="23"/>
          <w:lang w:eastAsia="ja-JP"/>
        </w:rPr>
      </w:pPr>
    </w:p>
    <w:p w14:paraId="5FE6FD1F" w14:textId="77777777" w:rsidR="0055291C" w:rsidRDefault="0055291C">
      <w:pPr>
        <w:rPr>
          <w:rFonts w:ascii="Arial"/>
          <w:sz w:val="23"/>
          <w:lang w:eastAsia="ja-JP"/>
        </w:rPr>
        <w:sectPr w:rsidR="0055291C">
          <w:pgSz w:w="12240" w:h="15840"/>
          <w:pgMar w:top="620" w:right="0" w:bottom="1040" w:left="0" w:header="0" w:footer="859" w:gutter="0"/>
          <w:cols w:space="720"/>
        </w:sectPr>
      </w:pPr>
    </w:p>
    <w:p w14:paraId="3B896FE5" w14:textId="5D17EE65" w:rsidR="0055291C" w:rsidRDefault="004E01FF">
      <w:pPr>
        <w:tabs>
          <w:tab w:val="left" w:pos="4027"/>
        </w:tabs>
        <w:spacing w:before="97" w:line="247" w:lineRule="auto"/>
        <w:ind w:left="4027" w:hanging="2503"/>
        <w:rPr>
          <w:rFonts w:ascii="Arial"/>
          <w:b/>
          <w:i/>
          <w:sz w:val="21"/>
          <w:lang w:eastAsia="ja-JP"/>
        </w:rPr>
      </w:pPr>
      <w:r>
        <w:rPr>
          <w:rFonts w:ascii="ＭＳ ゴシック" w:eastAsia="ＭＳ ゴシック" w:hAnsi="ＭＳ ゴシック" w:cs="ＭＳ ゴシック" w:hint="eastAsia"/>
          <w:b/>
          <w:i/>
          <w:color w:val="F1F1F2"/>
          <w:sz w:val="21"/>
          <w:lang w:eastAsia="ja-JP"/>
        </w:rPr>
        <w:t>製品</w:t>
      </w:r>
      <w:r w:rsidR="00F23C61">
        <w:rPr>
          <w:rFonts w:ascii="Arial"/>
          <w:b/>
          <w:i/>
          <w:color w:val="F1F1F2"/>
          <w:sz w:val="21"/>
          <w:lang w:eastAsia="ja-JP"/>
        </w:rPr>
        <w:tab/>
        <w:t>1988</w:t>
      </w:r>
      <w:r>
        <w:rPr>
          <w:rFonts w:ascii="ＭＳ ゴシック" w:eastAsia="ＭＳ ゴシック" w:hAnsi="ＭＳ ゴシック" w:cs="ＭＳ ゴシック" w:hint="eastAsia"/>
          <w:b/>
          <w:i/>
          <w:color w:val="F1F1F2"/>
          <w:sz w:val="21"/>
          <w:lang w:eastAsia="ja-JP"/>
        </w:rPr>
        <w:t>年の収穫面積</w:t>
      </w:r>
      <w:r w:rsidR="00F23C61">
        <w:rPr>
          <w:rFonts w:ascii="Arial"/>
          <w:b/>
          <w:i/>
          <w:color w:val="F1F1F2"/>
          <w:spacing w:val="-9"/>
          <w:sz w:val="21"/>
          <w:lang w:eastAsia="ja-JP"/>
        </w:rPr>
        <w:t xml:space="preserve"> </w:t>
      </w:r>
      <w:r w:rsidR="00F23C61">
        <w:rPr>
          <w:rFonts w:ascii="Arial"/>
          <w:b/>
          <w:i/>
          <w:color w:val="F1F1F2"/>
          <w:sz w:val="21"/>
          <w:lang w:eastAsia="ja-JP"/>
        </w:rPr>
        <w:t>[ha]</w:t>
      </w:r>
    </w:p>
    <w:p w14:paraId="229671AB" w14:textId="3C0B764C" w:rsidR="0055291C" w:rsidRDefault="00F23C61">
      <w:pPr>
        <w:spacing w:before="97" w:line="247" w:lineRule="auto"/>
        <w:ind w:left="973"/>
        <w:rPr>
          <w:rFonts w:ascii="Arial"/>
          <w:b/>
          <w:i/>
          <w:sz w:val="21"/>
          <w:lang w:eastAsia="ja-JP"/>
        </w:rPr>
      </w:pPr>
      <w:r>
        <w:rPr>
          <w:lang w:eastAsia="ja-JP"/>
        </w:rPr>
        <w:br w:type="column"/>
      </w:r>
      <w:r>
        <w:rPr>
          <w:rFonts w:ascii="Arial"/>
          <w:b/>
          <w:i/>
          <w:color w:val="F1F1F2"/>
          <w:spacing w:val="-53"/>
          <w:w w:val="95"/>
          <w:sz w:val="21"/>
          <w:lang w:eastAsia="ja-JP"/>
        </w:rPr>
        <w:t xml:space="preserve"> </w:t>
      </w:r>
      <w:r>
        <w:rPr>
          <w:rFonts w:ascii="Arial"/>
          <w:b/>
          <w:i/>
          <w:color w:val="F1F1F2"/>
          <w:sz w:val="21"/>
          <w:lang w:eastAsia="ja-JP"/>
        </w:rPr>
        <w:t>2008</w:t>
      </w:r>
      <w:r w:rsidR="00926814">
        <w:rPr>
          <w:rFonts w:ascii="ＭＳ ゴシック" w:eastAsia="ＭＳ ゴシック" w:hAnsi="ＭＳ ゴシック" w:cs="ＭＳ ゴシック" w:hint="eastAsia"/>
          <w:b/>
          <w:i/>
          <w:color w:val="F1F1F2"/>
          <w:sz w:val="21"/>
          <w:lang w:eastAsia="ja-JP"/>
        </w:rPr>
        <w:t>年の収穫面積</w:t>
      </w:r>
      <w:r>
        <w:rPr>
          <w:rFonts w:ascii="Arial"/>
          <w:b/>
          <w:i/>
          <w:color w:val="F1F1F2"/>
          <w:spacing w:val="-9"/>
          <w:sz w:val="21"/>
          <w:lang w:eastAsia="ja-JP"/>
        </w:rPr>
        <w:t xml:space="preserve"> </w:t>
      </w:r>
      <w:r>
        <w:rPr>
          <w:rFonts w:ascii="Arial"/>
          <w:b/>
          <w:i/>
          <w:color w:val="F1F1F2"/>
          <w:sz w:val="21"/>
          <w:lang w:eastAsia="ja-JP"/>
        </w:rPr>
        <w:t>[ha]</w:t>
      </w:r>
    </w:p>
    <w:p w14:paraId="00937FEC" w14:textId="7E3017AD" w:rsidR="0055291C" w:rsidRDefault="00F23C61">
      <w:pPr>
        <w:spacing w:before="97"/>
        <w:ind w:left="854"/>
        <w:rPr>
          <w:rFonts w:ascii="Arial"/>
          <w:b/>
          <w:i/>
          <w:sz w:val="21"/>
          <w:lang w:eastAsia="ja-JP"/>
        </w:rPr>
      </w:pPr>
      <w:r>
        <w:rPr>
          <w:lang w:eastAsia="ja-JP"/>
        </w:rPr>
        <w:br w:type="column"/>
      </w:r>
      <w:r w:rsidR="00926814">
        <w:rPr>
          <w:rFonts w:ascii="ＭＳ ゴシック" w:eastAsia="ＭＳ ゴシック" w:hAnsi="ＭＳ ゴシック" w:cs="ＭＳ ゴシック" w:hint="eastAsia"/>
          <w:b/>
          <w:i/>
          <w:color w:val="F1F1F2"/>
          <w:spacing w:val="-1"/>
          <w:sz w:val="21"/>
          <w:lang w:eastAsia="ja-JP"/>
        </w:rPr>
        <w:t>差</w:t>
      </w:r>
      <w:r>
        <w:rPr>
          <w:rFonts w:ascii="Arial"/>
          <w:b/>
          <w:i/>
          <w:color w:val="F1F1F2"/>
          <w:spacing w:val="-10"/>
          <w:sz w:val="21"/>
          <w:lang w:eastAsia="ja-JP"/>
        </w:rPr>
        <w:t xml:space="preserve"> </w:t>
      </w:r>
      <w:r>
        <w:rPr>
          <w:rFonts w:ascii="Arial"/>
          <w:b/>
          <w:i/>
          <w:color w:val="F1F1F2"/>
          <w:sz w:val="21"/>
          <w:lang w:eastAsia="ja-JP"/>
        </w:rPr>
        <w:t>[ha]</w:t>
      </w:r>
    </w:p>
    <w:p w14:paraId="359F2932" w14:textId="77777777" w:rsidR="0055291C" w:rsidRDefault="0055291C">
      <w:pPr>
        <w:rPr>
          <w:rFonts w:ascii="Arial"/>
          <w:sz w:val="21"/>
          <w:lang w:eastAsia="ja-JP"/>
        </w:rPr>
        <w:sectPr w:rsidR="0055291C">
          <w:type w:val="continuous"/>
          <w:pgSz w:w="12240" w:h="15840"/>
          <w:pgMar w:top="740" w:right="0" w:bottom="280" w:left="0" w:header="0" w:footer="859" w:gutter="0"/>
          <w:cols w:num="3" w:space="720" w:equalWidth="0">
            <w:col w:w="5517" w:space="40"/>
            <w:col w:w="2464" w:space="39"/>
            <w:col w:w="4180"/>
          </w:cols>
        </w:sectPr>
      </w:pPr>
    </w:p>
    <w:p w14:paraId="35FC404D" w14:textId="77777777" w:rsidR="0055291C" w:rsidRDefault="0055291C">
      <w:pPr>
        <w:pStyle w:val="a3"/>
        <w:rPr>
          <w:rFonts w:ascii="Arial"/>
          <w:b/>
          <w:i/>
          <w:sz w:val="16"/>
          <w:lang w:eastAsia="ja-JP"/>
        </w:rPr>
      </w:pPr>
    </w:p>
    <w:p w14:paraId="293BA6CF" w14:textId="20D6A24C" w:rsidR="0055291C" w:rsidRDefault="00926814">
      <w:pPr>
        <w:tabs>
          <w:tab w:val="left" w:pos="4027"/>
          <w:tab w:val="left" w:pos="6530"/>
          <w:tab w:val="left" w:pos="8913"/>
        </w:tabs>
        <w:spacing w:before="99"/>
        <w:ind w:left="1524"/>
        <w:rPr>
          <w:sz w:val="18"/>
          <w:lang w:eastAsia="ja-JP"/>
        </w:rPr>
      </w:pPr>
      <w:r>
        <w:rPr>
          <w:rFonts w:ascii="ＭＳ ゴシック" w:eastAsia="ＭＳ ゴシック" w:hAnsi="ＭＳ ゴシック" w:cs="ＭＳ ゴシック" w:hint="eastAsia"/>
          <w:b/>
          <w:color w:val="545456"/>
          <w:sz w:val="18"/>
          <w:lang w:eastAsia="ja-JP"/>
        </w:rPr>
        <w:t>ココナッツ</w:t>
      </w:r>
      <w:r w:rsidR="00F23C61">
        <w:rPr>
          <w:rFonts w:ascii="Arial"/>
          <w:b/>
          <w:color w:val="545456"/>
          <w:sz w:val="18"/>
          <w:lang w:eastAsia="ja-JP"/>
        </w:rPr>
        <w:tab/>
      </w:r>
      <w:r w:rsidR="00F23C61">
        <w:rPr>
          <w:color w:val="545456"/>
          <w:sz w:val="18"/>
          <w:lang w:eastAsia="ja-JP"/>
        </w:rPr>
        <w:t>327,812</w:t>
      </w:r>
      <w:r w:rsidR="00F23C61">
        <w:rPr>
          <w:color w:val="545456"/>
          <w:sz w:val="18"/>
          <w:lang w:eastAsia="ja-JP"/>
        </w:rPr>
        <w:tab/>
        <w:t>174,000</w:t>
      </w:r>
      <w:r w:rsidR="00F23C61">
        <w:rPr>
          <w:color w:val="545456"/>
          <w:sz w:val="18"/>
          <w:lang w:eastAsia="ja-JP"/>
        </w:rPr>
        <w:tab/>
        <w:t>-153,812</w:t>
      </w:r>
    </w:p>
    <w:p w14:paraId="707B2F0F" w14:textId="77777777" w:rsidR="0055291C" w:rsidRDefault="0055291C">
      <w:pPr>
        <w:pStyle w:val="a3"/>
        <w:spacing w:before="10"/>
        <w:rPr>
          <w:sz w:val="17"/>
          <w:lang w:eastAsia="ja-JP"/>
        </w:rPr>
      </w:pPr>
    </w:p>
    <w:p w14:paraId="40C946D0" w14:textId="43FE81A4" w:rsidR="0055291C" w:rsidRDefault="00926814">
      <w:pPr>
        <w:tabs>
          <w:tab w:val="left" w:pos="4027"/>
          <w:tab w:val="left" w:pos="6530"/>
          <w:tab w:val="left" w:pos="8913"/>
        </w:tabs>
        <w:ind w:left="1524"/>
        <w:rPr>
          <w:sz w:val="18"/>
          <w:lang w:eastAsia="ja-JP"/>
        </w:rPr>
      </w:pPr>
      <w:r>
        <w:rPr>
          <w:rFonts w:ascii="ＭＳ ゴシック" w:eastAsia="ＭＳ ゴシック" w:hAnsi="ＭＳ ゴシック" w:cs="ＭＳ ゴシック" w:hint="eastAsia"/>
          <w:b/>
          <w:color w:val="545456"/>
          <w:sz w:val="18"/>
          <w:lang w:eastAsia="ja-JP"/>
        </w:rPr>
        <w:t>天然ゴム</w:t>
      </w:r>
      <w:r w:rsidR="00F23C61">
        <w:rPr>
          <w:rFonts w:ascii="Arial"/>
          <w:b/>
          <w:color w:val="545456"/>
          <w:sz w:val="18"/>
          <w:lang w:eastAsia="ja-JP"/>
        </w:rPr>
        <w:tab/>
      </w:r>
      <w:r w:rsidR="00F23C61">
        <w:rPr>
          <w:color w:val="545456"/>
          <w:sz w:val="18"/>
          <w:lang w:eastAsia="ja-JP"/>
        </w:rPr>
        <w:t>1,660,000</w:t>
      </w:r>
      <w:r w:rsidR="00F23C61">
        <w:rPr>
          <w:color w:val="545456"/>
          <w:sz w:val="18"/>
          <w:lang w:eastAsia="ja-JP"/>
        </w:rPr>
        <w:tab/>
        <w:t>1,247,000</w:t>
      </w:r>
      <w:r w:rsidR="00F23C61">
        <w:rPr>
          <w:color w:val="545456"/>
          <w:sz w:val="18"/>
          <w:lang w:eastAsia="ja-JP"/>
        </w:rPr>
        <w:tab/>
        <w:t>-413,000</w:t>
      </w:r>
    </w:p>
    <w:p w14:paraId="04AE76DA" w14:textId="77777777" w:rsidR="0055291C" w:rsidRDefault="0055291C">
      <w:pPr>
        <w:pStyle w:val="a3"/>
        <w:spacing w:before="8"/>
        <w:rPr>
          <w:sz w:val="20"/>
          <w:lang w:eastAsia="ja-JP"/>
        </w:rPr>
      </w:pPr>
    </w:p>
    <w:p w14:paraId="34124224" w14:textId="65C5ADDE" w:rsidR="0055291C" w:rsidRDefault="00926814">
      <w:pPr>
        <w:tabs>
          <w:tab w:val="left" w:pos="4027"/>
          <w:tab w:val="left" w:pos="6530"/>
          <w:tab w:val="left" w:pos="8913"/>
        </w:tabs>
        <w:ind w:left="1524"/>
        <w:rPr>
          <w:sz w:val="18"/>
          <w:lang w:eastAsia="ja-JP"/>
        </w:rPr>
      </w:pPr>
      <w:r>
        <w:rPr>
          <w:rFonts w:ascii="ＭＳ ゴシック" w:eastAsia="ＭＳ ゴシック" w:hAnsi="ＭＳ ゴシック" w:cs="ＭＳ ゴシック" w:hint="eastAsia"/>
          <w:b/>
          <w:color w:val="545456"/>
          <w:sz w:val="18"/>
          <w:lang w:eastAsia="ja-JP"/>
        </w:rPr>
        <w:t>アブラヤシの実</w:t>
      </w:r>
      <w:r w:rsidR="00F23C61">
        <w:rPr>
          <w:rFonts w:ascii="Arial"/>
          <w:b/>
          <w:color w:val="545456"/>
          <w:sz w:val="18"/>
          <w:lang w:eastAsia="ja-JP"/>
        </w:rPr>
        <w:tab/>
      </w:r>
      <w:r w:rsidR="00F23C61">
        <w:rPr>
          <w:color w:val="545456"/>
          <w:sz w:val="18"/>
          <w:lang w:eastAsia="ja-JP"/>
        </w:rPr>
        <w:t>1,530,905</w:t>
      </w:r>
      <w:r w:rsidR="00F23C61">
        <w:rPr>
          <w:color w:val="545456"/>
          <w:sz w:val="18"/>
          <w:lang w:eastAsia="ja-JP"/>
        </w:rPr>
        <w:tab/>
        <w:t>3,900,000</w:t>
      </w:r>
      <w:r w:rsidR="00F23C61">
        <w:rPr>
          <w:color w:val="545456"/>
          <w:sz w:val="18"/>
          <w:lang w:eastAsia="ja-JP"/>
        </w:rPr>
        <w:tab/>
        <w:t>2,369,095</w:t>
      </w:r>
    </w:p>
    <w:p w14:paraId="3B803AB7" w14:textId="77777777" w:rsidR="0055291C" w:rsidRDefault="0055291C">
      <w:pPr>
        <w:pStyle w:val="a3"/>
        <w:spacing w:before="6"/>
        <w:rPr>
          <w:sz w:val="18"/>
          <w:lang w:eastAsia="ja-JP"/>
        </w:rPr>
      </w:pPr>
    </w:p>
    <w:p w14:paraId="41595DF0" w14:textId="28994DF7" w:rsidR="0055291C" w:rsidRDefault="00926814">
      <w:pPr>
        <w:tabs>
          <w:tab w:val="left" w:pos="4027"/>
          <w:tab w:val="left" w:pos="6530"/>
          <w:tab w:val="left" w:pos="8913"/>
        </w:tabs>
        <w:ind w:left="1524"/>
        <w:rPr>
          <w:sz w:val="18"/>
          <w:lang w:eastAsia="ja-JP"/>
        </w:rPr>
      </w:pPr>
      <w:r>
        <w:rPr>
          <w:rFonts w:ascii="ＭＳ ゴシック" w:eastAsia="ＭＳ ゴシック" w:hAnsi="ＭＳ ゴシック" w:cs="ＭＳ ゴシック" w:hint="eastAsia"/>
          <w:b/>
          <w:color w:val="545456"/>
          <w:w w:val="95"/>
          <w:sz w:val="18"/>
          <w:lang w:eastAsia="ja-JP"/>
        </w:rPr>
        <w:t>コメ、もみ</w:t>
      </w:r>
      <w:r w:rsidR="00F23C61">
        <w:rPr>
          <w:rFonts w:ascii="Arial"/>
          <w:b/>
          <w:color w:val="545456"/>
          <w:w w:val="95"/>
          <w:sz w:val="18"/>
          <w:lang w:eastAsia="ja-JP"/>
        </w:rPr>
        <w:tab/>
      </w:r>
      <w:r w:rsidR="00F23C61">
        <w:rPr>
          <w:color w:val="545456"/>
          <w:sz w:val="18"/>
          <w:lang w:eastAsia="ja-JP"/>
        </w:rPr>
        <w:t>671,755</w:t>
      </w:r>
      <w:r w:rsidR="00F23C61">
        <w:rPr>
          <w:color w:val="545456"/>
          <w:sz w:val="18"/>
          <w:lang w:eastAsia="ja-JP"/>
        </w:rPr>
        <w:tab/>
        <w:t>667,656</w:t>
      </w:r>
      <w:r w:rsidR="00F23C61">
        <w:rPr>
          <w:color w:val="545456"/>
          <w:sz w:val="18"/>
          <w:lang w:eastAsia="ja-JP"/>
        </w:rPr>
        <w:tab/>
        <w:t>-4,099</w:t>
      </w:r>
    </w:p>
    <w:p w14:paraId="1C75A9C4" w14:textId="77777777" w:rsidR="0055291C" w:rsidRDefault="0055291C">
      <w:pPr>
        <w:pStyle w:val="a3"/>
        <w:spacing w:before="1"/>
        <w:rPr>
          <w:sz w:val="20"/>
          <w:lang w:eastAsia="ja-JP"/>
        </w:rPr>
      </w:pPr>
    </w:p>
    <w:p w14:paraId="68FE750E" w14:textId="030BC09C" w:rsidR="0055291C" w:rsidRDefault="00926814">
      <w:pPr>
        <w:tabs>
          <w:tab w:val="left" w:pos="4027"/>
          <w:tab w:val="left" w:pos="6530"/>
          <w:tab w:val="left" w:pos="8913"/>
        </w:tabs>
        <w:ind w:left="1524"/>
        <w:rPr>
          <w:sz w:val="18"/>
          <w:lang w:eastAsia="ja-JP"/>
        </w:rPr>
      </w:pPr>
      <w:r>
        <w:rPr>
          <w:rFonts w:ascii="ＭＳ ゴシック" w:eastAsia="ＭＳ ゴシック" w:hAnsi="ＭＳ ゴシック" w:cs="ＭＳ ゴシック" w:hint="eastAsia"/>
          <w:b/>
          <w:color w:val="545456"/>
          <w:sz w:val="18"/>
          <w:lang w:eastAsia="ja-JP"/>
        </w:rPr>
        <w:t>その他</w:t>
      </w:r>
      <w:r w:rsidR="00F23C61">
        <w:rPr>
          <w:rFonts w:ascii="Arial"/>
          <w:b/>
          <w:color w:val="545456"/>
          <w:sz w:val="18"/>
          <w:lang w:eastAsia="ja-JP"/>
        </w:rPr>
        <w:tab/>
      </w:r>
      <w:r w:rsidR="00F23C61">
        <w:rPr>
          <w:color w:val="545456"/>
          <w:sz w:val="18"/>
          <w:lang w:eastAsia="ja-JP"/>
        </w:rPr>
        <w:t>566,686</w:t>
      </w:r>
      <w:r w:rsidR="00F23C61">
        <w:rPr>
          <w:color w:val="545456"/>
          <w:sz w:val="18"/>
          <w:lang w:eastAsia="ja-JP"/>
        </w:rPr>
        <w:tab/>
        <w:t>489,519</w:t>
      </w:r>
      <w:r w:rsidR="00F23C61">
        <w:rPr>
          <w:color w:val="545456"/>
          <w:sz w:val="18"/>
          <w:lang w:eastAsia="ja-JP"/>
        </w:rPr>
        <w:tab/>
        <w:t>-77,167</w:t>
      </w:r>
    </w:p>
    <w:p w14:paraId="04DD846A" w14:textId="77777777" w:rsidR="0055291C" w:rsidRDefault="0055291C">
      <w:pPr>
        <w:pStyle w:val="a3"/>
        <w:rPr>
          <w:sz w:val="20"/>
          <w:lang w:eastAsia="ja-JP"/>
        </w:rPr>
      </w:pPr>
    </w:p>
    <w:p w14:paraId="412D8051" w14:textId="157C4A0F" w:rsidR="0055291C" w:rsidRDefault="00926814">
      <w:pPr>
        <w:tabs>
          <w:tab w:val="left" w:pos="8913"/>
        </w:tabs>
        <w:spacing w:before="156"/>
        <w:ind w:left="1524"/>
        <w:rPr>
          <w:sz w:val="18"/>
          <w:lang w:eastAsia="ja-JP"/>
        </w:rPr>
      </w:pPr>
      <w:r>
        <w:rPr>
          <w:rFonts w:ascii="ＭＳ ゴシック" w:eastAsia="ＭＳ ゴシック" w:hAnsi="ＭＳ ゴシック" w:cs="ＭＳ ゴシック" w:hint="eastAsia"/>
          <w:b/>
          <w:color w:val="545456"/>
          <w:sz w:val="18"/>
          <w:lang w:eastAsia="ja-JP"/>
        </w:rPr>
        <w:t>増加分合計</w:t>
      </w:r>
      <w:r w:rsidR="00F23C61">
        <w:rPr>
          <w:rFonts w:ascii="Arial"/>
          <w:b/>
          <w:color w:val="545456"/>
          <w:sz w:val="18"/>
          <w:lang w:eastAsia="ja-JP"/>
        </w:rPr>
        <w:tab/>
      </w:r>
      <w:r w:rsidR="00F23C61">
        <w:rPr>
          <w:color w:val="545456"/>
          <w:w w:val="105"/>
          <w:sz w:val="18"/>
          <w:lang w:eastAsia="ja-JP"/>
        </w:rPr>
        <w:t>2,369,095</w:t>
      </w:r>
    </w:p>
    <w:p w14:paraId="09A08AE8" w14:textId="77777777" w:rsidR="0055291C" w:rsidRDefault="0055291C">
      <w:pPr>
        <w:pStyle w:val="a3"/>
        <w:spacing w:before="5"/>
        <w:rPr>
          <w:sz w:val="17"/>
          <w:lang w:eastAsia="ja-JP"/>
        </w:rPr>
      </w:pPr>
    </w:p>
    <w:p w14:paraId="6EFD93D6" w14:textId="698E2EA8" w:rsidR="0055291C" w:rsidRDefault="00926814">
      <w:pPr>
        <w:tabs>
          <w:tab w:val="left" w:pos="8913"/>
        </w:tabs>
        <w:ind w:left="1524"/>
        <w:rPr>
          <w:sz w:val="18"/>
          <w:lang w:eastAsia="ja-JP"/>
        </w:rPr>
      </w:pPr>
      <w:r>
        <w:rPr>
          <w:rFonts w:ascii="ＭＳ ゴシック" w:eastAsia="ＭＳ ゴシック" w:hAnsi="ＭＳ ゴシック" w:cs="ＭＳ ゴシック" w:hint="eastAsia"/>
          <w:b/>
          <w:color w:val="545456"/>
          <w:sz w:val="18"/>
          <w:lang w:eastAsia="ja-JP"/>
        </w:rPr>
        <w:t>減少分合計</w:t>
      </w:r>
      <w:r w:rsidR="00F23C61">
        <w:rPr>
          <w:rFonts w:ascii="Arial"/>
          <w:b/>
          <w:color w:val="545456"/>
          <w:sz w:val="18"/>
          <w:lang w:eastAsia="ja-JP"/>
        </w:rPr>
        <w:tab/>
      </w:r>
      <w:r w:rsidR="00F23C61">
        <w:rPr>
          <w:color w:val="545456"/>
          <w:sz w:val="18"/>
          <w:lang w:eastAsia="ja-JP"/>
        </w:rPr>
        <w:t>648,078</w:t>
      </w:r>
    </w:p>
    <w:p w14:paraId="111D635E" w14:textId="77777777" w:rsidR="0055291C" w:rsidRDefault="0055291C">
      <w:pPr>
        <w:rPr>
          <w:sz w:val="18"/>
          <w:lang w:eastAsia="ja-JP"/>
        </w:rPr>
        <w:sectPr w:rsidR="0055291C">
          <w:type w:val="continuous"/>
          <w:pgSz w:w="12240" w:h="15840"/>
          <w:pgMar w:top="740" w:right="0" w:bottom="280" w:left="0" w:header="0" w:footer="859" w:gutter="0"/>
          <w:cols w:space="720"/>
        </w:sectPr>
      </w:pPr>
    </w:p>
    <w:p w14:paraId="2F79D2E8" w14:textId="5C1DA1E1" w:rsidR="0055291C" w:rsidRDefault="00926814">
      <w:pPr>
        <w:spacing w:before="134" w:line="264" w:lineRule="auto"/>
        <w:ind w:left="1524" w:right="30"/>
        <w:rPr>
          <w:rFonts w:ascii="Arial"/>
          <w:b/>
          <w:sz w:val="18"/>
          <w:lang w:eastAsia="ja-JP"/>
        </w:rPr>
      </w:pPr>
      <w:r>
        <w:rPr>
          <w:rFonts w:ascii="ＭＳ ゴシック" w:eastAsia="ＭＳ ゴシック" w:hAnsi="ＭＳ ゴシック" w:cs="ＭＳ ゴシック" w:hint="eastAsia"/>
          <w:b/>
          <w:color w:val="545456"/>
          <w:sz w:val="18"/>
          <w:lang w:eastAsia="ja-JP"/>
        </w:rPr>
        <w:t>作物間の変動でカバーできる変動率（％）</w:t>
      </w:r>
    </w:p>
    <w:p w14:paraId="6F9CEC3D" w14:textId="77777777" w:rsidR="0055291C" w:rsidRDefault="00F23C61">
      <w:pPr>
        <w:spacing w:before="137"/>
        <w:ind w:left="1524"/>
        <w:rPr>
          <w:sz w:val="18"/>
        </w:rPr>
      </w:pPr>
      <w:r>
        <w:rPr>
          <w:lang w:eastAsia="ja-JP"/>
        </w:rPr>
        <w:br w:type="column"/>
      </w:r>
      <w:r>
        <w:rPr>
          <w:color w:val="545456"/>
          <w:sz w:val="18"/>
        </w:rPr>
        <w:t>27.4</w:t>
      </w:r>
    </w:p>
    <w:p w14:paraId="721FD7D1" w14:textId="77777777" w:rsidR="0055291C" w:rsidRDefault="0055291C">
      <w:pPr>
        <w:rPr>
          <w:sz w:val="18"/>
        </w:rPr>
        <w:sectPr w:rsidR="0055291C">
          <w:type w:val="continuous"/>
          <w:pgSz w:w="12240" w:h="15840"/>
          <w:pgMar w:top="740" w:right="0" w:bottom="280" w:left="0" w:header="0" w:footer="859" w:gutter="0"/>
          <w:cols w:num="2" w:space="720" w:equalWidth="0">
            <w:col w:w="3385" w:space="4004"/>
            <w:col w:w="4851"/>
          </w:cols>
        </w:sectPr>
      </w:pPr>
    </w:p>
    <w:p w14:paraId="4AA77046" w14:textId="77777777" w:rsidR="0055291C" w:rsidRDefault="0055291C">
      <w:pPr>
        <w:pStyle w:val="a3"/>
        <w:spacing w:before="9"/>
        <w:rPr>
          <w:sz w:val="12"/>
        </w:rPr>
      </w:pPr>
    </w:p>
    <w:p w14:paraId="148B174E" w14:textId="3F6C642B" w:rsidR="0055291C" w:rsidRDefault="00926814">
      <w:pPr>
        <w:spacing w:before="103"/>
        <w:ind w:left="1408"/>
        <w:rPr>
          <w:sz w:val="15"/>
        </w:rPr>
      </w:pPr>
      <w:r>
        <w:rPr>
          <w:rFonts w:ascii="ＭＳ ゴシック" w:eastAsia="ＭＳ ゴシック" w:hAnsi="ＭＳ ゴシック" w:cs="ＭＳ ゴシック" w:hint="eastAsia"/>
          <w:color w:val="545456"/>
          <w:spacing w:val="-1"/>
          <w:sz w:val="15"/>
          <w:lang w:eastAsia="ja-JP"/>
        </w:rPr>
        <w:t>出典</w:t>
      </w:r>
      <w:r w:rsidR="00F23C61">
        <w:rPr>
          <w:color w:val="545456"/>
          <w:spacing w:val="-1"/>
          <w:sz w:val="15"/>
        </w:rPr>
        <w:t>:</w:t>
      </w:r>
      <w:r w:rsidR="00F23C61">
        <w:rPr>
          <w:color w:val="545456"/>
          <w:spacing w:val="-2"/>
          <w:sz w:val="15"/>
        </w:rPr>
        <w:t xml:space="preserve"> </w:t>
      </w:r>
      <w:r w:rsidR="00F23C61">
        <w:rPr>
          <w:color w:val="545456"/>
          <w:spacing w:val="-1"/>
          <w:sz w:val="15"/>
        </w:rPr>
        <w:t>FAO,</w:t>
      </w:r>
      <w:r w:rsidR="00F23C61">
        <w:rPr>
          <w:color w:val="545456"/>
          <w:spacing w:val="-2"/>
          <w:sz w:val="15"/>
        </w:rPr>
        <w:t xml:space="preserve"> </w:t>
      </w:r>
      <w:r w:rsidR="00F23C61">
        <w:rPr>
          <w:color w:val="545456"/>
          <w:spacing w:val="-1"/>
          <w:sz w:val="15"/>
        </w:rPr>
        <w:t xml:space="preserve">FAOSTAT. </w:t>
      </w:r>
      <w:hyperlink r:id="rId366">
        <w:r w:rsidR="00F23C61">
          <w:rPr>
            <w:color w:val="545456"/>
            <w:spacing w:val="-1"/>
            <w:sz w:val="15"/>
          </w:rPr>
          <w:t>http://faostat.fao.org/site/567/DesktopDefault.aspx?PageID=567#ancor,</w:t>
        </w:r>
        <w:r w:rsidR="00F23C61">
          <w:rPr>
            <w:color w:val="545456"/>
            <w:spacing w:val="-2"/>
            <w:sz w:val="15"/>
          </w:rPr>
          <w:t xml:space="preserve"> </w:t>
        </w:r>
      </w:hyperlink>
      <w:r w:rsidR="00F23C61">
        <w:rPr>
          <w:color w:val="545456"/>
          <w:sz w:val="15"/>
        </w:rPr>
        <w:t>2011.</w:t>
      </w:r>
    </w:p>
    <w:p w14:paraId="3709D810" w14:textId="77777777" w:rsidR="0055291C" w:rsidRDefault="0055291C">
      <w:pPr>
        <w:pStyle w:val="a3"/>
        <w:spacing w:before="7"/>
        <w:rPr>
          <w:sz w:val="25"/>
        </w:rPr>
      </w:pPr>
    </w:p>
    <w:p w14:paraId="0FB2B7A8" w14:textId="77777777" w:rsidR="0055291C" w:rsidRDefault="0055291C">
      <w:pPr>
        <w:rPr>
          <w:sz w:val="25"/>
        </w:rPr>
        <w:sectPr w:rsidR="0055291C">
          <w:type w:val="continuous"/>
          <w:pgSz w:w="12240" w:h="15840"/>
          <w:pgMar w:top="740" w:right="0" w:bottom="280" w:left="0" w:header="0" w:footer="859" w:gutter="0"/>
          <w:cols w:space="720"/>
        </w:sectPr>
      </w:pPr>
    </w:p>
    <w:p w14:paraId="563C5357" w14:textId="25480D86" w:rsidR="0055291C" w:rsidRDefault="00926814">
      <w:pPr>
        <w:pStyle w:val="a5"/>
        <w:numPr>
          <w:ilvl w:val="0"/>
          <w:numId w:val="18"/>
        </w:numPr>
        <w:tabs>
          <w:tab w:val="left" w:pos="1617"/>
        </w:tabs>
        <w:spacing w:before="99"/>
        <w:ind w:left="1616" w:hanging="257"/>
        <w:jc w:val="left"/>
        <w:rPr>
          <w:rFonts w:ascii="Arial"/>
          <w:b/>
          <w:i/>
          <w:sz w:val="18"/>
          <w:lang w:eastAsia="ja-JP"/>
        </w:rPr>
      </w:pPr>
      <w:r>
        <w:rPr>
          <w:rFonts w:ascii="ＭＳ ゴシック" w:eastAsia="ＭＳ ゴシック" w:hAnsi="ＭＳ ゴシック" w:cs="ＭＳ ゴシック" w:hint="eastAsia"/>
          <w:b/>
          <w:i/>
          <w:color w:val="7F3F98"/>
          <w:sz w:val="18"/>
          <w:lang w:eastAsia="ja-JP"/>
        </w:rPr>
        <w:t>変換された土地種類の決定</w:t>
      </w:r>
    </w:p>
    <w:p w14:paraId="49806F0A" w14:textId="1BD7E5F3" w:rsidR="0055291C" w:rsidRDefault="00926814" w:rsidP="00926814">
      <w:pPr>
        <w:spacing w:before="2" w:line="328" w:lineRule="auto"/>
        <w:ind w:left="1360" w:firstLineChars="100" w:firstLine="190"/>
        <w:rPr>
          <w:sz w:val="18"/>
          <w:lang w:eastAsia="ja-JP"/>
        </w:rPr>
      </w:pPr>
      <w:r w:rsidRPr="00926814">
        <w:rPr>
          <w:rFonts w:ascii="ＭＳ ゴシック" w:eastAsia="ＭＳ ゴシック" w:hAnsi="ＭＳ ゴシック" w:cs="ＭＳ ゴシック" w:hint="eastAsia"/>
          <w:sz w:val="19"/>
          <w:szCs w:val="19"/>
          <w:lang w:eastAsia="ja-JP"/>
        </w:rPr>
        <w:t>マレーシアは熱帯気候に属し、統計によると国土の大部分は森林（</w:t>
      </w:r>
      <w:r w:rsidRPr="00926814">
        <w:rPr>
          <w:sz w:val="19"/>
          <w:szCs w:val="19"/>
          <w:lang w:eastAsia="ja-JP"/>
        </w:rPr>
        <w:t>66</w:t>
      </w:r>
      <w:r w:rsidRPr="00926814">
        <w:rPr>
          <w:rFonts w:ascii="ＭＳ ゴシック" w:eastAsia="ＭＳ ゴシック" w:hAnsi="ＭＳ ゴシック" w:cs="ＭＳ ゴシック" w:hint="eastAsia"/>
          <w:sz w:val="19"/>
          <w:szCs w:val="19"/>
          <w:lang w:eastAsia="ja-JP"/>
        </w:rPr>
        <w:t>％）または農地</w:t>
      </w:r>
      <w:r w:rsidRPr="00926814">
        <w:rPr>
          <w:sz w:val="19"/>
          <w:szCs w:val="19"/>
          <w:lang w:eastAsia="ja-JP"/>
        </w:rPr>
        <w:t>(31</w:t>
      </w:r>
      <w:r w:rsidRPr="00926814">
        <w:rPr>
          <w:rFonts w:ascii="ＭＳ ゴシック" w:eastAsia="ＭＳ ゴシック" w:hAnsi="ＭＳ ゴシック" w:cs="ＭＳ ゴシック" w:hint="eastAsia"/>
          <w:sz w:val="19"/>
          <w:szCs w:val="19"/>
          <w:lang w:eastAsia="ja-JP"/>
        </w:rPr>
        <w:t>％）</w:t>
      </w:r>
      <w:r>
        <w:rPr>
          <w:rFonts w:ascii="ＭＳ ゴシック" w:eastAsia="ＭＳ ゴシック" w:hAnsi="ＭＳ ゴシック" w:cs="ＭＳ ゴシック" w:hint="eastAsia"/>
          <w:sz w:val="19"/>
          <w:szCs w:val="19"/>
          <w:lang w:eastAsia="ja-JP"/>
        </w:rPr>
        <w:t>となっています</w:t>
      </w:r>
      <w:r w:rsidRPr="00926814">
        <w:rPr>
          <w:rFonts w:ascii="ＭＳ ゴシック" w:eastAsia="ＭＳ ゴシック" w:hAnsi="ＭＳ ゴシック" w:cs="ＭＳ ゴシック" w:hint="eastAsia"/>
          <w:sz w:val="19"/>
          <w:szCs w:val="19"/>
          <w:lang w:eastAsia="ja-JP"/>
        </w:rPr>
        <w:t>。</w:t>
      </w:r>
      <w:r w:rsidRPr="00926814">
        <w:rPr>
          <w:sz w:val="19"/>
          <w:szCs w:val="19"/>
          <w:vertAlign w:val="superscript"/>
          <w:lang w:eastAsia="ja-JP"/>
        </w:rPr>
        <w:t>13</w:t>
      </w:r>
      <w:r w:rsidRPr="00926814">
        <w:rPr>
          <w:rFonts w:ascii="ＭＳ ゴシック" w:eastAsia="ＭＳ ゴシック" w:hAnsi="ＭＳ ゴシック" w:cs="ＭＳ ゴシック" w:hint="eastAsia"/>
          <w:sz w:val="19"/>
          <w:szCs w:val="19"/>
          <w:lang w:eastAsia="ja-JP"/>
        </w:rPr>
        <w:t>したがって、</w:t>
      </w:r>
      <w:r w:rsidR="00DB4733" w:rsidRPr="00926814">
        <w:rPr>
          <w:rFonts w:ascii="ＭＳ ゴシック" w:eastAsia="ＭＳ ゴシック" w:hAnsi="ＭＳ ゴシック" w:cs="ＭＳ ゴシック" w:hint="eastAsia"/>
          <w:sz w:val="19"/>
          <w:szCs w:val="19"/>
          <w:lang w:eastAsia="ja-JP"/>
        </w:rPr>
        <w:t>パーム油の需要増に対応するため</w:t>
      </w:r>
      <w:r w:rsidR="00DB4733">
        <w:rPr>
          <w:rFonts w:ascii="ＭＳ ゴシック" w:eastAsia="ＭＳ ゴシック" w:hAnsi="ＭＳ ゴシック" w:cs="ＭＳ ゴシック" w:hint="eastAsia"/>
          <w:sz w:val="19"/>
          <w:szCs w:val="19"/>
          <w:lang w:eastAsia="ja-JP"/>
        </w:rPr>
        <w:t>に生じた</w:t>
      </w:r>
      <w:r w:rsidRPr="00926814">
        <w:rPr>
          <w:rFonts w:ascii="ＭＳ ゴシック" w:eastAsia="ＭＳ ゴシック" w:hAnsi="ＭＳ ゴシック" w:cs="ＭＳ ゴシック" w:hint="eastAsia"/>
          <w:sz w:val="19"/>
          <w:szCs w:val="19"/>
          <w:lang w:eastAsia="ja-JP"/>
        </w:rPr>
        <w:t>土地利用の変化は、熱帯林から発生したと考えるべきで</w:t>
      </w:r>
      <w:r w:rsidR="00DB4733">
        <w:rPr>
          <w:rFonts w:ascii="ＭＳ ゴシック" w:eastAsia="ＭＳ ゴシック" w:hAnsi="ＭＳ ゴシック" w:cs="ＭＳ ゴシック" w:hint="eastAsia"/>
          <w:sz w:val="19"/>
          <w:szCs w:val="19"/>
          <w:lang w:eastAsia="ja-JP"/>
        </w:rPr>
        <w:t>しょう</w:t>
      </w:r>
      <w:r w:rsidRPr="00926814">
        <w:rPr>
          <w:rFonts w:ascii="ＭＳ ゴシック" w:eastAsia="ＭＳ ゴシック" w:hAnsi="ＭＳ ゴシック" w:cs="ＭＳ ゴシック" w:hint="eastAsia"/>
          <w:sz w:val="19"/>
          <w:szCs w:val="19"/>
          <w:lang w:eastAsia="ja-JP"/>
        </w:rPr>
        <w:t>。企業は</w:t>
      </w:r>
      <w:r w:rsidRPr="00926814">
        <w:rPr>
          <w:sz w:val="19"/>
          <w:szCs w:val="19"/>
          <w:lang w:eastAsia="ja-JP"/>
        </w:rPr>
        <w:t xml:space="preserve">IPCC </w:t>
      </w:r>
      <w:r w:rsidRPr="00926814">
        <w:rPr>
          <w:rFonts w:ascii="ＭＳ ゴシック" w:eastAsia="ＭＳ ゴシック" w:hAnsi="ＭＳ ゴシック" w:cs="ＭＳ ゴシック" w:hint="eastAsia"/>
          <w:sz w:val="19"/>
          <w:szCs w:val="19"/>
          <w:lang w:eastAsia="ja-JP"/>
        </w:rPr>
        <w:t>のデフォルト値を使って、この土地利用変更に伴う炭素蓄積量の変化を判断することができ</w:t>
      </w:r>
      <w:r w:rsidR="00DB4733">
        <w:rPr>
          <w:rFonts w:ascii="ＭＳ ゴシック" w:eastAsia="ＭＳ ゴシック" w:hAnsi="ＭＳ ゴシック" w:cs="ＭＳ ゴシック" w:hint="eastAsia"/>
          <w:sz w:val="19"/>
          <w:szCs w:val="19"/>
          <w:lang w:eastAsia="ja-JP"/>
        </w:rPr>
        <w:t>ます</w:t>
      </w:r>
      <w:r w:rsidRPr="00926814">
        <w:rPr>
          <w:rFonts w:ascii="ＭＳ ゴシック" w:eastAsia="ＭＳ ゴシック" w:hAnsi="ＭＳ ゴシック" w:cs="ＭＳ ゴシック" w:hint="eastAsia"/>
          <w:sz w:val="19"/>
          <w:szCs w:val="19"/>
          <w:lang w:eastAsia="ja-JP"/>
        </w:rPr>
        <w:t>。また、企業は、</w:t>
      </w:r>
      <w:r w:rsidRPr="00926814">
        <w:rPr>
          <w:sz w:val="19"/>
          <w:szCs w:val="19"/>
          <w:lang w:eastAsia="ja-JP"/>
        </w:rPr>
        <w:t xml:space="preserve"> </w:t>
      </w:r>
      <w:r w:rsidRPr="00926814">
        <w:rPr>
          <w:rFonts w:ascii="ＭＳ ゴシック" w:eastAsia="ＭＳ ゴシック" w:hAnsi="ＭＳ ゴシック" w:cs="ＭＳ ゴシック" w:hint="eastAsia"/>
          <w:sz w:val="19"/>
          <w:szCs w:val="19"/>
          <w:lang w:eastAsia="ja-JP"/>
        </w:rPr>
        <w:t>マレーシアで森林が農地に転換される際に、土地利用の変更がどのように行われるか、例えば、転換の際に森林バイオマスを燃やすか、作物生産</w:t>
      </w:r>
      <w:r w:rsidR="00DB4733">
        <w:rPr>
          <w:rFonts w:ascii="ＭＳ ゴシック" w:eastAsia="ＭＳ ゴシック" w:hAnsi="ＭＳ ゴシック" w:cs="ＭＳ ゴシック" w:hint="eastAsia"/>
          <w:sz w:val="19"/>
          <w:szCs w:val="19"/>
          <w:lang w:eastAsia="ja-JP"/>
        </w:rPr>
        <w:t>用の</w:t>
      </w:r>
      <w:r w:rsidRPr="00926814">
        <w:rPr>
          <w:rFonts w:ascii="ＭＳ ゴシック" w:eastAsia="ＭＳ ゴシック" w:hAnsi="ＭＳ ゴシック" w:cs="ＭＳ ゴシック" w:hint="eastAsia"/>
          <w:sz w:val="19"/>
          <w:szCs w:val="19"/>
          <w:lang w:eastAsia="ja-JP"/>
        </w:rPr>
        <w:t>土地を整えるためにどのような肥料を</w:t>
      </w:r>
      <w:r w:rsidR="00DB4733">
        <w:rPr>
          <w:rFonts w:ascii="ＭＳ ゴシック" w:eastAsia="ＭＳ ゴシック" w:hAnsi="ＭＳ ゴシック" w:cs="ＭＳ ゴシック" w:hint="eastAsia"/>
          <w:sz w:val="19"/>
          <w:szCs w:val="19"/>
          <w:lang w:eastAsia="ja-JP"/>
        </w:rPr>
        <w:t>散布</w:t>
      </w:r>
      <w:r w:rsidRPr="00926814">
        <w:rPr>
          <w:rFonts w:ascii="ＭＳ ゴシック" w:eastAsia="ＭＳ ゴシック" w:hAnsi="ＭＳ ゴシック" w:cs="ＭＳ ゴシック" w:hint="eastAsia"/>
          <w:sz w:val="19"/>
          <w:szCs w:val="19"/>
          <w:lang w:eastAsia="ja-JP"/>
        </w:rPr>
        <w:t>するかなどを想定する必要が</w:t>
      </w:r>
      <w:r w:rsidR="00DB4733">
        <w:rPr>
          <w:rFonts w:ascii="ＭＳ ゴシック" w:eastAsia="ＭＳ ゴシック" w:hAnsi="ＭＳ ゴシック" w:cs="ＭＳ ゴシック" w:hint="eastAsia"/>
          <w:sz w:val="19"/>
          <w:szCs w:val="19"/>
          <w:lang w:eastAsia="ja-JP"/>
        </w:rPr>
        <w:t>あります</w:t>
      </w:r>
      <w:r w:rsidRPr="00926814">
        <w:rPr>
          <w:rFonts w:ascii="ＭＳ ゴシック" w:eastAsia="ＭＳ ゴシック" w:hAnsi="ＭＳ ゴシック" w:cs="ＭＳ ゴシック" w:hint="eastAsia"/>
          <w:sz w:val="19"/>
          <w:szCs w:val="19"/>
          <w:lang w:eastAsia="ja-JP"/>
        </w:rPr>
        <w:t>。</w:t>
      </w:r>
    </w:p>
    <w:p w14:paraId="45CE2B55" w14:textId="796CF330" w:rsidR="00DB4733" w:rsidRDefault="00DB4733" w:rsidP="00DB4733">
      <w:pPr>
        <w:spacing w:before="102" w:line="328" w:lineRule="auto"/>
        <w:ind w:left="1276" w:right="15" w:firstLineChars="100" w:firstLine="190"/>
        <w:rPr>
          <w:rFonts w:ascii="ＭＳ ゴシック" w:eastAsia="ＭＳ ゴシック" w:hAnsi="ＭＳ ゴシック" w:cs="ＭＳ ゴシック"/>
          <w:sz w:val="19"/>
          <w:szCs w:val="19"/>
          <w:lang w:eastAsia="ja-JP"/>
        </w:rPr>
      </w:pPr>
      <w:r w:rsidRPr="00DB4733">
        <w:rPr>
          <w:rFonts w:ascii="ＭＳ ゴシック" w:eastAsia="ＭＳ ゴシック" w:hAnsi="ＭＳ ゴシック" w:cs="ＭＳ ゴシック" w:hint="eastAsia"/>
          <w:sz w:val="19"/>
          <w:szCs w:val="19"/>
          <w:lang w:eastAsia="ja-JP"/>
        </w:rPr>
        <w:t>変換される土地の種類を特定することが、それほ</w:t>
      </w:r>
      <w:r>
        <w:rPr>
          <w:rFonts w:ascii="ＭＳ ゴシック" w:eastAsia="ＭＳ ゴシック" w:hAnsi="ＭＳ ゴシック" w:cs="ＭＳ ゴシック" w:hint="eastAsia"/>
          <w:sz w:val="19"/>
          <w:szCs w:val="19"/>
          <w:lang w:eastAsia="ja-JP"/>
        </w:rPr>
        <w:t>ど</w:t>
      </w:r>
    </w:p>
    <w:p w14:paraId="57B8B823" w14:textId="77777777" w:rsidR="00DB4733" w:rsidRDefault="00DB4733">
      <w:pPr>
        <w:spacing w:before="102" w:line="328" w:lineRule="auto"/>
        <w:ind w:left="246" w:right="1423"/>
        <w:rPr>
          <w:rFonts w:ascii="ＭＳ ゴシック" w:eastAsia="ＭＳ ゴシック" w:hAnsi="ＭＳ ゴシック" w:cs="ＭＳ ゴシック"/>
          <w:sz w:val="19"/>
          <w:szCs w:val="19"/>
          <w:lang w:eastAsia="ja-JP"/>
        </w:rPr>
      </w:pPr>
    </w:p>
    <w:p w14:paraId="2AC5EAFF" w14:textId="77777777" w:rsidR="00DB4733" w:rsidRDefault="00DB4733">
      <w:pPr>
        <w:spacing w:before="102" w:line="328" w:lineRule="auto"/>
        <w:ind w:left="246" w:right="1423"/>
        <w:rPr>
          <w:rFonts w:ascii="ＭＳ ゴシック" w:eastAsia="ＭＳ ゴシック" w:hAnsi="ＭＳ ゴシック" w:cs="ＭＳ ゴシック"/>
          <w:sz w:val="19"/>
          <w:szCs w:val="19"/>
          <w:lang w:eastAsia="ja-JP"/>
        </w:rPr>
      </w:pPr>
    </w:p>
    <w:p w14:paraId="59582DD2" w14:textId="77777777" w:rsidR="00DB4733" w:rsidRDefault="00DB4733">
      <w:pPr>
        <w:spacing w:before="102" w:line="328" w:lineRule="auto"/>
        <w:ind w:left="246" w:right="1423"/>
        <w:rPr>
          <w:rFonts w:ascii="ＭＳ ゴシック" w:eastAsia="ＭＳ ゴシック" w:hAnsi="ＭＳ ゴシック" w:cs="ＭＳ ゴシック"/>
          <w:sz w:val="19"/>
          <w:szCs w:val="19"/>
          <w:lang w:eastAsia="ja-JP"/>
        </w:rPr>
      </w:pPr>
    </w:p>
    <w:p w14:paraId="6744876C" w14:textId="47801D21" w:rsidR="0055291C" w:rsidRPr="00DB4733" w:rsidRDefault="00DB4733">
      <w:pPr>
        <w:spacing w:before="102" w:line="328" w:lineRule="auto"/>
        <w:ind w:left="246" w:right="1423"/>
        <w:rPr>
          <w:sz w:val="19"/>
          <w:szCs w:val="19"/>
          <w:lang w:eastAsia="ja-JP"/>
        </w:rPr>
      </w:pPr>
      <w:r w:rsidRPr="00DB4733">
        <w:rPr>
          <w:rFonts w:ascii="ＭＳ ゴシック" w:eastAsia="ＭＳ ゴシック" w:hAnsi="ＭＳ ゴシック" w:cs="ＭＳ ゴシック" w:hint="eastAsia"/>
          <w:sz w:val="19"/>
          <w:szCs w:val="19"/>
          <w:lang w:eastAsia="ja-JP"/>
        </w:rPr>
        <w:t>簡単ではない場合もあります。そのような場合、企業</w:t>
      </w:r>
      <w:r w:rsidRPr="00DB4733">
        <w:rPr>
          <w:sz w:val="19"/>
          <w:szCs w:val="19"/>
          <w:lang w:eastAsia="ja-JP"/>
        </w:rPr>
        <w:t xml:space="preserve"> </w:t>
      </w:r>
      <w:r w:rsidRPr="00DB4733">
        <w:rPr>
          <w:rFonts w:ascii="ＭＳ ゴシック" w:eastAsia="ＭＳ ゴシック" w:hAnsi="ＭＳ ゴシック" w:cs="ＭＳ ゴシック" w:hint="eastAsia"/>
          <w:sz w:val="19"/>
          <w:szCs w:val="19"/>
          <w:lang w:eastAsia="ja-JP"/>
        </w:rPr>
        <w:t>は、シナリオの不確実性分析を実施し、異なる仮定の影響を示すべきで</w:t>
      </w:r>
      <w:r>
        <w:rPr>
          <w:rFonts w:ascii="ＭＳ ゴシック" w:eastAsia="ＭＳ ゴシック" w:hAnsi="ＭＳ ゴシック" w:cs="ＭＳ ゴシック" w:hint="eastAsia"/>
          <w:sz w:val="19"/>
          <w:szCs w:val="19"/>
          <w:lang w:eastAsia="ja-JP"/>
        </w:rPr>
        <w:t>す</w:t>
      </w:r>
      <w:r w:rsidRPr="00DB4733">
        <w:rPr>
          <w:rFonts w:ascii="ＭＳ ゴシック" w:eastAsia="ＭＳ ゴシック" w:hAnsi="ＭＳ ゴシック" w:cs="ＭＳ ゴシック" w:hint="eastAsia"/>
          <w:sz w:val="19"/>
          <w:szCs w:val="19"/>
          <w:lang w:eastAsia="ja-JP"/>
        </w:rPr>
        <w:t>。例えば、ある作物が熱帯林の土地と転換される可能性のある草地がある国で生産されている場合、企業は熱帯林が転換されると仮定し、不確実性の計算には草地転換を使用するべきで</w:t>
      </w:r>
      <w:r>
        <w:rPr>
          <w:rFonts w:ascii="ＭＳ ゴシック" w:eastAsia="ＭＳ ゴシック" w:hAnsi="ＭＳ ゴシック" w:cs="ＭＳ ゴシック" w:hint="eastAsia"/>
          <w:sz w:val="19"/>
          <w:szCs w:val="19"/>
          <w:lang w:eastAsia="ja-JP"/>
        </w:rPr>
        <w:t>す</w:t>
      </w:r>
      <w:r w:rsidRPr="00DB4733">
        <w:rPr>
          <w:rFonts w:ascii="ＭＳ ゴシック" w:eastAsia="ＭＳ ゴシック" w:hAnsi="ＭＳ ゴシック" w:cs="ＭＳ ゴシック" w:hint="eastAsia"/>
          <w:sz w:val="19"/>
          <w:szCs w:val="19"/>
          <w:lang w:eastAsia="ja-JP"/>
        </w:rPr>
        <w:t>。</w:t>
      </w:r>
    </w:p>
    <w:p w14:paraId="4B0C30FF" w14:textId="2A937B52" w:rsidR="0055291C" w:rsidRDefault="00DB4733">
      <w:pPr>
        <w:pStyle w:val="a5"/>
        <w:numPr>
          <w:ilvl w:val="0"/>
          <w:numId w:val="18"/>
        </w:numPr>
        <w:tabs>
          <w:tab w:val="left" w:pos="503"/>
        </w:tabs>
        <w:spacing w:before="143"/>
        <w:ind w:left="502" w:hanging="257"/>
        <w:jc w:val="left"/>
        <w:rPr>
          <w:rFonts w:ascii="Arial"/>
          <w:b/>
          <w:i/>
          <w:sz w:val="18"/>
          <w:lang w:eastAsia="ja-JP"/>
        </w:rPr>
      </w:pPr>
      <w:r w:rsidRPr="00DB4733">
        <w:rPr>
          <w:rFonts w:ascii="ＭＳ ゴシック" w:eastAsia="ＭＳ ゴシック" w:hAnsi="ＭＳ ゴシック" w:cs="ＭＳ ゴシック" w:hint="eastAsia"/>
          <w:b/>
          <w:i/>
          <w:color w:val="7F3F98"/>
          <w:sz w:val="18"/>
          <w:lang w:eastAsia="ja-JP"/>
        </w:rPr>
        <w:t>土地利用変化による影響の分散</w:t>
      </w:r>
    </w:p>
    <w:p w14:paraId="4C7B0096" w14:textId="15719B02" w:rsidR="0055291C" w:rsidRPr="00FC0F01" w:rsidRDefault="00DB4733" w:rsidP="00FC0F01">
      <w:pPr>
        <w:spacing w:before="76" w:line="328" w:lineRule="auto"/>
        <w:ind w:left="246" w:right="1378" w:firstLineChars="100" w:firstLine="190"/>
        <w:rPr>
          <w:rFonts w:eastAsiaTheme="minorEastAsia"/>
          <w:sz w:val="19"/>
          <w:szCs w:val="19"/>
          <w:lang w:eastAsia="ja-JP"/>
        </w:rPr>
        <w:sectPr w:rsidR="0055291C" w:rsidRPr="00FC0F01">
          <w:type w:val="continuous"/>
          <w:pgSz w:w="12240" w:h="15840"/>
          <w:pgMar w:top="740" w:right="0" w:bottom="280" w:left="0" w:header="0" w:footer="859" w:gutter="0"/>
          <w:cols w:num="2" w:space="720" w:equalWidth="0">
            <w:col w:w="5969" w:space="40"/>
            <w:col w:w="6231"/>
          </w:cols>
        </w:sectPr>
      </w:pPr>
      <w:r w:rsidRPr="00DB4733">
        <w:rPr>
          <w:rFonts w:ascii="ＭＳ ゴシック" w:eastAsia="ＭＳ ゴシック" w:hAnsi="ＭＳ ゴシック" w:cs="ＭＳ ゴシック" w:hint="eastAsia"/>
          <w:sz w:val="19"/>
          <w:szCs w:val="19"/>
          <w:lang w:eastAsia="ja-JP"/>
        </w:rPr>
        <w:t>ステップ</w:t>
      </w:r>
      <w:r w:rsidRPr="00DB4733">
        <w:rPr>
          <w:sz w:val="19"/>
          <w:szCs w:val="19"/>
          <w:lang w:eastAsia="ja-JP"/>
        </w:rPr>
        <w:t>4</w:t>
      </w:r>
      <w:r w:rsidRPr="00DB4733">
        <w:rPr>
          <w:rFonts w:ascii="ＭＳ ゴシック" w:eastAsia="ＭＳ ゴシック" w:hAnsi="ＭＳ ゴシック" w:cs="ＭＳ ゴシック" w:hint="eastAsia"/>
          <w:sz w:val="19"/>
          <w:szCs w:val="19"/>
          <w:lang w:eastAsia="ja-JP"/>
        </w:rPr>
        <w:t>で収集した既定のデータが年単位でない限り、</w:t>
      </w:r>
      <w:r w:rsidRPr="00DB4733">
        <w:rPr>
          <w:sz w:val="19"/>
          <w:szCs w:val="19"/>
          <w:lang w:eastAsia="ja-JP"/>
        </w:rPr>
        <w:t xml:space="preserve"> </w:t>
      </w:r>
      <w:r w:rsidRPr="00DB4733">
        <w:rPr>
          <w:rFonts w:ascii="ＭＳ ゴシック" w:eastAsia="ＭＳ ゴシック" w:hAnsi="ＭＳ ゴシック" w:cs="ＭＳ ゴシック" w:hint="eastAsia"/>
          <w:sz w:val="19"/>
          <w:szCs w:val="19"/>
          <w:lang w:eastAsia="ja-JP"/>
        </w:rPr>
        <w:t>企業は製品の償却期間にわたって土地利用変化による影響を</w:t>
      </w:r>
      <w:r w:rsidR="0088080E">
        <w:rPr>
          <w:rFonts w:ascii="ＭＳ ゴシック" w:eastAsia="ＭＳ ゴシック" w:hAnsi="ＭＳ ゴシック" w:cs="ＭＳ ゴシック" w:hint="eastAsia"/>
          <w:sz w:val="19"/>
          <w:szCs w:val="19"/>
          <w:lang w:eastAsia="ja-JP"/>
        </w:rPr>
        <w:t>割り当てる</w:t>
      </w:r>
      <w:r w:rsidRPr="00DB4733">
        <w:rPr>
          <w:rFonts w:ascii="ＭＳ ゴシック" w:eastAsia="ＭＳ ゴシック" w:hAnsi="ＭＳ ゴシック" w:cs="ＭＳ ゴシック" w:hint="eastAsia"/>
          <w:sz w:val="19"/>
          <w:szCs w:val="19"/>
          <w:lang w:eastAsia="ja-JP"/>
        </w:rPr>
        <w:t>必要があ</w:t>
      </w:r>
      <w:r w:rsidR="0088080E">
        <w:rPr>
          <w:rFonts w:ascii="ＭＳ ゴシック" w:eastAsia="ＭＳ ゴシック" w:hAnsi="ＭＳ ゴシック" w:cs="ＭＳ ゴシック" w:hint="eastAsia"/>
          <w:sz w:val="19"/>
          <w:szCs w:val="19"/>
          <w:lang w:eastAsia="ja-JP"/>
        </w:rPr>
        <w:t>ります</w:t>
      </w:r>
      <w:r w:rsidRPr="00DB4733">
        <w:rPr>
          <w:rFonts w:ascii="ＭＳ ゴシック" w:eastAsia="ＭＳ ゴシック" w:hAnsi="ＭＳ ゴシック" w:cs="ＭＳ ゴシック" w:hint="eastAsia"/>
          <w:sz w:val="19"/>
          <w:szCs w:val="19"/>
          <w:lang w:eastAsia="ja-JP"/>
        </w:rPr>
        <w:t>。パーム油が年単位で収穫されると仮定すると、土地利用変化による影響の</w:t>
      </w:r>
      <w:r w:rsidRPr="00DB4733">
        <w:rPr>
          <w:sz w:val="19"/>
          <w:szCs w:val="19"/>
          <w:lang w:eastAsia="ja-JP"/>
        </w:rPr>
        <w:t xml:space="preserve">1/20 </w:t>
      </w:r>
      <w:r w:rsidRPr="00DB4733">
        <w:rPr>
          <w:rFonts w:ascii="ＭＳ ゴシック" w:eastAsia="ＭＳ ゴシック" w:hAnsi="ＭＳ ゴシック" w:cs="ＭＳ ゴシック" w:hint="eastAsia"/>
          <w:sz w:val="19"/>
          <w:szCs w:val="19"/>
          <w:lang w:eastAsia="ja-JP"/>
        </w:rPr>
        <w:t>がパーム油の年単位での収穫に適用され</w:t>
      </w:r>
      <w:r w:rsidR="0088080E">
        <w:rPr>
          <w:rFonts w:ascii="ＭＳ ゴシック" w:eastAsia="ＭＳ ゴシック" w:hAnsi="ＭＳ ゴシック" w:cs="ＭＳ ゴシック" w:hint="eastAsia"/>
          <w:sz w:val="19"/>
          <w:szCs w:val="19"/>
          <w:lang w:eastAsia="ja-JP"/>
        </w:rPr>
        <w:t>ます</w:t>
      </w:r>
      <w:r w:rsidRPr="00DB4733">
        <w:rPr>
          <w:rFonts w:ascii="ＭＳ ゴシック" w:eastAsia="ＭＳ ゴシック" w:hAnsi="ＭＳ ゴシック" w:cs="ＭＳ ゴシック" w:hint="eastAsia"/>
          <w:sz w:val="19"/>
          <w:szCs w:val="19"/>
          <w:lang w:eastAsia="ja-JP"/>
        </w:rPr>
        <w:t>。この値をさらに</w:t>
      </w:r>
      <w:r w:rsidR="0088080E">
        <w:rPr>
          <w:rFonts w:ascii="ＭＳ ゴシック" w:eastAsia="ＭＳ ゴシック" w:hAnsi="ＭＳ ゴシック" w:cs="ＭＳ ゴシック" w:hint="eastAsia"/>
          <w:sz w:val="19"/>
          <w:szCs w:val="19"/>
          <w:lang w:eastAsia="ja-JP"/>
        </w:rPr>
        <w:t>基準流量</w:t>
      </w:r>
      <w:r w:rsidRPr="00DB4733">
        <w:rPr>
          <w:rFonts w:ascii="ＭＳ ゴシック" w:eastAsia="ＭＳ ゴシック" w:hAnsi="ＭＳ ゴシック" w:cs="ＭＳ ゴシック" w:hint="eastAsia"/>
          <w:sz w:val="19"/>
          <w:szCs w:val="19"/>
          <w:lang w:eastAsia="ja-JP"/>
        </w:rPr>
        <w:t>に正規化し、</w:t>
      </w:r>
      <w:r w:rsidR="0088080E">
        <w:rPr>
          <w:rFonts w:ascii="ＭＳ ゴシック" w:eastAsia="ＭＳ ゴシック" w:hAnsi="ＭＳ ゴシック" w:cs="ＭＳ ゴシック" w:hint="eastAsia"/>
          <w:sz w:val="19"/>
          <w:szCs w:val="19"/>
          <w:lang w:eastAsia="ja-JP"/>
        </w:rPr>
        <w:t>算出</w:t>
      </w:r>
      <w:r w:rsidRPr="00DB4733">
        <w:rPr>
          <w:rFonts w:ascii="ＭＳ ゴシック" w:eastAsia="ＭＳ ゴシック" w:hAnsi="ＭＳ ゴシック" w:cs="ＭＳ ゴシック" w:hint="eastAsia"/>
          <w:sz w:val="19"/>
          <w:szCs w:val="19"/>
          <w:lang w:eastAsia="ja-JP"/>
        </w:rPr>
        <w:t>結果に含め</w:t>
      </w:r>
      <w:r w:rsidR="0088080E">
        <w:rPr>
          <w:rFonts w:ascii="ＭＳ ゴシック" w:eastAsia="ＭＳ ゴシック" w:hAnsi="ＭＳ ゴシック" w:cs="ＭＳ ゴシック" w:hint="eastAsia"/>
          <w:sz w:val="19"/>
          <w:szCs w:val="19"/>
          <w:lang w:eastAsia="ja-JP"/>
        </w:rPr>
        <w:t>ます</w:t>
      </w:r>
    </w:p>
    <w:p w14:paraId="13A913A5" w14:textId="77777777" w:rsidR="0055291C" w:rsidRPr="00FC0F01" w:rsidRDefault="0055291C">
      <w:pPr>
        <w:rPr>
          <w:rFonts w:eastAsiaTheme="minorEastAsia"/>
          <w:sz w:val="20"/>
          <w:lang w:eastAsia="ja-JP"/>
        </w:rPr>
        <w:sectPr w:rsidR="0055291C" w:rsidRPr="00FC0F01">
          <w:headerReference w:type="default" r:id="rId367"/>
          <w:footerReference w:type="even" r:id="rId368"/>
          <w:footerReference w:type="default" r:id="rId369"/>
          <w:pgSz w:w="12240" w:h="15840"/>
          <w:pgMar w:top="1160" w:right="0" w:bottom="1040" w:left="0" w:header="957" w:footer="859" w:gutter="0"/>
          <w:pgNumType w:start="125"/>
          <w:cols w:space="720"/>
        </w:sectPr>
      </w:pPr>
    </w:p>
    <w:p w14:paraId="5863607B" w14:textId="77777777" w:rsidR="0055291C" w:rsidRPr="00FC0F01" w:rsidRDefault="00000000">
      <w:pPr>
        <w:pStyle w:val="a3"/>
        <w:rPr>
          <w:rFonts w:eastAsiaTheme="minorEastAsia"/>
          <w:sz w:val="22"/>
          <w:lang w:eastAsia="ja-JP"/>
        </w:rPr>
      </w:pPr>
      <w:r>
        <w:pict w14:anchorId="07E2476A">
          <v:shape id="docshape1617" o:spid="_x0000_s2206" style="position:absolute;margin-left:580.75pt;margin-top:0;width:31.3pt;height:285.85pt;z-index:251680256;mso-position-horizontal-relative:page;mso-position-vertical-relative:page" coordorigin="11615" coordsize="626,5717" path="m12240,r-625,l11615,5489r3,131l11643,5688r67,25l11842,5716r398,l12240,xe" fillcolor="#00aca1" stroked="f">
            <v:path arrowok="t"/>
            <w10:wrap anchorx="page" anchory="page"/>
          </v:shape>
        </w:pict>
      </w:r>
    </w:p>
    <w:p w14:paraId="7E426C47" w14:textId="799CF622" w:rsidR="0055291C" w:rsidRPr="0088080E" w:rsidRDefault="0088080E" w:rsidP="00FC0F01">
      <w:pPr>
        <w:pStyle w:val="7"/>
        <w:numPr>
          <w:ilvl w:val="2"/>
          <w:numId w:val="22"/>
        </w:numPr>
        <w:tabs>
          <w:tab w:val="left" w:pos="851"/>
        </w:tabs>
        <w:spacing w:before="50"/>
        <w:ind w:left="851" w:rightChars="87" w:right="191" w:firstLine="0"/>
        <w:jc w:val="left"/>
        <w:rPr>
          <w:lang w:eastAsia="ja-JP"/>
        </w:rPr>
      </w:pPr>
      <w:r w:rsidRPr="0088080E">
        <w:rPr>
          <w:rFonts w:ascii="ＭＳ 明朝" w:eastAsia="ＭＳ 明朝" w:hAnsi="ＭＳ 明朝" w:cs="ＭＳ 明朝" w:hint="eastAsia"/>
          <w:color w:val="00B8B1"/>
          <w:w w:val="95"/>
          <w:lang w:eastAsia="ja-JP"/>
        </w:rPr>
        <w:t>土地利用変化による影響に対する有意性の推定</w:t>
      </w:r>
    </w:p>
    <w:p w14:paraId="7EA019DB" w14:textId="27419A39" w:rsidR="0055291C" w:rsidRPr="00E60CBC" w:rsidRDefault="0088080E" w:rsidP="00E60CBC">
      <w:pPr>
        <w:pStyle w:val="a3"/>
        <w:tabs>
          <w:tab w:val="left" w:pos="851"/>
        </w:tabs>
        <w:spacing w:before="3" w:line="312" w:lineRule="auto"/>
        <w:ind w:left="851" w:rightChars="87" w:right="191" w:firstLineChars="100" w:firstLine="186"/>
        <w:rPr>
          <w:rFonts w:eastAsiaTheme="minorEastAsia"/>
          <w:lang w:eastAsia="ja-JP"/>
        </w:rPr>
      </w:pPr>
      <w:r w:rsidRPr="0088080E">
        <w:rPr>
          <w:rFonts w:ascii="ＭＳ ゴシック" w:eastAsia="ＭＳ ゴシック" w:hAnsi="ＭＳ ゴシック" w:cs="ＭＳ ゴシック" w:hint="eastAsia"/>
          <w:color w:val="545456"/>
          <w:spacing w:val="-4"/>
          <w:lang w:eastAsia="ja-JP"/>
        </w:rPr>
        <w:t>特定の土地データが入手できない場合、企業は、正当</w:t>
      </w:r>
      <w:r>
        <w:rPr>
          <w:rFonts w:ascii="ＭＳ ゴシック" w:eastAsia="ＭＳ ゴシック" w:hAnsi="ＭＳ ゴシック" w:cs="ＭＳ ゴシック" w:hint="eastAsia"/>
          <w:color w:val="545456"/>
          <w:spacing w:val="-4"/>
          <w:lang w:eastAsia="ja-JP"/>
        </w:rPr>
        <w:t>化した</w:t>
      </w:r>
      <w:r w:rsidRPr="0088080E">
        <w:rPr>
          <w:rFonts w:ascii="ＭＳ ゴシック" w:eastAsia="ＭＳ ゴシック" w:hAnsi="ＭＳ ゴシック" w:cs="ＭＳ ゴシック" w:hint="eastAsia"/>
          <w:color w:val="545456"/>
          <w:spacing w:val="-4"/>
          <w:lang w:eastAsia="ja-JP"/>
        </w:rPr>
        <w:t>除外が適切かどうかを判断するために、自社製品に及ぼす土地利用の影響の潜在的重要性を推定することを選択することもでき</w:t>
      </w:r>
      <w:r>
        <w:rPr>
          <w:rFonts w:ascii="ＭＳ ゴシック" w:eastAsia="ＭＳ ゴシック" w:hAnsi="ＭＳ ゴシック" w:cs="ＭＳ ゴシック" w:hint="eastAsia"/>
          <w:color w:val="545456"/>
          <w:spacing w:val="-4"/>
          <w:lang w:eastAsia="ja-JP"/>
        </w:rPr>
        <w:t>ます</w:t>
      </w:r>
      <w:r w:rsidRPr="0088080E">
        <w:rPr>
          <w:rFonts w:ascii="ＭＳ ゴシック" w:eastAsia="ＭＳ ゴシック" w:hAnsi="ＭＳ ゴシック" w:cs="ＭＳ ゴシック" w:hint="eastAsia"/>
          <w:color w:val="545456"/>
          <w:spacing w:val="-4"/>
          <w:lang w:eastAsia="ja-JP"/>
        </w:rPr>
        <w:t>。例えば、</w:t>
      </w:r>
      <w:r>
        <w:rPr>
          <w:rFonts w:ascii="ＭＳ ゴシック" w:eastAsia="ＭＳ ゴシック" w:hAnsi="ＭＳ ゴシック" w:cs="ＭＳ ゴシック" w:hint="eastAsia"/>
          <w:color w:val="545456"/>
          <w:spacing w:val="-4"/>
          <w:lang w:eastAsia="ja-JP"/>
        </w:rPr>
        <w:t>生物由来</w:t>
      </w:r>
      <w:r w:rsidRPr="0088080E">
        <w:rPr>
          <w:rFonts w:ascii="ＭＳ ゴシック" w:eastAsia="ＭＳ ゴシック" w:hAnsi="ＭＳ ゴシック" w:cs="ＭＳ ゴシック" w:hint="eastAsia"/>
          <w:color w:val="545456"/>
          <w:spacing w:val="-4"/>
          <w:lang w:eastAsia="ja-JP"/>
        </w:rPr>
        <w:t>ポリマーを</w:t>
      </w:r>
      <w:r>
        <w:rPr>
          <w:rFonts w:ascii="ＭＳ ゴシック" w:eastAsia="ＭＳ ゴシック" w:hAnsi="ＭＳ ゴシック" w:cs="ＭＳ ゴシック" w:hint="eastAsia"/>
          <w:color w:val="545456"/>
          <w:spacing w:val="-4"/>
          <w:lang w:eastAsia="ja-JP"/>
        </w:rPr>
        <w:t>原料</w:t>
      </w:r>
      <w:r w:rsidRPr="0088080E">
        <w:rPr>
          <w:rFonts w:ascii="ＭＳ ゴシック" w:eastAsia="ＭＳ ゴシック" w:hAnsi="ＭＳ ゴシック" w:cs="ＭＳ ゴシック" w:hint="eastAsia"/>
          <w:color w:val="545456"/>
          <w:spacing w:val="-4"/>
          <w:lang w:eastAsia="ja-JP"/>
        </w:rPr>
        <w:t>として使用する製品は、最悪のシナリオを想定して土地利用変化の影響を見積もることができ</w:t>
      </w:r>
      <w:r>
        <w:rPr>
          <w:rFonts w:ascii="ＭＳ ゴシック" w:eastAsia="ＭＳ ゴシック" w:hAnsi="ＭＳ ゴシック" w:cs="ＭＳ ゴシック" w:hint="eastAsia"/>
          <w:color w:val="545456"/>
          <w:spacing w:val="-4"/>
          <w:lang w:eastAsia="ja-JP"/>
        </w:rPr>
        <w:t>ます</w:t>
      </w:r>
      <w:r w:rsidRPr="0088080E">
        <w:rPr>
          <w:rFonts w:ascii="ＭＳ ゴシック" w:eastAsia="ＭＳ ゴシック" w:hAnsi="ＭＳ ゴシック" w:cs="ＭＳ ゴシック" w:hint="eastAsia"/>
          <w:color w:val="545456"/>
          <w:spacing w:val="-4"/>
          <w:lang w:eastAsia="ja-JP"/>
        </w:rPr>
        <w:t>（例：すべて自然林から転換された土地に由来する）</w:t>
      </w:r>
      <w:r w:rsidR="00852287">
        <w:rPr>
          <w:rFonts w:ascii="ＭＳ ゴシック" w:eastAsia="ＭＳ ゴシック" w:hAnsi="ＭＳ ゴシック" w:cs="ＭＳ ゴシック" w:hint="eastAsia"/>
          <w:color w:val="545456"/>
          <w:spacing w:val="-4"/>
          <w:lang w:eastAsia="ja-JP"/>
        </w:rPr>
        <w:t>。</w:t>
      </w:r>
      <w:r w:rsidRPr="0088080E">
        <w:rPr>
          <w:color w:val="545456"/>
          <w:spacing w:val="-4"/>
          <w:lang w:eastAsia="ja-JP"/>
        </w:rPr>
        <w:t>7</w:t>
      </w:r>
      <w:r w:rsidRPr="0088080E">
        <w:rPr>
          <w:rFonts w:ascii="ＭＳ ゴシック" w:eastAsia="ＭＳ ゴシック" w:hAnsi="ＭＳ ゴシック" w:cs="ＭＳ ゴシック" w:hint="eastAsia"/>
          <w:color w:val="545456"/>
          <w:spacing w:val="-4"/>
          <w:lang w:eastAsia="ja-JP"/>
        </w:rPr>
        <w:t>章で説明したのと同じルールを適用して、これが重要でないかどうかを判断</w:t>
      </w:r>
      <w:r w:rsidR="00852287">
        <w:rPr>
          <w:rFonts w:ascii="ＭＳ ゴシック" w:eastAsia="ＭＳ ゴシック" w:hAnsi="ＭＳ ゴシック" w:cs="ＭＳ ゴシック" w:hint="eastAsia"/>
          <w:color w:val="545456"/>
          <w:spacing w:val="-4"/>
          <w:lang w:eastAsia="ja-JP"/>
        </w:rPr>
        <w:t>します</w:t>
      </w:r>
      <w:r w:rsidRPr="0088080E">
        <w:rPr>
          <w:rFonts w:ascii="ＭＳ ゴシック" w:eastAsia="ＭＳ ゴシック" w:hAnsi="ＭＳ ゴシック" w:cs="ＭＳ ゴシック" w:hint="eastAsia"/>
          <w:color w:val="545456"/>
          <w:spacing w:val="-4"/>
          <w:lang w:eastAsia="ja-JP"/>
        </w:rPr>
        <w:t>。この試算で土地利用の影響が大きいと判断された場合、企業は最悪のケースを報告書に含めるか、あるいはさかのぼって</w:t>
      </w:r>
      <w:r w:rsidRPr="0088080E">
        <w:rPr>
          <w:color w:val="545456"/>
          <w:spacing w:val="-4"/>
          <w:lang w:eastAsia="ja-JP"/>
        </w:rPr>
        <w:t xml:space="preserve"> </w:t>
      </w:r>
      <w:r w:rsidRPr="0088080E">
        <w:rPr>
          <w:rFonts w:ascii="ＭＳ ゴシック" w:eastAsia="ＭＳ ゴシック" w:hAnsi="ＭＳ ゴシック" w:cs="ＭＳ ゴシック" w:hint="eastAsia"/>
          <w:color w:val="545456"/>
          <w:spacing w:val="-4"/>
          <w:lang w:eastAsia="ja-JP"/>
        </w:rPr>
        <w:t>統計データを用いて潜在的な影響を試算することができ</w:t>
      </w:r>
      <w:r w:rsidR="00852287">
        <w:rPr>
          <w:rFonts w:ascii="ＭＳ ゴシック" w:eastAsia="ＭＳ ゴシック" w:hAnsi="ＭＳ ゴシック" w:cs="ＭＳ ゴシック" w:hint="eastAsia"/>
          <w:color w:val="545456"/>
          <w:spacing w:val="-4"/>
          <w:lang w:eastAsia="ja-JP"/>
        </w:rPr>
        <w:t>ます</w:t>
      </w:r>
      <w:r w:rsidRPr="0088080E">
        <w:rPr>
          <w:rFonts w:ascii="ＭＳ ゴシック" w:eastAsia="ＭＳ ゴシック" w:hAnsi="ＭＳ ゴシック" w:cs="ＭＳ ゴシック" w:hint="eastAsia"/>
          <w:color w:val="545456"/>
          <w:spacing w:val="-4"/>
          <w:lang w:eastAsia="ja-JP"/>
        </w:rPr>
        <w:t>。土地利用の影響が重要でない場合、報告書の中で正当な除外項目として記載する</w:t>
      </w:r>
      <w:r w:rsidR="00852287">
        <w:rPr>
          <w:rFonts w:ascii="ＭＳ ゴシック" w:eastAsia="ＭＳ ゴシック" w:hAnsi="ＭＳ ゴシック" w:cs="ＭＳ ゴシック" w:hint="eastAsia"/>
          <w:color w:val="545456"/>
          <w:spacing w:val="-4"/>
          <w:lang w:eastAsia="ja-JP"/>
        </w:rPr>
        <w:t>べきです</w:t>
      </w:r>
      <w:r w:rsidRPr="0088080E">
        <w:rPr>
          <w:rFonts w:ascii="ＭＳ ゴシック" w:eastAsia="ＭＳ ゴシック" w:hAnsi="ＭＳ ゴシック" w:cs="ＭＳ ゴシック" w:hint="eastAsia"/>
          <w:color w:val="545456"/>
          <w:spacing w:val="-4"/>
          <w:lang w:eastAsia="ja-JP"/>
        </w:rPr>
        <w:t>。</w:t>
      </w:r>
    </w:p>
    <w:p w14:paraId="5F0CDEBE" w14:textId="0AFB299E" w:rsidR="0055291C" w:rsidRDefault="00852287" w:rsidP="00FC0F01">
      <w:pPr>
        <w:pStyle w:val="3"/>
        <w:numPr>
          <w:ilvl w:val="1"/>
          <w:numId w:val="22"/>
        </w:numPr>
        <w:tabs>
          <w:tab w:val="left" w:pos="851"/>
        </w:tabs>
        <w:spacing w:before="0"/>
        <w:ind w:left="851" w:rightChars="87" w:right="191" w:firstLine="0"/>
      </w:pPr>
      <w:r>
        <w:rPr>
          <w:rFonts w:ascii="ＭＳ 明朝" w:eastAsia="ＭＳ 明朝" w:hAnsi="ＭＳ 明朝" w:cs="ＭＳ 明朝" w:hint="eastAsia"/>
          <w:color w:val="00ACA1"/>
          <w:w w:val="95"/>
          <w:lang w:eastAsia="ja-JP"/>
        </w:rPr>
        <w:t>土壌炭素</w:t>
      </w:r>
    </w:p>
    <w:p w14:paraId="0BCA065A" w14:textId="6CB70D7E" w:rsidR="0055291C" w:rsidRDefault="00852287" w:rsidP="00FC0F01">
      <w:pPr>
        <w:pStyle w:val="a3"/>
        <w:tabs>
          <w:tab w:val="left" w:pos="851"/>
        </w:tabs>
        <w:spacing w:before="54" w:line="312" w:lineRule="auto"/>
        <w:ind w:left="851" w:rightChars="87" w:right="191" w:firstLineChars="100" w:firstLine="190"/>
        <w:rPr>
          <w:lang w:eastAsia="ja-JP"/>
        </w:rPr>
      </w:pPr>
      <w:r>
        <w:rPr>
          <w:rFonts w:ascii="ＭＳ ゴシック" w:eastAsia="ＭＳ ゴシック" w:hAnsi="ＭＳ ゴシック" w:cs="ＭＳ ゴシック" w:hint="eastAsia"/>
          <w:lang w:eastAsia="ja-JP"/>
        </w:rPr>
        <w:t>土地利用の変化の結果生じる炭素ストック変化の一部は、土壌の炭素ストックの変化によるものです</w:t>
      </w:r>
      <w:r>
        <w:rPr>
          <w:lang w:eastAsia="ja-JP"/>
        </w:rPr>
        <w:t xml:space="preserve"> </w:t>
      </w:r>
      <w:r>
        <w:rPr>
          <w:rFonts w:ascii="ＭＳ ゴシック" w:eastAsia="ＭＳ ゴシック" w:hAnsi="ＭＳ ゴシック" w:cs="ＭＳ ゴシック" w:hint="eastAsia"/>
          <w:lang w:eastAsia="ja-JP"/>
        </w:rPr>
        <w:t>。例えば、自然の土地を耕作地に転換すると、土壌が蓄えることのできる炭素の量が減少します。</w:t>
      </w:r>
      <w:r>
        <w:rPr>
          <w:lang w:eastAsia="ja-JP"/>
        </w:rPr>
        <w:t>IPCC</w:t>
      </w:r>
      <w:r>
        <w:rPr>
          <w:rFonts w:ascii="ＭＳ ゴシック" w:eastAsia="ＭＳ ゴシック" w:hAnsi="ＭＳ ゴシック" w:cs="ＭＳ ゴシック" w:hint="eastAsia"/>
          <w:lang w:eastAsia="ja-JP"/>
        </w:rPr>
        <w:t>では、土地利用変化による炭素ストック変化を計算するための要因として、土壌の炭素変化を推定しています。</w:t>
      </w:r>
    </w:p>
    <w:p w14:paraId="6E90D48A" w14:textId="4A07C5F1" w:rsidR="0055291C" w:rsidRPr="00E60CBC" w:rsidRDefault="00852287" w:rsidP="00E60CBC">
      <w:pPr>
        <w:pStyle w:val="a3"/>
        <w:tabs>
          <w:tab w:val="left" w:pos="851"/>
        </w:tabs>
        <w:spacing w:before="2" w:line="312" w:lineRule="auto"/>
        <w:ind w:left="851" w:rightChars="87" w:right="191" w:firstLineChars="100" w:firstLine="190"/>
        <w:rPr>
          <w:lang w:eastAsia="ja-JP"/>
        </w:rPr>
      </w:pPr>
      <w:r>
        <w:rPr>
          <w:rFonts w:ascii="ＭＳ ゴシック" w:eastAsia="ＭＳ ゴシック" w:hAnsi="ＭＳ ゴシック" w:cs="ＭＳ ゴシック" w:hint="eastAsia"/>
          <w:lang w:eastAsia="ja-JP"/>
        </w:rPr>
        <w:t>しかし、伐採や施肥などの土地利用方法の結果として、</w:t>
      </w:r>
      <w:r>
        <w:rPr>
          <w:lang w:eastAsia="ja-JP"/>
        </w:rPr>
        <w:t xml:space="preserve"> </w:t>
      </w:r>
      <w:r>
        <w:rPr>
          <w:rFonts w:ascii="ＭＳ ゴシック" w:eastAsia="ＭＳ ゴシック" w:hAnsi="ＭＳ ゴシック" w:cs="ＭＳ ゴシック" w:hint="eastAsia"/>
          <w:lang w:eastAsia="ja-JP"/>
        </w:rPr>
        <w:t>土地利用方法を変更した後も土壌の炭素損失は続く可能性があります。一方、土地利用方法を変更することで、土壌の炭素蓄積量が向上し、結果として</w:t>
      </w:r>
      <w:r>
        <w:rPr>
          <w:lang w:eastAsia="ja-JP"/>
        </w:rPr>
        <w:t>CO</w:t>
      </w:r>
      <w:r w:rsidRPr="00852287">
        <w:rPr>
          <w:vertAlign w:val="subscript"/>
          <w:lang w:eastAsia="ja-JP"/>
        </w:rPr>
        <w:t>2</w:t>
      </w:r>
      <w:r>
        <w:rPr>
          <w:rFonts w:ascii="ＭＳ ゴシック" w:eastAsia="ＭＳ ゴシック" w:hAnsi="ＭＳ ゴシック" w:cs="ＭＳ ゴシック" w:hint="eastAsia"/>
          <w:lang w:eastAsia="ja-JP"/>
        </w:rPr>
        <w:t>の除去につながることもあります。企業は、</w:t>
      </w:r>
      <w:r w:rsidR="00FC0F01">
        <w:rPr>
          <w:rFonts w:ascii="ＭＳ ゴシック" w:eastAsia="ＭＳ ゴシック" w:hAnsi="ＭＳ ゴシック" w:cs="ＭＳ ゴシック" w:hint="eastAsia"/>
          <w:lang w:eastAsia="ja-JP"/>
        </w:rPr>
        <w:t>排出量または除去量を合理的に推定できる場合、</w:t>
      </w:r>
      <w:r>
        <w:rPr>
          <w:rFonts w:ascii="ＭＳ ゴシック" w:eastAsia="ＭＳ ゴシック" w:hAnsi="ＭＳ ゴシック" w:cs="ＭＳ ゴシック" w:hint="eastAsia"/>
          <w:lang w:eastAsia="ja-JP"/>
        </w:rPr>
        <w:t>土地利用方法の結果としての土壌の炭素変化を</w:t>
      </w:r>
      <w:r w:rsidR="00FC0F01">
        <w:rPr>
          <w:rFonts w:ascii="ＭＳ ゴシック" w:eastAsia="ＭＳ ゴシック" w:hAnsi="ＭＳ ゴシック" w:cs="ＭＳ ゴシック" w:hint="eastAsia"/>
          <w:lang w:eastAsia="ja-JP"/>
        </w:rPr>
        <w:t>算出</w:t>
      </w:r>
      <w:r>
        <w:rPr>
          <w:rFonts w:ascii="ＭＳ ゴシック" w:eastAsia="ＭＳ ゴシック" w:hAnsi="ＭＳ ゴシック" w:cs="ＭＳ ゴシック" w:hint="eastAsia"/>
          <w:lang w:eastAsia="ja-JP"/>
        </w:rPr>
        <w:t>結果に含めることができ</w:t>
      </w:r>
      <w:r w:rsidR="00FC0F01">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。企業は、土壌炭素の変化が</w:t>
      </w:r>
      <w:r w:rsidR="00FC0F01">
        <w:rPr>
          <w:rFonts w:ascii="ＭＳ ゴシック" w:eastAsia="ＭＳ ゴシック" w:hAnsi="ＭＳ ゴシック" w:cs="ＭＳ ゴシック" w:hint="eastAsia"/>
          <w:lang w:eastAsia="ja-JP"/>
        </w:rPr>
        <w:t>算出</w:t>
      </w:r>
      <w:r>
        <w:rPr>
          <w:rFonts w:ascii="ＭＳ ゴシック" w:eastAsia="ＭＳ ゴシック" w:hAnsi="ＭＳ ゴシック" w:cs="ＭＳ ゴシック" w:hint="eastAsia"/>
          <w:lang w:eastAsia="ja-JP"/>
        </w:rPr>
        <w:t>結果に含まれているかどうかを報告</w:t>
      </w:r>
      <w:r w:rsidR="00FC0F01">
        <w:rPr>
          <w:rFonts w:ascii="ＭＳ ゴシック" w:eastAsia="ＭＳ ゴシック" w:hAnsi="ＭＳ ゴシック" w:cs="ＭＳ ゴシック" w:hint="eastAsia"/>
          <w:lang w:eastAsia="ja-JP"/>
        </w:rPr>
        <w:t>するべきです</w:t>
      </w:r>
      <w:r>
        <w:rPr>
          <w:rFonts w:ascii="ＭＳ ゴシック" w:eastAsia="ＭＳ ゴシック" w:hAnsi="ＭＳ ゴシック" w:cs="ＭＳ ゴシック" w:hint="eastAsia"/>
          <w:lang w:eastAsia="ja-JP"/>
        </w:rPr>
        <w:t>。</w:t>
      </w:r>
    </w:p>
    <w:p w14:paraId="4536B0C3" w14:textId="3927965A" w:rsidR="0055291C" w:rsidRDefault="00FC0F01" w:rsidP="00FC0F01">
      <w:pPr>
        <w:pStyle w:val="3"/>
        <w:tabs>
          <w:tab w:val="left" w:pos="851"/>
        </w:tabs>
        <w:spacing w:before="0"/>
        <w:ind w:left="851" w:rightChars="87" w:right="191"/>
      </w:pPr>
      <w:r>
        <w:rPr>
          <w:rFonts w:ascii="ＭＳ 明朝" w:eastAsia="ＭＳ 明朝" w:hAnsi="ＭＳ 明朝" w:cs="ＭＳ 明朝" w:hint="eastAsia"/>
          <w:color w:val="00ACA1"/>
          <w:lang w:eastAsia="ja-JP"/>
        </w:rPr>
        <w:t>脚注</w:t>
      </w:r>
    </w:p>
    <w:p w14:paraId="07BE26CF" w14:textId="65646B84" w:rsidR="0055291C" w:rsidRPr="00E60CBC" w:rsidRDefault="00F23C61" w:rsidP="00156E24">
      <w:pPr>
        <w:tabs>
          <w:tab w:val="left" w:pos="993"/>
        </w:tabs>
        <w:spacing w:before="62" w:line="345" w:lineRule="auto"/>
        <w:ind w:leftChars="387" w:left="992" w:rightChars="87" w:right="191" w:hangingChars="88" w:hanging="141"/>
        <w:rPr>
          <w:sz w:val="16"/>
          <w:szCs w:val="16"/>
          <w:lang w:eastAsia="ja-JP"/>
        </w:rPr>
      </w:pPr>
      <w:r>
        <w:rPr>
          <w:color w:val="545456"/>
          <w:sz w:val="16"/>
        </w:rPr>
        <w:t>1</w:t>
      </w:r>
      <w:r>
        <w:rPr>
          <w:color w:val="545456"/>
          <w:spacing w:val="1"/>
          <w:sz w:val="16"/>
        </w:rPr>
        <w:t xml:space="preserve"> </w:t>
      </w:r>
      <w:r w:rsidR="00FC0F01" w:rsidRPr="00E60CBC">
        <w:rPr>
          <w:rFonts w:ascii="ＭＳ ゴシック" w:eastAsia="ＭＳ ゴシック" w:hAnsi="ＭＳ ゴシック" w:cs="ＭＳ ゴシック" w:hint="eastAsia"/>
          <w:color w:val="545456"/>
          <w:sz w:val="16"/>
          <w:szCs w:val="16"/>
        </w:rPr>
        <w:t>ここに示す指針は、</w:t>
      </w:r>
      <w:r w:rsidR="00FC0F01" w:rsidRPr="00E60CBC">
        <w:rPr>
          <w:color w:val="545456"/>
          <w:sz w:val="16"/>
          <w:szCs w:val="16"/>
        </w:rPr>
        <w:t>2006</w:t>
      </w:r>
      <w:r w:rsidR="00FC0F01" w:rsidRPr="00E60CBC">
        <w:rPr>
          <w:rFonts w:ascii="ＭＳ ゴシック" w:eastAsia="ＭＳ ゴシック" w:hAnsi="ＭＳ ゴシック" w:cs="ＭＳ ゴシック" w:hint="eastAsia"/>
          <w:color w:val="545456"/>
          <w:sz w:val="16"/>
          <w:szCs w:val="16"/>
        </w:rPr>
        <w:t>年の</w:t>
      </w:r>
      <w:r w:rsidR="00FC0F01" w:rsidRPr="00E60CBC">
        <w:rPr>
          <w:color w:val="545456"/>
          <w:sz w:val="16"/>
          <w:szCs w:val="16"/>
        </w:rPr>
        <w:t xml:space="preserve">IPCC Guidelines for National GHG Inventories, Volume 4: Agriculture, Forestry, and Other Land Use </w:t>
      </w:r>
      <w:r w:rsidR="00FC0F01" w:rsidRPr="00E60CBC">
        <w:rPr>
          <w:rFonts w:ascii="ＭＳ ゴシック" w:eastAsia="ＭＳ ゴシック" w:hAnsi="ＭＳ ゴシック" w:cs="ＭＳ ゴシック" w:hint="eastAsia"/>
          <w:color w:val="545456"/>
          <w:sz w:val="16"/>
          <w:szCs w:val="16"/>
        </w:rPr>
        <w:t>で示された方法論と指針に基づいてい</w:t>
      </w:r>
      <w:r w:rsidR="00FC0F01" w:rsidRPr="00E60CBC">
        <w:rPr>
          <w:rFonts w:ascii="ＭＳ ゴシック" w:eastAsia="ＭＳ ゴシック" w:hAnsi="ＭＳ ゴシック" w:cs="ＭＳ ゴシック" w:hint="eastAsia"/>
          <w:color w:val="545456"/>
          <w:sz w:val="16"/>
          <w:szCs w:val="16"/>
          <w:lang w:eastAsia="ja-JP"/>
        </w:rPr>
        <w:t>ます。企業は、土地利用と土地利用</w:t>
      </w:r>
      <w:r w:rsidR="00FC0F01" w:rsidRPr="00E60CBC">
        <w:rPr>
          <w:color w:val="545456"/>
          <w:sz w:val="16"/>
          <w:szCs w:val="16"/>
          <w:lang w:eastAsia="ja-JP"/>
        </w:rPr>
        <w:t xml:space="preserve"> </w:t>
      </w:r>
      <w:r w:rsidR="00FC0F01" w:rsidRPr="00E60CBC">
        <w:rPr>
          <w:rFonts w:ascii="ＭＳ ゴシック" w:eastAsia="ＭＳ ゴシック" w:hAnsi="ＭＳ ゴシック" w:cs="ＭＳ ゴシック" w:hint="eastAsia"/>
          <w:color w:val="545456"/>
          <w:sz w:val="16"/>
          <w:szCs w:val="16"/>
          <w:lang w:eastAsia="ja-JP"/>
        </w:rPr>
        <w:t>変動に関する正確で最新の排出量計算を行うために、最新の</w:t>
      </w:r>
      <w:r w:rsidR="00FC0F01" w:rsidRPr="00E60CBC">
        <w:rPr>
          <w:color w:val="545456"/>
          <w:sz w:val="16"/>
          <w:szCs w:val="16"/>
          <w:lang w:eastAsia="ja-JP"/>
        </w:rPr>
        <w:t>IPCC</w:t>
      </w:r>
      <w:r w:rsidR="00FC0F01" w:rsidRPr="00E60CBC">
        <w:rPr>
          <w:rFonts w:ascii="ＭＳ ゴシック" w:eastAsia="ＭＳ ゴシック" w:hAnsi="ＭＳ ゴシック" w:cs="ＭＳ ゴシック" w:hint="eastAsia"/>
          <w:color w:val="545456"/>
          <w:sz w:val="16"/>
          <w:szCs w:val="16"/>
          <w:lang w:eastAsia="ja-JP"/>
        </w:rPr>
        <w:t>ガイドラインを参照することが推奨されます。しかし、</w:t>
      </w:r>
      <w:r w:rsidR="00FC0F01" w:rsidRPr="00E60CBC">
        <w:rPr>
          <w:color w:val="545456"/>
          <w:sz w:val="16"/>
          <w:szCs w:val="16"/>
          <w:lang w:eastAsia="ja-JP"/>
        </w:rPr>
        <w:t>IPCC</w:t>
      </w:r>
      <w:r w:rsidR="00FC0F01" w:rsidRPr="00E60CBC">
        <w:rPr>
          <w:rFonts w:ascii="ＭＳ ゴシック" w:eastAsia="ＭＳ ゴシック" w:hAnsi="ＭＳ ゴシック" w:cs="ＭＳ ゴシック" w:hint="eastAsia"/>
          <w:color w:val="545456"/>
          <w:sz w:val="16"/>
          <w:szCs w:val="16"/>
          <w:lang w:eastAsia="ja-JP"/>
        </w:rPr>
        <w:t>ガイドラインは有用で包括的</w:t>
      </w:r>
      <w:r w:rsidR="004F1887" w:rsidRPr="00E60CBC">
        <w:rPr>
          <w:rFonts w:ascii="ＭＳ ゴシック" w:eastAsia="ＭＳ ゴシック" w:hAnsi="ＭＳ ゴシック" w:cs="ＭＳ ゴシック" w:hint="eastAsia"/>
          <w:color w:val="545456"/>
          <w:sz w:val="16"/>
          <w:szCs w:val="16"/>
          <w:lang w:eastAsia="ja-JP"/>
        </w:rPr>
        <w:t>ですが</w:t>
      </w:r>
      <w:r w:rsidR="00FC0F01" w:rsidRPr="00E60CBC">
        <w:rPr>
          <w:rFonts w:ascii="ＭＳ ゴシック" w:eastAsia="ＭＳ ゴシック" w:hAnsi="ＭＳ ゴシック" w:cs="ＭＳ ゴシック" w:hint="eastAsia"/>
          <w:color w:val="545456"/>
          <w:sz w:val="16"/>
          <w:szCs w:val="16"/>
          <w:lang w:eastAsia="ja-JP"/>
        </w:rPr>
        <w:t>、その焦点は国家</w:t>
      </w:r>
      <w:r w:rsidR="004F1887" w:rsidRPr="00E60CBC">
        <w:rPr>
          <w:rFonts w:ascii="ＭＳ ゴシック" w:eastAsia="ＭＳ ゴシック" w:hAnsi="ＭＳ ゴシック" w:cs="ＭＳ ゴシック" w:hint="eastAsia"/>
          <w:color w:val="545456"/>
          <w:sz w:val="16"/>
          <w:szCs w:val="16"/>
          <w:lang w:eastAsia="ja-JP"/>
        </w:rPr>
        <w:t>の排出量算出</w:t>
      </w:r>
      <w:r w:rsidR="00FC0F01" w:rsidRPr="00E60CBC">
        <w:rPr>
          <w:rFonts w:ascii="ＭＳ ゴシック" w:eastAsia="ＭＳ ゴシック" w:hAnsi="ＭＳ ゴシック" w:cs="ＭＳ ゴシック" w:hint="eastAsia"/>
          <w:color w:val="545456"/>
          <w:sz w:val="16"/>
          <w:szCs w:val="16"/>
          <w:lang w:eastAsia="ja-JP"/>
        </w:rPr>
        <w:t>にあることに留意することが重要</w:t>
      </w:r>
      <w:r w:rsidR="004F1887" w:rsidRPr="00E60CBC">
        <w:rPr>
          <w:rFonts w:ascii="ＭＳ ゴシック" w:eastAsia="ＭＳ ゴシック" w:hAnsi="ＭＳ ゴシック" w:cs="ＭＳ ゴシック" w:hint="eastAsia"/>
          <w:color w:val="545456"/>
          <w:sz w:val="16"/>
          <w:szCs w:val="16"/>
          <w:lang w:eastAsia="ja-JP"/>
        </w:rPr>
        <w:t>となります</w:t>
      </w:r>
      <w:r w:rsidR="00FC0F01" w:rsidRPr="00E60CBC">
        <w:rPr>
          <w:rFonts w:ascii="ＭＳ ゴシック" w:eastAsia="ＭＳ ゴシック" w:hAnsi="ＭＳ ゴシック" w:cs="ＭＳ ゴシック" w:hint="eastAsia"/>
          <w:color w:val="545456"/>
          <w:sz w:val="16"/>
          <w:szCs w:val="16"/>
          <w:lang w:eastAsia="ja-JP"/>
        </w:rPr>
        <w:t>。そのため、一部の内容は適用されません。</w:t>
      </w:r>
    </w:p>
    <w:p w14:paraId="2EFEE060" w14:textId="77777777" w:rsidR="00156E24" w:rsidRPr="00156E24" w:rsidRDefault="004F1887" w:rsidP="00156E24">
      <w:pPr>
        <w:pStyle w:val="a5"/>
        <w:numPr>
          <w:ilvl w:val="0"/>
          <w:numId w:val="17"/>
        </w:numPr>
        <w:spacing w:line="345" w:lineRule="auto"/>
        <w:ind w:leftChars="387" w:left="992" w:right="192" w:hangingChars="88" w:hanging="141"/>
        <w:rPr>
          <w:sz w:val="16"/>
          <w:szCs w:val="16"/>
        </w:rPr>
      </w:pPr>
      <w:r w:rsidRPr="00E60CBC">
        <w:rPr>
          <w:rFonts w:ascii="ＭＳ ゴシック" w:eastAsia="ＭＳ ゴシック" w:hAnsi="ＭＳ ゴシック" w:cs="ＭＳ ゴシック" w:hint="eastAsia"/>
          <w:sz w:val="16"/>
          <w:szCs w:val="16"/>
          <w:lang w:eastAsia="ja-JP"/>
        </w:rPr>
        <w:t>炭素蓄積量の変化は、大気中からの炭素の除去または大気中への炭素の排出のいずれかをもたらすと認識されています。しか</w:t>
      </w:r>
      <w:r w:rsidR="00156E24">
        <w:rPr>
          <w:rFonts w:ascii="ＭＳ ゴシック" w:eastAsia="ＭＳ ゴシック" w:hAnsi="ＭＳ ゴシック" w:cs="ＭＳ ゴシック" w:hint="eastAsia"/>
          <w:sz w:val="16"/>
          <w:szCs w:val="16"/>
          <w:lang w:eastAsia="ja-JP"/>
        </w:rPr>
        <w:t>し、本基</w:t>
      </w:r>
    </w:p>
    <w:p w14:paraId="45486853" w14:textId="2B6DD130" w:rsidR="0055291C" w:rsidRPr="00E60CBC" w:rsidRDefault="004F1887" w:rsidP="00156E24">
      <w:pPr>
        <w:pStyle w:val="a5"/>
        <w:spacing w:line="345" w:lineRule="auto"/>
        <w:ind w:left="567" w:right="667" w:firstLine="0"/>
        <w:rPr>
          <w:sz w:val="16"/>
          <w:szCs w:val="16"/>
          <w:lang w:eastAsia="ja-JP"/>
        </w:rPr>
      </w:pPr>
      <w:r w:rsidRPr="00E60CBC">
        <w:rPr>
          <w:rFonts w:ascii="ＭＳ ゴシック" w:eastAsia="ＭＳ ゴシック" w:hAnsi="ＭＳ ゴシック" w:cs="ＭＳ ゴシック" w:hint="eastAsia"/>
          <w:sz w:val="16"/>
          <w:szCs w:val="16"/>
          <w:lang w:eastAsia="ja-JP"/>
        </w:rPr>
        <w:t>準では製品の</w:t>
      </w:r>
      <w:r w:rsidRPr="00E60CBC">
        <w:rPr>
          <w:sz w:val="16"/>
          <w:szCs w:val="16"/>
          <w:lang w:eastAsia="ja-JP"/>
        </w:rPr>
        <w:t>GHG</w:t>
      </w:r>
      <w:r w:rsidRPr="00E60CBC">
        <w:rPr>
          <w:rFonts w:ascii="ＭＳ ゴシック" w:eastAsia="ＭＳ ゴシック" w:hAnsi="ＭＳ ゴシック" w:cs="ＭＳ ゴシック" w:hint="eastAsia"/>
          <w:sz w:val="16"/>
          <w:szCs w:val="16"/>
          <w:lang w:eastAsia="ja-JP"/>
        </w:rPr>
        <w:t>排出量を計上するため</w:t>
      </w:r>
      <w:r w:rsidRPr="00E60CBC">
        <w:rPr>
          <w:sz w:val="16"/>
          <w:szCs w:val="16"/>
          <w:lang w:eastAsia="ja-JP"/>
        </w:rPr>
        <w:t xml:space="preserve"> </w:t>
      </w:r>
      <w:r w:rsidRPr="00E60CBC">
        <w:rPr>
          <w:rFonts w:ascii="ＭＳ ゴシック" w:eastAsia="ＭＳ ゴシック" w:hAnsi="ＭＳ ゴシック" w:cs="ＭＳ ゴシック" w:hint="eastAsia"/>
          <w:sz w:val="16"/>
          <w:szCs w:val="16"/>
          <w:lang w:eastAsia="ja-JP"/>
        </w:rPr>
        <w:t>、バイオマスの利用（植林やバイオマスの再成長）は、除去量よりも排出量が多くなります。</w:t>
      </w:r>
      <w:r w:rsidRPr="00E60CBC">
        <w:rPr>
          <w:sz w:val="16"/>
          <w:szCs w:val="16"/>
          <w:lang w:eastAsia="ja-JP"/>
        </w:rPr>
        <w:t>GHG</w:t>
      </w:r>
      <w:r w:rsidRPr="00E60CBC">
        <w:rPr>
          <w:rFonts w:ascii="ＭＳ ゴシック" w:eastAsia="ＭＳ ゴシック" w:hAnsi="ＭＳ ゴシック" w:cs="ＭＳ ゴシック" w:hint="eastAsia"/>
          <w:sz w:val="16"/>
          <w:szCs w:val="16"/>
          <w:lang w:eastAsia="ja-JP"/>
        </w:rPr>
        <w:t>クレジットを作るためにバイオマスを育てることは、この標準的な方法論に従った製品に帰結しません。しかし、耕起栽培から不耕起栽培への炭素蓄積量の変化や劣化した土地の利用など、場合によっては土地利用の変化による影響が正となる</w:t>
      </w:r>
      <w:r w:rsidRPr="00E60CBC">
        <w:rPr>
          <w:sz w:val="16"/>
          <w:szCs w:val="16"/>
          <w:lang w:eastAsia="ja-JP"/>
        </w:rPr>
        <w:t xml:space="preserve"> </w:t>
      </w:r>
      <w:r w:rsidRPr="00E60CBC">
        <w:rPr>
          <w:rFonts w:ascii="ＭＳ ゴシック" w:eastAsia="ＭＳ ゴシック" w:hAnsi="ＭＳ ゴシック" w:cs="ＭＳ ゴシック" w:hint="eastAsia"/>
          <w:sz w:val="16"/>
          <w:szCs w:val="16"/>
          <w:lang w:eastAsia="ja-JP"/>
        </w:rPr>
        <w:t>（例：排出量より除去量の方が多い）こともあります。</w:t>
      </w:r>
    </w:p>
    <w:p w14:paraId="05D71538" w14:textId="3BF45ED7" w:rsidR="0055291C" w:rsidRPr="00E60CBC" w:rsidRDefault="004F1887" w:rsidP="00156E24">
      <w:pPr>
        <w:pStyle w:val="a5"/>
        <w:numPr>
          <w:ilvl w:val="0"/>
          <w:numId w:val="17"/>
        </w:numPr>
        <w:tabs>
          <w:tab w:val="left" w:pos="472"/>
        </w:tabs>
        <w:spacing w:line="345" w:lineRule="auto"/>
        <w:ind w:left="567" w:right="667"/>
        <w:rPr>
          <w:color w:val="545456"/>
          <w:sz w:val="16"/>
          <w:szCs w:val="16"/>
          <w:lang w:eastAsia="ja-JP"/>
        </w:rPr>
      </w:pPr>
      <w:r w:rsidRPr="00E60CBC">
        <w:rPr>
          <w:rFonts w:ascii="ＭＳ ゴシック" w:eastAsia="ＭＳ ゴシック" w:hAnsi="ＭＳ ゴシック" w:cs="ＭＳ ゴシック" w:hint="eastAsia"/>
          <w:color w:val="545456"/>
          <w:sz w:val="16"/>
          <w:szCs w:val="16"/>
          <w:lang w:eastAsia="ja-JP"/>
        </w:rPr>
        <w:t>これは、バイオマス燃焼や石灰化など、転換された土地の整備に使用される作業のみを指</w:t>
      </w:r>
      <w:r w:rsidR="00E60CBC" w:rsidRPr="00E60CBC">
        <w:rPr>
          <w:rFonts w:ascii="ＭＳ ゴシック" w:eastAsia="ＭＳ ゴシック" w:hAnsi="ＭＳ ゴシック" w:cs="ＭＳ ゴシック" w:hint="eastAsia"/>
          <w:color w:val="545456"/>
          <w:sz w:val="16"/>
          <w:szCs w:val="16"/>
          <w:lang w:eastAsia="ja-JP"/>
        </w:rPr>
        <w:t>します</w:t>
      </w:r>
      <w:r w:rsidRPr="00E60CBC">
        <w:rPr>
          <w:rFonts w:ascii="ＭＳ ゴシック" w:eastAsia="ＭＳ ゴシック" w:hAnsi="ＭＳ ゴシック" w:cs="ＭＳ ゴシック" w:hint="eastAsia"/>
          <w:color w:val="545456"/>
          <w:sz w:val="16"/>
          <w:szCs w:val="16"/>
          <w:lang w:eastAsia="ja-JP"/>
        </w:rPr>
        <w:t>。農業や林業によるバイオマス燃焼や肥料散布も、土地利用変化による影響とは別に、帰属プロセスとして</w:t>
      </w:r>
      <w:r w:rsidR="00E60CBC" w:rsidRPr="00E60CBC">
        <w:rPr>
          <w:rFonts w:ascii="ＭＳ ゴシック" w:eastAsia="ＭＳ ゴシック" w:hAnsi="ＭＳ ゴシック" w:cs="ＭＳ ゴシック" w:hint="eastAsia"/>
          <w:color w:val="545456"/>
          <w:sz w:val="16"/>
          <w:szCs w:val="16"/>
          <w:lang w:eastAsia="ja-JP"/>
        </w:rPr>
        <w:t>排出量</w:t>
      </w:r>
      <w:r w:rsidRPr="00E60CBC">
        <w:rPr>
          <w:rFonts w:ascii="ＭＳ ゴシック" w:eastAsia="ＭＳ ゴシック" w:hAnsi="ＭＳ ゴシック" w:cs="ＭＳ ゴシック" w:hint="eastAsia"/>
          <w:color w:val="545456"/>
          <w:sz w:val="16"/>
          <w:szCs w:val="16"/>
          <w:lang w:eastAsia="ja-JP"/>
        </w:rPr>
        <w:t>に含まれています。</w:t>
      </w:r>
    </w:p>
    <w:p w14:paraId="2755A963" w14:textId="77777777" w:rsidR="0055291C" w:rsidRPr="00E60CBC" w:rsidRDefault="00F23C61" w:rsidP="00156E24">
      <w:pPr>
        <w:pStyle w:val="a5"/>
        <w:numPr>
          <w:ilvl w:val="0"/>
          <w:numId w:val="17"/>
        </w:numPr>
        <w:tabs>
          <w:tab w:val="left" w:pos="472"/>
        </w:tabs>
        <w:spacing w:line="345" w:lineRule="auto"/>
        <w:ind w:left="567" w:right="667"/>
        <w:rPr>
          <w:sz w:val="16"/>
          <w:szCs w:val="16"/>
        </w:rPr>
      </w:pPr>
      <w:r w:rsidRPr="00E60CBC">
        <w:rPr>
          <w:color w:val="545456"/>
          <w:w w:val="95"/>
          <w:sz w:val="16"/>
          <w:szCs w:val="16"/>
        </w:rPr>
        <w:t>IPCC, 2006 IPCC Guidelines for National Greenhouse Gas</w:t>
      </w:r>
      <w:r w:rsidRPr="00E60CBC">
        <w:rPr>
          <w:color w:val="545456"/>
          <w:spacing w:val="1"/>
          <w:w w:val="95"/>
          <w:sz w:val="16"/>
          <w:szCs w:val="16"/>
        </w:rPr>
        <w:t xml:space="preserve"> </w:t>
      </w:r>
      <w:r w:rsidRPr="00E60CBC">
        <w:rPr>
          <w:color w:val="545456"/>
          <w:sz w:val="16"/>
          <w:szCs w:val="16"/>
        </w:rPr>
        <w:t>Inventories, vol.4, Agriculture, Forestry and Other Land Use,</w:t>
      </w:r>
      <w:r w:rsidRPr="00E60CBC">
        <w:rPr>
          <w:color w:val="545456"/>
          <w:spacing w:val="1"/>
          <w:sz w:val="16"/>
          <w:szCs w:val="16"/>
        </w:rPr>
        <w:t xml:space="preserve"> </w:t>
      </w:r>
      <w:r w:rsidRPr="00E60CBC">
        <w:rPr>
          <w:color w:val="545456"/>
          <w:w w:val="95"/>
          <w:sz w:val="16"/>
          <w:szCs w:val="16"/>
        </w:rPr>
        <w:t>eds.</w:t>
      </w:r>
      <w:r w:rsidRPr="00E60CBC">
        <w:rPr>
          <w:color w:val="545456"/>
          <w:spacing w:val="-5"/>
          <w:w w:val="95"/>
          <w:sz w:val="16"/>
          <w:szCs w:val="16"/>
        </w:rPr>
        <w:t xml:space="preserve"> </w:t>
      </w:r>
      <w:r w:rsidRPr="00E60CBC">
        <w:rPr>
          <w:color w:val="545456"/>
          <w:w w:val="95"/>
          <w:sz w:val="16"/>
          <w:szCs w:val="16"/>
        </w:rPr>
        <w:t>H.S.</w:t>
      </w:r>
      <w:r w:rsidRPr="00E60CBC">
        <w:rPr>
          <w:color w:val="545456"/>
          <w:spacing w:val="-5"/>
          <w:w w:val="95"/>
          <w:sz w:val="16"/>
          <w:szCs w:val="16"/>
        </w:rPr>
        <w:t xml:space="preserve"> </w:t>
      </w:r>
      <w:r w:rsidRPr="00E60CBC">
        <w:rPr>
          <w:color w:val="545456"/>
          <w:w w:val="95"/>
          <w:sz w:val="16"/>
          <w:szCs w:val="16"/>
        </w:rPr>
        <w:t>Eggleston,</w:t>
      </w:r>
      <w:r w:rsidRPr="00E60CBC">
        <w:rPr>
          <w:color w:val="545456"/>
          <w:spacing w:val="-5"/>
          <w:w w:val="95"/>
          <w:sz w:val="16"/>
          <w:szCs w:val="16"/>
        </w:rPr>
        <w:t xml:space="preserve"> </w:t>
      </w:r>
      <w:r w:rsidRPr="00E60CBC">
        <w:rPr>
          <w:color w:val="545456"/>
          <w:w w:val="95"/>
          <w:sz w:val="16"/>
          <w:szCs w:val="16"/>
        </w:rPr>
        <w:t>L.</w:t>
      </w:r>
      <w:r w:rsidRPr="00E60CBC">
        <w:rPr>
          <w:color w:val="545456"/>
          <w:spacing w:val="-5"/>
          <w:w w:val="95"/>
          <w:sz w:val="16"/>
          <w:szCs w:val="16"/>
        </w:rPr>
        <w:t xml:space="preserve"> </w:t>
      </w:r>
      <w:proofErr w:type="spellStart"/>
      <w:r w:rsidRPr="00E60CBC">
        <w:rPr>
          <w:color w:val="545456"/>
          <w:w w:val="95"/>
          <w:sz w:val="16"/>
          <w:szCs w:val="16"/>
        </w:rPr>
        <w:t>Buendia</w:t>
      </w:r>
      <w:proofErr w:type="spellEnd"/>
      <w:r w:rsidRPr="00E60CBC">
        <w:rPr>
          <w:color w:val="545456"/>
          <w:w w:val="95"/>
          <w:sz w:val="16"/>
          <w:szCs w:val="16"/>
        </w:rPr>
        <w:t>,</w:t>
      </w:r>
      <w:r w:rsidRPr="00E60CBC">
        <w:rPr>
          <w:color w:val="545456"/>
          <w:spacing w:val="-5"/>
          <w:w w:val="95"/>
          <w:sz w:val="16"/>
          <w:szCs w:val="16"/>
        </w:rPr>
        <w:t xml:space="preserve"> </w:t>
      </w:r>
      <w:r w:rsidRPr="00E60CBC">
        <w:rPr>
          <w:color w:val="545456"/>
          <w:w w:val="95"/>
          <w:sz w:val="16"/>
          <w:szCs w:val="16"/>
        </w:rPr>
        <w:t>K.</w:t>
      </w:r>
      <w:r w:rsidRPr="00E60CBC">
        <w:rPr>
          <w:color w:val="545456"/>
          <w:spacing w:val="-5"/>
          <w:w w:val="95"/>
          <w:sz w:val="16"/>
          <w:szCs w:val="16"/>
        </w:rPr>
        <w:t xml:space="preserve"> </w:t>
      </w:r>
      <w:r w:rsidRPr="00E60CBC">
        <w:rPr>
          <w:color w:val="545456"/>
          <w:w w:val="95"/>
          <w:sz w:val="16"/>
          <w:szCs w:val="16"/>
        </w:rPr>
        <w:t>Miwa,</w:t>
      </w:r>
      <w:r w:rsidRPr="00E60CBC">
        <w:rPr>
          <w:color w:val="545456"/>
          <w:spacing w:val="-5"/>
          <w:w w:val="95"/>
          <w:sz w:val="16"/>
          <w:szCs w:val="16"/>
        </w:rPr>
        <w:t xml:space="preserve"> </w:t>
      </w:r>
      <w:r w:rsidRPr="00E60CBC">
        <w:rPr>
          <w:color w:val="545456"/>
          <w:w w:val="95"/>
          <w:sz w:val="16"/>
          <w:szCs w:val="16"/>
        </w:rPr>
        <w:t>T.</w:t>
      </w:r>
      <w:r w:rsidRPr="00E60CBC">
        <w:rPr>
          <w:color w:val="545456"/>
          <w:spacing w:val="-5"/>
          <w:w w:val="95"/>
          <w:sz w:val="16"/>
          <w:szCs w:val="16"/>
        </w:rPr>
        <w:t xml:space="preserve"> </w:t>
      </w:r>
      <w:proofErr w:type="spellStart"/>
      <w:r w:rsidRPr="00E60CBC">
        <w:rPr>
          <w:color w:val="545456"/>
          <w:w w:val="95"/>
          <w:sz w:val="16"/>
          <w:szCs w:val="16"/>
        </w:rPr>
        <w:t>Ngara</w:t>
      </w:r>
      <w:proofErr w:type="spellEnd"/>
      <w:r w:rsidRPr="00E60CBC">
        <w:rPr>
          <w:color w:val="545456"/>
          <w:spacing w:val="-5"/>
          <w:w w:val="95"/>
          <w:sz w:val="16"/>
          <w:szCs w:val="16"/>
        </w:rPr>
        <w:t xml:space="preserve"> </w:t>
      </w:r>
      <w:r w:rsidRPr="00E60CBC">
        <w:rPr>
          <w:color w:val="545456"/>
          <w:w w:val="95"/>
          <w:sz w:val="16"/>
          <w:szCs w:val="16"/>
        </w:rPr>
        <w:t>and</w:t>
      </w:r>
      <w:r w:rsidRPr="00E60CBC">
        <w:rPr>
          <w:color w:val="545456"/>
          <w:spacing w:val="-5"/>
          <w:w w:val="95"/>
          <w:sz w:val="16"/>
          <w:szCs w:val="16"/>
        </w:rPr>
        <w:t xml:space="preserve"> </w:t>
      </w:r>
      <w:r w:rsidRPr="00E60CBC">
        <w:rPr>
          <w:color w:val="545456"/>
          <w:w w:val="95"/>
          <w:sz w:val="16"/>
          <w:szCs w:val="16"/>
        </w:rPr>
        <w:t>K.</w:t>
      </w:r>
      <w:r w:rsidRPr="00E60CBC">
        <w:rPr>
          <w:color w:val="545456"/>
          <w:spacing w:val="-5"/>
          <w:w w:val="95"/>
          <w:sz w:val="16"/>
          <w:szCs w:val="16"/>
        </w:rPr>
        <w:t xml:space="preserve"> </w:t>
      </w:r>
      <w:r w:rsidRPr="00E60CBC">
        <w:rPr>
          <w:color w:val="545456"/>
          <w:w w:val="95"/>
          <w:sz w:val="16"/>
          <w:szCs w:val="16"/>
        </w:rPr>
        <w:t>Tanabe</w:t>
      </w:r>
      <w:r w:rsidRPr="00E60CBC">
        <w:rPr>
          <w:color w:val="545456"/>
          <w:spacing w:val="-38"/>
          <w:w w:val="95"/>
          <w:sz w:val="16"/>
          <w:szCs w:val="16"/>
        </w:rPr>
        <w:t xml:space="preserve"> </w:t>
      </w:r>
      <w:r w:rsidRPr="00E60CBC">
        <w:rPr>
          <w:color w:val="545456"/>
          <w:w w:val="95"/>
          <w:sz w:val="16"/>
          <w:szCs w:val="16"/>
        </w:rPr>
        <w:t>(</w:t>
      </w:r>
      <w:proofErr w:type="spellStart"/>
      <w:r w:rsidRPr="00E60CBC">
        <w:rPr>
          <w:color w:val="545456"/>
          <w:w w:val="95"/>
          <w:sz w:val="16"/>
          <w:szCs w:val="16"/>
        </w:rPr>
        <w:t>Hayama</w:t>
      </w:r>
      <w:proofErr w:type="spellEnd"/>
      <w:r w:rsidRPr="00E60CBC">
        <w:rPr>
          <w:color w:val="545456"/>
          <w:w w:val="95"/>
          <w:sz w:val="16"/>
          <w:szCs w:val="16"/>
        </w:rPr>
        <w:t>,</w:t>
      </w:r>
      <w:r w:rsidRPr="00E60CBC">
        <w:rPr>
          <w:color w:val="545456"/>
          <w:spacing w:val="-7"/>
          <w:w w:val="95"/>
          <w:sz w:val="16"/>
          <w:szCs w:val="16"/>
        </w:rPr>
        <w:t xml:space="preserve"> </w:t>
      </w:r>
      <w:r w:rsidRPr="00E60CBC">
        <w:rPr>
          <w:color w:val="545456"/>
          <w:w w:val="95"/>
          <w:sz w:val="16"/>
          <w:szCs w:val="16"/>
        </w:rPr>
        <w:t>Japan:</w:t>
      </w:r>
      <w:r w:rsidRPr="00E60CBC">
        <w:rPr>
          <w:color w:val="545456"/>
          <w:spacing w:val="-6"/>
          <w:w w:val="95"/>
          <w:sz w:val="16"/>
          <w:szCs w:val="16"/>
        </w:rPr>
        <w:t xml:space="preserve"> </w:t>
      </w:r>
      <w:r w:rsidRPr="00E60CBC">
        <w:rPr>
          <w:color w:val="545456"/>
          <w:w w:val="95"/>
          <w:sz w:val="16"/>
          <w:szCs w:val="16"/>
        </w:rPr>
        <w:t>IGES,2006).</w:t>
      </w:r>
    </w:p>
    <w:p w14:paraId="1C4FFC9B" w14:textId="77777777" w:rsidR="0055291C" w:rsidRPr="00E60CBC" w:rsidRDefault="00F23C61" w:rsidP="00156E24">
      <w:pPr>
        <w:pStyle w:val="a5"/>
        <w:numPr>
          <w:ilvl w:val="0"/>
          <w:numId w:val="17"/>
        </w:numPr>
        <w:tabs>
          <w:tab w:val="left" w:pos="472"/>
        </w:tabs>
        <w:spacing w:line="345" w:lineRule="auto"/>
        <w:ind w:left="567" w:right="667"/>
        <w:rPr>
          <w:sz w:val="16"/>
          <w:szCs w:val="16"/>
        </w:rPr>
      </w:pPr>
      <w:r w:rsidRPr="00E60CBC">
        <w:rPr>
          <w:color w:val="545456"/>
          <w:w w:val="95"/>
          <w:sz w:val="16"/>
          <w:szCs w:val="16"/>
        </w:rPr>
        <w:t>IPCC, 2006 IPCC Guidelines for National Greenhouse Gas</w:t>
      </w:r>
      <w:r w:rsidRPr="00E60CBC">
        <w:rPr>
          <w:color w:val="545456"/>
          <w:spacing w:val="1"/>
          <w:w w:val="95"/>
          <w:sz w:val="16"/>
          <w:szCs w:val="16"/>
        </w:rPr>
        <w:t xml:space="preserve"> </w:t>
      </w:r>
      <w:r w:rsidRPr="00E60CBC">
        <w:rPr>
          <w:color w:val="545456"/>
          <w:sz w:val="16"/>
          <w:szCs w:val="16"/>
        </w:rPr>
        <w:t>Inventories, vol.4, Agriculture, Forestry and Other Land Use,</w:t>
      </w:r>
      <w:r w:rsidRPr="00E60CBC">
        <w:rPr>
          <w:color w:val="545456"/>
          <w:spacing w:val="1"/>
          <w:sz w:val="16"/>
          <w:szCs w:val="16"/>
        </w:rPr>
        <w:t xml:space="preserve"> </w:t>
      </w:r>
      <w:r w:rsidRPr="00E60CBC">
        <w:rPr>
          <w:color w:val="545456"/>
          <w:w w:val="95"/>
          <w:sz w:val="16"/>
          <w:szCs w:val="16"/>
        </w:rPr>
        <w:t>eds.</w:t>
      </w:r>
      <w:r w:rsidRPr="00E60CBC">
        <w:rPr>
          <w:color w:val="545456"/>
          <w:spacing w:val="-5"/>
          <w:w w:val="95"/>
          <w:sz w:val="16"/>
          <w:szCs w:val="16"/>
        </w:rPr>
        <w:t xml:space="preserve"> </w:t>
      </w:r>
      <w:r w:rsidRPr="00E60CBC">
        <w:rPr>
          <w:color w:val="545456"/>
          <w:w w:val="95"/>
          <w:sz w:val="16"/>
          <w:szCs w:val="16"/>
        </w:rPr>
        <w:t>H.S.</w:t>
      </w:r>
      <w:r w:rsidRPr="00E60CBC">
        <w:rPr>
          <w:color w:val="545456"/>
          <w:spacing w:val="-5"/>
          <w:w w:val="95"/>
          <w:sz w:val="16"/>
          <w:szCs w:val="16"/>
        </w:rPr>
        <w:t xml:space="preserve"> </w:t>
      </w:r>
      <w:r w:rsidRPr="00E60CBC">
        <w:rPr>
          <w:color w:val="545456"/>
          <w:w w:val="95"/>
          <w:sz w:val="16"/>
          <w:szCs w:val="16"/>
        </w:rPr>
        <w:t>Eggleston,</w:t>
      </w:r>
      <w:r w:rsidRPr="00E60CBC">
        <w:rPr>
          <w:color w:val="545456"/>
          <w:spacing w:val="-5"/>
          <w:w w:val="95"/>
          <w:sz w:val="16"/>
          <w:szCs w:val="16"/>
        </w:rPr>
        <w:t xml:space="preserve"> </w:t>
      </w:r>
      <w:r w:rsidRPr="00E60CBC">
        <w:rPr>
          <w:color w:val="545456"/>
          <w:w w:val="95"/>
          <w:sz w:val="16"/>
          <w:szCs w:val="16"/>
        </w:rPr>
        <w:t>L.</w:t>
      </w:r>
      <w:r w:rsidRPr="00E60CBC">
        <w:rPr>
          <w:color w:val="545456"/>
          <w:spacing w:val="-5"/>
          <w:w w:val="95"/>
          <w:sz w:val="16"/>
          <w:szCs w:val="16"/>
        </w:rPr>
        <w:t xml:space="preserve"> </w:t>
      </w:r>
      <w:proofErr w:type="spellStart"/>
      <w:r w:rsidRPr="00E60CBC">
        <w:rPr>
          <w:color w:val="545456"/>
          <w:w w:val="95"/>
          <w:sz w:val="16"/>
          <w:szCs w:val="16"/>
        </w:rPr>
        <w:t>Buendia</w:t>
      </w:r>
      <w:proofErr w:type="spellEnd"/>
      <w:r w:rsidRPr="00E60CBC">
        <w:rPr>
          <w:color w:val="545456"/>
          <w:w w:val="95"/>
          <w:sz w:val="16"/>
          <w:szCs w:val="16"/>
        </w:rPr>
        <w:t>,</w:t>
      </w:r>
      <w:r w:rsidRPr="00E60CBC">
        <w:rPr>
          <w:color w:val="545456"/>
          <w:spacing w:val="-5"/>
          <w:w w:val="95"/>
          <w:sz w:val="16"/>
          <w:szCs w:val="16"/>
        </w:rPr>
        <w:t xml:space="preserve"> </w:t>
      </w:r>
      <w:r w:rsidRPr="00E60CBC">
        <w:rPr>
          <w:color w:val="545456"/>
          <w:w w:val="95"/>
          <w:sz w:val="16"/>
          <w:szCs w:val="16"/>
        </w:rPr>
        <w:t>K.</w:t>
      </w:r>
      <w:r w:rsidRPr="00E60CBC">
        <w:rPr>
          <w:color w:val="545456"/>
          <w:spacing w:val="-5"/>
          <w:w w:val="95"/>
          <w:sz w:val="16"/>
          <w:szCs w:val="16"/>
        </w:rPr>
        <w:t xml:space="preserve"> </w:t>
      </w:r>
      <w:r w:rsidRPr="00E60CBC">
        <w:rPr>
          <w:color w:val="545456"/>
          <w:w w:val="95"/>
          <w:sz w:val="16"/>
          <w:szCs w:val="16"/>
        </w:rPr>
        <w:t>Miwa,</w:t>
      </w:r>
      <w:r w:rsidRPr="00E60CBC">
        <w:rPr>
          <w:color w:val="545456"/>
          <w:spacing w:val="-5"/>
          <w:w w:val="95"/>
          <w:sz w:val="16"/>
          <w:szCs w:val="16"/>
        </w:rPr>
        <w:t xml:space="preserve"> </w:t>
      </w:r>
      <w:r w:rsidRPr="00E60CBC">
        <w:rPr>
          <w:color w:val="545456"/>
          <w:w w:val="95"/>
          <w:sz w:val="16"/>
          <w:szCs w:val="16"/>
        </w:rPr>
        <w:t>T.</w:t>
      </w:r>
      <w:r w:rsidRPr="00E60CBC">
        <w:rPr>
          <w:color w:val="545456"/>
          <w:spacing w:val="-5"/>
          <w:w w:val="95"/>
          <w:sz w:val="16"/>
          <w:szCs w:val="16"/>
        </w:rPr>
        <w:t xml:space="preserve"> </w:t>
      </w:r>
      <w:proofErr w:type="spellStart"/>
      <w:r w:rsidRPr="00E60CBC">
        <w:rPr>
          <w:color w:val="545456"/>
          <w:w w:val="95"/>
          <w:sz w:val="16"/>
          <w:szCs w:val="16"/>
        </w:rPr>
        <w:t>Ngara</w:t>
      </w:r>
      <w:proofErr w:type="spellEnd"/>
      <w:r w:rsidRPr="00E60CBC">
        <w:rPr>
          <w:color w:val="545456"/>
          <w:spacing w:val="-5"/>
          <w:w w:val="95"/>
          <w:sz w:val="16"/>
          <w:szCs w:val="16"/>
        </w:rPr>
        <w:t xml:space="preserve"> </w:t>
      </w:r>
      <w:r w:rsidRPr="00E60CBC">
        <w:rPr>
          <w:color w:val="545456"/>
          <w:w w:val="95"/>
          <w:sz w:val="16"/>
          <w:szCs w:val="16"/>
        </w:rPr>
        <w:t>and</w:t>
      </w:r>
      <w:r w:rsidRPr="00E60CBC">
        <w:rPr>
          <w:color w:val="545456"/>
          <w:spacing w:val="-5"/>
          <w:w w:val="95"/>
          <w:sz w:val="16"/>
          <w:szCs w:val="16"/>
        </w:rPr>
        <w:t xml:space="preserve"> </w:t>
      </w:r>
      <w:r w:rsidRPr="00E60CBC">
        <w:rPr>
          <w:color w:val="545456"/>
          <w:w w:val="95"/>
          <w:sz w:val="16"/>
          <w:szCs w:val="16"/>
        </w:rPr>
        <w:t>K.</w:t>
      </w:r>
      <w:r w:rsidRPr="00E60CBC">
        <w:rPr>
          <w:color w:val="545456"/>
          <w:spacing w:val="-5"/>
          <w:w w:val="95"/>
          <w:sz w:val="16"/>
          <w:szCs w:val="16"/>
        </w:rPr>
        <w:t xml:space="preserve"> </w:t>
      </w:r>
      <w:r w:rsidRPr="00E60CBC">
        <w:rPr>
          <w:color w:val="545456"/>
          <w:w w:val="95"/>
          <w:sz w:val="16"/>
          <w:szCs w:val="16"/>
        </w:rPr>
        <w:t>Tanabe</w:t>
      </w:r>
      <w:r w:rsidRPr="00E60CBC">
        <w:rPr>
          <w:color w:val="545456"/>
          <w:spacing w:val="-38"/>
          <w:w w:val="95"/>
          <w:sz w:val="16"/>
          <w:szCs w:val="16"/>
        </w:rPr>
        <w:t xml:space="preserve"> </w:t>
      </w:r>
      <w:r w:rsidRPr="00E60CBC">
        <w:rPr>
          <w:color w:val="545456"/>
          <w:w w:val="95"/>
          <w:sz w:val="16"/>
          <w:szCs w:val="16"/>
        </w:rPr>
        <w:t>(</w:t>
      </w:r>
      <w:proofErr w:type="spellStart"/>
      <w:r w:rsidRPr="00E60CBC">
        <w:rPr>
          <w:color w:val="545456"/>
          <w:w w:val="95"/>
          <w:sz w:val="16"/>
          <w:szCs w:val="16"/>
        </w:rPr>
        <w:t>Hayama</w:t>
      </w:r>
      <w:proofErr w:type="spellEnd"/>
      <w:r w:rsidRPr="00E60CBC">
        <w:rPr>
          <w:color w:val="545456"/>
          <w:w w:val="95"/>
          <w:sz w:val="16"/>
          <w:szCs w:val="16"/>
        </w:rPr>
        <w:t>,</w:t>
      </w:r>
      <w:r w:rsidRPr="00E60CBC">
        <w:rPr>
          <w:color w:val="545456"/>
          <w:spacing w:val="-7"/>
          <w:w w:val="95"/>
          <w:sz w:val="16"/>
          <w:szCs w:val="16"/>
        </w:rPr>
        <w:t xml:space="preserve"> </w:t>
      </w:r>
      <w:r w:rsidRPr="00E60CBC">
        <w:rPr>
          <w:color w:val="545456"/>
          <w:w w:val="95"/>
          <w:sz w:val="16"/>
          <w:szCs w:val="16"/>
        </w:rPr>
        <w:t>Japan:</w:t>
      </w:r>
      <w:r w:rsidRPr="00E60CBC">
        <w:rPr>
          <w:color w:val="545456"/>
          <w:spacing w:val="-6"/>
          <w:w w:val="95"/>
          <w:sz w:val="16"/>
          <w:szCs w:val="16"/>
        </w:rPr>
        <w:t xml:space="preserve"> </w:t>
      </w:r>
      <w:r w:rsidRPr="00E60CBC">
        <w:rPr>
          <w:color w:val="545456"/>
          <w:w w:val="95"/>
          <w:sz w:val="16"/>
          <w:szCs w:val="16"/>
        </w:rPr>
        <w:t>IGES,2006).</w:t>
      </w:r>
    </w:p>
    <w:p w14:paraId="439A7E48" w14:textId="4909D54B" w:rsidR="0055291C" w:rsidRPr="00E60CBC" w:rsidRDefault="00E60CBC" w:rsidP="00156E24">
      <w:pPr>
        <w:pStyle w:val="a5"/>
        <w:numPr>
          <w:ilvl w:val="0"/>
          <w:numId w:val="17"/>
        </w:numPr>
        <w:tabs>
          <w:tab w:val="left" w:pos="472"/>
        </w:tabs>
        <w:spacing w:line="345" w:lineRule="auto"/>
        <w:ind w:left="567" w:right="667"/>
        <w:rPr>
          <w:color w:val="545456"/>
          <w:spacing w:val="-1"/>
          <w:sz w:val="16"/>
          <w:szCs w:val="16"/>
          <w:lang w:eastAsia="ja-JP"/>
        </w:rPr>
      </w:pPr>
      <w:r w:rsidRPr="00E60CBC">
        <w:rPr>
          <w:color w:val="545456"/>
          <w:spacing w:val="-1"/>
          <w:sz w:val="16"/>
          <w:szCs w:val="16"/>
          <w:lang w:eastAsia="ja-JP"/>
        </w:rPr>
        <w:t>2006</w:t>
      </w:r>
      <w:r w:rsidRPr="00E60CBC">
        <w:rPr>
          <w:rFonts w:ascii="ＭＳ ゴシック" w:eastAsia="ＭＳ ゴシック" w:hAnsi="ＭＳ ゴシック" w:cs="ＭＳ ゴシック" w:hint="eastAsia"/>
          <w:color w:val="545456"/>
          <w:spacing w:val="-1"/>
          <w:sz w:val="16"/>
          <w:szCs w:val="16"/>
          <w:lang w:eastAsia="ja-JP"/>
        </w:rPr>
        <w:t>年の</w:t>
      </w:r>
      <w:r w:rsidRPr="00E60CBC">
        <w:rPr>
          <w:color w:val="545456"/>
          <w:spacing w:val="-1"/>
          <w:sz w:val="16"/>
          <w:szCs w:val="16"/>
          <w:lang w:eastAsia="ja-JP"/>
        </w:rPr>
        <w:t>IPCC</w:t>
      </w:r>
      <w:r w:rsidRPr="00E60CBC">
        <w:rPr>
          <w:rFonts w:ascii="ＭＳ ゴシック" w:eastAsia="ＭＳ ゴシック" w:hAnsi="ＭＳ ゴシック" w:cs="ＭＳ ゴシック" w:hint="eastAsia"/>
          <w:color w:val="545456"/>
          <w:spacing w:val="-1"/>
          <w:sz w:val="16"/>
          <w:szCs w:val="16"/>
          <w:lang w:eastAsia="ja-JP"/>
        </w:rPr>
        <w:t>ガイドラインでは、バイオマス密度が一定以上の林地とそれ以下の林地について値を示しています。バイオマスの除去が炭素ストック値の変化をもたらさない場合、土地利用変化による影響はゼロとして計算することができます。</w:t>
      </w:r>
    </w:p>
    <w:p w14:paraId="18EB5DEF" w14:textId="1970A8B4" w:rsidR="0055291C" w:rsidRPr="00E60CBC" w:rsidRDefault="00E60CBC" w:rsidP="00156E24">
      <w:pPr>
        <w:pStyle w:val="a5"/>
        <w:numPr>
          <w:ilvl w:val="0"/>
          <w:numId w:val="17"/>
        </w:numPr>
        <w:tabs>
          <w:tab w:val="left" w:pos="472"/>
        </w:tabs>
        <w:spacing w:line="178" w:lineRule="exact"/>
        <w:ind w:left="567" w:right="384" w:hanging="228"/>
        <w:rPr>
          <w:sz w:val="16"/>
          <w:szCs w:val="16"/>
          <w:lang w:eastAsia="ja-JP"/>
        </w:rPr>
      </w:pPr>
      <w:r w:rsidRPr="00E60CBC">
        <w:rPr>
          <w:rFonts w:ascii="ＭＳ ゴシック" w:eastAsia="ＭＳ ゴシック" w:hAnsi="ＭＳ ゴシック" w:cs="ＭＳ ゴシック" w:hint="eastAsia"/>
          <w:sz w:val="16"/>
          <w:szCs w:val="16"/>
          <w:lang w:eastAsia="ja-JP"/>
        </w:rPr>
        <w:t>ここで重要なのは、熱帯林の火災はほとんどが人為的だということです。</w:t>
      </w:r>
    </w:p>
    <w:p w14:paraId="187F6222" w14:textId="77777777" w:rsidR="0055291C" w:rsidRPr="00E60CBC" w:rsidRDefault="00F23C61" w:rsidP="00156E24">
      <w:pPr>
        <w:pStyle w:val="a5"/>
        <w:numPr>
          <w:ilvl w:val="0"/>
          <w:numId w:val="17"/>
        </w:numPr>
        <w:tabs>
          <w:tab w:val="left" w:pos="508"/>
        </w:tabs>
        <w:spacing w:before="61" w:line="345" w:lineRule="auto"/>
        <w:ind w:left="567" w:right="667"/>
        <w:rPr>
          <w:sz w:val="16"/>
          <w:szCs w:val="16"/>
        </w:rPr>
      </w:pPr>
      <w:r w:rsidRPr="00E60CBC">
        <w:rPr>
          <w:color w:val="545456"/>
          <w:w w:val="95"/>
          <w:sz w:val="16"/>
          <w:szCs w:val="16"/>
        </w:rPr>
        <w:t>IPCC, 2006 IPCC Guidelines for National GHG Inventories, vol. 4:</w:t>
      </w:r>
      <w:r w:rsidRPr="00E60CBC">
        <w:rPr>
          <w:color w:val="545456"/>
          <w:spacing w:val="-38"/>
          <w:w w:val="95"/>
          <w:sz w:val="16"/>
          <w:szCs w:val="16"/>
        </w:rPr>
        <w:t xml:space="preserve"> </w:t>
      </w:r>
      <w:r w:rsidRPr="00E60CBC">
        <w:rPr>
          <w:color w:val="545456"/>
          <w:sz w:val="16"/>
          <w:szCs w:val="16"/>
        </w:rPr>
        <w:t>Agriculture,</w:t>
      </w:r>
      <w:r w:rsidRPr="00E60CBC">
        <w:rPr>
          <w:color w:val="545456"/>
          <w:spacing w:val="-9"/>
          <w:sz w:val="16"/>
          <w:szCs w:val="16"/>
        </w:rPr>
        <w:t xml:space="preserve"> </w:t>
      </w:r>
      <w:r w:rsidRPr="00E60CBC">
        <w:rPr>
          <w:color w:val="545456"/>
          <w:sz w:val="16"/>
          <w:szCs w:val="16"/>
        </w:rPr>
        <w:t>Forestry,</w:t>
      </w:r>
      <w:r w:rsidRPr="00E60CBC">
        <w:rPr>
          <w:color w:val="545456"/>
          <w:spacing w:val="-8"/>
          <w:sz w:val="16"/>
          <w:szCs w:val="16"/>
        </w:rPr>
        <w:t xml:space="preserve"> </w:t>
      </w:r>
      <w:r w:rsidRPr="00E60CBC">
        <w:rPr>
          <w:color w:val="545456"/>
          <w:sz w:val="16"/>
          <w:szCs w:val="16"/>
        </w:rPr>
        <w:t>and</w:t>
      </w:r>
      <w:r w:rsidRPr="00E60CBC">
        <w:rPr>
          <w:color w:val="545456"/>
          <w:spacing w:val="-9"/>
          <w:sz w:val="16"/>
          <w:szCs w:val="16"/>
        </w:rPr>
        <w:t xml:space="preserve"> </w:t>
      </w:r>
      <w:r w:rsidRPr="00E60CBC">
        <w:rPr>
          <w:color w:val="545456"/>
          <w:sz w:val="16"/>
          <w:szCs w:val="16"/>
        </w:rPr>
        <w:t>Other</w:t>
      </w:r>
      <w:r w:rsidRPr="00E60CBC">
        <w:rPr>
          <w:color w:val="545456"/>
          <w:spacing w:val="-8"/>
          <w:sz w:val="16"/>
          <w:szCs w:val="16"/>
        </w:rPr>
        <w:t xml:space="preserve"> </w:t>
      </w:r>
      <w:r w:rsidRPr="00E60CBC">
        <w:rPr>
          <w:color w:val="545456"/>
          <w:sz w:val="16"/>
          <w:szCs w:val="16"/>
        </w:rPr>
        <w:t>Land</w:t>
      </w:r>
      <w:r w:rsidRPr="00E60CBC">
        <w:rPr>
          <w:color w:val="545456"/>
          <w:spacing w:val="-8"/>
          <w:sz w:val="16"/>
          <w:szCs w:val="16"/>
        </w:rPr>
        <w:t xml:space="preserve"> </w:t>
      </w:r>
      <w:r w:rsidRPr="00E60CBC">
        <w:rPr>
          <w:color w:val="545456"/>
          <w:sz w:val="16"/>
          <w:szCs w:val="16"/>
        </w:rPr>
        <w:t>Use.</w:t>
      </w:r>
    </w:p>
    <w:p w14:paraId="69E470B1" w14:textId="77777777" w:rsidR="0055291C" w:rsidRPr="00E60CBC" w:rsidRDefault="00F23C61" w:rsidP="00156E24">
      <w:pPr>
        <w:pStyle w:val="a5"/>
        <w:numPr>
          <w:ilvl w:val="0"/>
          <w:numId w:val="17"/>
        </w:numPr>
        <w:tabs>
          <w:tab w:val="left" w:pos="472"/>
        </w:tabs>
        <w:spacing w:line="180" w:lineRule="exact"/>
        <w:ind w:left="567" w:right="667" w:hanging="228"/>
        <w:rPr>
          <w:sz w:val="16"/>
          <w:szCs w:val="16"/>
        </w:rPr>
      </w:pPr>
      <w:r w:rsidRPr="00E60CBC">
        <w:rPr>
          <w:color w:val="545456"/>
          <w:spacing w:val="-2"/>
          <w:sz w:val="16"/>
          <w:szCs w:val="16"/>
        </w:rPr>
        <w:t>FAO,</w:t>
      </w:r>
      <w:r w:rsidRPr="00E60CBC">
        <w:rPr>
          <w:color w:val="545456"/>
          <w:spacing w:val="-8"/>
          <w:sz w:val="16"/>
          <w:szCs w:val="16"/>
        </w:rPr>
        <w:t xml:space="preserve"> </w:t>
      </w:r>
      <w:r w:rsidRPr="00E60CBC">
        <w:rPr>
          <w:color w:val="545456"/>
          <w:spacing w:val="-2"/>
          <w:sz w:val="16"/>
          <w:szCs w:val="16"/>
        </w:rPr>
        <w:t>FAOSTAT.</w:t>
      </w:r>
      <w:r w:rsidRPr="00E60CBC">
        <w:rPr>
          <w:color w:val="545456"/>
          <w:spacing w:val="-8"/>
          <w:sz w:val="16"/>
          <w:szCs w:val="16"/>
        </w:rPr>
        <w:t xml:space="preserve"> </w:t>
      </w:r>
      <w:r w:rsidRPr="00E60CBC">
        <w:rPr>
          <w:color w:val="545456"/>
          <w:spacing w:val="-2"/>
          <w:sz w:val="16"/>
          <w:szCs w:val="16"/>
        </w:rPr>
        <w:t>Available</w:t>
      </w:r>
      <w:r w:rsidRPr="00E60CBC">
        <w:rPr>
          <w:color w:val="545456"/>
          <w:spacing w:val="-7"/>
          <w:sz w:val="16"/>
          <w:szCs w:val="16"/>
        </w:rPr>
        <w:t xml:space="preserve"> </w:t>
      </w:r>
      <w:r w:rsidRPr="00E60CBC">
        <w:rPr>
          <w:color w:val="545456"/>
          <w:spacing w:val="-1"/>
          <w:sz w:val="16"/>
          <w:szCs w:val="16"/>
        </w:rPr>
        <w:t>from</w:t>
      </w:r>
      <w:r w:rsidRPr="00E60CBC">
        <w:rPr>
          <w:color w:val="545456"/>
          <w:spacing w:val="-8"/>
          <w:sz w:val="16"/>
          <w:szCs w:val="16"/>
        </w:rPr>
        <w:t xml:space="preserve"> </w:t>
      </w:r>
      <w:hyperlink r:id="rId370">
        <w:r w:rsidRPr="00E60CBC">
          <w:rPr>
            <w:color w:val="545456"/>
            <w:spacing w:val="-1"/>
            <w:sz w:val="16"/>
            <w:szCs w:val="16"/>
          </w:rPr>
          <w:t>http://faostat.fao.org,</w:t>
        </w:r>
        <w:r w:rsidRPr="00E60CBC">
          <w:rPr>
            <w:color w:val="545456"/>
            <w:spacing w:val="-8"/>
            <w:sz w:val="16"/>
            <w:szCs w:val="16"/>
          </w:rPr>
          <w:t xml:space="preserve"> </w:t>
        </w:r>
      </w:hyperlink>
      <w:r w:rsidRPr="00E60CBC">
        <w:rPr>
          <w:color w:val="545456"/>
          <w:spacing w:val="-1"/>
          <w:sz w:val="16"/>
          <w:szCs w:val="16"/>
        </w:rPr>
        <w:t>2011.</w:t>
      </w:r>
    </w:p>
    <w:p w14:paraId="7BC414EF" w14:textId="3FB59314" w:rsidR="0055291C" w:rsidRPr="00E60CBC" w:rsidRDefault="00E60CBC" w:rsidP="00156E24">
      <w:pPr>
        <w:pStyle w:val="a5"/>
        <w:numPr>
          <w:ilvl w:val="0"/>
          <w:numId w:val="17"/>
        </w:numPr>
        <w:tabs>
          <w:tab w:val="left" w:pos="508"/>
        </w:tabs>
        <w:spacing w:before="79" w:line="345" w:lineRule="auto"/>
        <w:ind w:left="567" w:right="667"/>
        <w:rPr>
          <w:color w:val="545456"/>
          <w:sz w:val="16"/>
          <w:szCs w:val="16"/>
          <w:lang w:eastAsia="ja-JP"/>
        </w:rPr>
      </w:pPr>
      <w:r w:rsidRPr="00E60CBC">
        <w:rPr>
          <w:rFonts w:ascii="ＭＳ ゴシック" w:eastAsia="ＭＳ ゴシック" w:hAnsi="ＭＳ ゴシック" w:cs="ＭＳ ゴシック" w:hint="eastAsia"/>
          <w:color w:val="545456"/>
          <w:sz w:val="16"/>
          <w:szCs w:val="16"/>
          <w:lang w:eastAsia="ja-JP"/>
        </w:rPr>
        <w:t>割り当てとは、土地利用変化による影響について、償却期間中の影響の配分を意味するものとして使用されています。割り当てとは、第</w:t>
      </w:r>
      <w:r w:rsidRPr="00E60CBC">
        <w:rPr>
          <w:color w:val="545456"/>
          <w:sz w:val="16"/>
          <w:szCs w:val="16"/>
          <w:lang w:eastAsia="ja-JP"/>
        </w:rPr>
        <w:t>9</w:t>
      </w:r>
      <w:r w:rsidRPr="00E60CBC">
        <w:rPr>
          <w:rFonts w:ascii="ＭＳ ゴシック" w:eastAsia="ＭＳ ゴシック" w:hAnsi="ＭＳ ゴシック" w:cs="ＭＳ ゴシック" w:hint="eastAsia"/>
          <w:color w:val="545456"/>
          <w:sz w:val="16"/>
          <w:szCs w:val="16"/>
          <w:lang w:eastAsia="ja-JP"/>
        </w:rPr>
        <w:t>章において、複数製品間の共通プロセス内の材料投入と生産を、その製品と副産物に振り分けることであると定義されています。どちらも、土地利用変化による影響を計算する際に起こりえます。</w:t>
      </w:r>
    </w:p>
    <w:p w14:paraId="3E637906" w14:textId="308F6B67" w:rsidR="0055291C" w:rsidRPr="00F91B00" w:rsidRDefault="00E60CBC" w:rsidP="00156E24">
      <w:pPr>
        <w:pStyle w:val="a5"/>
        <w:numPr>
          <w:ilvl w:val="0"/>
          <w:numId w:val="17"/>
        </w:numPr>
        <w:tabs>
          <w:tab w:val="left" w:pos="472"/>
        </w:tabs>
        <w:spacing w:line="345" w:lineRule="auto"/>
        <w:ind w:left="567" w:right="667"/>
        <w:rPr>
          <w:color w:val="545456"/>
          <w:sz w:val="16"/>
          <w:szCs w:val="16"/>
          <w:lang w:eastAsia="ja-JP"/>
        </w:rPr>
      </w:pPr>
      <w:r w:rsidRPr="00E60CBC">
        <w:rPr>
          <w:rFonts w:ascii="ＭＳ ゴシック" w:eastAsia="ＭＳ ゴシック" w:hAnsi="ＭＳ ゴシック" w:cs="ＭＳ ゴシック" w:hint="eastAsia"/>
          <w:color w:val="545456"/>
          <w:sz w:val="16"/>
          <w:szCs w:val="16"/>
          <w:lang w:eastAsia="ja-JP"/>
        </w:rPr>
        <w:t>リモートセンシングは、マルチスペクトルセンサーが作物の種類を特定し、マッピングするためのスペクトルデータを提供し、土地利用の変化を正確に監視することを可能にします。この方法の欠点は、比較的最近の体系的なデータ収集（</w:t>
      </w:r>
      <w:r w:rsidRPr="00E60CBC">
        <w:rPr>
          <w:color w:val="545456"/>
          <w:sz w:val="16"/>
          <w:szCs w:val="16"/>
          <w:lang w:eastAsia="ja-JP"/>
        </w:rPr>
        <w:t>20</w:t>
      </w:r>
      <w:r w:rsidRPr="00E60CBC">
        <w:rPr>
          <w:rFonts w:ascii="ＭＳ ゴシック" w:eastAsia="ＭＳ ゴシック" w:hAnsi="ＭＳ ゴシック" w:cs="ＭＳ ゴシック" w:hint="eastAsia"/>
          <w:color w:val="545456"/>
          <w:sz w:val="16"/>
          <w:szCs w:val="16"/>
          <w:lang w:eastAsia="ja-JP"/>
        </w:rPr>
        <w:t>年前は定期的なマルチスペクトル観測は行われていない）、および画像と処理にかかるコストです。</w:t>
      </w:r>
    </w:p>
    <w:p w14:paraId="09181D2C" w14:textId="219828DD" w:rsidR="00F91B00" w:rsidRPr="00F91B00" w:rsidRDefault="00F91B00" w:rsidP="00156E24">
      <w:pPr>
        <w:pStyle w:val="a5"/>
        <w:numPr>
          <w:ilvl w:val="0"/>
          <w:numId w:val="17"/>
        </w:numPr>
        <w:tabs>
          <w:tab w:val="left" w:pos="472"/>
        </w:tabs>
        <w:spacing w:line="345" w:lineRule="auto"/>
        <w:ind w:left="567" w:right="667"/>
        <w:rPr>
          <w:color w:val="545456"/>
          <w:sz w:val="16"/>
          <w:szCs w:val="16"/>
          <w:lang w:eastAsia="ja-JP"/>
        </w:rPr>
      </w:pPr>
      <w:r w:rsidRPr="00F91B00">
        <w:rPr>
          <w:rFonts w:ascii="ＭＳ ゴシック" w:eastAsia="ＭＳ ゴシック" w:hAnsi="ＭＳ ゴシック" w:cs="ＭＳ ゴシック" w:hint="eastAsia"/>
          <w:color w:val="545456"/>
          <w:sz w:val="16"/>
          <w:szCs w:val="16"/>
          <w:lang w:eastAsia="ja-JP"/>
        </w:rPr>
        <w:t>農林業分野での市場ベースモデルの例</w:t>
      </w:r>
      <w:r>
        <w:rPr>
          <w:rFonts w:ascii="ＭＳ ゴシック" w:eastAsia="ＭＳ ゴシック" w:hAnsi="ＭＳ ゴシック" w:cs="ＭＳ ゴシック" w:hint="eastAsia"/>
          <w:color w:val="545456"/>
          <w:sz w:val="16"/>
          <w:szCs w:val="16"/>
          <w:lang w:eastAsia="ja-JP"/>
        </w:rPr>
        <w:t>に</w:t>
      </w:r>
      <w:r w:rsidRPr="00F91B00">
        <w:rPr>
          <w:rFonts w:ascii="ＭＳ ゴシック" w:eastAsia="ＭＳ ゴシック" w:hAnsi="ＭＳ ゴシック" w:cs="ＭＳ ゴシック" w:hint="eastAsia"/>
          <w:color w:val="545456"/>
          <w:sz w:val="16"/>
          <w:szCs w:val="16"/>
          <w:lang w:eastAsia="ja-JP"/>
        </w:rPr>
        <w:t>は、</w:t>
      </w:r>
      <w:r w:rsidRPr="00F91B00">
        <w:rPr>
          <w:color w:val="545456"/>
          <w:sz w:val="16"/>
          <w:szCs w:val="16"/>
          <w:lang w:eastAsia="ja-JP"/>
        </w:rPr>
        <w:t>FAPRI</w:t>
      </w:r>
      <w:r w:rsidRPr="00F91B00">
        <w:rPr>
          <w:rFonts w:ascii="ＭＳ ゴシック" w:eastAsia="ＭＳ ゴシック" w:hAnsi="ＭＳ ゴシック" w:cs="ＭＳ ゴシック" w:hint="eastAsia"/>
          <w:color w:val="545456"/>
          <w:sz w:val="16"/>
          <w:szCs w:val="16"/>
          <w:lang w:eastAsia="ja-JP"/>
        </w:rPr>
        <w:t>（森林農業</w:t>
      </w:r>
      <w:r>
        <w:rPr>
          <w:rFonts w:ascii="ＭＳ ゴシック" w:eastAsia="ＭＳ ゴシック" w:hAnsi="ＭＳ ゴシック" w:cs="ＭＳ ゴシック" w:hint="eastAsia"/>
          <w:color w:val="545456"/>
          <w:sz w:val="16"/>
          <w:szCs w:val="16"/>
          <w:lang w:eastAsia="ja-JP"/>
        </w:rPr>
        <w:t>政策</w:t>
      </w:r>
      <w:r w:rsidRPr="00F91B00">
        <w:rPr>
          <w:rFonts w:ascii="ＭＳ ゴシック" w:eastAsia="ＭＳ ゴシック" w:hAnsi="ＭＳ ゴシック" w:cs="ＭＳ ゴシック" w:hint="eastAsia"/>
          <w:color w:val="545456"/>
          <w:sz w:val="16"/>
          <w:szCs w:val="16"/>
          <w:lang w:eastAsia="ja-JP"/>
        </w:rPr>
        <w:t>研究所）と</w:t>
      </w:r>
      <w:r w:rsidRPr="00F91B00">
        <w:rPr>
          <w:color w:val="545456"/>
          <w:sz w:val="16"/>
          <w:szCs w:val="16"/>
          <w:lang w:eastAsia="ja-JP"/>
        </w:rPr>
        <w:t>FASOM</w:t>
      </w:r>
      <w:r w:rsidRPr="00F91B00">
        <w:rPr>
          <w:rFonts w:ascii="ＭＳ ゴシック" w:eastAsia="ＭＳ ゴシック" w:hAnsi="ＭＳ ゴシック" w:cs="ＭＳ ゴシック" w:hint="eastAsia"/>
          <w:color w:val="545456"/>
          <w:sz w:val="16"/>
          <w:szCs w:val="16"/>
          <w:lang w:eastAsia="ja-JP"/>
        </w:rPr>
        <w:t>（森林・農業セクター最適化モデル）</w:t>
      </w:r>
      <w:r>
        <w:rPr>
          <w:rFonts w:ascii="ＭＳ ゴシック" w:eastAsia="ＭＳ ゴシック" w:hAnsi="ＭＳ ゴシック" w:cs="ＭＳ ゴシック" w:hint="eastAsia"/>
          <w:color w:val="545456"/>
          <w:sz w:val="16"/>
          <w:szCs w:val="16"/>
          <w:lang w:eastAsia="ja-JP"/>
        </w:rPr>
        <w:t>があります。</w:t>
      </w:r>
    </w:p>
    <w:p w14:paraId="0926A37D" w14:textId="77777777" w:rsidR="0055291C" w:rsidRDefault="00F23C61" w:rsidP="00156E24">
      <w:pPr>
        <w:pStyle w:val="a5"/>
        <w:numPr>
          <w:ilvl w:val="0"/>
          <w:numId w:val="17"/>
        </w:numPr>
        <w:tabs>
          <w:tab w:val="left" w:pos="472"/>
        </w:tabs>
        <w:spacing w:line="345" w:lineRule="auto"/>
        <w:ind w:left="567" w:right="667"/>
        <w:jc w:val="both"/>
        <w:rPr>
          <w:sz w:val="16"/>
        </w:rPr>
      </w:pPr>
      <w:r>
        <w:rPr>
          <w:color w:val="545456"/>
          <w:spacing w:val="-1"/>
          <w:sz w:val="16"/>
        </w:rPr>
        <w:t>World</w:t>
      </w:r>
      <w:r>
        <w:rPr>
          <w:color w:val="545456"/>
          <w:spacing w:val="-9"/>
          <w:sz w:val="16"/>
        </w:rPr>
        <w:t xml:space="preserve"> </w:t>
      </w:r>
      <w:r>
        <w:rPr>
          <w:color w:val="545456"/>
          <w:spacing w:val="-1"/>
          <w:sz w:val="16"/>
        </w:rPr>
        <w:t>Resources</w:t>
      </w:r>
      <w:r>
        <w:rPr>
          <w:color w:val="545456"/>
          <w:spacing w:val="-8"/>
          <w:sz w:val="16"/>
        </w:rPr>
        <w:t xml:space="preserve"> </w:t>
      </w:r>
      <w:r>
        <w:rPr>
          <w:color w:val="545456"/>
          <w:spacing w:val="-1"/>
          <w:sz w:val="16"/>
        </w:rPr>
        <w:t>Institute,</w:t>
      </w:r>
      <w:r>
        <w:rPr>
          <w:color w:val="545456"/>
          <w:spacing w:val="-8"/>
          <w:sz w:val="16"/>
        </w:rPr>
        <w:t xml:space="preserve"> </w:t>
      </w:r>
      <w:proofErr w:type="spellStart"/>
      <w:r>
        <w:rPr>
          <w:color w:val="545456"/>
          <w:spacing w:val="-1"/>
          <w:sz w:val="16"/>
        </w:rPr>
        <w:t>EarthTrends</w:t>
      </w:r>
      <w:proofErr w:type="spellEnd"/>
      <w:r>
        <w:rPr>
          <w:color w:val="545456"/>
          <w:spacing w:val="-1"/>
          <w:sz w:val="16"/>
        </w:rPr>
        <w:t>:</w:t>
      </w:r>
      <w:r>
        <w:rPr>
          <w:color w:val="545456"/>
          <w:spacing w:val="-8"/>
          <w:sz w:val="16"/>
        </w:rPr>
        <w:t xml:space="preserve"> </w:t>
      </w:r>
      <w:r>
        <w:rPr>
          <w:color w:val="545456"/>
          <w:sz w:val="16"/>
        </w:rPr>
        <w:t>Environmental</w:t>
      </w:r>
      <w:r>
        <w:rPr>
          <w:color w:val="545456"/>
          <w:spacing w:val="-40"/>
          <w:sz w:val="16"/>
        </w:rPr>
        <w:t xml:space="preserve"> </w:t>
      </w:r>
      <w:r>
        <w:rPr>
          <w:color w:val="545456"/>
          <w:spacing w:val="-2"/>
          <w:w w:val="105"/>
          <w:sz w:val="16"/>
        </w:rPr>
        <w:t xml:space="preserve">Information. </w:t>
      </w:r>
      <w:r>
        <w:rPr>
          <w:color w:val="545456"/>
          <w:spacing w:val="-1"/>
          <w:w w:val="105"/>
          <w:sz w:val="16"/>
        </w:rPr>
        <w:t xml:space="preserve">Available from </w:t>
      </w:r>
      <w:hyperlink r:id="rId371">
        <w:r>
          <w:rPr>
            <w:color w:val="545456"/>
            <w:spacing w:val="-1"/>
            <w:w w:val="105"/>
            <w:sz w:val="16"/>
          </w:rPr>
          <w:t>http://earthtrends.wri.org.</w:t>
        </w:r>
      </w:hyperlink>
      <w:r>
        <w:rPr>
          <w:color w:val="545456"/>
          <w:spacing w:val="-42"/>
          <w:w w:val="105"/>
          <w:sz w:val="16"/>
        </w:rPr>
        <w:t xml:space="preserve"> </w:t>
      </w:r>
      <w:r>
        <w:rPr>
          <w:color w:val="545456"/>
          <w:sz w:val="16"/>
        </w:rPr>
        <w:t>Washington</w:t>
      </w:r>
      <w:r>
        <w:rPr>
          <w:color w:val="545456"/>
          <w:spacing w:val="-11"/>
          <w:sz w:val="16"/>
        </w:rPr>
        <w:t xml:space="preserve"> </w:t>
      </w:r>
      <w:r>
        <w:rPr>
          <w:color w:val="545456"/>
          <w:sz w:val="16"/>
        </w:rPr>
        <w:t>DC:</w:t>
      </w:r>
      <w:r>
        <w:rPr>
          <w:color w:val="545456"/>
          <w:spacing w:val="-11"/>
          <w:sz w:val="16"/>
        </w:rPr>
        <w:t xml:space="preserve"> </w:t>
      </w:r>
      <w:r>
        <w:rPr>
          <w:color w:val="545456"/>
          <w:sz w:val="16"/>
        </w:rPr>
        <w:t>World</w:t>
      </w:r>
      <w:r>
        <w:rPr>
          <w:color w:val="545456"/>
          <w:spacing w:val="-10"/>
          <w:sz w:val="16"/>
        </w:rPr>
        <w:t xml:space="preserve"> </w:t>
      </w:r>
      <w:r>
        <w:rPr>
          <w:color w:val="545456"/>
          <w:sz w:val="16"/>
        </w:rPr>
        <w:t>Resources</w:t>
      </w:r>
      <w:r>
        <w:rPr>
          <w:color w:val="545456"/>
          <w:spacing w:val="-11"/>
          <w:sz w:val="16"/>
        </w:rPr>
        <w:t xml:space="preserve"> </w:t>
      </w:r>
      <w:r>
        <w:rPr>
          <w:color w:val="545456"/>
          <w:sz w:val="16"/>
        </w:rPr>
        <w:t>Institute.2007.</w:t>
      </w:r>
    </w:p>
    <w:p w14:paraId="2A5AB0C1" w14:textId="77777777" w:rsidR="0055291C" w:rsidRDefault="0055291C">
      <w:pPr>
        <w:spacing w:line="345" w:lineRule="auto"/>
        <w:jc w:val="both"/>
        <w:rPr>
          <w:sz w:val="16"/>
        </w:rPr>
        <w:sectPr w:rsidR="0055291C">
          <w:type w:val="continuous"/>
          <w:pgSz w:w="12240" w:h="15840"/>
          <w:pgMar w:top="740" w:right="0" w:bottom="280" w:left="0" w:header="0" w:footer="859" w:gutter="0"/>
          <w:cols w:num="2" w:space="720" w:equalWidth="0">
            <w:col w:w="6004" w:space="40"/>
            <w:col w:w="6196"/>
          </w:cols>
        </w:sectPr>
      </w:pPr>
    </w:p>
    <w:p w14:paraId="743B9462" w14:textId="77777777" w:rsidR="0055291C" w:rsidRDefault="00000000">
      <w:pPr>
        <w:pStyle w:val="a3"/>
        <w:rPr>
          <w:sz w:val="20"/>
        </w:rPr>
      </w:pPr>
      <w:r>
        <w:rPr>
          <w:sz w:val="20"/>
        </w:rPr>
      </w:r>
      <w:r>
        <w:rPr>
          <w:sz w:val="20"/>
        </w:rPr>
        <w:pict w14:anchorId="686BD060">
          <v:group id="docshapegroup1618" o:spid="_x0000_s2202" style="width:553.75pt;height:101.6pt;mso-position-horizontal-relative:char;mso-position-vertical-relative:line" coordsize="11075,2032">
            <v:shape id="docshape1619" o:spid="_x0000_s2205" style="position:absolute;width:5940;height:636" coordsize="5940,636" path="m5940,l,,,635r5713,l5844,632r68,-25l5936,539r4,-131l5940,xe" fillcolor="#00aca1" stroked="f">
              <v:path arrowok="t"/>
            </v:shape>
            <v:shape id="docshape1620" o:spid="_x0000_s2204" style="position:absolute;width:11075;height:2009" coordsize="11075,2009" path="m11073,l,,,2008r10834,l10973,2005r71,-27l11070,1907r4,-139l11074,42,11073,xe" fillcolor="#d8eeec" stroked="f">
              <v:path arrowok="t"/>
            </v:shape>
            <v:shape id="docshape1621" o:spid="_x0000_s2203" type="#_x0000_t202" style="position:absolute;width:11075;height:2032" filled="f" stroked="f">
              <v:textbox style="mso-next-textbox:#docshape1621" inset="0,0,0,0">
                <w:txbxContent>
                  <w:p w14:paraId="45CF98EB" w14:textId="77777777" w:rsidR="0055291C" w:rsidRDefault="0055291C">
                    <w:pPr>
                      <w:rPr>
                        <w:sz w:val="54"/>
                      </w:rPr>
                    </w:pPr>
                  </w:p>
                  <w:p w14:paraId="482A392D" w14:textId="77777777" w:rsidR="0055291C" w:rsidRDefault="0055291C">
                    <w:pPr>
                      <w:spacing w:before="8"/>
                      <w:rPr>
                        <w:sz w:val="77"/>
                      </w:rPr>
                    </w:pPr>
                  </w:p>
                  <w:p w14:paraId="16E049F8" w14:textId="1D59DE47" w:rsidR="0055291C" w:rsidRDefault="00503F81">
                    <w:pPr>
                      <w:spacing w:line="541" w:lineRule="exact"/>
                      <w:ind w:left="1105"/>
                      <w:rPr>
                        <w:rFonts w:ascii="Arial"/>
                        <w:b/>
                        <w:i/>
                        <w:sz w:val="48"/>
                      </w:rPr>
                    </w:pPr>
                    <w:r>
                      <w:rPr>
                        <w:rFonts w:ascii="ＭＳ ゴシック" w:eastAsia="ＭＳ ゴシック" w:hAnsi="ＭＳ ゴシック" w:cs="ＭＳ ゴシック" w:hint="eastAsia"/>
                        <w:b/>
                        <w:i/>
                        <w:color w:val="00ACA1"/>
                        <w:w w:val="95"/>
                        <w:sz w:val="48"/>
                        <w:lang w:eastAsia="ja-JP"/>
                      </w:rPr>
                      <w:t>付録</w:t>
                    </w:r>
                    <w:r w:rsidR="00F23C61">
                      <w:rPr>
                        <w:rFonts w:ascii="Arial"/>
                        <w:b/>
                        <w:i/>
                        <w:color w:val="00ACA1"/>
                        <w:spacing w:val="8"/>
                        <w:w w:val="95"/>
                        <w:sz w:val="48"/>
                      </w:rPr>
                      <w:t xml:space="preserve"> </w:t>
                    </w:r>
                    <w:r w:rsidR="00F23C61">
                      <w:rPr>
                        <w:rFonts w:ascii="Arial"/>
                        <w:b/>
                        <w:i/>
                        <w:color w:val="00ACA1"/>
                        <w:w w:val="95"/>
                        <w:sz w:val="48"/>
                      </w:rPr>
                      <w:t>C.</w:t>
                    </w:r>
                    <w:r w:rsidR="00F23C61">
                      <w:rPr>
                        <w:rFonts w:ascii="Arial"/>
                        <w:b/>
                        <w:i/>
                        <w:color w:val="00ACA1"/>
                        <w:spacing w:val="8"/>
                        <w:w w:val="95"/>
                        <w:sz w:val="48"/>
                      </w:rPr>
                      <w:t xml:space="preserve"> </w:t>
                    </w:r>
                    <w:r>
                      <w:rPr>
                        <w:rFonts w:ascii="ＭＳ ゴシック" w:eastAsia="ＭＳ ゴシック" w:hAnsi="ＭＳ ゴシック" w:cs="ＭＳ ゴシック" w:hint="eastAsia"/>
                        <w:b/>
                        <w:i/>
                        <w:color w:val="545456"/>
                        <w:w w:val="95"/>
                        <w:sz w:val="48"/>
                        <w:lang w:eastAsia="ja-JP"/>
                      </w:rPr>
                      <w:t>データ管理計画</w:t>
                    </w:r>
                  </w:p>
                </w:txbxContent>
              </v:textbox>
            </v:shape>
            <w10:anchorlock/>
          </v:group>
        </w:pict>
      </w:r>
    </w:p>
    <w:p w14:paraId="2CB85D41" w14:textId="77777777" w:rsidR="0055291C" w:rsidRDefault="0055291C">
      <w:pPr>
        <w:pStyle w:val="a3"/>
        <w:rPr>
          <w:sz w:val="20"/>
        </w:rPr>
      </w:pPr>
    </w:p>
    <w:p w14:paraId="37DE3E96" w14:textId="77777777" w:rsidR="0055291C" w:rsidRDefault="0055291C">
      <w:pPr>
        <w:pStyle w:val="a3"/>
        <w:spacing w:before="10"/>
        <w:rPr>
          <w:sz w:val="29"/>
        </w:rPr>
      </w:pPr>
    </w:p>
    <w:p w14:paraId="66DCF55F" w14:textId="7E17752B" w:rsidR="0055291C" w:rsidRDefault="00474DE2" w:rsidP="00503F81">
      <w:pPr>
        <w:spacing w:before="1" w:line="364" w:lineRule="auto"/>
        <w:ind w:left="1133" w:right="1131" w:firstLineChars="100" w:firstLine="220"/>
        <w:jc w:val="both"/>
        <w:rPr>
          <w:rFonts w:ascii="Arial"/>
          <w:b/>
          <w:i/>
          <w:sz w:val="24"/>
          <w:lang w:eastAsia="ja-JP"/>
        </w:rPr>
      </w:pPr>
      <w:r>
        <w:rPr>
          <w:rFonts w:ascii="ＭＳ ゴシック" w:eastAsia="ＭＳ ゴシック" w:hAnsi="ＭＳ ゴシック" w:cs="ＭＳ ゴシック" w:hint="eastAsia"/>
          <w:lang w:eastAsia="ja-JP"/>
        </w:rPr>
        <w:t>この付録</w:t>
      </w:r>
      <w:r w:rsidR="00503F81">
        <w:rPr>
          <w:rFonts w:ascii="ＭＳ ゴシック" w:eastAsia="ＭＳ ゴシック" w:hAnsi="ＭＳ ゴシック" w:cs="ＭＳ ゴシック" w:hint="eastAsia"/>
          <w:lang w:eastAsia="ja-JP"/>
        </w:rPr>
        <w:t>は、製品排出量算出のプロセス、および算出の開始から終了までの準備を可能にするために実施される内部品質保証・品質管理（</w:t>
      </w:r>
      <w:r w:rsidR="00503F81">
        <w:rPr>
          <w:lang w:eastAsia="ja-JP"/>
        </w:rPr>
        <w:t>QA/QC</w:t>
      </w:r>
      <w:r w:rsidR="00503F81">
        <w:rPr>
          <w:rFonts w:ascii="ＭＳ ゴシック" w:eastAsia="ＭＳ ゴシック" w:hAnsi="ＭＳ ゴシック" w:cs="ＭＳ ゴシック" w:hint="eastAsia"/>
          <w:lang w:eastAsia="ja-JP"/>
        </w:rPr>
        <w:t>）手順を文書化したもので</w:t>
      </w:r>
      <w:r>
        <w:rPr>
          <w:rFonts w:ascii="ＭＳ ゴシック" w:eastAsia="ＭＳ ゴシック" w:hAnsi="ＭＳ ゴシック" w:cs="ＭＳ ゴシック" w:hint="eastAsia"/>
          <w:lang w:eastAsia="ja-JP"/>
        </w:rPr>
        <w:t>す</w:t>
      </w:r>
      <w:r w:rsidR="00503F81">
        <w:rPr>
          <w:rFonts w:ascii="ＭＳ ゴシック" w:eastAsia="ＭＳ ゴシック" w:hAnsi="ＭＳ ゴシック" w:cs="ＭＳ ゴシック" w:hint="eastAsia"/>
          <w:lang w:eastAsia="ja-JP"/>
        </w:rPr>
        <w:t>。また、保証を行うために必要なデータが多く含まれているため、</w:t>
      </w:r>
      <w:r w:rsidR="00503F81">
        <w:rPr>
          <w:lang w:eastAsia="ja-JP"/>
        </w:rPr>
        <w:t xml:space="preserve"> </w:t>
      </w:r>
      <w:r w:rsidR="00503F81">
        <w:rPr>
          <w:rFonts w:ascii="ＭＳ ゴシック" w:eastAsia="ＭＳ ゴシック" w:hAnsi="ＭＳ ゴシック" w:cs="ＭＳ ゴシック" w:hint="eastAsia"/>
          <w:lang w:eastAsia="ja-JP"/>
        </w:rPr>
        <w:t>保証準備の指標としても有用</w:t>
      </w:r>
      <w:r>
        <w:rPr>
          <w:rFonts w:ascii="ＭＳ ゴシック" w:eastAsia="ＭＳ ゴシック" w:hAnsi="ＭＳ ゴシック" w:cs="ＭＳ ゴシック" w:hint="eastAsia"/>
          <w:lang w:eastAsia="ja-JP"/>
        </w:rPr>
        <w:t>となるでしょう。</w:t>
      </w:r>
    </w:p>
    <w:p w14:paraId="45BE2237" w14:textId="77777777" w:rsidR="0055291C" w:rsidRDefault="0055291C">
      <w:pPr>
        <w:pStyle w:val="a3"/>
        <w:rPr>
          <w:rFonts w:ascii="Arial"/>
          <w:b/>
          <w:i/>
          <w:sz w:val="20"/>
          <w:lang w:eastAsia="ja-JP"/>
        </w:rPr>
      </w:pPr>
    </w:p>
    <w:p w14:paraId="2A33769E" w14:textId="77777777" w:rsidR="0055291C" w:rsidRDefault="0055291C">
      <w:pPr>
        <w:rPr>
          <w:rFonts w:ascii="Arial"/>
          <w:sz w:val="20"/>
          <w:lang w:eastAsia="ja-JP"/>
        </w:rPr>
        <w:sectPr w:rsidR="0055291C">
          <w:headerReference w:type="even" r:id="rId372"/>
          <w:pgSz w:w="12240" w:h="15840"/>
          <w:pgMar w:top="0" w:right="0" w:bottom="1040" w:left="0" w:header="0" w:footer="859" w:gutter="0"/>
          <w:cols w:space="720"/>
        </w:sectPr>
      </w:pPr>
    </w:p>
    <w:p w14:paraId="135A4EB0" w14:textId="77777777" w:rsidR="0055291C" w:rsidRDefault="0055291C">
      <w:pPr>
        <w:pStyle w:val="a3"/>
        <w:rPr>
          <w:rFonts w:ascii="Arial"/>
          <w:b/>
          <w:i/>
          <w:sz w:val="21"/>
          <w:lang w:eastAsia="ja-JP"/>
        </w:rPr>
      </w:pPr>
    </w:p>
    <w:p w14:paraId="0A896DC3" w14:textId="378EDC05" w:rsidR="0055291C" w:rsidRDefault="00474DE2" w:rsidP="00156399">
      <w:pPr>
        <w:pStyle w:val="a3"/>
        <w:spacing w:line="312" w:lineRule="auto"/>
        <w:ind w:left="993" w:right="166" w:firstLineChars="100" w:firstLine="190"/>
        <w:rPr>
          <w:lang w:eastAsia="ja-JP"/>
        </w:rPr>
      </w:pPr>
      <w:r>
        <w:rPr>
          <w:rFonts w:ascii="ＭＳ ゴシック" w:eastAsia="ＭＳ ゴシック" w:hAnsi="ＭＳ ゴシック" w:cs="ＭＳ ゴシック" w:hint="eastAsia"/>
          <w:lang w:eastAsia="ja-JP"/>
        </w:rPr>
        <w:t>この付録は、企業が効果的なデータ管理計画を作成し、</w:t>
      </w:r>
      <w:r>
        <w:rPr>
          <w:lang w:eastAsia="ja-JP"/>
        </w:rPr>
        <w:t xml:space="preserve"> </w:t>
      </w:r>
      <w:r>
        <w:rPr>
          <w:rFonts w:ascii="ＭＳ ゴシック" w:eastAsia="ＭＳ ゴシック" w:hAnsi="ＭＳ ゴシック" w:cs="ＭＳ ゴシック" w:hint="eastAsia"/>
          <w:lang w:eastAsia="ja-JP"/>
        </w:rPr>
        <w:t>維持するのに役立つガイダンスを提供します。企業は、</w:t>
      </w:r>
      <w:r>
        <w:rPr>
          <w:lang w:eastAsia="ja-JP"/>
        </w:rPr>
        <w:t xml:space="preserve"> ISO</w:t>
      </w:r>
      <w:r>
        <w:rPr>
          <w:rFonts w:ascii="ＭＳ ゴシック" w:eastAsia="ＭＳ ゴシック" w:hAnsi="ＭＳ ゴシック" w:cs="ＭＳ ゴシック" w:hint="eastAsia"/>
          <w:lang w:eastAsia="ja-JP"/>
        </w:rPr>
        <w:t>規格や企業の</w:t>
      </w:r>
      <w:r>
        <w:rPr>
          <w:lang w:eastAsia="ja-JP"/>
        </w:rPr>
        <w:t>GHG</w:t>
      </w:r>
      <w:r>
        <w:rPr>
          <w:rFonts w:ascii="ＭＳ ゴシック" w:eastAsia="ＭＳ ゴシック" w:hAnsi="ＭＳ ゴシック" w:cs="ＭＳ ゴシック" w:hint="eastAsia"/>
          <w:lang w:eastAsia="ja-JP"/>
        </w:rPr>
        <w:t>算出要件など、他のデータ収集する努力によって、すでに同様の手順を実施しているかもしれません。可能であれば、データ管理の負担を軽減するため</w:t>
      </w:r>
      <w:r>
        <w:rPr>
          <w:lang w:eastAsia="ja-JP"/>
        </w:rPr>
        <w:t xml:space="preserve"> </w:t>
      </w:r>
      <w:r>
        <w:rPr>
          <w:rFonts w:ascii="ＭＳ ゴシック" w:eastAsia="ＭＳ ゴシック" w:hAnsi="ＭＳ ゴシック" w:cs="ＭＳ ゴシック" w:hint="eastAsia"/>
          <w:lang w:eastAsia="ja-JP"/>
        </w:rPr>
        <w:t>に、これらのプロセスを一致させるべきです。</w:t>
      </w:r>
    </w:p>
    <w:p w14:paraId="554491AE" w14:textId="77777777" w:rsidR="0055291C" w:rsidRDefault="0055291C" w:rsidP="00156399">
      <w:pPr>
        <w:pStyle w:val="a3"/>
        <w:ind w:left="993" w:right="166"/>
        <w:rPr>
          <w:sz w:val="20"/>
          <w:lang w:eastAsia="ja-JP"/>
        </w:rPr>
      </w:pPr>
    </w:p>
    <w:p w14:paraId="429590C2" w14:textId="77777777" w:rsidR="0055291C" w:rsidRDefault="0055291C" w:rsidP="00156399">
      <w:pPr>
        <w:pStyle w:val="a3"/>
        <w:spacing w:before="4"/>
        <w:ind w:left="993" w:right="166"/>
        <w:rPr>
          <w:sz w:val="25"/>
          <w:lang w:eastAsia="ja-JP"/>
        </w:rPr>
      </w:pPr>
    </w:p>
    <w:p w14:paraId="7EDF466D" w14:textId="03B9ED69" w:rsidR="0055291C" w:rsidRDefault="00474DE2" w:rsidP="00156399">
      <w:pPr>
        <w:pStyle w:val="3"/>
        <w:numPr>
          <w:ilvl w:val="1"/>
          <w:numId w:val="16"/>
        </w:numPr>
        <w:tabs>
          <w:tab w:val="left" w:pos="1911"/>
          <w:tab w:val="left" w:pos="1912"/>
        </w:tabs>
        <w:spacing w:before="0" w:line="242" w:lineRule="auto"/>
        <w:ind w:left="993" w:right="166"/>
        <w:rPr>
          <w:lang w:eastAsia="ja-JP"/>
        </w:rPr>
      </w:pPr>
      <w:r>
        <w:rPr>
          <w:rFonts w:ascii="ＭＳ 明朝" w:eastAsia="ＭＳ 明朝" w:hAnsi="ＭＳ 明朝" w:cs="ＭＳ 明朝" w:hint="eastAsia"/>
          <w:color w:val="00ACA1"/>
          <w:lang w:eastAsia="ja-JP"/>
        </w:rPr>
        <w:t>データマネジメント計画の概要</w:t>
      </w:r>
    </w:p>
    <w:p w14:paraId="7F338CC8" w14:textId="37A00CAE" w:rsidR="0055291C" w:rsidRDefault="00474DE2" w:rsidP="00156399">
      <w:pPr>
        <w:pStyle w:val="a3"/>
        <w:spacing w:before="3" w:line="312" w:lineRule="auto"/>
        <w:ind w:left="993" w:right="166" w:firstLineChars="100" w:firstLine="190"/>
        <w:rPr>
          <w:lang w:eastAsia="ja-JP"/>
        </w:rPr>
      </w:pPr>
      <w:r>
        <w:rPr>
          <w:rFonts w:ascii="ＭＳ ゴシック" w:eastAsia="ＭＳ ゴシック" w:hAnsi="ＭＳ ゴシック" w:cs="ＭＳ ゴシック" w:hint="eastAsia"/>
          <w:lang w:eastAsia="ja-JP"/>
        </w:rPr>
        <w:t>データ管理計画の品質管理部分は、</w:t>
      </w:r>
      <w:r w:rsidR="005C13A7">
        <w:rPr>
          <w:rFonts w:ascii="ＭＳ ゴシック" w:eastAsia="ＭＳ ゴシック" w:hAnsi="ＭＳ ゴシック" w:cs="ＭＳ ゴシック" w:hint="eastAsia"/>
          <w:lang w:eastAsia="ja-JP"/>
        </w:rPr>
        <w:t>排出量</w:t>
      </w:r>
      <w:r>
        <w:rPr>
          <w:rFonts w:ascii="ＭＳ ゴシック" w:eastAsia="ＭＳ ゴシック" w:hAnsi="ＭＳ ゴシック" w:cs="ＭＳ ゴシック" w:hint="eastAsia"/>
          <w:lang w:eastAsia="ja-JP"/>
        </w:rPr>
        <w:t>データおよびデータ管理プロセスの品質を決定し</w:t>
      </w:r>
      <w:r>
        <w:rPr>
          <w:lang w:eastAsia="ja-JP"/>
        </w:rPr>
        <w:t xml:space="preserve"> </w:t>
      </w:r>
      <w:r>
        <w:rPr>
          <w:rFonts w:ascii="ＭＳ ゴシック" w:eastAsia="ＭＳ ゴシック" w:hAnsi="ＭＳ ゴシック" w:cs="ＭＳ ゴシック" w:hint="eastAsia"/>
          <w:lang w:eastAsia="ja-JP"/>
        </w:rPr>
        <w:t>、管理するための日常的な技術活動のシステムの概要を示して</w:t>
      </w:r>
      <w:r w:rsidR="005C13A7">
        <w:rPr>
          <w:rFonts w:ascii="ＭＳ ゴシック" w:eastAsia="ＭＳ ゴシック" w:hAnsi="ＭＳ ゴシック" w:cs="ＭＳ ゴシック" w:hint="eastAsia"/>
          <w:lang w:eastAsia="ja-JP"/>
        </w:rPr>
        <w:t>います</w:t>
      </w:r>
      <w:r>
        <w:rPr>
          <w:rFonts w:ascii="ＭＳ ゴシック" w:eastAsia="ＭＳ ゴシック" w:hAnsi="ＭＳ ゴシック" w:cs="ＭＳ ゴシック" w:hint="eastAsia"/>
          <w:lang w:eastAsia="ja-JP"/>
        </w:rPr>
        <w:t>。その目的は、エラーや脱落を特定し削減することにより、</w:t>
      </w:r>
      <w:r w:rsidR="005C13A7">
        <w:rPr>
          <w:rFonts w:ascii="ＭＳ ゴシック" w:eastAsia="ＭＳ ゴシック" w:hAnsi="ＭＳ ゴシック" w:cs="ＭＳ ゴシック" w:hint="eastAsia"/>
          <w:lang w:eastAsia="ja-JP"/>
        </w:rPr>
        <w:t>報告書</w:t>
      </w:r>
      <w:r>
        <w:rPr>
          <w:rFonts w:ascii="ＭＳ ゴシック" w:eastAsia="ＭＳ ゴシック" w:hAnsi="ＭＳ ゴシック" w:cs="ＭＳ ゴシック" w:hint="eastAsia"/>
          <w:lang w:eastAsia="ja-JP"/>
        </w:rPr>
        <w:t>に誤った記述が含まれないようにすること、会計上の一貫性を最大化するための日常的なチェックを行うことです。</w:t>
      </w:r>
      <w:r>
        <w:rPr>
          <w:lang w:eastAsia="ja-JP"/>
        </w:rPr>
        <w:t xml:space="preserve"> </w:t>
      </w:r>
      <w:r>
        <w:rPr>
          <w:rFonts w:ascii="ＭＳ ゴシック" w:eastAsia="ＭＳ ゴシック" w:hAnsi="ＭＳ ゴシック" w:cs="ＭＳ ゴシック" w:hint="eastAsia"/>
          <w:lang w:eastAsia="ja-JP"/>
        </w:rPr>
        <w:t>また、内部および外部の</w:t>
      </w:r>
      <w:r w:rsidR="005C13A7">
        <w:rPr>
          <w:rFonts w:ascii="ＭＳ ゴシック" w:eastAsia="ＭＳ ゴシック" w:hAnsi="ＭＳ ゴシック" w:cs="ＭＳ ゴシック" w:hint="eastAsia"/>
          <w:lang w:eastAsia="ja-JP"/>
        </w:rPr>
        <w:t>報告書の批評や</w:t>
      </w:r>
      <w:r>
        <w:rPr>
          <w:rFonts w:ascii="ＭＳ ゴシック" w:eastAsia="ＭＳ ゴシック" w:hAnsi="ＭＳ ゴシック" w:cs="ＭＳ ゴシック" w:hint="eastAsia"/>
          <w:lang w:eastAsia="ja-JP"/>
        </w:rPr>
        <w:t>保証を促進します。</w:t>
      </w:r>
    </w:p>
    <w:p w14:paraId="77ACDC6C" w14:textId="0B91E1B1" w:rsidR="0055291C" w:rsidRDefault="005C13A7" w:rsidP="00156399">
      <w:pPr>
        <w:pStyle w:val="a3"/>
        <w:spacing w:before="141" w:line="312" w:lineRule="auto"/>
        <w:ind w:left="993" w:right="166" w:firstLineChars="100" w:firstLine="190"/>
        <w:rPr>
          <w:lang w:eastAsia="ja-JP"/>
        </w:rPr>
      </w:pPr>
      <w:r>
        <w:rPr>
          <w:rFonts w:ascii="ＭＳ ゴシック" w:eastAsia="ＭＳ ゴシック" w:hAnsi="ＭＳ ゴシック" w:cs="ＭＳ ゴシック" w:hint="eastAsia"/>
          <w:lang w:eastAsia="ja-JP"/>
        </w:rPr>
        <w:t>データ管理計画の品質保証の部分には、報告書の品質を評価するためのピアレビューと監査が含まれます。</w:t>
      </w:r>
      <w:r>
        <w:rPr>
          <w:lang w:eastAsia="ja-JP"/>
        </w:rPr>
        <w:t xml:space="preserve"> </w:t>
      </w:r>
      <w:r>
        <w:rPr>
          <w:rFonts w:ascii="ＭＳ ゴシック" w:eastAsia="ＭＳ ゴシック" w:hAnsi="ＭＳ ゴシック" w:cs="ＭＳ ゴシック" w:hint="eastAsia"/>
          <w:lang w:eastAsia="ja-JP"/>
        </w:rPr>
        <w:t>表</w:t>
      </w:r>
      <w:r>
        <w:rPr>
          <w:lang w:eastAsia="ja-JP"/>
        </w:rPr>
        <w:t>C.2</w:t>
      </w:r>
      <w:r>
        <w:rPr>
          <w:rFonts w:ascii="ＭＳ ゴシック" w:eastAsia="ＭＳ ゴシック" w:hAnsi="ＭＳ ゴシック" w:cs="ＭＳ ゴシック" w:hint="eastAsia"/>
          <w:lang w:eastAsia="ja-JP"/>
        </w:rPr>
        <w:t>には推奨される品質保証および管理手順が記載されています。ピアレビューでは、算出の方法論と結果の文書を確認しますが、通常、使用したデータや参考文献の厳密な確認は行いません。この審査は、報告書の作成に使用されるプロセスに内在するエラーやバイアスを低減または排除し、</w:t>
      </w:r>
      <w:r>
        <w:rPr>
          <w:lang w:eastAsia="ja-JP"/>
        </w:rPr>
        <w:t xml:space="preserve"> </w:t>
      </w:r>
      <w:r>
        <w:rPr>
          <w:rFonts w:ascii="ＭＳ ゴシック" w:eastAsia="ＭＳ ゴシック" w:hAnsi="ＭＳ ゴシック" w:cs="ＭＳ ゴシック" w:hint="eastAsia"/>
          <w:lang w:eastAsia="ja-JP"/>
        </w:rPr>
        <w:t>内部品質管理手順の有効性を評価することを目的としてい</w:t>
      </w:r>
      <w:r w:rsidR="00156399">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w:t>
      </w:r>
    </w:p>
    <w:p w14:paraId="3D912088" w14:textId="77777777" w:rsidR="0055291C" w:rsidRDefault="00F23C61" w:rsidP="00156399">
      <w:pPr>
        <w:spacing w:before="4"/>
        <w:ind w:left="993" w:right="166"/>
        <w:rPr>
          <w:sz w:val="21"/>
          <w:lang w:eastAsia="ja-JP"/>
        </w:rPr>
      </w:pPr>
      <w:r>
        <w:rPr>
          <w:lang w:eastAsia="ja-JP"/>
        </w:rPr>
        <w:br w:type="column"/>
      </w:r>
    </w:p>
    <w:p w14:paraId="0399E0A5" w14:textId="19D6DBB1" w:rsidR="0055291C" w:rsidRDefault="00156399" w:rsidP="00156399">
      <w:pPr>
        <w:pStyle w:val="a3"/>
        <w:spacing w:line="312" w:lineRule="auto"/>
        <w:ind w:left="426" w:right="835" w:firstLineChars="104" w:firstLine="198"/>
        <w:rPr>
          <w:lang w:eastAsia="ja-JP"/>
        </w:rPr>
      </w:pPr>
      <w:r>
        <w:rPr>
          <w:rFonts w:ascii="ＭＳ ゴシック" w:eastAsia="ＭＳ ゴシック" w:hAnsi="ＭＳ ゴシック" w:cs="ＭＳ ゴシック" w:hint="eastAsia"/>
          <w:lang w:eastAsia="ja-JP"/>
        </w:rPr>
        <w:t>レビューでは、報告書がデータ管理計画に概説された品質管理仕様に準拠しているかどうかを評価します。ピアレビューおよび監査は、偏りを減らすために報告書の作成に関与していない者が実施することが望ましいでしょう。データ管理計画の策定は、</w:t>
      </w:r>
      <w:r>
        <w:rPr>
          <w:lang w:eastAsia="ja-JP"/>
        </w:rPr>
        <w:t xml:space="preserve"> </w:t>
      </w:r>
      <w:r>
        <w:rPr>
          <w:rFonts w:ascii="ＭＳ ゴシック" w:eastAsia="ＭＳ ゴシック" w:hAnsi="ＭＳ ゴシック" w:cs="ＭＳ ゴシック" w:hint="eastAsia"/>
          <w:lang w:eastAsia="ja-JP"/>
        </w:rPr>
        <w:t>報告書の保証プロセ</w:t>
      </w:r>
      <w:r>
        <w:rPr>
          <w:lang w:eastAsia="ja-JP"/>
        </w:rPr>
        <w:t xml:space="preserve"> </w:t>
      </w:r>
      <w:r>
        <w:rPr>
          <w:rFonts w:ascii="ＭＳ ゴシック" w:eastAsia="ＭＳ ゴシック" w:hAnsi="ＭＳ ゴシック" w:cs="ＭＳ ゴシック" w:hint="eastAsia"/>
          <w:lang w:eastAsia="ja-JP"/>
        </w:rPr>
        <w:t>スにおいて有用であり、保証提供者（内部・外部を問わず）が利用できるようにする必要があります。</w:t>
      </w:r>
    </w:p>
    <w:p w14:paraId="4BE94ED7" w14:textId="4650973E" w:rsidR="00156399" w:rsidRPr="00156399" w:rsidRDefault="00156399" w:rsidP="00156399">
      <w:pPr>
        <w:pStyle w:val="a3"/>
        <w:spacing w:before="144" w:line="312" w:lineRule="auto"/>
        <w:ind w:left="426" w:right="835" w:firstLineChars="104" w:firstLine="198"/>
        <w:rPr>
          <w:lang w:eastAsia="ja-JP"/>
        </w:rPr>
      </w:pPr>
      <w:r>
        <w:rPr>
          <w:rFonts w:ascii="ＭＳ ゴシック" w:eastAsia="ＭＳ ゴシック" w:hAnsi="ＭＳ ゴシック" w:cs="ＭＳ ゴシック" w:hint="eastAsia"/>
          <w:lang w:eastAsia="ja-JP"/>
        </w:rPr>
        <w:t>データ管理計画には、最低限以下の項目が含まれている必要があります。</w:t>
      </w:r>
    </w:p>
    <w:p w14:paraId="0266D669" w14:textId="407D6F42" w:rsidR="00156399" w:rsidRPr="00156399" w:rsidRDefault="00156399" w:rsidP="00156399">
      <w:pPr>
        <w:pStyle w:val="a5"/>
        <w:numPr>
          <w:ilvl w:val="0"/>
          <w:numId w:val="97"/>
        </w:numPr>
        <w:tabs>
          <w:tab w:val="left" w:pos="505"/>
        </w:tabs>
        <w:spacing w:before="50" w:line="309" w:lineRule="auto"/>
        <w:ind w:left="426" w:right="835" w:firstLineChars="4" w:firstLine="8"/>
        <w:rPr>
          <w:sz w:val="19"/>
          <w:szCs w:val="19"/>
          <w:lang w:eastAsia="ja-JP"/>
        </w:rPr>
      </w:pPr>
      <w:r w:rsidRPr="00156399">
        <w:rPr>
          <w:rFonts w:ascii="ＭＳ ゴシック" w:eastAsia="ＭＳ ゴシック" w:hAnsi="ＭＳ ゴシック" w:cs="ＭＳ ゴシック" w:hint="eastAsia"/>
          <w:sz w:val="19"/>
          <w:szCs w:val="19"/>
          <w:lang w:eastAsia="ja-JP"/>
        </w:rPr>
        <w:t>調査対象製品、分析単位、</w:t>
      </w:r>
      <w:r>
        <w:rPr>
          <w:rFonts w:ascii="ＭＳ ゴシック" w:eastAsia="ＭＳ ゴシック" w:hAnsi="ＭＳ ゴシック" w:cs="ＭＳ ゴシック" w:hint="eastAsia"/>
          <w:sz w:val="19"/>
          <w:szCs w:val="19"/>
          <w:lang w:eastAsia="ja-JP"/>
        </w:rPr>
        <w:t>基準流量</w:t>
      </w:r>
      <w:r w:rsidRPr="00156399">
        <w:rPr>
          <w:rFonts w:ascii="ＭＳ ゴシック" w:eastAsia="ＭＳ ゴシック" w:hAnsi="ＭＳ ゴシック" w:cs="ＭＳ ゴシック" w:hint="eastAsia"/>
          <w:sz w:val="19"/>
          <w:szCs w:val="19"/>
          <w:lang w:eastAsia="ja-JP"/>
        </w:rPr>
        <w:t>の説明</w:t>
      </w:r>
    </w:p>
    <w:p w14:paraId="4C6311C4" w14:textId="2722067A" w:rsidR="00156399" w:rsidRPr="00156399" w:rsidRDefault="00156399" w:rsidP="00156399">
      <w:pPr>
        <w:pStyle w:val="a5"/>
        <w:numPr>
          <w:ilvl w:val="0"/>
          <w:numId w:val="97"/>
        </w:numPr>
        <w:tabs>
          <w:tab w:val="left" w:pos="505"/>
        </w:tabs>
        <w:spacing w:before="50" w:line="309" w:lineRule="auto"/>
        <w:ind w:left="426" w:right="835" w:firstLineChars="4" w:firstLine="8"/>
        <w:rPr>
          <w:sz w:val="19"/>
          <w:szCs w:val="19"/>
          <w:lang w:eastAsia="ja-JP"/>
        </w:rPr>
      </w:pPr>
      <w:r w:rsidRPr="00156399">
        <w:rPr>
          <w:rFonts w:ascii="ＭＳ ゴシック" w:eastAsia="ＭＳ ゴシック" w:hAnsi="ＭＳ ゴシック" w:cs="ＭＳ ゴシック" w:hint="eastAsia"/>
          <w:sz w:val="19"/>
          <w:szCs w:val="19"/>
          <w:lang w:eastAsia="ja-JP"/>
        </w:rPr>
        <w:t>測定及びデータ収集の手順について責任を有する団体又は個人に関する情報</w:t>
      </w:r>
    </w:p>
    <w:p w14:paraId="76B163EA" w14:textId="173B2BC9" w:rsidR="00156399" w:rsidRPr="00156399" w:rsidRDefault="00156399" w:rsidP="00156399">
      <w:pPr>
        <w:pStyle w:val="a5"/>
        <w:numPr>
          <w:ilvl w:val="0"/>
          <w:numId w:val="97"/>
        </w:numPr>
        <w:tabs>
          <w:tab w:val="left" w:pos="505"/>
        </w:tabs>
        <w:spacing w:before="50" w:line="309" w:lineRule="auto"/>
        <w:ind w:left="426" w:right="835" w:firstLineChars="4" w:firstLine="8"/>
        <w:rPr>
          <w:sz w:val="19"/>
          <w:szCs w:val="19"/>
          <w:lang w:eastAsia="ja-JP"/>
        </w:rPr>
      </w:pPr>
      <w:r w:rsidRPr="00156399">
        <w:rPr>
          <w:rFonts w:ascii="ＭＳ ゴシック" w:eastAsia="ＭＳ ゴシック" w:hAnsi="ＭＳ ゴシック" w:cs="ＭＳ ゴシック" w:hint="eastAsia"/>
          <w:sz w:val="19"/>
          <w:szCs w:val="19"/>
          <w:lang w:eastAsia="ja-JP"/>
        </w:rPr>
        <w:t>製品の</w:t>
      </w:r>
      <w:r>
        <w:rPr>
          <w:rFonts w:ascii="ＭＳ ゴシック" w:eastAsia="ＭＳ ゴシック" w:hAnsi="ＭＳ ゴシック" w:cs="ＭＳ ゴシック" w:hint="eastAsia"/>
          <w:sz w:val="19"/>
          <w:szCs w:val="19"/>
          <w:lang w:eastAsia="ja-JP"/>
        </w:rPr>
        <w:t>GHG算出の</w:t>
      </w:r>
      <w:r w:rsidRPr="00156399">
        <w:rPr>
          <w:rFonts w:ascii="ＭＳ ゴシック" w:eastAsia="ＭＳ ゴシック" w:hAnsi="ＭＳ ゴシック" w:cs="ＭＳ ゴシック" w:hint="eastAsia"/>
          <w:sz w:val="19"/>
          <w:szCs w:val="19"/>
          <w:lang w:eastAsia="ja-JP"/>
        </w:rPr>
        <w:t>境界を記述するすべての情報</w:t>
      </w:r>
    </w:p>
    <w:p w14:paraId="14595D70" w14:textId="00589232" w:rsidR="00156399" w:rsidRPr="00156399" w:rsidRDefault="00156399" w:rsidP="00156399">
      <w:pPr>
        <w:pStyle w:val="a5"/>
        <w:numPr>
          <w:ilvl w:val="0"/>
          <w:numId w:val="97"/>
        </w:numPr>
        <w:tabs>
          <w:tab w:val="left" w:pos="505"/>
        </w:tabs>
        <w:spacing w:before="50" w:line="309" w:lineRule="auto"/>
        <w:ind w:left="426" w:right="835" w:firstLineChars="4" w:firstLine="8"/>
        <w:rPr>
          <w:sz w:val="19"/>
          <w:szCs w:val="19"/>
          <w:lang w:eastAsia="ja-JP"/>
        </w:rPr>
      </w:pPr>
      <w:r>
        <w:rPr>
          <w:rFonts w:ascii="ＭＳ ゴシック" w:eastAsia="ＭＳ ゴシック" w:hAnsi="ＭＳ ゴシック" w:cs="ＭＳ ゴシック" w:hint="eastAsia"/>
          <w:sz w:val="19"/>
          <w:szCs w:val="19"/>
          <w:lang w:eastAsia="ja-JP"/>
        </w:rPr>
        <w:t>排出量</w:t>
      </w:r>
      <w:r w:rsidRPr="00156399">
        <w:rPr>
          <w:rFonts w:ascii="ＭＳ ゴシック" w:eastAsia="ＭＳ ゴシック" w:hAnsi="ＭＳ ゴシック" w:cs="ＭＳ ゴシック" w:hint="eastAsia"/>
          <w:sz w:val="19"/>
          <w:szCs w:val="19"/>
          <w:lang w:eastAsia="ja-JP"/>
        </w:rPr>
        <w:t>の再評価時期を決定するために使用される基準</w:t>
      </w:r>
    </w:p>
    <w:p w14:paraId="062C8498" w14:textId="77777777" w:rsidR="00156399" w:rsidRPr="00156399" w:rsidRDefault="00156399" w:rsidP="00156399">
      <w:pPr>
        <w:pStyle w:val="a5"/>
        <w:numPr>
          <w:ilvl w:val="0"/>
          <w:numId w:val="97"/>
        </w:numPr>
        <w:tabs>
          <w:tab w:val="left" w:pos="505"/>
        </w:tabs>
        <w:spacing w:before="50" w:line="309" w:lineRule="auto"/>
        <w:ind w:left="426" w:right="835" w:firstLineChars="4" w:firstLine="8"/>
        <w:rPr>
          <w:sz w:val="19"/>
          <w:szCs w:val="19"/>
          <w:lang w:eastAsia="ja-JP"/>
        </w:rPr>
      </w:pPr>
      <w:r w:rsidRPr="00156399">
        <w:rPr>
          <w:rFonts w:ascii="ＭＳ ゴシック" w:eastAsia="ＭＳ ゴシック" w:hAnsi="ＭＳ ゴシック" w:cs="ＭＳ ゴシック" w:hint="eastAsia"/>
          <w:sz w:val="19"/>
          <w:szCs w:val="19"/>
          <w:lang w:eastAsia="ja-JP"/>
        </w:rPr>
        <w:t>データ収集の手順</w:t>
      </w:r>
    </w:p>
    <w:p w14:paraId="46F9FB6F" w14:textId="09DBFFD2" w:rsidR="00156399" w:rsidRPr="00156399" w:rsidRDefault="00156399" w:rsidP="00156399">
      <w:pPr>
        <w:pStyle w:val="a5"/>
        <w:numPr>
          <w:ilvl w:val="0"/>
          <w:numId w:val="97"/>
        </w:numPr>
        <w:tabs>
          <w:tab w:val="left" w:pos="505"/>
        </w:tabs>
        <w:spacing w:before="50" w:line="309" w:lineRule="auto"/>
        <w:ind w:left="426" w:right="835" w:firstLineChars="4" w:firstLine="8"/>
        <w:rPr>
          <w:sz w:val="19"/>
          <w:szCs w:val="19"/>
          <w:lang w:eastAsia="ja-JP"/>
        </w:rPr>
      </w:pPr>
      <w:r w:rsidRPr="00156399">
        <w:rPr>
          <w:rFonts w:ascii="ＭＳ ゴシック" w:eastAsia="ＭＳ ゴシック" w:hAnsi="ＭＳ ゴシック" w:cs="ＭＳ ゴシック" w:hint="eastAsia"/>
          <w:sz w:val="19"/>
          <w:szCs w:val="19"/>
          <w:lang w:eastAsia="ja-JP"/>
        </w:rPr>
        <w:t>活動データ、排出係数、その他のデータを含むデータソース、および実施したデータ品質評価の結果</w:t>
      </w:r>
    </w:p>
    <w:p w14:paraId="673A8931" w14:textId="77777777" w:rsidR="00156399" w:rsidRPr="00156399" w:rsidRDefault="00156399" w:rsidP="00156399">
      <w:pPr>
        <w:pStyle w:val="a5"/>
        <w:numPr>
          <w:ilvl w:val="0"/>
          <w:numId w:val="97"/>
        </w:numPr>
        <w:tabs>
          <w:tab w:val="left" w:pos="505"/>
        </w:tabs>
        <w:spacing w:before="50" w:line="309" w:lineRule="auto"/>
        <w:ind w:left="426" w:right="835" w:firstLineChars="4" w:firstLine="8"/>
        <w:rPr>
          <w:sz w:val="19"/>
          <w:szCs w:val="19"/>
          <w:lang w:eastAsia="ja-JP"/>
        </w:rPr>
      </w:pPr>
      <w:r w:rsidRPr="00156399">
        <w:rPr>
          <w:rFonts w:ascii="ＭＳ ゴシック" w:eastAsia="ＭＳ ゴシック" w:hAnsi="ＭＳ ゴシック" w:cs="ＭＳ ゴシック" w:hint="eastAsia"/>
          <w:sz w:val="19"/>
          <w:szCs w:val="19"/>
          <w:lang w:eastAsia="ja-JP"/>
        </w:rPr>
        <w:t>単位換算、データ集計などの計算方法</w:t>
      </w:r>
    </w:p>
    <w:p w14:paraId="57C8C65B" w14:textId="77777777" w:rsidR="00156399" w:rsidRPr="00156399" w:rsidRDefault="00156399" w:rsidP="00156399">
      <w:pPr>
        <w:pStyle w:val="a5"/>
        <w:numPr>
          <w:ilvl w:val="0"/>
          <w:numId w:val="97"/>
        </w:numPr>
        <w:tabs>
          <w:tab w:val="left" w:pos="505"/>
        </w:tabs>
        <w:spacing w:before="50" w:line="309" w:lineRule="auto"/>
        <w:ind w:left="426" w:right="835" w:firstLineChars="4" w:firstLine="8"/>
        <w:rPr>
          <w:sz w:val="19"/>
          <w:szCs w:val="19"/>
          <w:lang w:eastAsia="ja-JP"/>
        </w:rPr>
      </w:pPr>
      <w:r w:rsidRPr="00156399">
        <w:rPr>
          <w:rFonts w:ascii="ＭＳ ゴシック" w:eastAsia="ＭＳ ゴシック" w:hAnsi="ＭＳ ゴシック" w:cs="ＭＳ ゴシック" w:hint="eastAsia"/>
          <w:sz w:val="19"/>
          <w:szCs w:val="19"/>
          <w:lang w:eastAsia="ja-JP"/>
        </w:rPr>
        <w:t>データを保存する期間</w:t>
      </w:r>
    </w:p>
    <w:p w14:paraId="32E59F69" w14:textId="2425C379" w:rsidR="00156399" w:rsidRPr="00156399" w:rsidRDefault="00156399" w:rsidP="00156399">
      <w:pPr>
        <w:pStyle w:val="a5"/>
        <w:numPr>
          <w:ilvl w:val="0"/>
          <w:numId w:val="97"/>
        </w:numPr>
        <w:tabs>
          <w:tab w:val="left" w:pos="505"/>
        </w:tabs>
        <w:spacing w:before="50" w:line="309" w:lineRule="auto"/>
        <w:ind w:left="426" w:right="835" w:firstLineChars="4" w:firstLine="8"/>
        <w:rPr>
          <w:sz w:val="19"/>
          <w:szCs w:val="19"/>
          <w:lang w:eastAsia="ja-JP"/>
        </w:rPr>
      </w:pPr>
      <w:r w:rsidRPr="00156399">
        <w:rPr>
          <w:rFonts w:ascii="ＭＳ ゴシック" w:eastAsia="ＭＳ ゴシック" w:hAnsi="ＭＳ ゴシック" w:cs="ＭＳ ゴシック" w:hint="eastAsia"/>
          <w:sz w:val="19"/>
          <w:szCs w:val="19"/>
          <w:lang w:eastAsia="ja-JP"/>
        </w:rPr>
        <w:t>データの送信、保存、バックアップの手順</w:t>
      </w:r>
    </w:p>
    <w:p w14:paraId="6AAE8930" w14:textId="72B65B49" w:rsidR="0055291C" w:rsidRPr="00156399" w:rsidRDefault="00156399" w:rsidP="00156399">
      <w:pPr>
        <w:pStyle w:val="a5"/>
        <w:numPr>
          <w:ilvl w:val="0"/>
          <w:numId w:val="97"/>
        </w:numPr>
        <w:tabs>
          <w:tab w:val="left" w:pos="505"/>
        </w:tabs>
        <w:spacing w:before="50" w:line="309" w:lineRule="auto"/>
        <w:ind w:left="426" w:right="835" w:firstLineChars="4" w:firstLine="8"/>
        <w:rPr>
          <w:sz w:val="19"/>
          <w:szCs w:val="19"/>
          <w:lang w:eastAsia="ja-JP"/>
        </w:rPr>
      </w:pPr>
      <w:r w:rsidRPr="00156399">
        <w:rPr>
          <w:rFonts w:ascii="ＭＳ ゴシック" w:eastAsia="ＭＳ ゴシック" w:hAnsi="ＭＳ ゴシック" w:cs="ＭＳ ゴシック" w:hint="eastAsia"/>
          <w:sz w:val="19"/>
          <w:szCs w:val="19"/>
          <w:lang w:eastAsia="ja-JP"/>
        </w:rPr>
        <w:t>データ収集、入力、処理活動、データ文書化、および排出量計算のためのすべての</w:t>
      </w:r>
      <w:r w:rsidRPr="00156399">
        <w:rPr>
          <w:sz w:val="19"/>
          <w:szCs w:val="19"/>
          <w:lang w:eastAsia="ja-JP"/>
        </w:rPr>
        <w:t>QA/QC</w:t>
      </w:r>
      <w:r w:rsidRPr="00156399">
        <w:rPr>
          <w:rFonts w:ascii="ＭＳ ゴシック" w:eastAsia="ＭＳ ゴシック" w:hAnsi="ＭＳ ゴシック" w:cs="ＭＳ ゴシック" w:hint="eastAsia"/>
          <w:sz w:val="19"/>
          <w:szCs w:val="19"/>
          <w:lang w:eastAsia="ja-JP"/>
        </w:rPr>
        <w:t>手順</w:t>
      </w:r>
    </w:p>
    <w:p w14:paraId="44D1EA20" w14:textId="77777777" w:rsidR="0055291C" w:rsidRDefault="0055291C">
      <w:pPr>
        <w:spacing w:line="309" w:lineRule="auto"/>
        <w:rPr>
          <w:sz w:val="19"/>
          <w:lang w:eastAsia="ja-JP"/>
        </w:rPr>
        <w:sectPr w:rsidR="0055291C">
          <w:type w:val="continuous"/>
          <w:pgSz w:w="12240" w:h="15840"/>
          <w:pgMar w:top="740" w:right="0" w:bottom="280" w:left="0" w:header="0" w:footer="859" w:gutter="0"/>
          <w:cols w:num="2" w:space="720" w:equalWidth="0">
            <w:col w:w="5978" w:space="40"/>
            <w:col w:w="6222"/>
          </w:cols>
        </w:sectPr>
      </w:pPr>
    </w:p>
    <w:p w14:paraId="440FB8D9" w14:textId="77777777" w:rsidR="0055291C" w:rsidRDefault="0055291C">
      <w:pPr>
        <w:pStyle w:val="a3"/>
        <w:rPr>
          <w:sz w:val="20"/>
          <w:lang w:eastAsia="ja-JP"/>
        </w:rPr>
      </w:pPr>
    </w:p>
    <w:p w14:paraId="2A3333E6" w14:textId="77777777" w:rsidR="0055291C" w:rsidRDefault="0055291C">
      <w:pPr>
        <w:pStyle w:val="a3"/>
        <w:spacing w:before="8"/>
        <w:rPr>
          <w:sz w:val="25"/>
          <w:lang w:eastAsia="ja-JP"/>
        </w:rPr>
      </w:pPr>
    </w:p>
    <w:p w14:paraId="095ADAF2" w14:textId="77777777" w:rsidR="0055291C" w:rsidRDefault="0055291C">
      <w:pPr>
        <w:rPr>
          <w:sz w:val="25"/>
          <w:lang w:eastAsia="ja-JP"/>
        </w:rPr>
        <w:sectPr w:rsidR="0055291C">
          <w:headerReference w:type="default" r:id="rId373"/>
          <w:footerReference w:type="even" r:id="rId374"/>
          <w:footerReference w:type="default" r:id="rId375"/>
          <w:pgSz w:w="12240" w:h="15840"/>
          <w:pgMar w:top="1160" w:right="0" w:bottom="1040" w:left="0" w:header="957" w:footer="859" w:gutter="0"/>
          <w:pgNumType w:start="127"/>
          <w:cols w:space="720"/>
        </w:sectPr>
      </w:pPr>
    </w:p>
    <w:p w14:paraId="7D8E27F6" w14:textId="7F5910A8" w:rsidR="0055291C" w:rsidRDefault="00000000" w:rsidP="00A545AB">
      <w:pPr>
        <w:pStyle w:val="a3"/>
        <w:spacing w:before="111" w:line="312" w:lineRule="auto"/>
        <w:ind w:left="851" w:right="272"/>
        <w:rPr>
          <w:lang w:eastAsia="ja-JP"/>
        </w:rPr>
      </w:pPr>
      <w:r>
        <w:pict w14:anchorId="475035F1">
          <v:shape id="docshape1626" o:spid="_x0000_s2200" style="position:absolute;left:0;text-align:left;margin-left:580.75pt;margin-top:0;width:31.3pt;height:285.85pt;z-index:251681280;mso-position-horizontal-relative:page;mso-position-vertical-relative:page" coordorigin="11615" coordsize="626,5717" path="m12240,r-625,l11615,5489r3,131l11643,5688r67,25l11842,5716r398,l12240,xe" fillcolor="#00aca1" stroked="f">
            <v:path arrowok="t"/>
            <w10:wrap anchorx="page" anchory="page"/>
          </v:shape>
        </w:pict>
      </w:r>
      <w:r w:rsidR="00D64D62">
        <w:rPr>
          <w:rFonts w:ascii="ＭＳ ゴシック" w:eastAsia="ＭＳ ゴシック" w:hAnsi="ＭＳ ゴシック" w:cs="ＭＳ ゴシック" w:hint="eastAsia"/>
          <w:lang w:eastAsia="ja-JP"/>
        </w:rPr>
        <w:t>データ管理システムを構築する過程では、報告書の作成における品質管理および品質保証の側面を含む、データ管理活動のすべてに対応する標準的な手順を確立する必要があります。</w:t>
      </w:r>
    </w:p>
    <w:p w14:paraId="51A01575" w14:textId="77777777" w:rsidR="0055291C" w:rsidRDefault="0055291C" w:rsidP="00A545AB">
      <w:pPr>
        <w:pStyle w:val="a3"/>
        <w:ind w:left="851" w:right="272"/>
        <w:rPr>
          <w:sz w:val="20"/>
          <w:lang w:eastAsia="ja-JP"/>
        </w:rPr>
      </w:pPr>
    </w:p>
    <w:p w14:paraId="0564048C" w14:textId="77777777" w:rsidR="0055291C" w:rsidRDefault="0055291C" w:rsidP="00A545AB">
      <w:pPr>
        <w:pStyle w:val="a3"/>
        <w:spacing w:before="3"/>
        <w:ind w:left="851" w:right="272"/>
        <w:rPr>
          <w:sz w:val="25"/>
          <w:lang w:eastAsia="ja-JP"/>
        </w:rPr>
      </w:pPr>
    </w:p>
    <w:p w14:paraId="690F1692" w14:textId="4635B657" w:rsidR="0055291C" w:rsidRDefault="00D64D62" w:rsidP="00A545AB">
      <w:pPr>
        <w:pStyle w:val="3"/>
        <w:numPr>
          <w:ilvl w:val="1"/>
          <w:numId w:val="16"/>
        </w:numPr>
        <w:tabs>
          <w:tab w:val="left" w:pos="1853"/>
          <w:tab w:val="left" w:pos="1854"/>
        </w:tabs>
        <w:spacing w:before="0"/>
        <w:ind w:left="851" w:right="272" w:hanging="721"/>
      </w:pPr>
      <w:r>
        <w:rPr>
          <w:rFonts w:ascii="ＭＳ 明朝" w:eastAsia="ＭＳ 明朝" w:hAnsi="ＭＳ 明朝" w:cs="ＭＳ 明朝" w:hint="eastAsia"/>
          <w:color w:val="00ACA1"/>
          <w:lang w:eastAsia="ja-JP"/>
        </w:rPr>
        <w:t>データ管理計画の作成</w:t>
      </w:r>
    </w:p>
    <w:p w14:paraId="02E1C339" w14:textId="57C28041" w:rsidR="0055291C" w:rsidRDefault="00D64D62" w:rsidP="00A545AB">
      <w:pPr>
        <w:pStyle w:val="a3"/>
        <w:spacing w:before="54" w:line="312" w:lineRule="auto"/>
        <w:ind w:left="851" w:right="272" w:firstLineChars="100" w:firstLine="190"/>
        <w:rPr>
          <w:lang w:eastAsia="ja-JP"/>
        </w:rPr>
      </w:pPr>
      <w:r>
        <w:rPr>
          <w:rFonts w:ascii="ＭＳ ゴシック" w:eastAsia="ＭＳ ゴシック" w:hAnsi="ＭＳ ゴシック" w:cs="ＭＳ ゴシック" w:hint="eastAsia"/>
          <w:color w:val="545456"/>
          <w:lang w:eastAsia="ja-JP"/>
        </w:rPr>
        <w:t>データ管理計画を策定するためには、以下のステップを実施し、文書化する必要があります。</w:t>
      </w:r>
    </w:p>
    <w:p w14:paraId="0560E774" w14:textId="17039DD0" w:rsidR="0055291C" w:rsidRPr="00D64D62" w:rsidRDefault="00D64D62" w:rsidP="00CD13EE">
      <w:pPr>
        <w:pStyle w:val="a5"/>
        <w:numPr>
          <w:ilvl w:val="0"/>
          <w:numId w:val="14"/>
        </w:numPr>
        <w:tabs>
          <w:tab w:val="left" w:pos="1394"/>
        </w:tabs>
        <w:spacing w:before="129" w:line="309" w:lineRule="auto"/>
        <w:ind w:leftChars="387" w:left="1131" w:right="272" w:hangingChars="147" w:hanging="280"/>
        <w:jc w:val="left"/>
        <w:rPr>
          <w:sz w:val="19"/>
          <w:szCs w:val="19"/>
          <w:lang w:eastAsia="ja-JP"/>
        </w:rPr>
      </w:pPr>
      <w:r w:rsidRPr="00A545AB">
        <w:rPr>
          <w:rFonts w:ascii="ＭＳ ゴシック" w:eastAsia="ＭＳ ゴシック" w:hAnsi="ＭＳ ゴシック" w:cs="ＭＳ ゴシック" w:hint="eastAsia"/>
          <w:b/>
          <w:bCs/>
          <w:i/>
          <w:iCs/>
          <w:sz w:val="19"/>
          <w:szCs w:val="19"/>
          <w:u w:val="single"/>
          <w:lang w:eastAsia="ja-JP"/>
        </w:rPr>
        <w:t>GHG算出品質担当者・チームを設置する。</w:t>
      </w:r>
      <w:r w:rsidRPr="00D64D62">
        <w:rPr>
          <w:rFonts w:ascii="ＭＳ ゴシック" w:eastAsia="ＭＳ ゴシック" w:hAnsi="ＭＳ ゴシック" w:cs="ＭＳ ゴシック" w:hint="eastAsia"/>
          <w:sz w:val="19"/>
          <w:szCs w:val="19"/>
          <w:lang w:eastAsia="ja-JP"/>
        </w:rPr>
        <w:t>この担当者</w:t>
      </w:r>
      <w:r>
        <w:rPr>
          <w:rFonts w:ascii="ＭＳ ゴシック" w:eastAsia="ＭＳ ゴシック" w:hAnsi="ＭＳ ゴシック" w:cs="ＭＳ ゴシック" w:hint="eastAsia"/>
          <w:sz w:val="19"/>
          <w:szCs w:val="19"/>
          <w:lang w:eastAsia="ja-JP"/>
        </w:rPr>
        <w:t>・</w:t>
      </w:r>
      <w:r w:rsidRPr="00D64D62">
        <w:rPr>
          <w:rFonts w:ascii="ＭＳ ゴシック" w:eastAsia="ＭＳ ゴシック" w:hAnsi="ＭＳ ゴシック" w:cs="ＭＳ ゴシック" w:hint="eastAsia"/>
          <w:sz w:val="19"/>
          <w:szCs w:val="19"/>
          <w:lang w:eastAsia="ja-JP"/>
        </w:rPr>
        <w:t>チームは、データ管理計画の実施と維持、</w:t>
      </w:r>
      <w:r>
        <w:rPr>
          <w:rFonts w:ascii="ＭＳ ゴシック" w:eastAsia="ＭＳ ゴシック" w:hAnsi="ＭＳ ゴシック" w:cs="ＭＳ ゴシック" w:hint="eastAsia"/>
          <w:sz w:val="19"/>
          <w:szCs w:val="19"/>
          <w:lang w:eastAsia="ja-JP"/>
        </w:rPr>
        <w:t>GHG算出</w:t>
      </w:r>
      <w:r w:rsidRPr="00D64D62">
        <w:rPr>
          <w:rFonts w:ascii="ＭＳ ゴシック" w:eastAsia="ＭＳ ゴシック" w:hAnsi="ＭＳ ゴシック" w:cs="ＭＳ ゴシック" w:hint="eastAsia"/>
          <w:sz w:val="19"/>
          <w:szCs w:val="19"/>
          <w:lang w:eastAsia="ja-JP"/>
        </w:rPr>
        <w:t>の品質の継続的な改善に責任を持つべきで</w:t>
      </w:r>
      <w:r>
        <w:rPr>
          <w:rFonts w:ascii="ＭＳ ゴシック" w:eastAsia="ＭＳ ゴシック" w:hAnsi="ＭＳ ゴシック" w:cs="ＭＳ ゴシック" w:hint="eastAsia"/>
          <w:sz w:val="19"/>
          <w:szCs w:val="19"/>
          <w:lang w:eastAsia="ja-JP"/>
        </w:rPr>
        <w:t>す</w:t>
      </w:r>
      <w:r w:rsidRPr="00D64D62">
        <w:rPr>
          <w:rFonts w:ascii="ＭＳ ゴシック" w:eastAsia="ＭＳ ゴシック" w:hAnsi="ＭＳ ゴシック" w:cs="ＭＳ ゴシック" w:hint="eastAsia"/>
          <w:sz w:val="19"/>
          <w:szCs w:val="19"/>
          <w:lang w:eastAsia="ja-JP"/>
        </w:rPr>
        <w:t>。</w:t>
      </w:r>
      <w:r>
        <w:rPr>
          <w:rFonts w:ascii="ＭＳ ゴシック" w:eastAsia="ＭＳ ゴシック" w:hAnsi="ＭＳ ゴシック" w:cs="ＭＳ ゴシック" w:hint="eastAsia"/>
          <w:sz w:val="19"/>
          <w:szCs w:val="19"/>
          <w:lang w:eastAsia="ja-JP"/>
        </w:rPr>
        <w:t>報告書</w:t>
      </w:r>
      <w:r w:rsidRPr="00D64D62">
        <w:rPr>
          <w:rFonts w:ascii="ＭＳ ゴシック" w:eastAsia="ＭＳ ゴシック" w:hAnsi="ＭＳ ゴシック" w:cs="ＭＳ ゴシック" w:hint="eastAsia"/>
          <w:sz w:val="19"/>
          <w:szCs w:val="19"/>
          <w:lang w:eastAsia="ja-JP"/>
        </w:rPr>
        <w:t>管理、内部データ交換および外部とのやりとり（関連する製品</w:t>
      </w:r>
      <w:r>
        <w:rPr>
          <w:rFonts w:ascii="ＭＳ ゴシック" w:eastAsia="ＭＳ ゴシック" w:hAnsi="ＭＳ ゴシック" w:cs="ＭＳ ゴシック" w:hint="eastAsia"/>
          <w:sz w:val="19"/>
          <w:szCs w:val="19"/>
          <w:lang w:eastAsia="ja-JP"/>
        </w:rPr>
        <w:t>算出</w:t>
      </w:r>
      <w:r w:rsidRPr="00D64D62">
        <w:rPr>
          <w:rFonts w:ascii="ＭＳ ゴシック" w:eastAsia="ＭＳ ゴシック" w:hAnsi="ＭＳ ゴシック" w:cs="ＭＳ ゴシック" w:hint="eastAsia"/>
          <w:sz w:val="19"/>
          <w:szCs w:val="19"/>
          <w:lang w:eastAsia="ja-JP"/>
        </w:rPr>
        <w:t>プログラムおよび保証プロバイダーなど）を調整</w:t>
      </w:r>
      <w:r>
        <w:rPr>
          <w:rFonts w:ascii="ＭＳ ゴシック" w:eastAsia="ＭＳ ゴシック" w:hAnsi="ＭＳ ゴシック" w:cs="ＭＳ ゴシック" w:hint="eastAsia"/>
          <w:sz w:val="19"/>
          <w:szCs w:val="19"/>
          <w:lang w:eastAsia="ja-JP"/>
        </w:rPr>
        <w:t>します</w:t>
      </w:r>
      <w:r w:rsidRPr="00D64D62">
        <w:rPr>
          <w:rFonts w:ascii="ＭＳ ゴシック" w:eastAsia="ＭＳ ゴシック" w:hAnsi="ＭＳ ゴシック" w:cs="ＭＳ ゴシック" w:hint="eastAsia"/>
          <w:sz w:val="19"/>
          <w:szCs w:val="19"/>
          <w:lang w:eastAsia="ja-JP"/>
        </w:rPr>
        <w:t>。この担当者</w:t>
      </w:r>
      <w:r>
        <w:rPr>
          <w:rFonts w:ascii="ＭＳ ゴシック" w:eastAsia="ＭＳ ゴシック" w:hAnsi="ＭＳ ゴシック" w:cs="ＭＳ ゴシック" w:hint="eastAsia"/>
          <w:sz w:val="19"/>
          <w:szCs w:val="19"/>
          <w:lang w:eastAsia="ja-JP"/>
        </w:rPr>
        <w:t>・</w:t>
      </w:r>
      <w:r w:rsidRPr="00D64D62">
        <w:rPr>
          <w:rFonts w:ascii="ＭＳ ゴシック" w:eastAsia="ＭＳ ゴシック" w:hAnsi="ＭＳ ゴシック" w:cs="ＭＳ ゴシック" w:hint="eastAsia"/>
          <w:sz w:val="19"/>
          <w:szCs w:val="19"/>
          <w:lang w:eastAsia="ja-JP"/>
        </w:rPr>
        <w:t>チームは、企業が実施するすべての</w:t>
      </w:r>
      <w:r>
        <w:rPr>
          <w:rFonts w:ascii="ＭＳ ゴシック" w:eastAsia="ＭＳ ゴシック" w:hAnsi="ＭＳ ゴシック" w:cs="ＭＳ ゴシック" w:hint="eastAsia"/>
          <w:sz w:val="19"/>
          <w:szCs w:val="19"/>
          <w:lang w:eastAsia="ja-JP"/>
        </w:rPr>
        <w:t>GHG算出</w:t>
      </w:r>
      <w:r w:rsidRPr="00D64D62">
        <w:rPr>
          <w:rFonts w:ascii="ＭＳ ゴシック" w:eastAsia="ＭＳ ゴシック" w:hAnsi="ＭＳ ゴシック" w:cs="ＭＳ ゴシック" w:hint="eastAsia"/>
          <w:sz w:val="19"/>
          <w:szCs w:val="19"/>
          <w:lang w:eastAsia="ja-JP"/>
        </w:rPr>
        <w:t>、</w:t>
      </w:r>
      <w:r w:rsidRPr="00D64D62">
        <w:rPr>
          <w:sz w:val="19"/>
          <w:szCs w:val="19"/>
          <w:lang w:eastAsia="ja-JP"/>
        </w:rPr>
        <w:t xml:space="preserve"> </w:t>
      </w:r>
      <w:r w:rsidRPr="00D64D62">
        <w:rPr>
          <w:rFonts w:ascii="ＭＳ ゴシック" w:eastAsia="ＭＳ ゴシック" w:hAnsi="ＭＳ ゴシック" w:cs="ＭＳ ゴシック" w:hint="eastAsia"/>
          <w:sz w:val="19"/>
          <w:szCs w:val="19"/>
          <w:lang w:eastAsia="ja-JP"/>
        </w:rPr>
        <w:t>または個々の製品</w:t>
      </w:r>
      <w:r>
        <w:rPr>
          <w:rFonts w:ascii="ＭＳ ゴシック" w:eastAsia="ＭＳ ゴシック" w:hAnsi="ＭＳ ゴシック" w:cs="ＭＳ ゴシック" w:hint="eastAsia"/>
          <w:sz w:val="19"/>
          <w:szCs w:val="19"/>
          <w:lang w:eastAsia="ja-JP"/>
        </w:rPr>
        <w:t>報告書</w:t>
      </w:r>
      <w:r w:rsidRPr="00D64D62">
        <w:rPr>
          <w:rFonts w:ascii="ＭＳ ゴシック" w:eastAsia="ＭＳ ゴシック" w:hAnsi="ＭＳ ゴシック" w:cs="ＭＳ ゴシック" w:hint="eastAsia"/>
          <w:sz w:val="19"/>
          <w:szCs w:val="19"/>
          <w:lang w:eastAsia="ja-JP"/>
        </w:rPr>
        <w:t>に責任を持つ</w:t>
      </w:r>
      <w:r>
        <w:rPr>
          <w:rFonts w:ascii="ＭＳ ゴシック" w:eastAsia="ＭＳ ゴシック" w:hAnsi="ＭＳ ゴシック" w:cs="ＭＳ ゴシック" w:hint="eastAsia"/>
          <w:sz w:val="19"/>
          <w:szCs w:val="19"/>
          <w:lang w:eastAsia="ja-JP"/>
        </w:rPr>
        <w:t>かもしれません</w:t>
      </w:r>
      <w:r w:rsidRPr="00D64D62">
        <w:rPr>
          <w:rFonts w:ascii="ＭＳ ゴシック" w:eastAsia="ＭＳ ゴシック" w:hAnsi="ＭＳ ゴシック" w:cs="ＭＳ ゴシック" w:hint="eastAsia"/>
          <w:sz w:val="19"/>
          <w:szCs w:val="19"/>
          <w:lang w:eastAsia="ja-JP"/>
        </w:rPr>
        <w:t>。</w:t>
      </w:r>
      <w:r w:rsidRPr="00D64D62">
        <w:rPr>
          <w:sz w:val="19"/>
          <w:szCs w:val="19"/>
          <w:lang w:eastAsia="ja-JP"/>
        </w:rPr>
        <w:t xml:space="preserve"> </w:t>
      </w:r>
    </w:p>
    <w:p w14:paraId="719BF2FA" w14:textId="34D25400" w:rsidR="0055291C" w:rsidRPr="00A545AB" w:rsidRDefault="00A545AB" w:rsidP="00CD13EE">
      <w:pPr>
        <w:pStyle w:val="a5"/>
        <w:numPr>
          <w:ilvl w:val="0"/>
          <w:numId w:val="14"/>
        </w:numPr>
        <w:tabs>
          <w:tab w:val="left" w:pos="1394"/>
        </w:tabs>
        <w:spacing w:before="129" w:line="312" w:lineRule="auto"/>
        <w:ind w:leftChars="387" w:left="1131" w:right="272" w:hangingChars="147" w:hanging="280"/>
        <w:jc w:val="left"/>
        <w:rPr>
          <w:sz w:val="19"/>
          <w:szCs w:val="19"/>
          <w:lang w:eastAsia="ja-JP"/>
        </w:rPr>
      </w:pPr>
      <w:r w:rsidRPr="00A545AB">
        <w:rPr>
          <w:rFonts w:ascii="ＭＳ ゴシック" w:eastAsia="ＭＳ ゴシック" w:hAnsi="ＭＳ ゴシック" w:cs="ＭＳ ゴシック" w:hint="eastAsia"/>
          <w:b/>
          <w:bCs/>
          <w:i/>
          <w:iCs/>
          <w:sz w:val="19"/>
          <w:szCs w:val="19"/>
          <w:u w:val="single"/>
          <w:lang w:eastAsia="ja-JP"/>
        </w:rPr>
        <w:t>データ管理計画を策定する。</w:t>
      </w:r>
      <w:r w:rsidRPr="00A545AB">
        <w:rPr>
          <w:rFonts w:ascii="ＭＳ ゴシック" w:eastAsia="ＭＳ ゴシック" w:hAnsi="ＭＳ ゴシック" w:cs="ＭＳ ゴシック" w:hint="eastAsia"/>
          <w:sz w:val="19"/>
          <w:szCs w:val="19"/>
          <w:lang w:eastAsia="ja-JP"/>
        </w:rPr>
        <w:t>この情報を文書化する</w:t>
      </w:r>
      <w:r w:rsidRPr="00A545AB">
        <w:rPr>
          <w:sz w:val="19"/>
          <w:szCs w:val="19"/>
          <w:lang w:eastAsia="ja-JP"/>
        </w:rPr>
        <w:t xml:space="preserve"> </w:t>
      </w:r>
      <w:r w:rsidRPr="00A545AB">
        <w:rPr>
          <w:rFonts w:ascii="ＭＳ ゴシック" w:eastAsia="ＭＳ ゴシック" w:hAnsi="ＭＳ ゴシック" w:cs="ＭＳ ゴシック" w:hint="eastAsia"/>
          <w:sz w:val="19"/>
          <w:szCs w:val="19"/>
          <w:lang w:eastAsia="ja-JP"/>
        </w:rPr>
        <w:t>ことは、反復的な</w:t>
      </w:r>
      <w:r>
        <w:rPr>
          <w:rFonts w:ascii="ＭＳ ゴシック" w:eastAsia="ＭＳ ゴシック" w:hAnsi="ＭＳ ゴシック" w:cs="ＭＳ ゴシック" w:hint="eastAsia"/>
          <w:sz w:val="19"/>
          <w:szCs w:val="19"/>
          <w:lang w:eastAsia="ja-JP"/>
        </w:rPr>
        <w:t>算出</w:t>
      </w:r>
      <w:r w:rsidRPr="00A545AB">
        <w:rPr>
          <w:rFonts w:ascii="ＭＳ ゴシック" w:eastAsia="ＭＳ ゴシック" w:hAnsi="ＭＳ ゴシック" w:cs="ＭＳ ゴシック" w:hint="eastAsia"/>
          <w:sz w:val="19"/>
          <w:szCs w:val="19"/>
          <w:lang w:eastAsia="ja-JP"/>
        </w:rPr>
        <w:t>を完了し、現行の</w:t>
      </w:r>
      <w:r>
        <w:rPr>
          <w:rFonts w:ascii="ＭＳ ゴシック" w:eastAsia="ＭＳ ゴシック" w:hAnsi="ＭＳ ゴシック" w:cs="ＭＳ ゴシック" w:hint="eastAsia"/>
          <w:sz w:val="19"/>
          <w:szCs w:val="19"/>
          <w:lang w:eastAsia="ja-JP"/>
        </w:rPr>
        <w:t>報告書</w:t>
      </w:r>
      <w:r w:rsidRPr="00A545AB">
        <w:rPr>
          <w:rFonts w:ascii="ＭＳ ゴシック" w:eastAsia="ＭＳ ゴシック" w:hAnsi="ＭＳ ゴシック" w:cs="ＭＳ ゴシック" w:hint="eastAsia"/>
          <w:sz w:val="19"/>
          <w:szCs w:val="19"/>
          <w:lang w:eastAsia="ja-JP"/>
        </w:rPr>
        <w:t>の質を評価し、改善するのに役立つはずで</w:t>
      </w:r>
      <w:r>
        <w:rPr>
          <w:rFonts w:ascii="ＭＳ ゴシック" w:eastAsia="ＭＳ ゴシック" w:hAnsi="ＭＳ ゴシック" w:cs="ＭＳ ゴシック" w:hint="eastAsia"/>
          <w:sz w:val="19"/>
          <w:szCs w:val="19"/>
          <w:lang w:eastAsia="ja-JP"/>
        </w:rPr>
        <w:t>す</w:t>
      </w:r>
      <w:r w:rsidRPr="00A545AB">
        <w:rPr>
          <w:rFonts w:ascii="ＭＳ ゴシック" w:eastAsia="ＭＳ ゴシック" w:hAnsi="ＭＳ ゴシック" w:cs="ＭＳ ゴシック" w:hint="eastAsia"/>
          <w:sz w:val="19"/>
          <w:szCs w:val="19"/>
          <w:lang w:eastAsia="ja-JP"/>
        </w:rPr>
        <w:t>。</w:t>
      </w:r>
      <w:r w:rsidRPr="00A545AB">
        <w:rPr>
          <w:sz w:val="19"/>
          <w:szCs w:val="19"/>
          <w:lang w:eastAsia="ja-JP"/>
        </w:rPr>
        <w:t xml:space="preserve"> </w:t>
      </w:r>
      <w:r w:rsidRPr="00A545AB">
        <w:rPr>
          <w:rFonts w:ascii="ＭＳ ゴシック" w:eastAsia="ＭＳ ゴシック" w:hAnsi="ＭＳ ゴシック" w:cs="ＭＳ ゴシック" w:hint="eastAsia"/>
          <w:sz w:val="19"/>
          <w:szCs w:val="19"/>
          <w:lang w:eastAsia="ja-JP"/>
        </w:rPr>
        <w:t>データ管理計画の策定は、</w:t>
      </w:r>
      <w:r>
        <w:rPr>
          <w:rFonts w:ascii="ＭＳ ゴシック" w:eastAsia="ＭＳ ゴシック" w:hAnsi="ＭＳ ゴシック" w:cs="ＭＳ ゴシック" w:hint="eastAsia"/>
          <w:sz w:val="19"/>
          <w:szCs w:val="19"/>
          <w:lang w:eastAsia="ja-JP"/>
        </w:rPr>
        <w:t>算出</w:t>
      </w:r>
      <w:r w:rsidRPr="00A545AB">
        <w:rPr>
          <w:rFonts w:ascii="ＭＳ ゴシック" w:eastAsia="ＭＳ ゴシック" w:hAnsi="ＭＳ ゴシック" w:cs="ＭＳ ゴシック" w:hint="eastAsia"/>
          <w:sz w:val="19"/>
          <w:szCs w:val="19"/>
          <w:lang w:eastAsia="ja-JP"/>
        </w:rPr>
        <w:t>の進行に伴い、</w:t>
      </w:r>
      <w:r>
        <w:rPr>
          <w:rFonts w:ascii="ＭＳ ゴシック" w:eastAsia="ＭＳ ゴシック" w:hAnsi="ＭＳ ゴシック" w:cs="ＭＳ ゴシック" w:hint="eastAsia"/>
          <w:sz w:val="19"/>
          <w:szCs w:val="19"/>
          <w:lang w:eastAsia="ja-JP"/>
        </w:rPr>
        <w:t>排出量</w:t>
      </w:r>
      <w:r w:rsidRPr="00A545AB">
        <w:rPr>
          <w:rFonts w:ascii="ＭＳ ゴシック" w:eastAsia="ＭＳ ゴシック" w:hAnsi="ＭＳ ゴシック" w:cs="ＭＳ ゴシック" w:hint="eastAsia"/>
          <w:sz w:val="19"/>
          <w:szCs w:val="19"/>
          <w:lang w:eastAsia="ja-JP"/>
        </w:rPr>
        <w:t>に関するすべての関連情報が文書化されるように、</w:t>
      </w:r>
      <w:r w:rsidRPr="00A545AB">
        <w:rPr>
          <w:sz w:val="19"/>
          <w:szCs w:val="19"/>
          <w:lang w:eastAsia="ja-JP"/>
        </w:rPr>
        <w:t xml:space="preserve"> </w:t>
      </w:r>
      <w:r w:rsidRPr="00A545AB">
        <w:rPr>
          <w:rFonts w:ascii="ＭＳ ゴシック" w:eastAsia="ＭＳ ゴシック" w:hAnsi="ＭＳ ゴシック" w:cs="ＭＳ ゴシック" w:hint="eastAsia"/>
          <w:sz w:val="19"/>
          <w:szCs w:val="19"/>
          <w:lang w:eastAsia="ja-JP"/>
        </w:rPr>
        <w:t>データ収集前に開始する必要があ</w:t>
      </w:r>
      <w:r>
        <w:rPr>
          <w:rFonts w:ascii="ＭＳ ゴシック" w:eastAsia="ＭＳ ゴシック" w:hAnsi="ＭＳ ゴシック" w:cs="ＭＳ ゴシック" w:hint="eastAsia"/>
          <w:sz w:val="19"/>
          <w:szCs w:val="19"/>
          <w:lang w:eastAsia="ja-JP"/>
        </w:rPr>
        <w:t>ります</w:t>
      </w:r>
      <w:r w:rsidRPr="00A545AB">
        <w:rPr>
          <w:rFonts w:ascii="ＭＳ ゴシック" w:eastAsia="ＭＳ ゴシック" w:hAnsi="ＭＳ ゴシック" w:cs="ＭＳ ゴシック" w:hint="eastAsia"/>
          <w:sz w:val="19"/>
          <w:szCs w:val="19"/>
          <w:lang w:eastAsia="ja-JP"/>
        </w:rPr>
        <w:t>。この計画は</w:t>
      </w:r>
      <w:r>
        <w:rPr>
          <w:rFonts w:ascii="ＭＳ ゴシック" w:eastAsia="ＭＳ ゴシック" w:hAnsi="ＭＳ ゴシック" w:cs="ＭＳ ゴシック" w:hint="eastAsia"/>
          <w:sz w:val="19"/>
          <w:szCs w:val="19"/>
          <w:lang w:eastAsia="ja-JP"/>
        </w:rPr>
        <w:t>、</w:t>
      </w:r>
      <w:r w:rsidRPr="00A545AB">
        <w:rPr>
          <w:rFonts w:ascii="ＭＳ ゴシック" w:eastAsia="ＭＳ ゴシック" w:hAnsi="ＭＳ ゴシック" w:cs="ＭＳ ゴシック" w:hint="eastAsia"/>
          <w:sz w:val="19"/>
          <w:szCs w:val="19"/>
          <w:lang w:eastAsia="ja-JP"/>
        </w:rPr>
        <w:t>データ収集やプロセスの改良に伴い、時間が経つにつれて発展させる必</w:t>
      </w:r>
      <w:r w:rsidRPr="00A545AB">
        <w:rPr>
          <w:sz w:val="19"/>
          <w:szCs w:val="19"/>
          <w:lang w:eastAsia="ja-JP"/>
        </w:rPr>
        <w:t xml:space="preserve"> </w:t>
      </w:r>
      <w:r w:rsidRPr="00A545AB">
        <w:rPr>
          <w:rFonts w:ascii="ＭＳ ゴシック" w:eastAsia="ＭＳ ゴシック" w:hAnsi="ＭＳ ゴシック" w:cs="ＭＳ ゴシック" w:hint="eastAsia"/>
          <w:sz w:val="19"/>
          <w:szCs w:val="19"/>
          <w:lang w:eastAsia="ja-JP"/>
        </w:rPr>
        <w:t>要があ</w:t>
      </w:r>
      <w:r>
        <w:rPr>
          <w:rFonts w:ascii="ＭＳ ゴシック" w:eastAsia="ＭＳ ゴシック" w:hAnsi="ＭＳ ゴシック" w:cs="ＭＳ ゴシック" w:hint="eastAsia"/>
          <w:sz w:val="19"/>
          <w:szCs w:val="19"/>
          <w:lang w:eastAsia="ja-JP"/>
        </w:rPr>
        <w:t>ります</w:t>
      </w:r>
      <w:r w:rsidRPr="00A545AB">
        <w:rPr>
          <w:rFonts w:ascii="ＭＳ ゴシック" w:eastAsia="ＭＳ ゴシック" w:hAnsi="ＭＳ ゴシック" w:cs="ＭＳ ゴシック" w:hint="eastAsia"/>
          <w:sz w:val="19"/>
          <w:szCs w:val="19"/>
          <w:lang w:eastAsia="ja-JP"/>
        </w:rPr>
        <w:t>。</w:t>
      </w:r>
      <w:r w:rsidRPr="00A545AB">
        <w:rPr>
          <w:sz w:val="19"/>
          <w:szCs w:val="19"/>
          <w:lang w:eastAsia="ja-JP"/>
        </w:rPr>
        <w:t xml:space="preserve"> </w:t>
      </w:r>
    </w:p>
    <w:p w14:paraId="21574489" w14:textId="6F25B76A" w:rsidR="0055291C" w:rsidRPr="00A545AB" w:rsidRDefault="00A545AB" w:rsidP="00CD13EE">
      <w:pPr>
        <w:pStyle w:val="a5"/>
        <w:numPr>
          <w:ilvl w:val="0"/>
          <w:numId w:val="14"/>
        </w:numPr>
        <w:tabs>
          <w:tab w:val="left" w:pos="1394"/>
        </w:tabs>
        <w:spacing w:line="309" w:lineRule="auto"/>
        <w:ind w:leftChars="387" w:left="1131" w:right="272" w:hangingChars="147" w:hanging="280"/>
        <w:jc w:val="left"/>
        <w:rPr>
          <w:sz w:val="19"/>
          <w:szCs w:val="19"/>
          <w:lang w:eastAsia="ja-JP"/>
        </w:rPr>
      </w:pPr>
      <w:r w:rsidRPr="00A545AB">
        <w:rPr>
          <w:rFonts w:ascii="ＭＳ ゴシック" w:eastAsia="ＭＳ ゴシック" w:hAnsi="ＭＳ ゴシック" w:cs="ＭＳ ゴシック" w:hint="eastAsia"/>
          <w:b/>
          <w:bCs/>
          <w:i/>
          <w:iCs/>
          <w:sz w:val="19"/>
          <w:szCs w:val="19"/>
          <w:u w:val="single"/>
          <w:lang w:eastAsia="ja-JP"/>
        </w:rPr>
        <w:t>データ管理計画に基づいて一般的なデータ品質チェックを実施する。</w:t>
      </w:r>
      <w:r w:rsidRPr="00A545AB">
        <w:rPr>
          <w:rFonts w:ascii="ＭＳ ゴシック" w:eastAsia="ＭＳ ゴシック" w:hAnsi="ＭＳ ゴシック" w:cs="ＭＳ ゴシック" w:hint="eastAsia"/>
          <w:sz w:val="19"/>
          <w:szCs w:val="19"/>
          <w:lang w:eastAsia="ja-JP"/>
        </w:rPr>
        <w:t>一般的なチェックは、データ品質、データ処理、文書化、および計算手順に焦点を当て、報告手順のすべての側面に適用する必要があります。</w:t>
      </w:r>
    </w:p>
    <w:p w14:paraId="2BECFE4F" w14:textId="783F50DF" w:rsidR="0055291C" w:rsidRPr="00A545AB" w:rsidRDefault="00A545AB" w:rsidP="00CD13EE">
      <w:pPr>
        <w:pStyle w:val="a5"/>
        <w:numPr>
          <w:ilvl w:val="0"/>
          <w:numId w:val="14"/>
        </w:numPr>
        <w:tabs>
          <w:tab w:val="left" w:pos="1394"/>
        </w:tabs>
        <w:spacing w:before="129" w:line="312" w:lineRule="auto"/>
        <w:ind w:leftChars="387" w:left="1115" w:right="272" w:hangingChars="147" w:hanging="264"/>
        <w:jc w:val="left"/>
        <w:rPr>
          <w:rFonts w:ascii="ＭＳ ゴシック" w:eastAsia="ＭＳ ゴシック" w:hAnsi="ＭＳ ゴシック"/>
          <w:bCs/>
          <w:iCs/>
          <w:color w:val="545456"/>
          <w:spacing w:val="-1"/>
          <w:w w:val="95"/>
          <w:sz w:val="19"/>
          <w:lang w:eastAsia="ja-JP"/>
        </w:rPr>
      </w:pPr>
      <w:r w:rsidRPr="00A545AB">
        <w:rPr>
          <w:rFonts w:ascii="ＭＳ ゴシック" w:eastAsia="ＭＳ ゴシック" w:hAnsi="ＭＳ ゴシック" w:cs="ＭＳ ゴシック" w:hint="eastAsia"/>
          <w:b/>
          <w:i/>
          <w:color w:val="000000" w:themeColor="text1"/>
          <w:spacing w:val="-1"/>
          <w:w w:val="95"/>
          <w:sz w:val="19"/>
          <w:u w:val="single"/>
          <w:lang w:eastAsia="ja-JP"/>
        </w:rPr>
        <w:t>特定のデータ品質チェックを実施する。</w:t>
      </w:r>
      <w:r w:rsidR="007F0A63">
        <w:rPr>
          <w:rFonts w:ascii="ＭＳ ゴシック" w:eastAsia="ＭＳ ゴシック" w:hAnsi="ＭＳ ゴシック" w:cs="ＭＳ ゴシック" w:hint="eastAsia"/>
          <w:bCs/>
          <w:iCs/>
          <w:color w:val="545456"/>
          <w:spacing w:val="-1"/>
          <w:w w:val="95"/>
          <w:sz w:val="19"/>
          <w:lang w:eastAsia="ja-JP"/>
        </w:rPr>
        <w:t>排出量に大きく貢献する</w:t>
      </w:r>
      <w:r w:rsidRPr="00A545AB">
        <w:rPr>
          <w:rFonts w:ascii="ＭＳ ゴシック" w:eastAsia="ＭＳ ゴシック" w:hAnsi="ＭＳ ゴシック" w:cs="ＭＳ ゴシック" w:hint="eastAsia"/>
          <w:bCs/>
          <w:iCs/>
          <w:color w:val="545456"/>
          <w:spacing w:val="-1"/>
          <w:w w:val="95"/>
          <w:sz w:val="19"/>
          <w:lang w:eastAsia="ja-JP"/>
        </w:rPr>
        <w:t>、または不確実性が高い</w:t>
      </w:r>
      <w:r w:rsidR="007F0A63">
        <w:rPr>
          <w:rFonts w:ascii="ＭＳ ゴシック" w:eastAsia="ＭＳ ゴシック" w:hAnsi="ＭＳ ゴシック" w:cs="ＭＳ ゴシック" w:hint="eastAsia"/>
          <w:bCs/>
          <w:iCs/>
          <w:color w:val="545456"/>
          <w:spacing w:val="-1"/>
          <w:w w:val="95"/>
          <w:sz w:val="19"/>
          <w:lang w:eastAsia="ja-JP"/>
        </w:rPr>
        <w:t>情報源</w:t>
      </w:r>
      <w:r w:rsidRPr="00A545AB">
        <w:rPr>
          <w:rFonts w:ascii="ＭＳ ゴシック" w:eastAsia="ＭＳ ゴシック" w:hAnsi="ＭＳ ゴシック" w:cs="ＭＳ ゴシック" w:hint="eastAsia"/>
          <w:bCs/>
          <w:iCs/>
          <w:color w:val="545456"/>
          <w:spacing w:val="-1"/>
          <w:w w:val="95"/>
          <w:sz w:val="19"/>
          <w:lang w:eastAsia="ja-JP"/>
        </w:rPr>
        <w:t>、プロセス、活動に対して</w:t>
      </w:r>
      <w:r w:rsidR="007F0A63">
        <w:rPr>
          <w:rFonts w:ascii="ＭＳ ゴシック" w:eastAsia="ＭＳ ゴシック" w:hAnsi="ＭＳ ゴシック" w:cs="ＭＳ ゴシック" w:hint="eastAsia"/>
          <w:bCs/>
          <w:iCs/>
          <w:color w:val="545456"/>
          <w:spacing w:val="-1"/>
          <w:w w:val="95"/>
          <w:sz w:val="19"/>
          <w:lang w:eastAsia="ja-JP"/>
        </w:rPr>
        <w:t>は、一般的なものよりも詳細にチェックが</w:t>
      </w:r>
      <w:r w:rsidRPr="00A545AB">
        <w:rPr>
          <w:rFonts w:ascii="ＭＳ ゴシック" w:eastAsia="ＭＳ ゴシック" w:hAnsi="ＭＳ ゴシック" w:cs="ＭＳ ゴシック" w:hint="eastAsia"/>
          <w:bCs/>
          <w:iCs/>
          <w:color w:val="545456"/>
          <w:spacing w:val="-1"/>
          <w:w w:val="95"/>
          <w:sz w:val="19"/>
          <w:lang w:eastAsia="ja-JP"/>
        </w:rPr>
        <w:t>行われるべきで</w:t>
      </w:r>
      <w:r w:rsidR="007F0A63">
        <w:rPr>
          <w:rFonts w:ascii="ＭＳ ゴシック" w:eastAsia="ＭＳ ゴシック" w:hAnsi="ＭＳ ゴシック" w:cs="ＭＳ ゴシック" w:hint="eastAsia"/>
          <w:bCs/>
          <w:iCs/>
          <w:color w:val="545456"/>
          <w:spacing w:val="-1"/>
          <w:w w:val="95"/>
          <w:sz w:val="19"/>
          <w:lang w:eastAsia="ja-JP"/>
        </w:rPr>
        <w:t>す</w:t>
      </w:r>
      <w:r w:rsidRPr="00A545AB">
        <w:rPr>
          <w:rFonts w:ascii="ＭＳ ゴシック" w:eastAsia="ＭＳ ゴシック" w:hAnsi="ＭＳ ゴシック"/>
          <w:bCs/>
          <w:iCs/>
          <w:color w:val="545456"/>
          <w:spacing w:val="-1"/>
          <w:w w:val="95"/>
          <w:sz w:val="19"/>
          <w:lang w:eastAsia="ja-JP"/>
        </w:rPr>
        <w:t xml:space="preserve"> </w:t>
      </w:r>
      <w:r w:rsidRPr="00A545AB">
        <w:rPr>
          <w:rFonts w:ascii="ＭＳ ゴシック" w:eastAsia="ＭＳ ゴシック" w:hAnsi="ＭＳ ゴシック" w:cs="ＭＳ ゴシック" w:hint="eastAsia"/>
          <w:bCs/>
          <w:iCs/>
          <w:color w:val="545456"/>
          <w:spacing w:val="-1"/>
          <w:w w:val="95"/>
          <w:sz w:val="19"/>
          <w:lang w:eastAsia="ja-JP"/>
        </w:rPr>
        <w:t>（不確実性の評価に関する第</w:t>
      </w:r>
      <w:r w:rsidR="007F0A63">
        <w:rPr>
          <w:rFonts w:ascii="ＭＳ ゴシック" w:eastAsia="ＭＳ ゴシック" w:hAnsi="ＭＳ ゴシック" w:hint="eastAsia"/>
          <w:bCs/>
          <w:iCs/>
          <w:color w:val="545456"/>
          <w:spacing w:val="-1"/>
          <w:w w:val="95"/>
          <w:sz w:val="19"/>
          <w:lang w:eastAsia="ja-JP"/>
        </w:rPr>
        <w:t>10章を参照</w:t>
      </w:r>
      <w:r w:rsidR="00F23C61" w:rsidRPr="00A545AB">
        <w:rPr>
          <w:rFonts w:ascii="ＭＳ ゴシック" w:eastAsia="ＭＳ ゴシック" w:hAnsi="ＭＳ ゴシック"/>
          <w:bCs/>
          <w:iCs/>
          <w:color w:val="545456"/>
          <w:sz w:val="19"/>
          <w:lang w:eastAsia="ja-JP"/>
        </w:rPr>
        <w:t>).</w:t>
      </w:r>
    </w:p>
    <w:p w14:paraId="3DE4E711" w14:textId="14303DC4" w:rsidR="0055291C" w:rsidRPr="007F0A63" w:rsidRDefault="00F23C61" w:rsidP="00CD13EE">
      <w:pPr>
        <w:pStyle w:val="a5"/>
        <w:numPr>
          <w:ilvl w:val="0"/>
          <w:numId w:val="14"/>
        </w:numPr>
        <w:tabs>
          <w:tab w:val="left" w:pos="567"/>
        </w:tabs>
        <w:spacing w:before="99" w:line="312" w:lineRule="auto"/>
        <w:ind w:leftChars="193" w:left="566" w:rightChars="460" w:right="1012" w:hanging="141"/>
        <w:jc w:val="left"/>
        <w:rPr>
          <w:sz w:val="19"/>
          <w:szCs w:val="19"/>
          <w:lang w:eastAsia="ja-JP"/>
        </w:rPr>
      </w:pPr>
      <w:r>
        <w:rPr>
          <w:rFonts w:ascii="Arial"/>
          <w:b/>
          <w:i/>
          <w:color w:val="545456"/>
          <w:spacing w:val="-4"/>
          <w:w w:val="86"/>
          <w:sz w:val="19"/>
          <w:lang w:eastAsia="ja-JP"/>
        </w:rPr>
        <w:br w:type="column"/>
      </w:r>
      <w:r w:rsidR="007F0A63" w:rsidRPr="007F0A63">
        <w:rPr>
          <w:rFonts w:ascii="ＭＳ ゴシック" w:eastAsia="ＭＳ ゴシック" w:hAnsi="ＭＳ ゴシック" w:cs="ＭＳ ゴシック" w:hint="eastAsia"/>
          <w:b/>
          <w:bCs/>
          <w:i/>
          <w:iCs/>
          <w:sz w:val="19"/>
          <w:szCs w:val="19"/>
          <w:u w:val="single"/>
          <w:lang w:eastAsia="ja-JP"/>
        </w:rPr>
        <w:t>最終報告書をレビューする。</w:t>
      </w:r>
      <w:r w:rsidR="007F0A63" w:rsidRPr="007F0A63">
        <w:rPr>
          <w:rFonts w:ascii="ＭＳ ゴシック" w:eastAsia="ＭＳ ゴシック" w:hAnsi="ＭＳ ゴシック" w:cs="ＭＳ ゴシック" w:hint="eastAsia"/>
          <w:sz w:val="19"/>
          <w:szCs w:val="19"/>
          <w:lang w:eastAsia="ja-JP"/>
        </w:rPr>
        <w:t>レビュー手続きは、</w:t>
      </w:r>
      <w:r w:rsidR="009B5A33">
        <w:rPr>
          <w:rFonts w:ascii="ＭＳ ゴシック" w:eastAsia="ＭＳ ゴシック" w:hAnsi="ＭＳ ゴシック" w:cs="ＭＳ ゴシック" w:hint="eastAsia"/>
          <w:sz w:val="19"/>
          <w:szCs w:val="19"/>
          <w:lang w:eastAsia="ja-JP"/>
        </w:rPr>
        <w:t>算出</w:t>
      </w:r>
      <w:r w:rsidR="007F0A63" w:rsidRPr="007F0A63">
        <w:rPr>
          <w:rFonts w:ascii="ＭＳ ゴシック" w:eastAsia="ＭＳ ゴシック" w:hAnsi="ＭＳ ゴシック" w:cs="ＭＳ ゴシック" w:hint="eastAsia"/>
          <w:sz w:val="19"/>
          <w:szCs w:val="19"/>
          <w:lang w:eastAsia="ja-JP"/>
        </w:rPr>
        <w:t>の目的及び実施される保証の種類に適合するように確立されるべきで</w:t>
      </w:r>
      <w:r w:rsidR="009B5A33">
        <w:rPr>
          <w:rFonts w:ascii="ＭＳ ゴシック" w:eastAsia="ＭＳ ゴシック" w:hAnsi="ＭＳ ゴシック" w:cs="ＭＳ ゴシック" w:hint="eastAsia"/>
          <w:sz w:val="19"/>
          <w:szCs w:val="19"/>
          <w:lang w:eastAsia="ja-JP"/>
        </w:rPr>
        <w:t>す</w:t>
      </w:r>
      <w:r w:rsidR="007F0A63" w:rsidRPr="007F0A63">
        <w:rPr>
          <w:rFonts w:ascii="ＭＳ ゴシック" w:eastAsia="ＭＳ ゴシック" w:hAnsi="ＭＳ ゴシック" w:cs="ＭＳ ゴシック" w:hint="eastAsia"/>
          <w:sz w:val="19"/>
          <w:szCs w:val="19"/>
          <w:lang w:eastAsia="ja-JP"/>
        </w:rPr>
        <w:t>。内部レビューは、保証プロセスの準備として、内部監査部門や経理</w:t>
      </w:r>
      <w:r w:rsidR="009B5A33">
        <w:rPr>
          <w:rFonts w:ascii="ＭＳ ゴシック" w:eastAsia="ＭＳ ゴシック" w:hAnsi="ＭＳ ゴシック" w:cs="ＭＳ ゴシック" w:hint="eastAsia"/>
          <w:sz w:val="19"/>
          <w:szCs w:val="19"/>
          <w:lang w:eastAsia="ja-JP"/>
        </w:rPr>
        <w:t>部門</w:t>
      </w:r>
      <w:r w:rsidR="007F0A63" w:rsidRPr="007F0A63">
        <w:rPr>
          <w:rFonts w:ascii="ＭＳ ゴシック" w:eastAsia="ＭＳ ゴシック" w:hAnsi="ＭＳ ゴシック" w:cs="ＭＳ ゴシック" w:hint="eastAsia"/>
          <w:sz w:val="19"/>
          <w:szCs w:val="19"/>
          <w:lang w:eastAsia="ja-JP"/>
        </w:rPr>
        <w:t>など、企業内の適切な部門が実施することが望</w:t>
      </w:r>
      <w:r w:rsidR="007F0A63" w:rsidRPr="007F0A63">
        <w:rPr>
          <w:sz w:val="19"/>
          <w:szCs w:val="19"/>
          <w:lang w:eastAsia="ja-JP"/>
        </w:rPr>
        <w:t xml:space="preserve"> </w:t>
      </w:r>
      <w:r w:rsidR="007F0A63" w:rsidRPr="007F0A63">
        <w:rPr>
          <w:rFonts w:ascii="ＭＳ ゴシック" w:eastAsia="ＭＳ ゴシック" w:hAnsi="ＭＳ ゴシック" w:cs="ＭＳ ゴシック" w:hint="eastAsia"/>
          <w:sz w:val="19"/>
          <w:szCs w:val="19"/>
          <w:lang w:eastAsia="ja-JP"/>
        </w:rPr>
        <w:t>ましい</w:t>
      </w:r>
      <w:r w:rsidR="009B5A33">
        <w:rPr>
          <w:rFonts w:ascii="ＭＳ ゴシック" w:eastAsia="ＭＳ ゴシック" w:hAnsi="ＭＳ ゴシック" w:cs="ＭＳ ゴシック" w:hint="eastAsia"/>
          <w:sz w:val="19"/>
          <w:szCs w:val="19"/>
          <w:lang w:eastAsia="ja-JP"/>
        </w:rPr>
        <w:t>でしょう</w:t>
      </w:r>
      <w:r w:rsidR="007F0A63" w:rsidRPr="007F0A63">
        <w:rPr>
          <w:rFonts w:ascii="ＭＳ ゴシック" w:eastAsia="ＭＳ ゴシック" w:hAnsi="ＭＳ ゴシック" w:cs="ＭＳ ゴシック" w:hint="eastAsia"/>
          <w:sz w:val="19"/>
          <w:szCs w:val="19"/>
          <w:lang w:eastAsia="ja-JP"/>
        </w:rPr>
        <w:t>。</w:t>
      </w:r>
    </w:p>
    <w:p w14:paraId="27C796C5" w14:textId="6BD3CD00" w:rsidR="0055291C" w:rsidRPr="009B5A33" w:rsidRDefault="009B5A33" w:rsidP="00CD13EE">
      <w:pPr>
        <w:pStyle w:val="a5"/>
        <w:numPr>
          <w:ilvl w:val="0"/>
          <w:numId w:val="14"/>
        </w:numPr>
        <w:tabs>
          <w:tab w:val="left" w:pos="567"/>
        </w:tabs>
        <w:spacing w:before="124" w:line="309" w:lineRule="auto"/>
        <w:ind w:leftChars="193" w:left="566" w:right="1013" w:hanging="141"/>
        <w:jc w:val="left"/>
        <w:rPr>
          <w:sz w:val="19"/>
          <w:szCs w:val="19"/>
          <w:lang w:eastAsia="ja-JP"/>
        </w:rPr>
      </w:pPr>
      <w:r w:rsidRPr="009B5A33">
        <w:rPr>
          <w:rFonts w:ascii="ＭＳ ゴシック" w:eastAsia="ＭＳ ゴシック" w:hAnsi="ＭＳ ゴシック" w:cs="ＭＳ ゴシック" w:hint="eastAsia"/>
          <w:b/>
          <w:bCs/>
          <w:i/>
          <w:iCs/>
          <w:sz w:val="19"/>
          <w:szCs w:val="19"/>
          <w:u w:val="single"/>
          <w:lang w:eastAsia="ja-JP"/>
        </w:rPr>
        <w:t>データ収集、処理、文書化のプロセスを改善する</w:t>
      </w:r>
      <w:r w:rsidRPr="009B5A33">
        <w:rPr>
          <w:b/>
          <w:bCs/>
          <w:i/>
          <w:iCs/>
          <w:sz w:val="19"/>
          <w:szCs w:val="19"/>
          <w:u w:val="single"/>
          <w:lang w:eastAsia="ja-JP"/>
        </w:rPr>
        <w:t xml:space="preserve"> </w:t>
      </w:r>
      <w:r w:rsidRPr="009B5A33">
        <w:rPr>
          <w:rFonts w:ascii="ＭＳ ゴシック" w:eastAsia="ＭＳ ゴシック" w:hAnsi="ＭＳ ゴシック" w:cs="ＭＳ ゴシック" w:hint="eastAsia"/>
          <w:b/>
          <w:bCs/>
          <w:i/>
          <w:iCs/>
          <w:sz w:val="19"/>
          <w:szCs w:val="19"/>
          <w:u w:val="single"/>
          <w:lang w:eastAsia="ja-JP"/>
        </w:rPr>
        <w:t>ために、正式なフィードバックループを確立する。</w:t>
      </w:r>
      <w:r w:rsidRPr="009B5A33">
        <w:rPr>
          <w:rFonts w:ascii="ＭＳ ゴシック" w:eastAsia="ＭＳ ゴシック" w:hAnsi="ＭＳ ゴシック" w:cs="ＭＳ ゴシック" w:hint="eastAsia"/>
          <w:sz w:val="19"/>
          <w:szCs w:val="19"/>
          <w:lang w:eastAsia="ja-JP"/>
        </w:rPr>
        <w:t>フィードバックループは、時間の経過とともに製品</w:t>
      </w:r>
      <w:r>
        <w:rPr>
          <w:rFonts w:ascii="ＭＳ ゴシック" w:eastAsia="ＭＳ ゴシック" w:hAnsi="ＭＳ ゴシック" w:cs="ＭＳ ゴシック" w:hint="eastAsia"/>
          <w:sz w:val="19"/>
          <w:szCs w:val="19"/>
          <w:lang w:eastAsia="ja-JP"/>
        </w:rPr>
        <w:t>報告書</w:t>
      </w:r>
      <w:r w:rsidRPr="009B5A33">
        <w:rPr>
          <w:rFonts w:ascii="ＭＳ ゴシック" w:eastAsia="ＭＳ ゴシック" w:hAnsi="ＭＳ ゴシック" w:cs="ＭＳ ゴシック" w:hint="eastAsia"/>
          <w:sz w:val="19"/>
          <w:szCs w:val="19"/>
          <w:lang w:eastAsia="ja-JP"/>
        </w:rPr>
        <w:t>の品質を向上させ、レビューの過程で確認されたあらゆるエラーや不整合を修正するために必要で</w:t>
      </w:r>
      <w:r>
        <w:rPr>
          <w:rFonts w:ascii="ＭＳ ゴシック" w:eastAsia="ＭＳ ゴシック" w:hAnsi="ＭＳ ゴシック" w:cs="ＭＳ ゴシック" w:hint="eastAsia"/>
          <w:sz w:val="19"/>
          <w:szCs w:val="19"/>
          <w:lang w:eastAsia="ja-JP"/>
        </w:rPr>
        <w:t>す</w:t>
      </w:r>
      <w:r w:rsidRPr="009B5A33">
        <w:rPr>
          <w:rFonts w:ascii="ＭＳ ゴシック" w:eastAsia="ＭＳ ゴシック" w:hAnsi="ＭＳ ゴシック" w:cs="ＭＳ ゴシック" w:hint="eastAsia"/>
          <w:sz w:val="19"/>
          <w:szCs w:val="19"/>
          <w:lang w:eastAsia="ja-JP"/>
        </w:rPr>
        <w:t>。</w:t>
      </w:r>
    </w:p>
    <w:p w14:paraId="2EEFBA7D" w14:textId="77777777" w:rsidR="0055291C" w:rsidRDefault="0055291C" w:rsidP="00CD13EE">
      <w:pPr>
        <w:pStyle w:val="a3"/>
        <w:tabs>
          <w:tab w:val="left" w:pos="567"/>
        </w:tabs>
        <w:spacing w:before="11"/>
        <w:ind w:leftChars="193" w:left="566" w:right="1013" w:hanging="141"/>
        <w:rPr>
          <w:sz w:val="16"/>
          <w:lang w:eastAsia="ja-JP"/>
        </w:rPr>
      </w:pPr>
    </w:p>
    <w:p w14:paraId="430A6A7B" w14:textId="2C966545" w:rsidR="0055291C" w:rsidRPr="009B5A33" w:rsidRDefault="009B5A33" w:rsidP="00CD13EE">
      <w:pPr>
        <w:pStyle w:val="a5"/>
        <w:numPr>
          <w:ilvl w:val="0"/>
          <w:numId w:val="14"/>
        </w:numPr>
        <w:tabs>
          <w:tab w:val="left" w:pos="567"/>
        </w:tabs>
        <w:spacing w:line="309" w:lineRule="auto"/>
        <w:ind w:leftChars="193" w:left="566" w:right="1013" w:hanging="141"/>
        <w:jc w:val="left"/>
        <w:rPr>
          <w:sz w:val="19"/>
          <w:szCs w:val="19"/>
          <w:lang w:eastAsia="ja-JP"/>
        </w:rPr>
      </w:pPr>
      <w:r w:rsidRPr="009B5A33">
        <w:rPr>
          <w:rFonts w:ascii="ＭＳ ゴシック" w:eastAsia="ＭＳ ゴシック" w:hAnsi="ＭＳ ゴシック" w:cs="ＭＳ ゴシック" w:hint="eastAsia"/>
          <w:b/>
          <w:bCs/>
          <w:i/>
          <w:iCs/>
          <w:sz w:val="19"/>
          <w:szCs w:val="19"/>
          <w:u w:val="single"/>
          <w:lang w:eastAsia="ja-JP"/>
        </w:rPr>
        <w:t>報告、文書化、保管の手順を確立する。</w:t>
      </w:r>
      <w:r w:rsidRPr="009B5A33">
        <w:rPr>
          <w:rFonts w:ascii="ＭＳ ゴシック" w:eastAsia="ＭＳ ゴシック" w:hAnsi="ＭＳ ゴシック" w:cs="ＭＳ ゴシック" w:hint="eastAsia"/>
          <w:sz w:val="19"/>
          <w:szCs w:val="19"/>
          <w:lang w:eastAsia="ja-JP"/>
        </w:rPr>
        <w:t>どのよう</w:t>
      </w:r>
      <w:r w:rsidRPr="009B5A33">
        <w:rPr>
          <w:sz w:val="19"/>
          <w:szCs w:val="19"/>
          <w:lang w:eastAsia="ja-JP"/>
        </w:rPr>
        <w:t xml:space="preserve"> </w:t>
      </w:r>
      <w:r w:rsidRPr="009B5A33">
        <w:rPr>
          <w:rFonts w:ascii="ＭＳ ゴシック" w:eastAsia="ＭＳ ゴシック" w:hAnsi="ＭＳ ゴシック" w:cs="ＭＳ ゴシック" w:hint="eastAsia"/>
          <w:sz w:val="19"/>
          <w:szCs w:val="19"/>
          <w:lang w:eastAsia="ja-JP"/>
        </w:rPr>
        <w:t>なデータをどのように長期保存するか、内部および外部</w:t>
      </w:r>
      <w:r>
        <w:rPr>
          <w:rFonts w:ascii="ＭＳ ゴシック" w:eastAsia="ＭＳ ゴシック" w:hAnsi="ＭＳ ゴシック" w:cs="ＭＳ ゴシック" w:hint="eastAsia"/>
          <w:sz w:val="19"/>
          <w:szCs w:val="19"/>
          <w:lang w:eastAsia="ja-JP"/>
        </w:rPr>
        <w:t>向け</w:t>
      </w:r>
      <w:r w:rsidRPr="009B5A33">
        <w:rPr>
          <w:rFonts w:ascii="ＭＳ ゴシック" w:eastAsia="ＭＳ ゴシック" w:hAnsi="ＭＳ ゴシック" w:cs="ＭＳ ゴシック" w:hint="eastAsia"/>
          <w:sz w:val="19"/>
          <w:szCs w:val="19"/>
          <w:lang w:eastAsia="ja-JP"/>
        </w:rPr>
        <w:t>の</w:t>
      </w:r>
      <w:r>
        <w:rPr>
          <w:rFonts w:ascii="ＭＳ ゴシック" w:eastAsia="ＭＳ ゴシック" w:hAnsi="ＭＳ ゴシック" w:cs="ＭＳ ゴシック" w:hint="eastAsia"/>
          <w:sz w:val="19"/>
          <w:szCs w:val="19"/>
          <w:lang w:eastAsia="ja-JP"/>
        </w:rPr>
        <w:t>報告書</w:t>
      </w:r>
      <w:r w:rsidRPr="009B5A33">
        <w:rPr>
          <w:rFonts w:ascii="ＭＳ ゴシック" w:eastAsia="ＭＳ ゴシック" w:hAnsi="ＭＳ ゴシック" w:cs="ＭＳ ゴシック" w:hint="eastAsia"/>
          <w:sz w:val="19"/>
          <w:szCs w:val="19"/>
          <w:lang w:eastAsia="ja-JP"/>
        </w:rPr>
        <w:t>の一部としてどのような情報を報告するか、そして何を記録するかについて、データ収集と計算方法をサポートするために文書化された記録管理プロセスを確立</w:t>
      </w:r>
      <w:r>
        <w:rPr>
          <w:rFonts w:ascii="ＭＳ ゴシック" w:eastAsia="ＭＳ ゴシック" w:hAnsi="ＭＳ ゴシック" w:cs="ＭＳ ゴシック" w:hint="eastAsia"/>
          <w:sz w:val="19"/>
          <w:szCs w:val="19"/>
          <w:lang w:eastAsia="ja-JP"/>
        </w:rPr>
        <w:t>します</w:t>
      </w:r>
      <w:r w:rsidRPr="009B5A33">
        <w:rPr>
          <w:rFonts w:ascii="ＭＳ ゴシック" w:eastAsia="ＭＳ ゴシック" w:hAnsi="ＭＳ ゴシック" w:cs="ＭＳ ゴシック" w:hint="eastAsia"/>
          <w:sz w:val="19"/>
          <w:szCs w:val="19"/>
          <w:lang w:eastAsia="ja-JP"/>
        </w:rPr>
        <w:t>。このプロセスには、記録保持のための関連データベースシステムの調整または開発も含まれる場合が</w:t>
      </w:r>
      <w:r>
        <w:rPr>
          <w:rFonts w:ascii="ＭＳ ゴシック" w:eastAsia="ＭＳ ゴシック" w:hAnsi="ＭＳ ゴシック" w:cs="ＭＳ ゴシック" w:hint="eastAsia"/>
          <w:sz w:val="19"/>
          <w:szCs w:val="19"/>
          <w:lang w:eastAsia="ja-JP"/>
        </w:rPr>
        <w:t>あります</w:t>
      </w:r>
      <w:r w:rsidRPr="009B5A33">
        <w:rPr>
          <w:rFonts w:ascii="ＭＳ ゴシック" w:eastAsia="ＭＳ ゴシック" w:hAnsi="ＭＳ ゴシック" w:cs="ＭＳ ゴシック" w:hint="eastAsia"/>
          <w:sz w:val="19"/>
          <w:szCs w:val="19"/>
          <w:lang w:eastAsia="ja-JP"/>
        </w:rPr>
        <w:t>。システムの開発には時間がかかる場合があり、システム構築前にすべての関連情報を収集し、運用開始後にシステムに移行することが重要</w:t>
      </w:r>
      <w:r w:rsidR="00CD13EE">
        <w:rPr>
          <w:rFonts w:ascii="ＭＳ ゴシック" w:eastAsia="ＭＳ ゴシック" w:hAnsi="ＭＳ ゴシック" w:cs="ＭＳ ゴシック" w:hint="eastAsia"/>
          <w:sz w:val="19"/>
          <w:szCs w:val="19"/>
          <w:lang w:eastAsia="ja-JP"/>
        </w:rPr>
        <w:t>となります</w:t>
      </w:r>
      <w:r w:rsidRPr="009B5A33">
        <w:rPr>
          <w:rFonts w:ascii="ＭＳ ゴシック" w:eastAsia="ＭＳ ゴシック" w:hAnsi="ＭＳ ゴシック" w:cs="ＭＳ ゴシック" w:hint="eastAsia"/>
          <w:sz w:val="19"/>
          <w:szCs w:val="19"/>
          <w:lang w:eastAsia="ja-JP"/>
        </w:rPr>
        <w:t>。</w:t>
      </w:r>
    </w:p>
    <w:p w14:paraId="128E83E4" w14:textId="6C005C9C" w:rsidR="0055291C" w:rsidRDefault="00CD13EE" w:rsidP="00CD13EE">
      <w:pPr>
        <w:pStyle w:val="a3"/>
        <w:tabs>
          <w:tab w:val="left" w:pos="567"/>
        </w:tabs>
        <w:spacing w:before="141" w:line="312" w:lineRule="auto"/>
        <w:ind w:leftChars="193" w:left="425" w:right="1013" w:firstLineChars="100" w:firstLine="190"/>
        <w:rPr>
          <w:lang w:eastAsia="ja-JP"/>
        </w:rPr>
      </w:pPr>
      <w:r>
        <w:rPr>
          <w:rFonts w:ascii="ＭＳ ゴシック" w:eastAsia="ＭＳ ゴシック" w:hAnsi="ＭＳ ゴシック" w:cs="ＭＳ ゴシック" w:hint="eastAsia"/>
          <w:lang w:eastAsia="ja-JP"/>
        </w:rPr>
        <w:t>データ管理計画は、データソースの変更、データ処理手順の改善、計算方法の改善、報告書の変更</w:t>
      </w:r>
      <w:r w:rsidR="00D457BD">
        <w:rPr>
          <w:rFonts w:ascii="ＭＳ ゴシック" w:eastAsia="ＭＳ ゴシック" w:hAnsi="ＭＳ ゴシック" w:cs="ＭＳ ゴシック" w:hint="eastAsia"/>
          <w:lang w:eastAsia="ja-JP"/>
        </w:rPr>
        <w:t>、社内での担当者の変更、事業目的の変更</w:t>
      </w:r>
      <w:r>
        <w:rPr>
          <w:rFonts w:ascii="ＭＳ ゴシック" w:eastAsia="ＭＳ ゴシック" w:hAnsi="ＭＳ ゴシック" w:cs="ＭＳ ゴシック" w:hint="eastAsia"/>
          <w:lang w:eastAsia="ja-JP"/>
        </w:rPr>
        <w:t>などに応じて更新される、発展的な文書となる可能性が高いです。</w:t>
      </w:r>
      <w:r>
        <w:rPr>
          <w:lang w:eastAsia="ja-JP"/>
        </w:rPr>
        <w:t xml:space="preserve"> </w:t>
      </w:r>
      <w:r>
        <w:rPr>
          <w:rFonts w:ascii="ＭＳ ゴシック" w:eastAsia="ＭＳ ゴシック" w:hAnsi="ＭＳ ゴシック" w:cs="ＭＳ ゴシック" w:hint="eastAsia"/>
          <w:lang w:eastAsia="ja-JP"/>
        </w:rPr>
        <w:t>表</w:t>
      </w:r>
      <w:r>
        <w:rPr>
          <w:lang w:eastAsia="ja-JP"/>
        </w:rPr>
        <w:t xml:space="preserve"> C.1 </w:t>
      </w:r>
      <w:r>
        <w:rPr>
          <w:rFonts w:ascii="ＭＳ ゴシック" w:eastAsia="ＭＳ ゴシック" w:hAnsi="ＭＳ ゴシック" w:cs="ＭＳ ゴシック" w:hint="eastAsia"/>
          <w:lang w:eastAsia="ja-JP"/>
        </w:rPr>
        <w:t>はデータ管理計画に含めるべき構成要素の概要を示したもので、計画を作成する際、あるいは既存の文書をまとめて計画を構成する際の指針として利用することができ</w:t>
      </w:r>
      <w:r w:rsidR="00D457BD">
        <w:rPr>
          <w:rFonts w:ascii="ＭＳ ゴシック" w:eastAsia="ＭＳ ゴシック" w:hAnsi="ＭＳ ゴシック" w:cs="ＭＳ ゴシック" w:hint="eastAsia"/>
          <w:lang w:eastAsia="ja-JP"/>
        </w:rPr>
        <w:t>ます</w:t>
      </w:r>
      <w:r>
        <w:rPr>
          <w:rFonts w:ascii="ＭＳ ゴシック" w:eastAsia="ＭＳ ゴシック" w:hAnsi="ＭＳ ゴシック" w:cs="ＭＳ ゴシック" w:hint="eastAsia"/>
          <w:lang w:eastAsia="ja-JP"/>
        </w:rPr>
        <w:t>。</w:t>
      </w:r>
    </w:p>
    <w:p w14:paraId="1A58B871" w14:textId="77777777" w:rsidR="0055291C" w:rsidRDefault="0055291C">
      <w:pPr>
        <w:spacing w:line="312" w:lineRule="auto"/>
        <w:rPr>
          <w:lang w:eastAsia="ja-JP"/>
        </w:rPr>
      </w:pPr>
    </w:p>
    <w:p w14:paraId="00666AED" w14:textId="7897F202" w:rsidR="00F5435B" w:rsidRDefault="00F5435B">
      <w:pPr>
        <w:spacing w:line="312" w:lineRule="auto"/>
        <w:rPr>
          <w:lang w:eastAsia="ja-JP"/>
        </w:rPr>
      </w:pPr>
      <w:r>
        <w:rPr>
          <w:lang w:eastAsia="ja-JP"/>
        </w:rPr>
        <w:br w:type="page"/>
      </w:r>
    </w:p>
    <w:p w14:paraId="5B14E1F0" w14:textId="5F41CED2" w:rsidR="00F5435B" w:rsidRDefault="00F5435B">
      <w:pPr>
        <w:spacing w:line="312" w:lineRule="auto"/>
        <w:rPr>
          <w:lang w:eastAsia="ja-JP"/>
        </w:rPr>
      </w:pPr>
      <w:r>
        <w:rPr>
          <w:noProof/>
        </w:rPr>
        <w:lastRenderedPageBreak/>
        <w:drawing>
          <wp:anchor distT="0" distB="0" distL="114300" distR="114300" simplePos="0" relativeHeight="251655168" behindDoc="0" locked="0" layoutInCell="1" allowOverlap="1" wp14:anchorId="375715CD" wp14:editId="059FFAE4">
            <wp:simplePos x="0" y="0"/>
            <wp:positionH relativeFrom="column">
              <wp:posOffset>571500</wp:posOffset>
            </wp:positionH>
            <wp:positionV relativeFrom="paragraph">
              <wp:posOffset>120650</wp:posOffset>
            </wp:positionV>
            <wp:extent cx="6649085" cy="7753985"/>
            <wp:effectExtent l="0" t="0" r="0" b="0"/>
            <wp:wrapTopAndBottom/>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649085" cy="7753985"/>
                    </a:xfrm>
                    <a:prstGeom prst="rect">
                      <a:avLst/>
                    </a:prstGeom>
                    <a:noFill/>
                    <a:ln>
                      <a:noFill/>
                    </a:ln>
                  </pic:spPr>
                </pic:pic>
              </a:graphicData>
            </a:graphic>
          </wp:anchor>
        </w:drawing>
      </w:r>
    </w:p>
    <w:p w14:paraId="06E71901" w14:textId="38DBA7B7" w:rsidR="00F5435B" w:rsidRDefault="00F5435B">
      <w:pPr>
        <w:spacing w:line="312" w:lineRule="auto"/>
        <w:rPr>
          <w:lang w:eastAsia="ja-JP"/>
        </w:rPr>
      </w:pPr>
    </w:p>
    <w:p w14:paraId="782C3820" w14:textId="621F20FF" w:rsidR="00F5435B" w:rsidRDefault="00F5435B">
      <w:pPr>
        <w:spacing w:line="312" w:lineRule="auto"/>
        <w:rPr>
          <w:lang w:eastAsia="ja-JP"/>
        </w:rPr>
        <w:sectPr w:rsidR="00F5435B">
          <w:type w:val="continuous"/>
          <w:pgSz w:w="12240" w:h="15840"/>
          <w:pgMar w:top="740" w:right="0" w:bottom="280" w:left="0" w:header="0" w:footer="859" w:gutter="0"/>
          <w:cols w:num="2" w:space="720" w:equalWidth="0">
            <w:col w:w="5942" w:space="40"/>
            <w:col w:w="6258"/>
          </w:cols>
        </w:sectPr>
      </w:pPr>
    </w:p>
    <w:p w14:paraId="06EB472A" w14:textId="430A96AD" w:rsidR="00F5435B" w:rsidRDefault="008A275A" w:rsidP="008A275A">
      <w:pPr>
        <w:pStyle w:val="a3"/>
        <w:rPr>
          <w:sz w:val="17"/>
          <w:lang w:eastAsia="ja-JP"/>
        </w:rPr>
      </w:pPr>
      <w:r>
        <w:rPr>
          <w:noProof/>
          <w:sz w:val="17"/>
        </w:rPr>
        <w:lastRenderedPageBreak/>
        <w:drawing>
          <wp:anchor distT="0" distB="0" distL="114300" distR="114300" simplePos="0" relativeHeight="251657216" behindDoc="0" locked="0" layoutInCell="1" allowOverlap="1" wp14:anchorId="3AD16B50" wp14:editId="66FA8F69">
            <wp:simplePos x="0" y="0"/>
            <wp:positionH relativeFrom="column">
              <wp:posOffset>565150</wp:posOffset>
            </wp:positionH>
            <wp:positionV relativeFrom="paragraph">
              <wp:posOffset>44450</wp:posOffset>
            </wp:positionV>
            <wp:extent cx="6649085" cy="9100185"/>
            <wp:effectExtent l="0" t="0" r="0" b="0"/>
            <wp:wrapTopAndBottom/>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6"/>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649085" cy="9100185"/>
                    </a:xfrm>
                    <a:prstGeom prst="rect">
                      <a:avLst/>
                    </a:prstGeom>
                    <a:noFill/>
                    <a:ln>
                      <a:noFill/>
                    </a:ln>
                  </pic:spPr>
                </pic:pic>
              </a:graphicData>
            </a:graphic>
          </wp:anchor>
        </w:drawing>
      </w:r>
    </w:p>
    <w:p w14:paraId="6526E7D4" w14:textId="4A88DCD6" w:rsidR="00F5435B" w:rsidRDefault="007F493D">
      <w:pPr>
        <w:pStyle w:val="a3"/>
        <w:spacing w:before="5"/>
        <w:rPr>
          <w:sz w:val="17"/>
          <w:lang w:eastAsia="ja-JP"/>
        </w:rPr>
      </w:pPr>
      <w:r>
        <w:rPr>
          <w:noProof/>
          <w:sz w:val="17"/>
        </w:rPr>
        <w:lastRenderedPageBreak/>
        <w:drawing>
          <wp:anchor distT="0" distB="0" distL="114300" distR="114300" simplePos="0" relativeHeight="251863552" behindDoc="0" locked="0" layoutInCell="1" allowOverlap="1" wp14:anchorId="5ECF01A5" wp14:editId="7073ED22">
            <wp:simplePos x="0" y="0"/>
            <wp:positionH relativeFrom="column">
              <wp:posOffset>565150</wp:posOffset>
            </wp:positionH>
            <wp:positionV relativeFrom="paragraph">
              <wp:posOffset>-133350</wp:posOffset>
            </wp:positionV>
            <wp:extent cx="6649085" cy="8452485"/>
            <wp:effectExtent l="0" t="0" r="0" b="0"/>
            <wp:wrapTopAndBottom/>
            <wp:docPr id="129"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7"/>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649085" cy="8452485"/>
                    </a:xfrm>
                    <a:prstGeom prst="rect">
                      <a:avLst/>
                    </a:prstGeom>
                    <a:noFill/>
                    <a:ln>
                      <a:noFill/>
                    </a:ln>
                  </pic:spPr>
                </pic:pic>
              </a:graphicData>
            </a:graphic>
          </wp:anchor>
        </w:drawing>
      </w:r>
    </w:p>
    <w:p w14:paraId="193AADB9" w14:textId="7B274468" w:rsidR="00F5435B" w:rsidRDefault="00F5435B">
      <w:pPr>
        <w:pStyle w:val="a3"/>
        <w:spacing w:before="5"/>
        <w:rPr>
          <w:sz w:val="17"/>
          <w:lang w:eastAsia="ja-JP"/>
        </w:rPr>
      </w:pPr>
    </w:p>
    <w:p w14:paraId="2C783E72" w14:textId="6780831F" w:rsidR="00F5435B" w:rsidRDefault="00B07933">
      <w:pPr>
        <w:pStyle w:val="a3"/>
        <w:spacing w:before="5"/>
        <w:rPr>
          <w:sz w:val="17"/>
          <w:lang w:eastAsia="ja-JP"/>
        </w:rPr>
      </w:pPr>
      <w:r>
        <w:rPr>
          <w:noProof/>
          <w:sz w:val="17"/>
        </w:rPr>
        <w:lastRenderedPageBreak/>
        <w:drawing>
          <wp:anchor distT="0" distB="0" distL="114300" distR="114300" simplePos="0" relativeHeight="251864576" behindDoc="0" locked="0" layoutInCell="1" allowOverlap="1" wp14:anchorId="2B88C78B" wp14:editId="60180149">
            <wp:simplePos x="0" y="0"/>
            <wp:positionH relativeFrom="column">
              <wp:posOffset>603250</wp:posOffset>
            </wp:positionH>
            <wp:positionV relativeFrom="paragraph">
              <wp:posOffset>38100</wp:posOffset>
            </wp:positionV>
            <wp:extent cx="6649085" cy="3543300"/>
            <wp:effectExtent l="0" t="0" r="0" b="0"/>
            <wp:wrapTopAndBottom/>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9"/>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649085" cy="3543300"/>
                    </a:xfrm>
                    <a:prstGeom prst="rect">
                      <a:avLst/>
                    </a:prstGeom>
                    <a:noFill/>
                    <a:ln>
                      <a:noFill/>
                    </a:ln>
                  </pic:spPr>
                </pic:pic>
              </a:graphicData>
            </a:graphic>
          </wp:anchor>
        </w:drawing>
      </w:r>
    </w:p>
    <w:p w14:paraId="5790DC71" w14:textId="53194EC6" w:rsidR="00F5435B" w:rsidRDefault="00F5435B">
      <w:pPr>
        <w:pStyle w:val="a3"/>
        <w:spacing w:before="5"/>
        <w:rPr>
          <w:sz w:val="17"/>
          <w:lang w:eastAsia="ja-JP"/>
        </w:rPr>
      </w:pPr>
    </w:p>
    <w:p w14:paraId="74A589C3" w14:textId="5158F7F0" w:rsidR="0055291C" w:rsidRDefault="00000000">
      <w:pPr>
        <w:pStyle w:val="a3"/>
        <w:rPr>
          <w:sz w:val="20"/>
          <w:lang w:eastAsia="ja-JP"/>
        </w:rPr>
      </w:pPr>
      <w:r>
        <w:pict w14:anchorId="06E8D777">
          <v:shape id="docshape1657" o:spid="_x0000_s2160" style="position:absolute;margin-left:580.75pt;margin-top:0;width:31.3pt;height:285.85pt;z-index:251683328;mso-position-horizontal-relative:page;mso-position-vertical-relative:page" coordorigin="11615" coordsize="626,5717" path="m12240,r-625,l11615,5489r3,131l11643,5688r67,25l11842,5716r398,l12240,xe" fillcolor="#00aca1" stroked="f">
            <v:path arrowok="t"/>
            <w10:wrap anchorx="page" anchory="page"/>
          </v:shape>
        </w:pict>
      </w:r>
      <w:r w:rsidR="00F23C61">
        <w:rPr>
          <w:noProof/>
        </w:rPr>
        <w:drawing>
          <wp:anchor distT="0" distB="0" distL="0" distR="0" simplePos="0" relativeHeight="251653120" behindDoc="0" locked="0" layoutInCell="1" allowOverlap="1" wp14:anchorId="2D9EADAC" wp14:editId="03C8AE66">
            <wp:simplePos x="0" y="0"/>
            <wp:positionH relativeFrom="page">
              <wp:posOffset>712609</wp:posOffset>
            </wp:positionH>
            <wp:positionV relativeFrom="page">
              <wp:posOffset>4572037</wp:posOffset>
            </wp:positionV>
            <wp:extent cx="7059790" cy="4686363"/>
            <wp:effectExtent l="0" t="0" r="0" b="0"/>
            <wp:wrapNone/>
            <wp:docPr id="49"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19.jpeg"/>
                    <pic:cNvPicPr/>
                  </pic:nvPicPr>
                  <pic:blipFill>
                    <a:blip r:embed="rId380" cstate="print"/>
                    <a:stretch>
                      <a:fillRect/>
                    </a:stretch>
                  </pic:blipFill>
                  <pic:spPr>
                    <a:xfrm>
                      <a:off x="0" y="0"/>
                      <a:ext cx="7059790" cy="4686363"/>
                    </a:xfrm>
                    <a:prstGeom prst="rect">
                      <a:avLst/>
                    </a:prstGeom>
                  </pic:spPr>
                </pic:pic>
              </a:graphicData>
            </a:graphic>
          </wp:anchor>
        </w:drawing>
      </w:r>
    </w:p>
    <w:p w14:paraId="0DA2E3F8" w14:textId="6BE3C0DF" w:rsidR="0055291C" w:rsidRDefault="0055291C">
      <w:pPr>
        <w:pStyle w:val="a3"/>
        <w:spacing w:before="1"/>
        <w:rPr>
          <w:sz w:val="22"/>
          <w:lang w:eastAsia="ja-JP"/>
        </w:rPr>
      </w:pPr>
    </w:p>
    <w:p w14:paraId="3D106AC0" w14:textId="77777777" w:rsidR="0055291C" w:rsidRDefault="00F23C61">
      <w:pPr>
        <w:pStyle w:val="6"/>
        <w:spacing w:before="0"/>
        <w:ind w:left="1131"/>
      </w:pPr>
      <w:r>
        <w:rPr>
          <w:color w:val="00ACA1"/>
          <w:w w:val="95"/>
        </w:rPr>
        <w:t>Table</w:t>
      </w:r>
      <w:r>
        <w:rPr>
          <w:color w:val="00ACA1"/>
          <w:spacing w:val="16"/>
          <w:w w:val="95"/>
        </w:rPr>
        <w:t xml:space="preserve"> </w:t>
      </w:r>
      <w:r>
        <w:rPr>
          <w:color w:val="00ACA1"/>
          <w:w w:val="95"/>
        </w:rPr>
        <w:t>[C.2]</w:t>
      </w:r>
      <w:r>
        <w:rPr>
          <w:color w:val="00ACA1"/>
          <w:spacing w:val="16"/>
          <w:w w:val="95"/>
        </w:rPr>
        <w:t xml:space="preserve"> </w:t>
      </w:r>
      <w:r>
        <w:rPr>
          <w:color w:val="545456"/>
          <w:w w:val="95"/>
        </w:rPr>
        <w:t>Recommended</w:t>
      </w:r>
      <w:r>
        <w:rPr>
          <w:color w:val="545456"/>
          <w:spacing w:val="16"/>
          <w:w w:val="95"/>
        </w:rPr>
        <w:t xml:space="preserve"> </w:t>
      </w:r>
      <w:r>
        <w:rPr>
          <w:color w:val="545456"/>
          <w:w w:val="95"/>
        </w:rPr>
        <w:t>quality</w:t>
      </w:r>
      <w:r>
        <w:rPr>
          <w:color w:val="545456"/>
          <w:spacing w:val="17"/>
          <w:w w:val="95"/>
        </w:rPr>
        <w:t xml:space="preserve"> </w:t>
      </w:r>
      <w:r>
        <w:rPr>
          <w:color w:val="545456"/>
          <w:w w:val="95"/>
        </w:rPr>
        <w:t>assurance/quality</w:t>
      </w:r>
      <w:r>
        <w:rPr>
          <w:color w:val="545456"/>
          <w:spacing w:val="16"/>
          <w:w w:val="95"/>
        </w:rPr>
        <w:t xml:space="preserve"> </w:t>
      </w:r>
      <w:r>
        <w:rPr>
          <w:color w:val="545456"/>
          <w:w w:val="95"/>
        </w:rPr>
        <w:t>control</w:t>
      </w:r>
      <w:r>
        <w:rPr>
          <w:color w:val="545456"/>
          <w:spacing w:val="16"/>
          <w:w w:val="95"/>
        </w:rPr>
        <w:t xml:space="preserve"> </w:t>
      </w:r>
      <w:r>
        <w:rPr>
          <w:color w:val="545456"/>
          <w:w w:val="95"/>
        </w:rPr>
        <w:t>procedures</w:t>
      </w:r>
      <w:r>
        <w:rPr>
          <w:color w:val="545456"/>
          <w:spacing w:val="16"/>
          <w:w w:val="95"/>
        </w:rPr>
        <w:t xml:space="preserve"> </w:t>
      </w:r>
      <w:r>
        <w:rPr>
          <w:color w:val="545456"/>
          <w:w w:val="95"/>
        </w:rPr>
        <w:t>(continued)</w:t>
      </w:r>
    </w:p>
    <w:p w14:paraId="39DC106E" w14:textId="77777777" w:rsidR="0055291C" w:rsidRDefault="00000000">
      <w:pPr>
        <w:pStyle w:val="a3"/>
        <w:spacing w:before="9"/>
        <w:rPr>
          <w:rFonts w:ascii="Arial"/>
          <w:b/>
          <w:sz w:val="28"/>
        </w:rPr>
      </w:pPr>
      <w:r>
        <w:pict w14:anchorId="3DDFBA72">
          <v:group id="docshapegroup1658" o:spid="_x0000_s2144" style="position:absolute;margin-left:49.5pt;margin-top:17.75pt;width:513pt;height:230.45pt;z-index:-251463168;mso-wrap-distance-left:0;mso-wrap-distance-right:0;mso-position-horizontal-relative:page" coordorigin="990,355" coordsize="10260,4609">
            <v:shape id="docshape1659" o:spid="_x0000_s2159" style="position:absolute;left:1133;top:355;width:2281;height:496" coordorigin="1134,355" coordsize="2281,496" path="m3244,355r-1940,l1206,358r-51,19l1137,427r-3,99l1134,851r2280,l3414,526r-2,-99l3393,377r-50,-19l3244,355xe" fillcolor="#00aca1" stroked="f">
              <v:path arrowok="t"/>
            </v:shape>
            <v:shape id="docshape1660" o:spid="_x0000_s2158" style="position:absolute;left:1133;top:913;width:2281;height:4051" coordorigin="1134,913" coordsize="2281,4051" path="m3414,913r-2280,l1134,4794r3,98l1155,4943r51,18l1304,4964r1940,l3343,4961r50,-18l3412,4892r2,-98l3414,913xe" fillcolor="#f3f4f4" stroked="f">
              <v:path arrowok="t"/>
            </v:shape>
            <v:shape id="docshape1661" o:spid="_x0000_s2157" style="position:absolute;left:3697;top:355;width:7420;height:496" coordorigin="3698,355" coordsize="7420,496" path="m10947,355r-7079,l3770,358r-51,19l3700,427r-2,99l3698,851r7419,l11117,526r-2,-99l11096,377r-50,-19l10947,355xe" fillcolor="#00aca1" stroked="f">
              <v:path arrowok="t"/>
            </v:shape>
            <v:shape id="docshape1662" o:spid="_x0000_s2156" style="position:absolute;left:3697;top:913;width:7420;height:4051" coordorigin="3698,913" coordsize="7420,4051" path="m11117,913r-7419,l3698,4794r2,98l3719,4943r51,18l3868,4964r7079,l11046,4961r50,-18l11115,4892r2,-98l11117,913xe" fillcolor="#f3f4f4" stroked="f">
              <v:path arrowok="t"/>
            </v:shape>
            <v:line id="_x0000_s2155" style="position:absolute" from="990,3656" to="11250,3656" strokecolor="white" strokeweight="2pt"/>
            <v:line id="_x0000_s2154" style="position:absolute" from="990,2230" to="11250,2230" strokecolor="white" strokeweight="2pt"/>
            <v:shape id="docshape1663" o:spid="_x0000_s2153" type="#_x0000_t202" style="position:absolute;left:1225;top:472;width:823;height:247" filled="f" stroked="f">
              <v:textbox inset="0,0,0,0">
                <w:txbxContent>
                  <w:p w14:paraId="2D7D7605" w14:textId="77777777" w:rsidR="0055291C" w:rsidRDefault="00F23C61">
                    <w:pPr>
                      <w:spacing w:line="247" w:lineRule="exact"/>
                      <w:rPr>
                        <w:rFonts w:ascii="Arial"/>
                        <w:b/>
                        <w:i/>
                      </w:rPr>
                    </w:pPr>
                    <w:r>
                      <w:rPr>
                        <w:rFonts w:ascii="Arial"/>
                        <w:b/>
                        <w:i/>
                        <w:color w:val="F1F1F2"/>
                      </w:rPr>
                      <w:t>Activity</w:t>
                    </w:r>
                  </w:p>
                </w:txbxContent>
              </v:textbox>
            </v:shape>
            <v:shape id="docshape1664" o:spid="_x0000_s2152" type="#_x0000_t202" style="position:absolute;left:3784;top:472;width:1055;height:247" filled="f" stroked="f">
              <v:textbox inset="0,0,0,0">
                <w:txbxContent>
                  <w:p w14:paraId="53E54B4A" w14:textId="77777777" w:rsidR="0055291C" w:rsidRDefault="00F23C61">
                    <w:pPr>
                      <w:spacing w:line="247" w:lineRule="exact"/>
                      <w:rPr>
                        <w:rFonts w:ascii="Arial"/>
                        <w:b/>
                        <w:i/>
                      </w:rPr>
                    </w:pPr>
                    <w:r>
                      <w:rPr>
                        <w:rFonts w:ascii="Arial"/>
                        <w:b/>
                        <w:i/>
                        <w:color w:val="F1F1F2"/>
                        <w:w w:val="95"/>
                      </w:rPr>
                      <w:t>Procedure</w:t>
                    </w:r>
                  </w:p>
                </w:txbxContent>
              </v:textbox>
            </v:shape>
            <v:shape id="docshape1665" o:spid="_x0000_s2151" type="#_x0000_t202" style="position:absolute;left:1226;top:1051;width:2145;height:1071" filled="f" stroked="f">
              <v:textbox inset="0,0,0,0">
                <w:txbxContent>
                  <w:p w14:paraId="2051364F" w14:textId="77777777" w:rsidR="0055291C" w:rsidRDefault="00F23C61">
                    <w:pPr>
                      <w:spacing w:line="264" w:lineRule="auto"/>
                      <w:ind w:right="11"/>
                      <w:rPr>
                        <w:rFonts w:ascii="Arial"/>
                        <w:b/>
                        <w:sz w:val="19"/>
                      </w:rPr>
                    </w:pPr>
                    <w:r>
                      <w:rPr>
                        <w:rFonts w:ascii="Arial"/>
                        <w:b/>
                        <w:color w:val="00ACA1"/>
                        <w:w w:val="95"/>
                        <w:sz w:val="19"/>
                      </w:rPr>
                      <w:t>Calculating</w:t>
                    </w:r>
                    <w:r>
                      <w:rPr>
                        <w:rFonts w:ascii="Arial"/>
                        <w:b/>
                        <w:color w:val="00ACA1"/>
                        <w:spacing w:val="7"/>
                        <w:w w:val="95"/>
                        <w:sz w:val="19"/>
                      </w:rPr>
                      <w:t xml:space="preserve"> </w:t>
                    </w:r>
                    <w:r>
                      <w:rPr>
                        <w:rFonts w:ascii="Arial"/>
                        <w:b/>
                        <w:color w:val="00ACA1"/>
                        <w:w w:val="95"/>
                        <w:sz w:val="19"/>
                      </w:rPr>
                      <w:t>emissions</w:t>
                    </w:r>
                    <w:r>
                      <w:rPr>
                        <w:rFonts w:ascii="Arial"/>
                        <w:b/>
                        <w:color w:val="00ACA1"/>
                        <w:spacing w:val="1"/>
                        <w:w w:val="95"/>
                        <w:sz w:val="19"/>
                      </w:rPr>
                      <w:t xml:space="preserve"> </w:t>
                    </w:r>
                    <w:r>
                      <w:rPr>
                        <w:rFonts w:ascii="Arial"/>
                        <w:b/>
                        <w:color w:val="00ACA1"/>
                        <w:spacing w:val="-4"/>
                        <w:w w:val="95"/>
                        <w:sz w:val="19"/>
                      </w:rPr>
                      <w:t>and</w:t>
                    </w:r>
                    <w:r>
                      <w:rPr>
                        <w:rFonts w:ascii="Arial"/>
                        <w:b/>
                        <w:color w:val="00ACA1"/>
                        <w:spacing w:val="-21"/>
                        <w:w w:val="95"/>
                        <w:sz w:val="19"/>
                      </w:rPr>
                      <w:t xml:space="preserve"> </w:t>
                    </w:r>
                    <w:r>
                      <w:rPr>
                        <w:rFonts w:ascii="Arial"/>
                        <w:b/>
                        <w:color w:val="00ACA1"/>
                        <w:spacing w:val="-4"/>
                        <w:w w:val="95"/>
                        <w:sz w:val="19"/>
                      </w:rPr>
                      <w:t>checking</w:t>
                    </w:r>
                    <w:r>
                      <w:rPr>
                        <w:rFonts w:ascii="Arial"/>
                        <w:b/>
                        <w:color w:val="00ACA1"/>
                        <w:spacing w:val="-20"/>
                        <w:w w:val="95"/>
                        <w:sz w:val="19"/>
                      </w:rPr>
                      <w:t xml:space="preserve"> </w:t>
                    </w:r>
                    <w:r>
                      <w:rPr>
                        <w:rFonts w:ascii="Arial"/>
                        <w:b/>
                        <w:color w:val="00ACA1"/>
                        <w:spacing w:val="-4"/>
                        <w:w w:val="95"/>
                        <w:sz w:val="19"/>
                      </w:rPr>
                      <w:t>calculations</w:t>
                    </w:r>
                  </w:p>
                  <w:p w14:paraId="669D2CAB" w14:textId="77777777" w:rsidR="0055291C" w:rsidRDefault="00F23C61">
                    <w:pPr>
                      <w:numPr>
                        <w:ilvl w:val="0"/>
                        <w:numId w:val="9"/>
                      </w:numPr>
                      <w:tabs>
                        <w:tab w:val="left" w:pos="199"/>
                      </w:tabs>
                      <w:spacing w:before="84" w:line="249" w:lineRule="auto"/>
                      <w:ind w:right="809"/>
                      <w:rPr>
                        <w:rFonts w:ascii="Arial"/>
                        <w:b/>
                        <w:sz w:val="19"/>
                      </w:rPr>
                    </w:pPr>
                    <w:r>
                      <w:rPr>
                        <w:rFonts w:ascii="Arial"/>
                        <w:b/>
                        <w:color w:val="545456"/>
                        <w:sz w:val="19"/>
                      </w:rPr>
                      <w:t>Aggregation</w:t>
                    </w:r>
                    <w:r>
                      <w:rPr>
                        <w:rFonts w:ascii="Arial"/>
                        <w:b/>
                        <w:color w:val="545456"/>
                        <w:spacing w:val="-50"/>
                        <w:sz w:val="19"/>
                      </w:rPr>
                      <w:t xml:space="preserve"> </w:t>
                    </w:r>
                    <w:r>
                      <w:rPr>
                        <w:rFonts w:ascii="Arial"/>
                        <w:b/>
                        <w:color w:val="545456"/>
                        <w:w w:val="95"/>
                        <w:sz w:val="19"/>
                      </w:rPr>
                      <w:t>of</w:t>
                    </w:r>
                    <w:r>
                      <w:rPr>
                        <w:rFonts w:ascii="Arial"/>
                        <w:b/>
                        <w:color w:val="545456"/>
                        <w:spacing w:val="7"/>
                        <w:w w:val="95"/>
                        <w:sz w:val="19"/>
                      </w:rPr>
                      <w:t xml:space="preserve"> </w:t>
                    </w:r>
                    <w:r>
                      <w:rPr>
                        <w:rFonts w:ascii="Arial"/>
                        <w:b/>
                        <w:color w:val="545456"/>
                        <w:w w:val="95"/>
                        <w:sz w:val="19"/>
                      </w:rPr>
                      <w:t>emissions</w:t>
                    </w:r>
                  </w:p>
                </w:txbxContent>
              </v:textbox>
            </v:shape>
            <v:shape id="docshape1666" o:spid="_x0000_s2150" type="#_x0000_t202" style="position:absolute;left:3780;top:1680;width:6134;height:270" filled="f" stroked="f">
              <v:textbox inset="0,0,0,0">
                <w:txbxContent>
                  <w:p w14:paraId="20F622A6" w14:textId="77777777" w:rsidR="0055291C" w:rsidRDefault="00F23C61">
                    <w:pPr>
                      <w:numPr>
                        <w:ilvl w:val="0"/>
                        <w:numId w:val="8"/>
                      </w:numPr>
                      <w:tabs>
                        <w:tab w:val="left" w:pos="256"/>
                      </w:tabs>
                      <w:spacing w:line="269" w:lineRule="exact"/>
                      <w:rPr>
                        <w:sz w:val="19"/>
                      </w:rPr>
                    </w:pPr>
                    <w:r>
                      <w:rPr>
                        <w:color w:val="545456"/>
                        <w:sz w:val="19"/>
                      </w:rPr>
                      <w:t>Ensure</w:t>
                    </w:r>
                    <w:r>
                      <w:rPr>
                        <w:color w:val="545456"/>
                        <w:spacing w:val="-1"/>
                        <w:sz w:val="19"/>
                      </w:rPr>
                      <w:t xml:space="preserve"> </w:t>
                    </w:r>
                    <w:r>
                      <w:rPr>
                        <w:color w:val="545456"/>
                        <w:sz w:val="19"/>
                      </w:rPr>
                      <w:t>that</w:t>
                    </w:r>
                    <w:r>
                      <w:rPr>
                        <w:color w:val="545456"/>
                        <w:spacing w:val="-1"/>
                        <w:sz w:val="19"/>
                      </w:rPr>
                      <w:t xml:space="preserve"> </w:t>
                    </w:r>
                    <w:r>
                      <w:rPr>
                        <w:color w:val="545456"/>
                        <w:sz w:val="19"/>
                      </w:rPr>
                      <w:t>the</w:t>
                    </w:r>
                    <w:r>
                      <w:rPr>
                        <w:color w:val="545456"/>
                        <w:spacing w:val="-1"/>
                        <w:sz w:val="19"/>
                      </w:rPr>
                      <w:t xml:space="preserve"> </w:t>
                    </w:r>
                    <w:r>
                      <w:rPr>
                        <w:color w:val="545456"/>
                        <w:sz w:val="19"/>
                      </w:rPr>
                      <w:t>aggregation</w:t>
                    </w:r>
                    <w:r>
                      <w:rPr>
                        <w:color w:val="545456"/>
                        <w:spacing w:val="-1"/>
                        <w:sz w:val="19"/>
                      </w:rPr>
                      <w:t xml:space="preserve"> </w:t>
                    </w:r>
                    <w:r>
                      <w:rPr>
                        <w:color w:val="545456"/>
                        <w:sz w:val="19"/>
                      </w:rPr>
                      <w:t>of</w:t>
                    </w:r>
                    <w:r>
                      <w:rPr>
                        <w:color w:val="545456"/>
                        <w:spacing w:val="-1"/>
                        <w:sz w:val="19"/>
                      </w:rPr>
                      <w:t xml:space="preserve"> </w:t>
                    </w:r>
                    <w:r>
                      <w:rPr>
                        <w:color w:val="545456"/>
                        <w:sz w:val="19"/>
                      </w:rPr>
                      <w:t>emissions</w:t>
                    </w:r>
                    <w:r>
                      <w:rPr>
                        <w:color w:val="545456"/>
                        <w:spacing w:val="-1"/>
                        <w:sz w:val="19"/>
                      </w:rPr>
                      <w:t xml:space="preserve"> </w:t>
                    </w:r>
                    <w:r>
                      <w:rPr>
                        <w:color w:val="545456"/>
                        <w:sz w:val="19"/>
                      </w:rPr>
                      <w:t>from</w:t>
                    </w:r>
                    <w:r>
                      <w:rPr>
                        <w:color w:val="545456"/>
                        <w:spacing w:val="-1"/>
                        <w:sz w:val="19"/>
                      </w:rPr>
                      <w:t xml:space="preserve"> </w:t>
                    </w:r>
                    <w:r>
                      <w:rPr>
                        <w:color w:val="545456"/>
                        <w:sz w:val="19"/>
                      </w:rPr>
                      <w:t>all</w:t>
                    </w:r>
                    <w:r>
                      <w:rPr>
                        <w:color w:val="545456"/>
                        <w:spacing w:val="-1"/>
                        <w:sz w:val="19"/>
                      </w:rPr>
                      <w:t xml:space="preserve"> </w:t>
                    </w:r>
                    <w:r>
                      <w:rPr>
                        <w:color w:val="545456"/>
                        <w:sz w:val="19"/>
                      </w:rPr>
                      <w:t>processes</w:t>
                    </w:r>
                    <w:r>
                      <w:rPr>
                        <w:color w:val="545456"/>
                        <w:spacing w:val="-1"/>
                        <w:sz w:val="19"/>
                      </w:rPr>
                      <w:t xml:space="preserve"> </w:t>
                    </w:r>
                    <w:r>
                      <w:rPr>
                        <w:color w:val="545456"/>
                        <w:sz w:val="19"/>
                      </w:rPr>
                      <w:t>is</w:t>
                    </w:r>
                    <w:r>
                      <w:rPr>
                        <w:color w:val="545456"/>
                        <w:spacing w:val="-1"/>
                        <w:sz w:val="19"/>
                      </w:rPr>
                      <w:t xml:space="preserve"> </w:t>
                    </w:r>
                    <w:r>
                      <w:rPr>
                        <w:color w:val="545456"/>
                        <w:sz w:val="19"/>
                      </w:rPr>
                      <w:t>correct</w:t>
                    </w:r>
                  </w:p>
                </w:txbxContent>
              </v:textbox>
            </v:shape>
            <v:shape id="docshape1667" o:spid="_x0000_s2149" type="#_x0000_t202" style="position:absolute;left:1226;top:2337;width:1749;height:270" filled="f" stroked="f">
              <v:textbox inset="0,0,0,0">
                <w:txbxContent>
                  <w:p w14:paraId="039EB094" w14:textId="77777777" w:rsidR="0055291C" w:rsidRDefault="00F23C61">
                    <w:pPr>
                      <w:numPr>
                        <w:ilvl w:val="0"/>
                        <w:numId w:val="7"/>
                      </w:numPr>
                      <w:tabs>
                        <w:tab w:val="left" w:pos="199"/>
                      </w:tabs>
                      <w:spacing w:line="269" w:lineRule="exact"/>
                      <w:rPr>
                        <w:rFonts w:ascii="Arial"/>
                        <w:b/>
                        <w:sz w:val="19"/>
                      </w:rPr>
                    </w:pPr>
                    <w:r>
                      <w:rPr>
                        <w:rFonts w:ascii="Arial"/>
                        <w:b/>
                        <w:color w:val="545456"/>
                        <w:w w:val="95"/>
                        <w:sz w:val="19"/>
                      </w:rPr>
                      <w:t>Emissions</w:t>
                    </w:r>
                    <w:r>
                      <w:rPr>
                        <w:rFonts w:ascii="Arial"/>
                        <w:b/>
                        <w:color w:val="545456"/>
                        <w:spacing w:val="15"/>
                        <w:w w:val="95"/>
                        <w:sz w:val="19"/>
                      </w:rPr>
                      <w:t xml:space="preserve"> </w:t>
                    </w:r>
                    <w:r>
                      <w:rPr>
                        <w:rFonts w:ascii="Arial"/>
                        <w:b/>
                        <w:color w:val="545456"/>
                        <w:w w:val="95"/>
                        <w:sz w:val="19"/>
                      </w:rPr>
                      <w:t>trends</w:t>
                    </w:r>
                  </w:p>
                </w:txbxContent>
              </v:textbox>
            </v:shape>
            <v:shape id="docshape1668" o:spid="_x0000_s2148" type="#_x0000_t202" style="position:absolute;left:3785;top:2337;width:109;height:270" filled="f" stroked="f">
              <v:textbox inset="0,0,0,0">
                <w:txbxContent>
                  <w:p w14:paraId="760E8DE8" w14:textId="77777777" w:rsidR="0055291C" w:rsidRDefault="00F23C61">
                    <w:pPr>
                      <w:spacing w:line="269" w:lineRule="exact"/>
                      <w:rPr>
                        <w:rFonts w:ascii="Arial" w:hAnsi="Arial"/>
                        <w:b/>
                        <w:i/>
                        <w:sz w:val="24"/>
                      </w:rPr>
                    </w:pPr>
                    <w:r>
                      <w:rPr>
                        <w:rFonts w:ascii="Arial" w:hAnsi="Arial"/>
                        <w:b/>
                        <w:i/>
                        <w:color w:val="00ACA1"/>
                        <w:w w:val="105"/>
                        <w:sz w:val="24"/>
                      </w:rPr>
                      <w:t>•</w:t>
                    </w:r>
                  </w:p>
                </w:txbxContent>
              </v:textbox>
            </v:shape>
            <v:shape id="docshape1669" o:spid="_x0000_s2147" type="#_x0000_t202" style="position:absolute;left:3785;top:2384;width:7262;height:1173" filled="f" stroked="f">
              <v:textbox inset="0,0,0,0">
                <w:txbxContent>
                  <w:p w14:paraId="3134BC8B" w14:textId="77777777" w:rsidR="0055291C" w:rsidRDefault="00F23C61">
                    <w:pPr>
                      <w:spacing w:before="2" w:line="268" w:lineRule="auto"/>
                      <w:ind w:left="255" w:right="18"/>
                      <w:jc w:val="both"/>
                      <w:rPr>
                        <w:sz w:val="19"/>
                      </w:rPr>
                    </w:pPr>
                    <w:r>
                      <w:rPr>
                        <w:color w:val="545456"/>
                        <w:sz w:val="19"/>
                      </w:rPr>
                      <w:t>Where</w:t>
                    </w:r>
                    <w:r>
                      <w:rPr>
                        <w:color w:val="545456"/>
                        <w:spacing w:val="-6"/>
                        <w:sz w:val="19"/>
                      </w:rPr>
                      <w:t xml:space="preserve"> </w:t>
                    </w:r>
                    <w:r>
                      <w:rPr>
                        <w:color w:val="545456"/>
                        <w:sz w:val="19"/>
                      </w:rPr>
                      <w:t>possible,</w:t>
                    </w:r>
                    <w:r>
                      <w:rPr>
                        <w:color w:val="545456"/>
                        <w:spacing w:val="-6"/>
                        <w:sz w:val="19"/>
                      </w:rPr>
                      <w:t xml:space="preserve"> </w:t>
                    </w:r>
                    <w:r>
                      <w:rPr>
                        <w:color w:val="545456"/>
                        <w:sz w:val="19"/>
                      </w:rPr>
                      <w:t>compare</w:t>
                    </w:r>
                    <w:r>
                      <w:rPr>
                        <w:color w:val="545456"/>
                        <w:spacing w:val="-5"/>
                        <w:sz w:val="19"/>
                      </w:rPr>
                      <w:t xml:space="preserve"> </w:t>
                    </w:r>
                    <w:r>
                      <w:rPr>
                        <w:color w:val="545456"/>
                        <w:sz w:val="19"/>
                      </w:rPr>
                      <w:t>emissions</w:t>
                    </w:r>
                    <w:r>
                      <w:rPr>
                        <w:color w:val="545456"/>
                        <w:spacing w:val="-6"/>
                        <w:sz w:val="19"/>
                      </w:rPr>
                      <w:t xml:space="preserve"> </w:t>
                    </w:r>
                    <w:r>
                      <w:rPr>
                        <w:color w:val="545456"/>
                        <w:sz w:val="19"/>
                      </w:rPr>
                      <w:t>from</w:t>
                    </w:r>
                    <w:r>
                      <w:rPr>
                        <w:color w:val="545456"/>
                        <w:spacing w:val="-5"/>
                        <w:sz w:val="19"/>
                      </w:rPr>
                      <w:t xml:space="preserve"> </w:t>
                    </w:r>
                    <w:r>
                      <w:rPr>
                        <w:color w:val="545456"/>
                        <w:sz w:val="19"/>
                      </w:rPr>
                      <w:t>each</w:t>
                    </w:r>
                    <w:r>
                      <w:rPr>
                        <w:color w:val="545456"/>
                        <w:spacing w:val="-6"/>
                        <w:sz w:val="19"/>
                      </w:rPr>
                      <w:t xml:space="preserve"> </w:t>
                    </w:r>
                    <w:r>
                      <w:rPr>
                        <w:color w:val="545456"/>
                        <w:sz w:val="19"/>
                      </w:rPr>
                      <w:t>process</w:t>
                    </w:r>
                    <w:r>
                      <w:rPr>
                        <w:color w:val="545456"/>
                        <w:spacing w:val="-6"/>
                        <w:sz w:val="19"/>
                      </w:rPr>
                      <w:t xml:space="preserve"> </w:t>
                    </w:r>
                    <w:r>
                      <w:rPr>
                        <w:color w:val="545456"/>
                        <w:sz w:val="19"/>
                      </w:rPr>
                      <w:t>(or</w:t>
                    </w:r>
                    <w:r>
                      <w:rPr>
                        <w:color w:val="545456"/>
                        <w:spacing w:val="-5"/>
                        <w:sz w:val="19"/>
                      </w:rPr>
                      <w:t xml:space="preserve"> </w:t>
                    </w:r>
                    <w:r>
                      <w:rPr>
                        <w:color w:val="545456"/>
                        <w:sz w:val="19"/>
                      </w:rPr>
                      <w:t>total</w:t>
                    </w:r>
                    <w:r>
                      <w:rPr>
                        <w:color w:val="545456"/>
                        <w:spacing w:val="-6"/>
                        <w:sz w:val="19"/>
                      </w:rPr>
                      <w:t xml:space="preserve"> </w:t>
                    </w:r>
                    <w:r>
                      <w:rPr>
                        <w:color w:val="545456"/>
                        <w:sz w:val="19"/>
                      </w:rPr>
                      <w:t>product</w:t>
                    </w:r>
                    <w:r>
                      <w:rPr>
                        <w:color w:val="545456"/>
                        <w:spacing w:val="-6"/>
                        <w:sz w:val="19"/>
                      </w:rPr>
                      <w:t xml:space="preserve"> </w:t>
                    </w:r>
                    <w:r>
                      <w:rPr>
                        <w:color w:val="545456"/>
                        <w:sz w:val="19"/>
                      </w:rPr>
                      <w:t>emissions)</w:t>
                    </w:r>
                    <w:r>
                      <w:rPr>
                        <w:color w:val="545456"/>
                        <w:spacing w:val="-48"/>
                        <w:sz w:val="19"/>
                      </w:rPr>
                      <w:t xml:space="preserve"> </w:t>
                    </w:r>
                    <w:r>
                      <w:rPr>
                        <w:color w:val="545456"/>
                        <w:sz w:val="19"/>
                      </w:rPr>
                      <w:t>to previous estimates. If significant departures, check data inputs, assumptions and</w:t>
                    </w:r>
                    <w:r>
                      <w:rPr>
                        <w:color w:val="545456"/>
                        <w:spacing w:val="-48"/>
                        <w:sz w:val="19"/>
                      </w:rPr>
                      <w:t xml:space="preserve"> </w:t>
                    </w:r>
                    <w:r>
                      <w:rPr>
                        <w:color w:val="545456"/>
                        <w:w w:val="105"/>
                        <w:sz w:val="19"/>
                      </w:rPr>
                      <w:t>calculation</w:t>
                    </w:r>
                    <w:r>
                      <w:rPr>
                        <w:color w:val="545456"/>
                        <w:spacing w:val="-12"/>
                        <w:w w:val="105"/>
                        <w:sz w:val="19"/>
                      </w:rPr>
                      <w:t xml:space="preserve"> </w:t>
                    </w:r>
                    <w:r>
                      <w:rPr>
                        <w:color w:val="545456"/>
                        <w:w w:val="105"/>
                        <w:sz w:val="19"/>
                      </w:rPr>
                      <w:t>methodologies</w:t>
                    </w:r>
                  </w:p>
                  <w:p w14:paraId="4F31E0EF" w14:textId="77777777" w:rsidR="0055291C" w:rsidRDefault="00F23C61">
                    <w:pPr>
                      <w:numPr>
                        <w:ilvl w:val="0"/>
                        <w:numId w:val="6"/>
                      </w:numPr>
                      <w:tabs>
                        <w:tab w:val="left" w:pos="256"/>
                      </w:tabs>
                      <w:spacing w:line="223" w:lineRule="exact"/>
                      <w:rPr>
                        <w:sz w:val="19"/>
                      </w:rPr>
                    </w:pPr>
                    <w:r>
                      <w:rPr>
                        <w:color w:val="545456"/>
                        <w:sz w:val="19"/>
                      </w:rPr>
                      <w:t>Where</w:t>
                    </w:r>
                    <w:r>
                      <w:rPr>
                        <w:color w:val="545456"/>
                        <w:spacing w:val="-8"/>
                        <w:sz w:val="19"/>
                      </w:rPr>
                      <w:t xml:space="preserve"> </w:t>
                    </w:r>
                    <w:r>
                      <w:rPr>
                        <w:color w:val="545456"/>
                        <w:sz w:val="19"/>
                      </w:rPr>
                      <w:t>possible,</w:t>
                    </w:r>
                    <w:r>
                      <w:rPr>
                        <w:color w:val="545456"/>
                        <w:spacing w:val="-8"/>
                        <w:sz w:val="19"/>
                      </w:rPr>
                      <w:t xml:space="preserve"> </w:t>
                    </w:r>
                    <w:r>
                      <w:rPr>
                        <w:color w:val="545456"/>
                        <w:sz w:val="19"/>
                      </w:rPr>
                      <w:t>compare</w:t>
                    </w:r>
                    <w:r>
                      <w:rPr>
                        <w:color w:val="545456"/>
                        <w:spacing w:val="-8"/>
                        <w:sz w:val="19"/>
                      </w:rPr>
                      <w:t xml:space="preserve"> </w:t>
                    </w:r>
                    <w:r>
                      <w:rPr>
                        <w:color w:val="545456"/>
                        <w:sz w:val="19"/>
                      </w:rPr>
                      <w:t>material</w:t>
                    </w:r>
                    <w:r>
                      <w:rPr>
                        <w:color w:val="545456"/>
                        <w:spacing w:val="-8"/>
                        <w:sz w:val="19"/>
                      </w:rPr>
                      <w:t xml:space="preserve"> </w:t>
                    </w:r>
                    <w:r>
                      <w:rPr>
                        <w:color w:val="545456"/>
                        <w:sz w:val="19"/>
                      </w:rPr>
                      <w:t>and</w:t>
                    </w:r>
                    <w:r>
                      <w:rPr>
                        <w:color w:val="545456"/>
                        <w:spacing w:val="-7"/>
                        <w:sz w:val="19"/>
                      </w:rPr>
                      <w:t xml:space="preserve"> </w:t>
                    </w:r>
                    <w:r>
                      <w:rPr>
                        <w:color w:val="545456"/>
                        <w:sz w:val="19"/>
                      </w:rPr>
                      <w:t>energy</w:t>
                    </w:r>
                    <w:r>
                      <w:rPr>
                        <w:color w:val="545456"/>
                        <w:spacing w:val="-8"/>
                        <w:sz w:val="19"/>
                      </w:rPr>
                      <w:t xml:space="preserve"> </w:t>
                    </w:r>
                    <w:r>
                      <w:rPr>
                        <w:color w:val="545456"/>
                        <w:sz w:val="19"/>
                      </w:rPr>
                      <w:t>purchases</w:t>
                    </w:r>
                    <w:r>
                      <w:rPr>
                        <w:color w:val="545456"/>
                        <w:spacing w:val="-8"/>
                        <w:sz w:val="19"/>
                      </w:rPr>
                      <w:t xml:space="preserve"> </w:t>
                    </w:r>
                    <w:r>
                      <w:rPr>
                        <w:color w:val="545456"/>
                        <w:sz w:val="19"/>
                      </w:rPr>
                      <w:t>for</w:t>
                    </w:r>
                    <w:r>
                      <w:rPr>
                        <w:color w:val="545456"/>
                        <w:spacing w:val="-8"/>
                        <w:sz w:val="19"/>
                      </w:rPr>
                      <w:t xml:space="preserve"> </w:t>
                    </w:r>
                    <w:r>
                      <w:rPr>
                        <w:color w:val="545456"/>
                        <w:sz w:val="19"/>
                      </w:rPr>
                      <w:t>each</w:t>
                    </w:r>
                    <w:r>
                      <w:rPr>
                        <w:color w:val="545456"/>
                        <w:spacing w:val="-8"/>
                        <w:sz w:val="19"/>
                      </w:rPr>
                      <w:t xml:space="preserve"> </w:t>
                    </w:r>
                    <w:r>
                      <w:rPr>
                        <w:color w:val="545456"/>
                        <w:sz w:val="19"/>
                      </w:rPr>
                      <w:t>process</w:t>
                    </w:r>
                    <w:r>
                      <w:rPr>
                        <w:color w:val="545456"/>
                        <w:spacing w:val="-7"/>
                        <w:sz w:val="19"/>
                      </w:rPr>
                      <w:t xml:space="preserve"> </w:t>
                    </w:r>
                    <w:r>
                      <w:rPr>
                        <w:color w:val="545456"/>
                        <w:sz w:val="19"/>
                      </w:rPr>
                      <w:t>(or</w:t>
                    </w:r>
                    <w:r>
                      <w:rPr>
                        <w:color w:val="545456"/>
                        <w:spacing w:val="-8"/>
                        <w:sz w:val="19"/>
                      </w:rPr>
                      <w:t xml:space="preserve"> </w:t>
                    </w:r>
                    <w:r>
                      <w:rPr>
                        <w:color w:val="545456"/>
                        <w:sz w:val="19"/>
                      </w:rPr>
                      <w:t>in</w:t>
                    </w:r>
                  </w:p>
                  <w:p w14:paraId="478F12C1" w14:textId="77777777" w:rsidR="0055291C" w:rsidRDefault="00F23C61">
                    <w:pPr>
                      <w:spacing w:before="14" w:line="211" w:lineRule="exact"/>
                      <w:ind w:left="255"/>
                      <w:jc w:val="both"/>
                      <w:rPr>
                        <w:sz w:val="19"/>
                      </w:rPr>
                    </w:pPr>
                    <w:r>
                      <w:rPr>
                        <w:color w:val="545456"/>
                        <w:sz w:val="19"/>
                      </w:rPr>
                      <w:t>total)</w:t>
                    </w:r>
                    <w:r>
                      <w:rPr>
                        <w:color w:val="545456"/>
                        <w:spacing w:val="-2"/>
                        <w:sz w:val="19"/>
                      </w:rPr>
                      <w:t xml:space="preserve"> </w:t>
                    </w:r>
                    <w:r>
                      <w:rPr>
                        <w:color w:val="545456"/>
                        <w:sz w:val="19"/>
                      </w:rPr>
                      <w:t>against</w:t>
                    </w:r>
                    <w:r>
                      <w:rPr>
                        <w:color w:val="545456"/>
                        <w:spacing w:val="-1"/>
                        <w:sz w:val="19"/>
                      </w:rPr>
                      <w:t xml:space="preserve"> </w:t>
                    </w:r>
                    <w:r>
                      <w:rPr>
                        <w:color w:val="545456"/>
                        <w:sz w:val="19"/>
                      </w:rPr>
                      <w:t>generic</w:t>
                    </w:r>
                    <w:r>
                      <w:rPr>
                        <w:color w:val="545456"/>
                        <w:spacing w:val="-2"/>
                        <w:sz w:val="19"/>
                      </w:rPr>
                      <w:t xml:space="preserve"> </w:t>
                    </w:r>
                    <w:r>
                      <w:rPr>
                        <w:color w:val="545456"/>
                        <w:sz w:val="19"/>
                      </w:rPr>
                      <w:t>industry</w:t>
                    </w:r>
                    <w:r>
                      <w:rPr>
                        <w:color w:val="545456"/>
                        <w:spacing w:val="-1"/>
                        <w:sz w:val="19"/>
                      </w:rPr>
                      <w:t xml:space="preserve"> </w:t>
                    </w:r>
                    <w:r>
                      <w:rPr>
                        <w:color w:val="545456"/>
                        <w:sz w:val="19"/>
                      </w:rPr>
                      <w:t>averages</w:t>
                    </w:r>
                  </w:p>
                </w:txbxContent>
              </v:textbox>
            </v:shape>
            <v:shape id="docshape1670" o:spid="_x0000_s2146" type="#_x0000_t202" style="position:absolute;left:1226;top:3803;width:1383;height:453" filled="f" stroked="f">
              <v:textbox inset="0,0,0,0">
                <w:txbxContent>
                  <w:p w14:paraId="6C8E1A8A" w14:textId="77777777" w:rsidR="0055291C" w:rsidRDefault="00F23C61">
                    <w:pPr>
                      <w:spacing w:line="264" w:lineRule="auto"/>
                      <w:ind w:right="11"/>
                      <w:rPr>
                        <w:rFonts w:ascii="Arial"/>
                        <w:b/>
                        <w:sz w:val="19"/>
                      </w:rPr>
                    </w:pPr>
                    <w:r>
                      <w:rPr>
                        <w:rFonts w:ascii="Arial"/>
                        <w:b/>
                        <w:color w:val="00ACA1"/>
                        <w:sz w:val="19"/>
                      </w:rPr>
                      <w:t>Calculation</w:t>
                    </w:r>
                    <w:r>
                      <w:rPr>
                        <w:rFonts w:ascii="Arial"/>
                        <w:b/>
                        <w:color w:val="00ACA1"/>
                        <w:spacing w:val="1"/>
                        <w:sz w:val="19"/>
                      </w:rPr>
                      <w:t xml:space="preserve"> </w:t>
                    </w:r>
                    <w:r>
                      <w:rPr>
                        <w:rFonts w:ascii="Arial"/>
                        <w:b/>
                        <w:color w:val="00ACA1"/>
                        <w:sz w:val="19"/>
                      </w:rPr>
                      <w:t>methodologies</w:t>
                    </w:r>
                  </w:p>
                </w:txbxContent>
              </v:textbox>
            </v:shape>
            <v:shape id="docshape1671" o:spid="_x0000_s2145" type="#_x0000_t202" style="position:absolute;left:3785;top:3756;width:7151;height:980" filled="f" stroked="f">
              <v:textbox inset="0,0,0,0">
                <w:txbxContent>
                  <w:p w14:paraId="7F814556" w14:textId="77777777" w:rsidR="0055291C" w:rsidRDefault="00F23C61">
                    <w:pPr>
                      <w:numPr>
                        <w:ilvl w:val="0"/>
                        <w:numId w:val="5"/>
                      </w:numPr>
                      <w:tabs>
                        <w:tab w:val="left" w:pos="256"/>
                      </w:tabs>
                      <w:spacing w:line="252" w:lineRule="auto"/>
                      <w:ind w:right="18"/>
                      <w:rPr>
                        <w:sz w:val="19"/>
                      </w:rPr>
                    </w:pPr>
                    <w:r>
                      <w:rPr>
                        <w:color w:val="545456"/>
                        <w:sz w:val="19"/>
                      </w:rPr>
                      <w:t>Reproduce</w:t>
                    </w:r>
                    <w:r>
                      <w:rPr>
                        <w:color w:val="545456"/>
                        <w:spacing w:val="-11"/>
                        <w:sz w:val="19"/>
                      </w:rPr>
                      <w:t xml:space="preserve"> </w:t>
                    </w:r>
                    <w:r>
                      <w:rPr>
                        <w:color w:val="545456"/>
                        <w:sz w:val="19"/>
                      </w:rPr>
                      <w:t>a</w:t>
                    </w:r>
                    <w:r>
                      <w:rPr>
                        <w:color w:val="545456"/>
                        <w:spacing w:val="-11"/>
                        <w:sz w:val="19"/>
                      </w:rPr>
                      <w:t xml:space="preserve"> </w:t>
                    </w:r>
                    <w:r>
                      <w:rPr>
                        <w:color w:val="545456"/>
                        <w:sz w:val="19"/>
                      </w:rPr>
                      <w:t>sample</w:t>
                    </w:r>
                    <w:r>
                      <w:rPr>
                        <w:color w:val="545456"/>
                        <w:spacing w:val="-10"/>
                        <w:sz w:val="19"/>
                      </w:rPr>
                      <w:t xml:space="preserve"> </w:t>
                    </w:r>
                    <w:r>
                      <w:rPr>
                        <w:color w:val="545456"/>
                        <w:sz w:val="19"/>
                      </w:rPr>
                      <w:t>set</w:t>
                    </w:r>
                    <w:r>
                      <w:rPr>
                        <w:color w:val="545456"/>
                        <w:spacing w:val="-11"/>
                        <w:sz w:val="19"/>
                      </w:rPr>
                      <w:t xml:space="preserve"> </w:t>
                    </w:r>
                    <w:r>
                      <w:rPr>
                        <w:color w:val="545456"/>
                        <w:sz w:val="19"/>
                      </w:rPr>
                      <w:t>of</w:t>
                    </w:r>
                    <w:r>
                      <w:rPr>
                        <w:color w:val="545456"/>
                        <w:spacing w:val="-11"/>
                        <w:sz w:val="19"/>
                      </w:rPr>
                      <w:t xml:space="preserve"> </w:t>
                    </w:r>
                    <w:r>
                      <w:rPr>
                        <w:color w:val="545456"/>
                        <w:sz w:val="19"/>
                      </w:rPr>
                      <w:t>emissions</w:t>
                    </w:r>
                    <w:r>
                      <w:rPr>
                        <w:color w:val="545456"/>
                        <w:spacing w:val="-10"/>
                        <w:sz w:val="19"/>
                      </w:rPr>
                      <w:t xml:space="preserve"> </w:t>
                    </w:r>
                    <w:r>
                      <w:rPr>
                        <w:color w:val="545456"/>
                        <w:sz w:val="19"/>
                      </w:rPr>
                      <w:t>and</w:t>
                    </w:r>
                    <w:r>
                      <w:rPr>
                        <w:color w:val="545456"/>
                        <w:spacing w:val="-11"/>
                        <w:sz w:val="19"/>
                      </w:rPr>
                      <w:t xml:space="preserve"> </w:t>
                    </w:r>
                    <w:r>
                      <w:rPr>
                        <w:color w:val="545456"/>
                        <w:sz w:val="19"/>
                      </w:rPr>
                      <w:t>removals</w:t>
                    </w:r>
                    <w:r>
                      <w:rPr>
                        <w:color w:val="545456"/>
                        <w:spacing w:val="-10"/>
                        <w:sz w:val="19"/>
                      </w:rPr>
                      <w:t xml:space="preserve"> </w:t>
                    </w:r>
                    <w:r>
                      <w:rPr>
                        <w:color w:val="545456"/>
                        <w:sz w:val="19"/>
                      </w:rPr>
                      <w:t>calculations</w:t>
                    </w:r>
                    <w:r>
                      <w:rPr>
                        <w:color w:val="545456"/>
                        <w:spacing w:val="-11"/>
                        <w:sz w:val="19"/>
                      </w:rPr>
                      <w:t xml:space="preserve"> </w:t>
                    </w:r>
                    <w:r>
                      <w:rPr>
                        <w:color w:val="545456"/>
                        <w:sz w:val="19"/>
                      </w:rPr>
                      <w:t>to</w:t>
                    </w:r>
                    <w:r>
                      <w:rPr>
                        <w:color w:val="545456"/>
                        <w:spacing w:val="-11"/>
                        <w:sz w:val="19"/>
                      </w:rPr>
                      <w:t xml:space="preserve"> </w:t>
                    </w:r>
                    <w:r>
                      <w:rPr>
                        <w:color w:val="545456"/>
                        <w:sz w:val="19"/>
                      </w:rPr>
                      <w:t>cross-check</w:t>
                    </w:r>
                    <w:r>
                      <w:rPr>
                        <w:color w:val="545456"/>
                        <w:spacing w:val="-10"/>
                        <w:sz w:val="19"/>
                      </w:rPr>
                      <w:t xml:space="preserve"> </w:t>
                    </w:r>
                    <w:r>
                      <w:rPr>
                        <w:color w:val="545456"/>
                        <w:sz w:val="19"/>
                      </w:rPr>
                      <w:t>the</w:t>
                    </w:r>
                    <w:r>
                      <w:rPr>
                        <w:color w:val="545456"/>
                        <w:spacing w:val="-48"/>
                        <w:sz w:val="19"/>
                      </w:rPr>
                      <w:t xml:space="preserve"> </w:t>
                    </w:r>
                    <w:r>
                      <w:rPr>
                        <w:color w:val="545456"/>
                        <w:w w:val="105"/>
                        <w:sz w:val="19"/>
                      </w:rPr>
                      <w:t>application</w:t>
                    </w:r>
                    <w:r>
                      <w:rPr>
                        <w:color w:val="545456"/>
                        <w:spacing w:val="-12"/>
                        <w:w w:val="105"/>
                        <w:sz w:val="19"/>
                      </w:rPr>
                      <w:t xml:space="preserve"> </w:t>
                    </w:r>
                    <w:r>
                      <w:rPr>
                        <w:color w:val="545456"/>
                        <w:w w:val="105"/>
                        <w:sz w:val="19"/>
                      </w:rPr>
                      <w:t>of</w:t>
                    </w:r>
                    <w:r>
                      <w:rPr>
                        <w:color w:val="545456"/>
                        <w:spacing w:val="-11"/>
                        <w:w w:val="105"/>
                        <w:sz w:val="19"/>
                      </w:rPr>
                      <w:t xml:space="preserve"> </w:t>
                    </w:r>
                    <w:r>
                      <w:rPr>
                        <w:color w:val="545456"/>
                        <w:w w:val="105"/>
                        <w:sz w:val="19"/>
                      </w:rPr>
                      <w:t>calculation</w:t>
                    </w:r>
                    <w:r>
                      <w:rPr>
                        <w:color w:val="545456"/>
                        <w:spacing w:val="-11"/>
                        <w:w w:val="105"/>
                        <w:sz w:val="19"/>
                      </w:rPr>
                      <w:t xml:space="preserve"> </w:t>
                    </w:r>
                    <w:r>
                      <w:rPr>
                        <w:color w:val="545456"/>
                        <w:w w:val="105"/>
                        <w:sz w:val="19"/>
                      </w:rPr>
                      <w:t>methodologies</w:t>
                    </w:r>
                  </w:p>
                  <w:p w14:paraId="1D4DE649" w14:textId="77777777" w:rsidR="0055291C" w:rsidRDefault="00F23C61">
                    <w:pPr>
                      <w:numPr>
                        <w:ilvl w:val="0"/>
                        <w:numId w:val="5"/>
                      </w:numPr>
                      <w:tabs>
                        <w:tab w:val="left" w:pos="256"/>
                      </w:tabs>
                      <w:spacing w:line="240" w:lineRule="exact"/>
                      <w:rPr>
                        <w:sz w:val="19"/>
                      </w:rPr>
                    </w:pPr>
                    <w:r>
                      <w:rPr>
                        <w:color w:val="545456"/>
                        <w:sz w:val="19"/>
                      </w:rPr>
                      <w:t>Where</w:t>
                    </w:r>
                    <w:r>
                      <w:rPr>
                        <w:color w:val="545456"/>
                        <w:spacing w:val="-10"/>
                        <w:sz w:val="19"/>
                      </w:rPr>
                      <w:t xml:space="preserve"> </w:t>
                    </w:r>
                    <w:r>
                      <w:rPr>
                        <w:color w:val="545456"/>
                        <w:sz w:val="19"/>
                      </w:rPr>
                      <w:t>possible,</w:t>
                    </w:r>
                    <w:r>
                      <w:rPr>
                        <w:color w:val="545456"/>
                        <w:spacing w:val="-9"/>
                        <w:sz w:val="19"/>
                      </w:rPr>
                      <w:t xml:space="preserve"> </w:t>
                    </w:r>
                    <w:r>
                      <w:rPr>
                        <w:color w:val="545456"/>
                        <w:sz w:val="19"/>
                      </w:rPr>
                      <w:t>cross-check</w:t>
                    </w:r>
                    <w:r>
                      <w:rPr>
                        <w:color w:val="545456"/>
                        <w:spacing w:val="-9"/>
                        <w:sz w:val="19"/>
                      </w:rPr>
                      <w:t xml:space="preserve"> </w:t>
                    </w:r>
                    <w:r>
                      <w:rPr>
                        <w:color w:val="545456"/>
                        <w:sz w:val="19"/>
                      </w:rPr>
                      <w:t>calculation</w:t>
                    </w:r>
                    <w:r>
                      <w:rPr>
                        <w:color w:val="545456"/>
                        <w:spacing w:val="-9"/>
                        <w:sz w:val="19"/>
                      </w:rPr>
                      <w:t xml:space="preserve"> </w:t>
                    </w:r>
                    <w:r>
                      <w:rPr>
                        <w:color w:val="545456"/>
                        <w:sz w:val="19"/>
                      </w:rPr>
                      <w:t>methodologies</w:t>
                    </w:r>
                    <w:r>
                      <w:rPr>
                        <w:color w:val="545456"/>
                        <w:spacing w:val="-9"/>
                        <w:sz w:val="19"/>
                      </w:rPr>
                      <w:t xml:space="preserve"> </w:t>
                    </w:r>
                    <w:r>
                      <w:rPr>
                        <w:color w:val="545456"/>
                        <w:sz w:val="19"/>
                      </w:rPr>
                      <w:t>used</w:t>
                    </w:r>
                    <w:r>
                      <w:rPr>
                        <w:color w:val="545456"/>
                        <w:spacing w:val="-9"/>
                        <w:sz w:val="19"/>
                      </w:rPr>
                      <w:t xml:space="preserve"> </w:t>
                    </w:r>
                    <w:r>
                      <w:rPr>
                        <w:color w:val="545456"/>
                        <w:sz w:val="19"/>
                      </w:rPr>
                      <w:t>against</w:t>
                    </w:r>
                    <w:r>
                      <w:rPr>
                        <w:color w:val="545456"/>
                        <w:spacing w:val="-9"/>
                        <w:sz w:val="19"/>
                      </w:rPr>
                      <w:t xml:space="preserve"> </w:t>
                    </w:r>
                    <w:r>
                      <w:rPr>
                        <w:color w:val="545456"/>
                        <w:sz w:val="19"/>
                      </w:rPr>
                      <w:t>more</w:t>
                    </w:r>
                    <w:r>
                      <w:rPr>
                        <w:color w:val="545456"/>
                        <w:spacing w:val="-9"/>
                        <w:sz w:val="19"/>
                      </w:rPr>
                      <w:t xml:space="preserve"> </w:t>
                    </w:r>
                    <w:r>
                      <w:rPr>
                        <w:color w:val="545456"/>
                        <w:sz w:val="19"/>
                      </w:rPr>
                      <w:t>or</w:t>
                    </w:r>
                    <w:r>
                      <w:rPr>
                        <w:color w:val="545456"/>
                        <w:spacing w:val="-9"/>
                        <w:sz w:val="19"/>
                      </w:rPr>
                      <w:t xml:space="preserve"> </w:t>
                    </w:r>
                    <w:r>
                      <w:rPr>
                        <w:color w:val="545456"/>
                        <w:sz w:val="19"/>
                      </w:rPr>
                      <w:t>less</w:t>
                    </w:r>
                  </w:p>
                  <w:p w14:paraId="508843AD" w14:textId="77777777" w:rsidR="0055291C" w:rsidRDefault="00F23C61">
                    <w:pPr>
                      <w:spacing w:before="12" w:line="211" w:lineRule="exact"/>
                      <w:ind w:left="255"/>
                      <w:rPr>
                        <w:sz w:val="19"/>
                      </w:rPr>
                    </w:pPr>
                    <w:r>
                      <w:rPr>
                        <w:color w:val="545456"/>
                        <w:sz w:val="19"/>
                      </w:rPr>
                      <w:t>complex</w:t>
                    </w:r>
                    <w:r>
                      <w:rPr>
                        <w:color w:val="545456"/>
                        <w:spacing w:val="-1"/>
                        <w:sz w:val="19"/>
                      </w:rPr>
                      <w:t xml:space="preserve"> </w:t>
                    </w:r>
                    <w:r>
                      <w:rPr>
                        <w:color w:val="545456"/>
                        <w:sz w:val="19"/>
                      </w:rPr>
                      <w:t>methodologies to</w:t>
                    </w:r>
                    <w:r>
                      <w:rPr>
                        <w:color w:val="545456"/>
                        <w:spacing w:val="-1"/>
                        <w:sz w:val="19"/>
                      </w:rPr>
                      <w:t xml:space="preserve"> </w:t>
                    </w:r>
                    <w:r>
                      <w:rPr>
                        <w:color w:val="545456"/>
                        <w:sz w:val="19"/>
                      </w:rPr>
                      <w:t>ensure similar results</w:t>
                    </w:r>
                    <w:r>
                      <w:rPr>
                        <w:color w:val="545456"/>
                        <w:spacing w:val="-1"/>
                        <w:sz w:val="19"/>
                      </w:rPr>
                      <w:t xml:space="preserve"> </w:t>
                    </w:r>
                    <w:r>
                      <w:rPr>
                        <w:color w:val="545456"/>
                        <w:sz w:val="19"/>
                      </w:rPr>
                      <w:t>are achieved</w:t>
                    </w:r>
                  </w:p>
                </w:txbxContent>
              </v:textbox>
            </v:shape>
            <w10:wrap type="topAndBottom" anchorx="page"/>
          </v:group>
        </w:pict>
      </w:r>
    </w:p>
    <w:p w14:paraId="4A6F2D25" w14:textId="77777777" w:rsidR="0055291C" w:rsidRDefault="0055291C">
      <w:pPr>
        <w:rPr>
          <w:rFonts w:ascii="Arial"/>
          <w:sz w:val="28"/>
        </w:rPr>
        <w:sectPr w:rsidR="0055291C">
          <w:headerReference w:type="default" r:id="rId381"/>
          <w:footerReference w:type="even" r:id="rId382"/>
          <w:footerReference w:type="default" r:id="rId383"/>
          <w:pgSz w:w="12240" w:h="15840"/>
          <w:pgMar w:top="1160" w:right="0" w:bottom="1040" w:left="0" w:header="957" w:footer="859" w:gutter="0"/>
          <w:pgNumType w:start="131"/>
          <w:cols w:space="720"/>
        </w:sectPr>
      </w:pPr>
    </w:p>
    <w:p w14:paraId="2623AE79" w14:textId="778795A1" w:rsidR="0055291C" w:rsidRDefault="00000000">
      <w:pPr>
        <w:pStyle w:val="a3"/>
        <w:rPr>
          <w:rFonts w:ascii="Arial"/>
          <w:sz w:val="20"/>
        </w:rPr>
      </w:pPr>
      <w:r>
        <w:rPr>
          <w:rFonts w:ascii="Arial"/>
          <w:sz w:val="20"/>
        </w:rPr>
      </w:r>
      <w:r>
        <w:rPr>
          <w:rFonts w:ascii="Arial"/>
          <w:sz w:val="20"/>
        </w:rPr>
        <w:pict w14:anchorId="6D65AC8B">
          <v:group id="docshapegroup1672" o:spid="_x0000_s2141" style="width:553.75pt;height:100.65pt;mso-position-horizontal-relative:char;mso-position-vertical-relative:line" coordsize="11075,2013">
            <v:shape id="docshape1673" o:spid="_x0000_s2143" style="position:absolute;width:11075;height:2009" coordsize="11075,2009" path="m11073,l,,,2008r10834,l10973,2005r71,-27l11070,1907r4,-139l11074,42,11073,xe" fillcolor="#e1e2e3" stroked="f">
              <v:path arrowok="t"/>
            </v:shape>
            <v:shape id="docshape1674" o:spid="_x0000_s2142" type="#_x0000_t202" style="position:absolute;width:11075;height:2013" filled="f" stroked="f">
              <v:textbox style="mso-next-textbox:#docshape1674" inset="0,0,0,0">
                <w:txbxContent>
                  <w:p w14:paraId="0ED7AF4A" w14:textId="77777777" w:rsidR="0055291C" w:rsidRDefault="0055291C">
                    <w:pPr>
                      <w:rPr>
                        <w:rFonts w:ascii="Arial"/>
                        <w:b/>
                        <w:sz w:val="54"/>
                      </w:rPr>
                    </w:pPr>
                  </w:p>
                  <w:p w14:paraId="036C5D70" w14:textId="77777777" w:rsidR="0055291C" w:rsidRDefault="0055291C">
                    <w:pPr>
                      <w:spacing w:before="11"/>
                      <w:rPr>
                        <w:rFonts w:ascii="Arial"/>
                        <w:b/>
                        <w:sz w:val="73"/>
                      </w:rPr>
                    </w:pPr>
                  </w:p>
                  <w:p w14:paraId="6F4943F6" w14:textId="3EBBB1CC" w:rsidR="0055291C" w:rsidRDefault="00160EDC">
                    <w:pPr>
                      <w:spacing w:line="541" w:lineRule="exact"/>
                      <w:ind w:left="1105"/>
                      <w:rPr>
                        <w:rFonts w:ascii="Arial"/>
                        <w:b/>
                        <w:i/>
                        <w:sz w:val="48"/>
                      </w:rPr>
                    </w:pPr>
                    <w:r>
                      <w:rPr>
                        <w:rFonts w:ascii="ＭＳ ゴシック" w:eastAsia="ＭＳ ゴシック" w:hAnsi="ＭＳ ゴシック" w:cs="ＭＳ ゴシック" w:hint="eastAsia"/>
                        <w:b/>
                        <w:i/>
                        <w:color w:val="545456"/>
                        <w:sz w:val="48"/>
                        <w:lang w:eastAsia="ja-JP"/>
                      </w:rPr>
                      <w:t>略語一覧</w:t>
                    </w:r>
                  </w:p>
                </w:txbxContent>
              </v:textbox>
            </v:shape>
            <w10:anchorlock/>
          </v:group>
        </w:pict>
      </w:r>
    </w:p>
    <w:p w14:paraId="7DE1AB52" w14:textId="061E47F0" w:rsidR="0055291C" w:rsidRDefault="0055291C">
      <w:pPr>
        <w:rPr>
          <w:rFonts w:ascii="Arial"/>
        </w:rPr>
      </w:pPr>
    </w:p>
    <w:p w14:paraId="22E59D12" w14:textId="1B0A991B" w:rsidR="004A384A" w:rsidRDefault="004A384A">
      <w:pPr>
        <w:rPr>
          <w:rFonts w:ascii="Arial"/>
        </w:rPr>
      </w:pPr>
    </w:p>
    <w:p w14:paraId="52476A2E" w14:textId="5CFF3E11" w:rsidR="004A384A" w:rsidRDefault="004A384A" w:rsidP="004A384A">
      <w:pPr>
        <w:ind w:leftChars="321" w:left="706" w:firstLine="1"/>
        <w:rPr>
          <w:rFonts w:ascii="Arial"/>
        </w:rPr>
      </w:pPr>
    </w:p>
    <w:p w14:paraId="4B946097" w14:textId="5DC41DE0" w:rsidR="004A384A" w:rsidRPr="004A384A" w:rsidRDefault="004A384A" w:rsidP="00A403E6">
      <w:pPr>
        <w:spacing w:line="360" w:lineRule="auto"/>
        <w:ind w:leftChars="321" w:left="706" w:firstLine="1"/>
        <w:rPr>
          <w:rFonts w:ascii="Arial" w:eastAsiaTheme="minorEastAsia" w:hint="eastAsia"/>
          <w:sz w:val="19"/>
          <w:szCs w:val="19"/>
          <w:lang w:eastAsia="ja-JP"/>
        </w:rPr>
      </w:pPr>
      <w:r w:rsidRPr="006A1464">
        <w:rPr>
          <w:rFonts w:ascii="Arial" w:eastAsiaTheme="minorEastAsia" w:hint="eastAsia"/>
          <w:b/>
          <w:bCs/>
          <w:sz w:val="19"/>
          <w:szCs w:val="19"/>
          <w:lang w:eastAsia="ja-JP"/>
        </w:rPr>
        <w:t>BSI</w:t>
      </w:r>
      <w:r w:rsidRPr="004A384A">
        <w:rPr>
          <w:rFonts w:ascii="Arial" w:eastAsiaTheme="minorEastAsia"/>
          <w:sz w:val="19"/>
          <w:szCs w:val="19"/>
          <w:lang w:eastAsia="ja-JP"/>
        </w:rPr>
        <w:tab/>
      </w:r>
      <w:r w:rsidRPr="004A384A">
        <w:rPr>
          <w:rFonts w:ascii="Arial" w:eastAsiaTheme="minorEastAsia"/>
          <w:sz w:val="19"/>
          <w:szCs w:val="19"/>
          <w:lang w:eastAsia="ja-JP"/>
        </w:rPr>
        <w:tab/>
      </w:r>
      <w:r w:rsidRPr="004A384A">
        <w:rPr>
          <w:rFonts w:ascii="Arial" w:eastAsiaTheme="minorEastAsia" w:hint="eastAsia"/>
          <w:sz w:val="19"/>
          <w:szCs w:val="19"/>
          <w:lang w:eastAsia="ja-JP"/>
        </w:rPr>
        <w:t>英国規格協会</w:t>
      </w:r>
      <w:r w:rsidR="00806512">
        <w:rPr>
          <w:rFonts w:ascii="Arial" w:eastAsiaTheme="minorEastAsia"/>
          <w:sz w:val="19"/>
          <w:szCs w:val="19"/>
          <w:lang w:eastAsia="ja-JP"/>
        </w:rPr>
        <w:tab/>
      </w:r>
      <w:r w:rsidR="00A403E6">
        <w:rPr>
          <w:rFonts w:ascii="Arial" w:eastAsiaTheme="minorEastAsia"/>
          <w:sz w:val="19"/>
          <w:szCs w:val="19"/>
          <w:lang w:eastAsia="ja-JP"/>
        </w:rPr>
        <w:tab/>
      </w:r>
      <w:r w:rsidR="00A403E6">
        <w:rPr>
          <w:rFonts w:ascii="Arial" w:eastAsiaTheme="minorEastAsia"/>
          <w:sz w:val="19"/>
          <w:szCs w:val="19"/>
          <w:lang w:eastAsia="ja-JP"/>
        </w:rPr>
        <w:tab/>
      </w:r>
      <w:r w:rsidR="00A403E6">
        <w:rPr>
          <w:rFonts w:ascii="Arial" w:eastAsiaTheme="minorEastAsia"/>
          <w:sz w:val="19"/>
          <w:szCs w:val="19"/>
          <w:lang w:eastAsia="ja-JP"/>
        </w:rPr>
        <w:tab/>
      </w:r>
      <w:r w:rsidR="00A403E6">
        <w:rPr>
          <w:rFonts w:ascii="Arial" w:eastAsiaTheme="minorEastAsia"/>
          <w:sz w:val="19"/>
          <w:szCs w:val="19"/>
          <w:lang w:eastAsia="ja-JP"/>
        </w:rPr>
        <w:tab/>
      </w:r>
      <w:r w:rsidR="00A403E6" w:rsidRPr="006A1464">
        <w:rPr>
          <w:rFonts w:ascii="Arial" w:eastAsiaTheme="minorEastAsia" w:hint="eastAsia"/>
          <w:b/>
          <w:bCs/>
          <w:sz w:val="19"/>
          <w:szCs w:val="19"/>
          <w:lang w:eastAsia="ja-JP"/>
        </w:rPr>
        <w:t>QA/QC</w:t>
      </w:r>
      <w:r w:rsidR="00A403E6">
        <w:rPr>
          <w:rFonts w:ascii="Arial" w:eastAsiaTheme="minorEastAsia"/>
          <w:sz w:val="19"/>
          <w:szCs w:val="19"/>
          <w:lang w:eastAsia="ja-JP"/>
        </w:rPr>
        <w:tab/>
      </w:r>
      <w:r w:rsidR="00A403E6">
        <w:rPr>
          <w:rFonts w:ascii="Arial" w:eastAsiaTheme="minorEastAsia"/>
          <w:sz w:val="19"/>
          <w:szCs w:val="19"/>
          <w:lang w:eastAsia="ja-JP"/>
        </w:rPr>
        <w:tab/>
      </w:r>
      <w:r w:rsidR="00A403E6" w:rsidRPr="00A403E6">
        <w:rPr>
          <w:rFonts w:ascii="ＭＳ ゴシック" w:eastAsia="ＭＳ ゴシック" w:hAnsi="ＭＳ ゴシック" w:cs="ＭＳ ゴシック" w:hint="eastAsia"/>
          <w:sz w:val="19"/>
          <w:szCs w:val="19"/>
          <w:lang w:eastAsia="ja-JP"/>
        </w:rPr>
        <w:t>品質保証・品質管理</w:t>
      </w:r>
    </w:p>
    <w:p w14:paraId="2DCBBE7D" w14:textId="4A89EA67" w:rsidR="004A384A" w:rsidRPr="004A384A" w:rsidRDefault="004A384A" w:rsidP="00A403E6">
      <w:pPr>
        <w:spacing w:line="360" w:lineRule="auto"/>
        <w:ind w:leftChars="321" w:left="706" w:firstLine="1"/>
        <w:rPr>
          <w:rFonts w:ascii="Arial" w:eastAsiaTheme="minorEastAsia" w:hint="eastAsia"/>
          <w:sz w:val="19"/>
          <w:szCs w:val="19"/>
          <w:lang w:eastAsia="ja-JP"/>
        </w:rPr>
      </w:pPr>
      <w:r w:rsidRPr="006A1464">
        <w:rPr>
          <w:rFonts w:ascii="Arial" w:eastAsiaTheme="minorEastAsia" w:hint="eastAsia"/>
          <w:b/>
          <w:bCs/>
          <w:sz w:val="19"/>
          <w:szCs w:val="19"/>
          <w:lang w:eastAsia="ja-JP"/>
        </w:rPr>
        <w:t>CH</w:t>
      </w:r>
      <w:r w:rsidRPr="006A1464">
        <w:rPr>
          <w:rFonts w:ascii="Arial" w:eastAsiaTheme="minorEastAsia" w:hint="eastAsia"/>
          <w:b/>
          <w:bCs/>
          <w:sz w:val="19"/>
          <w:szCs w:val="19"/>
          <w:vertAlign w:val="subscript"/>
          <w:lang w:eastAsia="ja-JP"/>
        </w:rPr>
        <w:t>4</w:t>
      </w:r>
      <w:r w:rsidRPr="004A384A">
        <w:rPr>
          <w:rFonts w:ascii="Arial" w:eastAsiaTheme="minorEastAsia"/>
          <w:sz w:val="19"/>
          <w:szCs w:val="19"/>
          <w:lang w:eastAsia="ja-JP"/>
        </w:rPr>
        <w:tab/>
      </w:r>
      <w:r w:rsidRPr="004A384A">
        <w:rPr>
          <w:rFonts w:ascii="Arial" w:eastAsiaTheme="minorEastAsia"/>
          <w:sz w:val="19"/>
          <w:szCs w:val="19"/>
          <w:lang w:eastAsia="ja-JP"/>
        </w:rPr>
        <w:tab/>
      </w:r>
      <w:r w:rsidRPr="004A384A">
        <w:rPr>
          <w:rFonts w:ascii="Arial" w:eastAsiaTheme="minorEastAsia" w:hint="eastAsia"/>
          <w:sz w:val="19"/>
          <w:szCs w:val="19"/>
          <w:lang w:eastAsia="ja-JP"/>
        </w:rPr>
        <w:t>メタン</w:t>
      </w:r>
      <w:r w:rsidR="00A403E6">
        <w:rPr>
          <w:rFonts w:ascii="Arial" w:eastAsiaTheme="minorEastAsia"/>
          <w:sz w:val="19"/>
          <w:szCs w:val="19"/>
          <w:lang w:eastAsia="ja-JP"/>
        </w:rPr>
        <w:tab/>
      </w:r>
      <w:r w:rsidR="00A403E6">
        <w:rPr>
          <w:rFonts w:ascii="Arial" w:eastAsiaTheme="minorEastAsia"/>
          <w:sz w:val="19"/>
          <w:szCs w:val="19"/>
          <w:lang w:eastAsia="ja-JP"/>
        </w:rPr>
        <w:tab/>
      </w:r>
      <w:r w:rsidR="00A403E6">
        <w:rPr>
          <w:rFonts w:ascii="Arial" w:eastAsiaTheme="minorEastAsia"/>
          <w:sz w:val="19"/>
          <w:szCs w:val="19"/>
          <w:lang w:eastAsia="ja-JP"/>
        </w:rPr>
        <w:tab/>
      </w:r>
      <w:r w:rsidR="00A403E6">
        <w:rPr>
          <w:rFonts w:ascii="Arial" w:eastAsiaTheme="minorEastAsia"/>
          <w:sz w:val="19"/>
          <w:szCs w:val="19"/>
          <w:lang w:eastAsia="ja-JP"/>
        </w:rPr>
        <w:tab/>
      </w:r>
      <w:r w:rsidR="00A403E6">
        <w:rPr>
          <w:rFonts w:ascii="Arial" w:eastAsiaTheme="minorEastAsia"/>
          <w:sz w:val="19"/>
          <w:szCs w:val="19"/>
          <w:lang w:eastAsia="ja-JP"/>
        </w:rPr>
        <w:tab/>
      </w:r>
      <w:r w:rsidR="00A403E6">
        <w:rPr>
          <w:rFonts w:ascii="Arial" w:eastAsiaTheme="minorEastAsia"/>
          <w:sz w:val="19"/>
          <w:szCs w:val="19"/>
          <w:lang w:eastAsia="ja-JP"/>
        </w:rPr>
        <w:tab/>
      </w:r>
      <w:r w:rsidR="00A403E6" w:rsidRPr="006A1464">
        <w:rPr>
          <w:rFonts w:ascii="Arial" w:eastAsiaTheme="minorEastAsia" w:hint="eastAsia"/>
          <w:b/>
          <w:bCs/>
          <w:sz w:val="19"/>
          <w:szCs w:val="19"/>
          <w:lang w:eastAsia="ja-JP"/>
        </w:rPr>
        <w:t>R&amp;D</w:t>
      </w:r>
      <w:r w:rsidR="00A403E6">
        <w:rPr>
          <w:rFonts w:ascii="Arial" w:eastAsiaTheme="minorEastAsia"/>
          <w:sz w:val="19"/>
          <w:szCs w:val="19"/>
          <w:lang w:eastAsia="ja-JP"/>
        </w:rPr>
        <w:tab/>
      </w:r>
      <w:r w:rsidR="00A403E6">
        <w:rPr>
          <w:rFonts w:ascii="Arial" w:eastAsiaTheme="minorEastAsia"/>
          <w:sz w:val="19"/>
          <w:szCs w:val="19"/>
          <w:lang w:eastAsia="ja-JP"/>
        </w:rPr>
        <w:tab/>
      </w:r>
      <w:r w:rsidR="00A403E6">
        <w:rPr>
          <w:rFonts w:ascii="Arial" w:eastAsiaTheme="minorEastAsia" w:hint="eastAsia"/>
          <w:sz w:val="19"/>
          <w:szCs w:val="19"/>
          <w:lang w:eastAsia="ja-JP"/>
        </w:rPr>
        <w:t>研究開発</w:t>
      </w:r>
    </w:p>
    <w:p w14:paraId="68506548" w14:textId="2C339EA0" w:rsidR="003A3411" w:rsidRPr="003A3411" w:rsidRDefault="004A384A" w:rsidP="003A3411">
      <w:pPr>
        <w:spacing w:line="360" w:lineRule="auto"/>
        <w:ind w:leftChars="321" w:left="706" w:firstLine="1"/>
        <w:rPr>
          <w:rFonts w:ascii="ＭＳ ゴシック" w:eastAsia="ＭＳ ゴシック" w:hAnsi="ＭＳ ゴシック" w:cs="ＭＳ ゴシック" w:hint="eastAsia"/>
          <w:sz w:val="19"/>
          <w:szCs w:val="19"/>
          <w:lang w:eastAsia="ja-JP"/>
        </w:rPr>
      </w:pPr>
      <w:r w:rsidRPr="006A1464">
        <w:rPr>
          <w:rFonts w:ascii="Arial" w:eastAsiaTheme="minorEastAsia" w:hint="eastAsia"/>
          <w:b/>
          <w:bCs/>
          <w:sz w:val="19"/>
          <w:szCs w:val="19"/>
          <w:lang w:eastAsia="ja-JP"/>
        </w:rPr>
        <w:t>CO</w:t>
      </w:r>
      <w:r w:rsidRPr="006A1464">
        <w:rPr>
          <w:rFonts w:ascii="Arial" w:eastAsiaTheme="minorEastAsia" w:hint="eastAsia"/>
          <w:b/>
          <w:bCs/>
          <w:sz w:val="19"/>
          <w:szCs w:val="19"/>
          <w:vertAlign w:val="subscript"/>
          <w:lang w:eastAsia="ja-JP"/>
        </w:rPr>
        <w:t>2</w:t>
      </w:r>
      <w:r w:rsidRPr="00BA5F75">
        <w:rPr>
          <w:rFonts w:ascii="Arial" w:eastAsiaTheme="minorEastAsia"/>
          <w:sz w:val="19"/>
          <w:szCs w:val="19"/>
          <w:lang w:eastAsia="ja-JP"/>
        </w:rPr>
        <w:tab/>
      </w:r>
      <w:r w:rsidRPr="00BA5F75">
        <w:rPr>
          <w:rFonts w:ascii="Arial" w:eastAsiaTheme="minorEastAsia"/>
          <w:sz w:val="19"/>
          <w:szCs w:val="19"/>
          <w:lang w:eastAsia="ja-JP"/>
        </w:rPr>
        <w:tab/>
      </w:r>
      <w:r w:rsidRPr="00BA5F75">
        <w:rPr>
          <w:rFonts w:ascii="Arial" w:eastAsiaTheme="minorEastAsia" w:hint="eastAsia"/>
          <w:sz w:val="19"/>
          <w:szCs w:val="19"/>
          <w:lang w:eastAsia="ja-JP"/>
        </w:rPr>
        <w:t>二酸化炭素</w:t>
      </w:r>
      <w:r w:rsidR="00A403E6">
        <w:rPr>
          <w:rFonts w:ascii="Arial" w:eastAsiaTheme="minorEastAsia"/>
          <w:sz w:val="19"/>
          <w:szCs w:val="19"/>
          <w:lang w:eastAsia="ja-JP"/>
        </w:rPr>
        <w:tab/>
      </w:r>
      <w:r w:rsidR="00A403E6">
        <w:rPr>
          <w:rFonts w:ascii="Arial" w:eastAsiaTheme="minorEastAsia"/>
          <w:sz w:val="19"/>
          <w:szCs w:val="19"/>
          <w:lang w:eastAsia="ja-JP"/>
        </w:rPr>
        <w:tab/>
      </w:r>
      <w:r w:rsidR="00A403E6">
        <w:rPr>
          <w:rFonts w:ascii="Arial" w:eastAsiaTheme="minorEastAsia"/>
          <w:sz w:val="19"/>
          <w:szCs w:val="19"/>
          <w:lang w:eastAsia="ja-JP"/>
        </w:rPr>
        <w:tab/>
      </w:r>
      <w:r w:rsidR="00A403E6">
        <w:rPr>
          <w:rFonts w:ascii="Arial" w:eastAsiaTheme="minorEastAsia"/>
          <w:sz w:val="19"/>
          <w:szCs w:val="19"/>
          <w:lang w:eastAsia="ja-JP"/>
        </w:rPr>
        <w:tab/>
      </w:r>
      <w:r w:rsidR="00A403E6">
        <w:rPr>
          <w:rFonts w:ascii="Arial" w:eastAsiaTheme="minorEastAsia"/>
          <w:sz w:val="19"/>
          <w:szCs w:val="19"/>
          <w:lang w:eastAsia="ja-JP"/>
        </w:rPr>
        <w:tab/>
      </w:r>
      <w:r w:rsidR="00A403E6" w:rsidRPr="006A1464">
        <w:rPr>
          <w:rFonts w:ascii="Arial" w:eastAsiaTheme="minorEastAsia" w:hint="eastAsia"/>
          <w:b/>
          <w:bCs/>
          <w:sz w:val="19"/>
          <w:szCs w:val="19"/>
          <w:lang w:eastAsia="ja-JP"/>
        </w:rPr>
        <w:t>SETAC</w:t>
      </w:r>
      <w:r w:rsidR="00A403E6">
        <w:rPr>
          <w:rFonts w:ascii="Arial" w:eastAsiaTheme="minorEastAsia"/>
          <w:sz w:val="19"/>
          <w:szCs w:val="19"/>
          <w:lang w:eastAsia="ja-JP"/>
        </w:rPr>
        <w:tab/>
      </w:r>
      <w:r w:rsidR="00A403E6">
        <w:rPr>
          <w:rFonts w:ascii="Arial" w:eastAsiaTheme="minorEastAsia"/>
          <w:sz w:val="19"/>
          <w:szCs w:val="19"/>
          <w:lang w:eastAsia="ja-JP"/>
        </w:rPr>
        <w:tab/>
      </w:r>
      <w:r w:rsidR="003A3411" w:rsidRPr="00417CA0">
        <w:rPr>
          <w:rFonts w:ascii="ＭＳ ゴシック" w:eastAsia="ＭＳ ゴシック" w:hAnsi="ＭＳ ゴシック" w:cs="ＭＳ ゴシック" w:hint="eastAsia"/>
          <w:sz w:val="19"/>
          <w:szCs w:val="19"/>
          <w:lang w:eastAsia="ja-JP"/>
        </w:rPr>
        <w:t>環境毒性学及び環境化学に関する国際学会</w:t>
      </w:r>
    </w:p>
    <w:p w14:paraId="45BA5523" w14:textId="7A4405AA" w:rsidR="003A3411" w:rsidRPr="00BA5F75" w:rsidRDefault="004A384A" w:rsidP="003A3411">
      <w:pPr>
        <w:spacing w:line="360" w:lineRule="auto"/>
        <w:ind w:leftChars="321" w:left="706" w:firstLine="1"/>
        <w:rPr>
          <w:rFonts w:ascii="Arial" w:eastAsiaTheme="minorEastAsia" w:hint="eastAsia"/>
          <w:sz w:val="19"/>
          <w:szCs w:val="19"/>
          <w:lang w:eastAsia="ja-JP"/>
        </w:rPr>
      </w:pPr>
      <w:r w:rsidRPr="006A1464">
        <w:rPr>
          <w:rFonts w:ascii="Arial" w:eastAsiaTheme="minorEastAsia" w:hint="eastAsia"/>
          <w:b/>
          <w:bCs/>
          <w:sz w:val="19"/>
          <w:szCs w:val="19"/>
          <w:lang w:eastAsia="ja-JP"/>
        </w:rPr>
        <w:t>CO</w:t>
      </w:r>
      <w:r w:rsidRPr="006A1464">
        <w:rPr>
          <w:rFonts w:ascii="Arial" w:eastAsiaTheme="minorEastAsia" w:hint="eastAsia"/>
          <w:b/>
          <w:bCs/>
          <w:sz w:val="19"/>
          <w:szCs w:val="19"/>
          <w:vertAlign w:val="subscript"/>
          <w:lang w:eastAsia="ja-JP"/>
        </w:rPr>
        <w:t>2</w:t>
      </w:r>
      <w:r w:rsidRPr="006A1464">
        <w:rPr>
          <w:rFonts w:ascii="Arial" w:eastAsiaTheme="minorEastAsia" w:hint="eastAsia"/>
          <w:b/>
          <w:bCs/>
          <w:sz w:val="19"/>
          <w:szCs w:val="19"/>
          <w:lang w:eastAsia="ja-JP"/>
        </w:rPr>
        <w:t>e</w:t>
      </w:r>
      <w:r w:rsidRPr="00BA5F75">
        <w:rPr>
          <w:rFonts w:ascii="Arial" w:eastAsiaTheme="minorEastAsia"/>
          <w:sz w:val="19"/>
          <w:szCs w:val="19"/>
          <w:lang w:eastAsia="ja-JP"/>
        </w:rPr>
        <w:tab/>
        <w:t xml:space="preserve"> </w:t>
      </w:r>
      <w:r w:rsidRPr="00BA5F75">
        <w:rPr>
          <w:rFonts w:ascii="Arial" w:eastAsiaTheme="minorEastAsia"/>
          <w:sz w:val="19"/>
          <w:szCs w:val="19"/>
          <w:lang w:eastAsia="ja-JP"/>
        </w:rPr>
        <w:tab/>
      </w:r>
      <w:r w:rsidRPr="00BA5F75">
        <w:rPr>
          <w:rFonts w:ascii="Arial" w:eastAsiaTheme="minorEastAsia" w:hint="eastAsia"/>
          <w:sz w:val="19"/>
          <w:szCs w:val="19"/>
          <w:lang w:eastAsia="ja-JP"/>
        </w:rPr>
        <w:t>二酸化炭素換算値</w:t>
      </w:r>
      <w:r w:rsidR="003A3411">
        <w:rPr>
          <w:rFonts w:ascii="Arial" w:eastAsiaTheme="minorEastAsia"/>
          <w:sz w:val="19"/>
          <w:szCs w:val="19"/>
          <w:lang w:eastAsia="ja-JP"/>
        </w:rPr>
        <w:tab/>
      </w:r>
      <w:r w:rsidR="003A3411">
        <w:rPr>
          <w:rFonts w:ascii="Arial" w:eastAsiaTheme="minorEastAsia"/>
          <w:sz w:val="19"/>
          <w:szCs w:val="19"/>
          <w:lang w:eastAsia="ja-JP"/>
        </w:rPr>
        <w:tab/>
      </w:r>
      <w:r w:rsidR="003A3411">
        <w:rPr>
          <w:rFonts w:ascii="Arial" w:eastAsiaTheme="minorEastAsia"/>
          <w:sz w:val="19"/>
          <w:szCs w:val="19"/>
          <w:lang w:eastAsia="ja-JP"/>
        </w:rPr>
        <w:tab/>
      </w:r>
      <w:r w:rsidR="003A3411">
        <w:rPr>
          <w:rFonts w:ascii="Arial" w:eastAsiaTheme="minorEastAsia"/>
          <w:sz w:val="19"/>
          <w:szCs w:val="19"/>
          <w:lang w:eastAsia="ja-JP"/>
        </w:rPr>
        <w:tab/>
      </w:r>
      <w:r w:rsidR="003A3411" w:rsidRPr="006A1464">
        <w:rPr>
          <w:rFonts w:ascii="Arial" w:eastAsiaTheme="minorEastAsia" w:hint="eastAsia"/>
          <w:b/>
          <w:bCs/>
          <w:sz w:val="19"/>
          <w:szCs w:val="19"/>
          <w:lang w:eastAsia="ja-JP"/>
        </w:rPr>
        <w:t>SF</w:t>
      </w:r>
      <w:r w:rsidR="003A3411" w:rsidRPr="006A1464">
        <w:rPr>
          <w:rFonts w:ascii="Arial" w:eastAsiaTheme="minorEastAsia" w:hint="eastAsia"/>
          <w:b/>
          <w:bCs/>
          <w:sz w:val="19"/>
          <w:szCs w:val="19"/>
          <w:vertAlign w:val="subscript"/>
          <w:lang w:eastAsia="ja-JP"/>
        </w:rPr>
        <w:t>6</w:t>
      </w:r>
      <w:r w:rsidR="003A3411">
        <w:rPr>
          <w:rFonts w:ascii="Arial" w:eastAsiaTheme="minorEastAsia"/>
          <w:sz w:val="19"/>
          <w:szCs w:val="19"/>
          <w:lang w:eastAsia="ja-JP"/>
        </w:rPr>
        <w:tab/>
      </w:r>
      <w:r w:rsidR="003A3411">
        <w:rPr>
          <w:rFonts w:ascii="Arial" w:eastAsiaTheme="minorEastAsia"/>
          <w:sz w:val="19"/>
          <w:szCs w:val="19"/>
          <w:lang w:eastAsia="ja-JP"/>
        </w:rPr>
        <w:tab/>
      </w:r>
      <w:r w:rsidR="003A3411">
        <w:rPr>
          <w:rFonts w:ascii="Arial" w:eastAsiaTheme="minorEastAsia" w:hint="eastAsia"/>
          <w:sz w:val="19"/>
          <w:szCs w:val="19"/>
          <w:lang w:eastAsia="ja-JP"/>
        </w:rPr>
        <w:t>六フッ化硫黄</w:t>
      </w:r>
    </w:p>
    <w:p w14:paraId="7AD49999" w14:textId="2D8260F2" w:rsidR="003A3411" w:rsidRDefault="004A384A" w:rsidP="00806512">
      <w:pPr>
        <w:spacing w:line="360" w:lineRule="auto"/>
        <w:ind w:leftChars="321" w:left="706" w:firstLine="1"/>
        <w:rPr>
          <w:rFonts w:ascii="Arial" w:eastAsiaTheme="minorEastAsia" w:hint="eastAsia"/>
          <w:sz w:val="19"/>
          <w:szCs w:val="19"/>
          <w:lang w:eastAsia="ja-JP"/>
        </w:rPr>
      </w:pPr>
      <w:r w:rsidRPr="006A1464">
        <w:rPr>
          <w:rFonts w:ascii="Arial" w:eastAsiaTheme="minorEastAsia" w:hint="eastAsia"/>
          <w:b/>
          <w:bCs/>
          <w:sz w:val="19"/>
          <w:szCs w:val="19"/>
          <w:lang w:eastAsia="ja-JP"/>
        </w:rPr>
        <w:t>DEFRA</w:t>
      </w:r>
      <w:r w:rsidRPr="006A1464">
        <w:rPr>
          <w:rFonts w:ascii="Arial" w:eastAsiaTheme="minorEastAsia"/>
          <w:b/>
          <w:bCs/>
          <w:sz w:val="19"/>
          <w:szCs w:val="19"/>
          <w:lang w:eastAsia="ja-JP"/>
        </w:rPr>
        <w:tab/>
      </w:r>
      <w:r w:rsidRPr="00BA5F75">
        <w:rPr>
          <w:rFonts w:ascii="Arial" w:eastAsiaTheme="minorEastAsia"/>
          <w:sz w:val="19"/>
          <w:szCs w:val="19"/>
          <w:lang w:eastAsia="ja-JP"/>
        </w:rPr>
        <w:tab/>
      </w:r>
      <w:r w:rsidRPr="00BA5F75">
        <w:rPr>
          <w:rFonts w:ascii="Arial" w:eastAsiaTheme="minorEastAsia" w:hint="eastAsia"/>
          <w:sz w:val="19"/>
          <w:szCs w:val="19"/>
          <w:lang w:eastAsia="ja-JP"/>
        </w:rPr>
        <w:t>英国環境・食糧・農村地域省</w:t>
      </w:r>
      <w:r w:rsidR="00806512">
        <w:rPr>
          <w:rFonts w:ascii="Arial" w:eastAsiaTheme="minorEastAsia"/>
          <w:sz w:val="19"/>
          <w:szCs w:val="19"/>
          <w:lang w:eastAsia="ja-JP"/>
        </w:rPr>
        <w:tab/>
      </w:r>
      <w:r w:rsidR="00806512">
        <w:rPr>
          <w:rFonts w:ascii="Arial" w:eastAsiaTheme="minorEastAsia"/>
          <w:sz w:val="19"/>
          <w:szCs w:val="19"/>
          <w:lang w:eastAsia="ja-JP"/>
        </w:rPr>
        <w:tab/>
      </w:r>
      <w:r w:rsidR="00806512">
        <w:rPr>
          <w:rFonts w:ascii="Arial" w:eastAsiaTheme="minorEastAsia"/>
          <w:sz w:val="19"/>
          <w:szCs w:val="19"/>
          <w:lang w:eastAsia="ja-JP"/>
        </w:rPr>
        <w:tab/>
      </w:r>
      <w:r w:rsidR="00806512" w:rsidRPr="006A1464">
        <w:rPr>
          <w:rFonts w:ascii="Arial" w:eastAsiaTheme="minorEastAsia" w:hint="eastAsia"/>
          <w:b/>
          <w:bCs/>
          <w:sz w:val="19"/>
          <w:szCs w:val="19"/>
          <w:lang w:eastAsia="ja-JP"/>
        </w:rPr>
        <w:t>SKU</w:t>
      </w:r>
      <w:r w:rsidR="00806512">
        <w:rPr>
          <w:rFonts w:ascii="Arial" w:eastAsiaTheme="minorEastAsia"/>
          <w:sz w:val="19"/>
          <w:szCs w:val="19"/>
          <w:lang w:eastAsia="ja-JP"/>
        </w:rPr>
        <w:tab/>
      </w:r>
      <w:r w:rsidR="00806512">
        <w:rPr>
          <w:rFonts w:ascii="Arial" w:eastAsiaTheme="minorEastAsia"/>
          <w:sz w:val="19"/>
          <w:szCs w:val="19"/>
          <w:lang w:eastAsia="ja-JP"/>
        </w:rPr>
        <w:tab/>
      </w:r>
      <w:r w:rsidR="00806512">
        <w:rPr>
          <w:rFonts w:ascii="Arial" w:eastAsiaTheme="minorEastAsia" w:hint="eastAsia"/>
          <w:sz w:val="19"/>
          <w:szCs w:val="19"/>
          <w:lang w:eastAsia="ja-JP"/>
        </w:rPr>
        <w:t>最小管理単位</w:t>
      </w:r>
    </w:p>
    <w:p w14:paraId="75355EAC" w14:textId="4765257D" w:rsidR="00BA5F75" w:rsidRDefault="00BA5F75" w:rsidP="00A403E6">
      <w:pPr>
        <w:spacing w:line="360" w:lineRule="auto"/>
        <w:ind w:leftChars="321" w:left="706" w:firstLine="1"/>
        <w:rPr>
          <w:rFonts w:ascii="Arial" w:eastAsiaTheme="minorEastAsia" w:hint="eastAsia"/>
          <w:sz w:val="19"/>
          <w:szCs w:val="19"/>
          <w:lang w:eastAsia="ja-JP"/>
        </w:rPr>
      </w:pPr>
      <w:r w:rsidRPr="006A1464">
        <w:rPr>
          <w:rFonts w:ascii="Arial" w:eastAsiaTheme="minorEastAsia" w:hint="eastAsia"/>
          <w:b/>
          <w:bCs/>
          <w:sz w:val="19"/>
          <w:szCs w:val="19"/>
          <w:lang w:eastAsia="ja-JP"/>
        </w:rPr>
        <w:t>EEIO</w:t>
      </w:r>
      <w:r>
        <w:rPr>
          <w:rFonts w:ascii="Arial" w:eastAsiaTheme="minorEastAsia"/>
          <w:sz w:val="19"/>
          <w:szCs w:val="19"/>
          <w:lang w:eastAsia="ja-JP"/>
        </w:rPr>
        <w:tab/>
      </w:r>
      <w:r>
        <w:rPr>
          <w:rFonts w:ascii="Arial" w:eastAsiaTheme="minorEastAsia"/>
          <w:sz w:val="19"/>
          <w:szCs w:val="19"/>
          <w:lang w:eastAsia="ja-JP"/>
        </w:rPr>
        <w:tab/>
      </w:r>
      <w:r>
        <w:rPr>
          <w:rFonts w:ascii="Arial" w:eastAsiaTheme="minorEastAsia" w:hint="eastAsia"/>
          <w:sz w:val="19"/>
          <w:szCs w:val="19"/>
          <w:lang w:eastAsia="ja-JP"/>
        </w:rPr>
        <w:t>環境拡張型インプット・アウトプット</w:t>
      </w:r>
      <w:r w:rsidR="003A3411">
        <w:rPr>
          <w:rFonts w:ascii="Arial" w:eastAsiaTheme="minorEastAsia"/>
          <w:sz w:val="19"/>
          <w:szCs w:val="19"/>
          <w:lang w:eastAsia="ja-JP"/>
        </w:rPr>
        <w:tab/>
      </w:r>
      <w:r w:rsidR="003A3411">
        <w:rPr>
          <w:rFonts w:ascii="Arial" w:eastAsiaTheme="minorEastAsia"/>
          <w:sz w:val="19"/>
          <w:szCs w:val="19"/>
          <w:lang w:eastAsia="ja-JP"/>
        </w:rPr>
        <w:tab/>
      </w:r>
      <w:r w:rsidR="003A3411" w:rsidRPr="006A1464">
        <w:rPr>
          <w:rFonts w:ascii="Arial" w:eastAsiaTheme="minorEastAsia"/>
          <w:b/>
          <w:bCs/>
          <w:sz w:val="19"/>
          <w:szCs w:val="19"/>
          <w:lang w:eastAsia="ja-JP"/>
        </w:rPr>
        <w:t>UNEP</w:t>
      </w:r>
      <w:r w:rsidR="003A3411">
        <w:rPr>
          <w:rFonts w:ascii="Arial" w:eastAsiaTheme="minorEastAsia"/>
          <w:sz w:val="19"/>
          <w:szCs w:val="19"/>
          <w:lang w:eastAsia="ja-JP"/>
        </w:rPr>
        <w:tab/>
      </w:r>
      <w:r w:rsidR="003A3411">
        <w:rPr>
          <w:rFonts w:ascii="Arial" w:eastAsiaTheme="minorEastAsia"/>
          <w:sz w:val="19"/>
          <w:szCs w:val="19"/>
          <w:lang w:eastAsia="ja-JP"/>
        </w:rPr>
        <w:tab/>
      </w:r>
      <w:r w:rsidR="003A3411">
        <w:rPr>
          <w:rFonts w:ascii="Arial" w:eastAsiaTheme="minorEastAsia" w:hint="eastAsia"/>
          <w:sz w:val="19"/>
          <w:szCs w:val="19"/>
          <w:lang w:eastAsia="ja-JP"/>
        </w:rPr>
        <w:t>国連環境計画</w:t>
      </w:r>
    </w:p>
    <w:p w14:paraId="3793DFB1" w14:textId="3B39E31D" w:rsidR="00BA5F75" w:rsidRDefault="00BA5F75" w:rsidP="00A403E6">
      <w:pPr>
        <w:spacing w:line="360" w:lineRule="auto"/>
        <w:ind w:leftChars="321" w:left="706" w:firstLine="1"/>
        <w:rPr>
          <w:rFonts w:ascii="Arial" w:eastAsiaTheme="minorEastAsia" w:hint="eastAsia"/>
          <w:sz w:val="19"/>
          <w:szCs w:val="19"/>
          <w:lang w:eastAsia="ja-JP"/>
        </w:rPr>
      </w:pPr>
      <w:r w:rsidRPr="006A1464">
        <w:rPr>
          <w:rFonts w:ascii="Arial" w:eastAsiaTheme="minorEastAsia" w:hint="eastAsia"/>
          <w:b/>
          <w:bCs/>
          <w:sz w:val="19"/>
          <w:szCs w:val="19"/>
          <w:lang w:eastAsia="ja-JP"/>
        </w:rPr>
        <w:t>EPD</w:t>
      </w:r>
      <w:r>
        <w:rPr>
          <w:rFonts w:ascii="Arial" w:eastAsiaTheme="minorEastAsia"/>
          <w:sz w:val="19"/>
          <w:szCs w:val="19"/>
          <w:lang w:eastAsia="ja-JP"/>
        </w:rPr>
        <w:tab/>
      </w:r>
      <w:r>
        <w:rPr>
          <w:rFonts w:ascii="Arial" w:eastAsiaTheme="minorEastAsia"/>
          <w:sz w:val="19"/>
          <w:szCs w:val="19"/>
          <w:lang w:eastAsia="ja-JP"/>
        </w:rPr>
        <w:tab/>
      </w:r>
      <w:r>
        <w:rPr>
          <w:rFonts w:ascii="Arial" w:eastAsiaTheme="minorEastAsia" w:hint="eastAsia"/>
          <w:sz w:val="19"/>
          <w:szCs w:val="19"/>
          <w:lang w:eastAsia="ja-JP"/>
        </w:rPr>
        <w:t>環境製品宣言</w:t>
      </w:r>
      <w:r w:rsidR="003A3411">
        <w:rPr>
          <w:rFonts w:ascii="Arial" w:eastAsiaTheme="minorEastAsia"/>
          <w:sz w:val="19"/>
          <w:szCs w:val="19"/>
          <w:lang w:eastAsia="ja-JP"/>
        </w:rPr>
        <w:tab/>
      </w:r>
      <w:r w:rsidR="003A3411">
        <w:rPr>
          <w:rFonts w:ascii="Arial" w:eastAsiaTheme="minorEastAsia"/>
          <w:sz w:val="19"/>
          <w:szCs w:val="19"/>
          <w:lang w:eastAsia="ja-JP"/>
        </w:rPr>
        <w:tab/>
      </w:r>
      <w:r w:rsidR="003A3411">
        <w:rPr>
          <w:rFonts w:ascii="Arial" w:eastAsiaTheme="minorEastAsia"/>
          <w:sz w:val="19"/>
          <w:szCs w:val="19"/>
          <w:lang w:eastAsia="ja-JP"/>
        </w:rPr>
        <w:tab/>
      </w:r>
      <w:r w:rsidR="003A3411">
        <w:rPr>
          <w:rFonts w:ascii="Arial" w:eastAsiaTheme="minorEastAsia"/>
          <w:sz w:val="19"/>
          <w:szCs w:val="19"/>
          <w:lang w:eastAsia="ja-JP"/>
        </w:rPr>
        <w:tab/>
      </w:r>
      <w:r w:rsidR="003A3411">
        <w:rPr>
          <w:rFonts w:ascii="Arial" w:eastAsiaTheme="minorEastAsia"/>
          <w:sz w:val="19"/>
          <w:szCs w:val="19"/>
          <w:lang w:eastAsia="ja-JP"/>
        </w:rPr>
        <w:tab/>
      </w:r>
      <w:r w:rsidR="003A3411" w:rsidRPr="006A1464">
        <w:rPr>
          <w:rFonts w:ascii="Arial" w:eastAsiaTheme="minorEastAsia" w:hint="eastAsia"/>
          <w:b/>
          <w:bCs/>
          <w:sz w:val="19"/>
          <w:szCs w:val="19"/>
          <w:lang w:eastAsia="ja-JP"/>
        </w:rPr>
        <w:t>UNFCCC</w:t>
      </w:r>
      <w:r w:rsidR="003A3411">
        <w:rPr>
          <w:rFonts w:ascii="Arial" w:eastAsiaTheme="minorEastAsia"/>
          <w:sz w:val="19"/>
          <w:szCs w:val="19"/>
          <w:lang w:eastAsia="ja-JP"/>
        </w:rPr>
        <w:tab/>
      </w:r>
      <w:r w:rsidR="00784527">
        <w:rPr>
          <w:rFonts w:ascii="Arial" w:eastAsiaTheme="minorEastAsia" w:hint="eastAsia"/>
          <w:sz w:val="19"/>
          <w:szCs w:val="19"/>
          <w:lang w:eastAsia="ja-JP"/>
        </w:rPr>
        <w:t>気候変動枠組条約</w:t>
      </w:r>
    </w:p>
    <w:p w14:paraId="6FE338A8" w14:textId="10E08835" w:rsidR="00BA5F75" w:rsidRDefault="00BA5F75" w:rsidP="00A403E6">
      <w:pPr>
        <w:spacing w:line="360" w:lineRule="auto"/>
        <w:ind w:leftChars="321" w:left="706" w:firstLine="1"/>
        <w:rPr>
          <w:rFonts w:ascii="Arial" w:eastAsiaTheme="minorEastAsia" w:hint="eastAsia"/>
          <w:sz w:val="19"/>
          <w:szCs w:val="19"/>
          <w:lang w:eastAsia="ja-JP"/>
        </w:rPr>
      </w:pPr>
      <w:r w:rsidRPr="006A1464">
        <w:rPr>
          <w:rFonts w:ascii="Arial" w:eastAsiaTheme="minorEastAsia" w:hint="eastAsia"/>
          <w:b/>
          <w:bCs/>
          <w:sz w:val="19"/>
          <w:szCs w:val="19"/>
          <w:lang w:eastAsia="ja-JP"/>
        </w:rPr>
        <w:t>FAO</w:t>
      </w:r>
      <w:r>
        <w:rPr>
          <w:rFonts w:ascii="Arial" w:eastAsiaTheme="minorEastAsia"/>
          <w:sz w:val="19"/>
          <w:szCs w:val="19"/>
          <w:lang w:eastAsia="ja-JP"/>
        </w:rPr>
        <w:tab/>
      </w:r>
      <w:r>
        <w:rPr>
          <w:rFonts w:ascii="Arial" w:eastAsiaTheme="minorEastAsia"/>
          <w:sz w:val="19"/>
          <w:szCs w:val="19"/>
          <w:lang w:eastAsia="ja-JP"/>
        </w:rPr>
        <w:tab/>
      </w:r>
      <w:r>
        <w:rPr>
          <w:rFonts w:ascii="Arial" w:eastAsiaTheme="minorEastAsia" w:hint="eastAsia"/>
          <w:sz w:val="19"/>
          <w:szCs w:val="19"/>
          <w:lang w:eastAsia="ja-JP"/>
        </w:rPr>
        <w:t>国連食糧農業機関</w:t>
      </w:r>
      <w:r w:rsidR="00784527">
        <w:rPr>
          <w:rFonts w:ascii="Arial" w:eastAsiaTheme="minorEastAsia"/>
          <w:sz w:val="19"/>
          <w:szCs w:val="19"/>
          <w:lang w:eastAsia="ja-JP"/>
        </w:rPr>
        <w:tab/>
      </w:r>
      <w:r w:rsidR="00784527">
        <w:rPr>
          <w:rFonts w:ascii="Arial" w:eastAsiaTheme="minorEastAsia"/>
          <w:sz w:val="19"/>
          <w:szCs w:val="19"/>
          <w:lang w:eastAsia="ja-JP"/>
        </w:rPr>
        <w:tab/>
      </w:r>
      <w:r w:rsidR="00784527">
        <w:rPr>
          <w:rFonts w:ascii="Arial" w:eastAsiaTheme="minorEastAsia"/>
          <w:sz w:val="19"/>
          <w:szCs w:val="19"/>
          <w:lang w:eastAsia="ja-JP"/>
        </w:rPr>
        <w:tab/>
      </w:r>
      <w:r w:rsidR="00784527">
        <w:rPr>
          <w:rFonts w:ascii="Arial" w:eastAsiaTheme="minorEastAsia"/>
          <w:sz w:val="19"/>
          <w:szCs w:val="19"/>
          <w:lang w:eastAsia="ja-JP"/>
        </w:rPr>
        <w:tab/>
      </w:r>
      <w:r w:rsidR="00784527" w:rsidRPr="006A1464">
        <w:rPr>
          <w:rFonts w:ascii="Arial" w:eastAsiaTheme="minorEastAsia" w:hint="eastAsia"/>
          <w:b/>
          <w:bCs/>
          <w:sz w:val="19"/>
          <w:szCs w:val="19"/>
          <w:lang w:eastAsia="ja-JP"/>
        </w:rPr>
        <w:t>UNSPSC</w:t>
      </w:r>
      <w:r w:rsidR="00784527">
        <w:rPr>
          <w:rFonts w:ascii="Arial" w:eastAsiaTheme="minorEastAsia"/>
          <w:sz w:val="19"/>
          <w:szCs w:val="19"/>
          <w:lang w:eastAsia="ja-JP"/>
        </w:rPr>
        <w:tab/>
      </w:r>
      <w:r w:rsidR="00784527">
        <w:rPr>
          <w:rFonts w:ascii="Arial" w:eastAsiaTheme="minorEastAsia" w:hint="eastAsia"/>
          <w:sz w:val="19"/>
          <w:szCs w:val="19"/>
          <w:lang w:eastAsia="ja-JP"/>
        </w:rPr>
        <w:t>国連標準製品サービスコード</w:t>
      </w:r>
    </w:p>
    <w:p w14:paraId="04D91B6A" w14:textId="46BF5791" w:rsidR="00BA5F75" w:rsidRDefault="00BA5F75" w:rsidP="00A403E6">
      <w:pPr>
        <w:spacing w:line="360" w:lineRule="auto"/>
        <w:ind w:leftChars="321" w:left="706" w:firstLine="1"/>
        <w:rPr>
          <w:rFonts w:ascii="Arial" w:eastAsiaTheme="minorEastAsia" w:hint="eastAsia"/>
          <w:sz w:val="19"/>
          <w:szCs w:val="19"/>
          <w:lang w:eastAsia="ja-JP"/>
        </w:rPr>
      </w:pPr>
      <w:r w:rsidRPr="006A1464">
        <w:rPr>
          <w:rFonts w:ascii="Arial" w:eastAsiaTheme="minorEastAsia" w:hint="eastAsia"/>
          <w:b/>
          <w:bCs/>
          <w:sz w:val="19"/>
          <w:szCs w:val="19"/>
          <w:lang w:eastAsia="ja-JP"/>
        </w:rPr>
        <w:t>GHG</w:t>
      </w:r>
      <w:r>
        <w:rPr>
          <w:rFonts w:ascii="Arial" w:eastAsiaTheme="minorEastAsia"/>
          <w:sz w:val="19"/>
          <w:szCs w:val="19"/>
          <w:lang w:eastAsia="ja-JP"/>
        </w:rPr>
        <w:tab/>
      </w:r>
      <w:r>
        <w:rPr>
          <w:rFonts w:ascii="Arial" w:eastAsiaTheme="minorEastAsia"/>
          <w:sz w:val="19"/>
          <w:szCs w:val="19"/>
          <w:lang w:eastAsia="ja-JP"/>
        </w:rPr>
        <w:tab/>
      </w:r>
      <w:r>
        <w:rPr>
          <w:rFonts w:ascii="Arial" w:eastAsiaTheme="minorEastAsia" w:hint="eastAsia"/>
          <w:sz w:val="19"/>
          <w:szCs w:val="19"/>
          <w:lang w:eastAsia="ja-JP"/>
        </w:rPr>
        <w:t>温室効果ガス</w:t>
      </w:r>
      <w:r w:rsidR="00784527">
        <w:rPr>
          <w:rFonts w:ascii="Arial" w:eastAsiaTheme="minorEastAsia"/>
          <w:sz w:val="19"/>
          <w:szCs w:val="19"/>
          <w:lang w:eastAsia="ja-JP"/>
        </w:rPr>
        <w:tab/>
      </w:r>
      <w:r w:rsidR="00784527">
        <w:rPr>
          <w:rFonts w:ascii="Arial" w:eastAsiaTheme="minorEastAsia"/>
          <w:sz w:val="19"/>
          <w:szCs w:val="19"/>
          <w:lang w:eastAsia="ja-JP"/>
        </w:rPr>
        <w:tab/>
      </w:r>
      <w:r w:rsidR="00784527">
        <w:rPr>
          <w:rFonts w:ascii="Arial" w:eastAsiaTheme="minorEastAsia"/>
          <w:sz w:val="19"/>
          <w:szCs w:val="19"/>
          <w:lang w:eastAsia="ja-JP"/>
        </w:rPr>
        <w:tab/>
      </w:r>
      <w:r w:rsidR="00784527">
        <w:rPr>
          <w:rFonts w:ascii="Arial" w:eastAsiaTheme="minorEastAsia"/>
          <w:sz w:val="19"/>
          <w:szCs w:val="19"/>
          <w:lang w:eastAsia="ja-JP"/>
        </w:rPr>
        <w:tab/>
      </w:r>
      <w:r w:rsidR="00784527">
        <w:rPr>
          <w:rFonts w:ascii="Arial" w:eastAsiaTheme="minorEastAsia"/>
          <w:sz w:val="19"/>
          <w:szCs w:val="19"/>
          <w:lang w:eastAsia="ja-JP"/>
        </w:rPr>
        <w:tab/>
      </w:r>
      <w:r w:rsidR="00784527" w:rsidRPr="006A1464">
        <w:rPr>
          <w:rFonts w:ascii="Arial" w:eastAsiaTheme="minorEastAsia" w:hint="eastAsia"/>
          <w:b/>
          <w:bCs/>
          <w:sz w:val="19"/>
          <w:szCs w:val="19"/>
          <w:lang w:eastAsia="ja-JP"/>
        </w:rPr>
        <w:t>WBCSD</w:t>
      </w:r>
      <w:r w:rsidR="00784527" w:rsidRPr="006A1464">
        <w:rPr>
          <w:rFonts w:ascii="Arial" w:eastAsiaTheme="minorEastAsia"/>
          <w:b/>
          <w:bCs/>
          <w:sz w:val="19"/>
          <w:szCs w:val="19"/>
          <w:lang w:eastAsia="ja-JP"/>
        </w:rPr>
        <w:tab/>
      </w:r>
      <w:r w:rsidR="00784527">
        <w:rPr>
          <w:rFonts w:ascii="Arial" w:eastAsiaTheme="minorEastAsia"/>
          <w:sz w:val="19"/>
          <w:szCs w:val="19"/>
          <w:lang w:eastAsia="ja-JP"/>
        </w:rPr>
        <w:tab/>
      </w:r>
      <w:r w:rsidR="00784527">
        <w:rPr>
          <w:rFonts w:ascii="Arial" w:eastAsiaTheme="minorEastAsia" w:hint="eastAsia"/>
          <w:sz w:val="19"/>
          <w:szCs w:val="19"/>
          <w:lang w:eastAsia="ja-JP"/>
        </w:rPr>
        <w:t>持続可能な開発のための世界経済人会議</w:t>
      </w:r>
    </w:p>
    <w:p w14:paraId="3BAC9F5A" w14:textId="0CF7F0E9" w:rsidR="00BA5F75" w:rsidRDefault="00BA5F75" w:rsidP="00A403E6">
      <w:pPr>
        <w:spacing w:line="360" w:lineRule="auto"/>
        <w:ind w:leftChars="321" w:left="706" w:firstLine="1"/>
        <w:rPr>
          <w:rFonts w:ascii="Arial" w:eastAsiaTheme="minorEastAsia" w:hint="eastAsia"/>
          <w:sz w:val="19"/>
          <w:szCs w:val="19"/>
          <w:lang w:eastAsia="ja-JP"/>
        </w:rPr>
      </w:pPr>
      <w:r w:rsidRPr="006A1464">
        <w:rPr>
          <w:rFonts w:ascii="Arial" w:eastAsiaTheme="minorEastAsia" w:hint="eastAsia"/>
          <w:b/>
          <w:bCs/>
          <w:sz w:val="19"/>
          <w:szCs w:val="19"/>
          <w:lang w:eastAsia="ja-JP"/>
        </w:rPr>
        <w:t>GIS</w:t>
      </w:r>
      <w:r>
        <w:rPr>
          <w:rFonts w:ascii="Arial" w:eastAsiaTheme="minorEastAsia"/>
          <w:sz w:val="19"/>
          <w:szCs w:val="19"/>
          <w:lang w:eastAsia="ja-JP"/>
        </w:rPr>
        <w:tab/>
      </w:r>
      <w:r>
        <w:rPr>
          <w:rFonts w:ascii="Arial" w:eastAsiaTheme="minorEastAsia"/>
          <w:sz w:val="19"/>
          <w:szCs w:val="19"/>
          <w:lang w:eastAsia="ja-JP"/>
        </w:rPr>
        <w:tab/>
      </w:r>
      <w:r>
        <w:rPr>
          <w:rFonts w:ascii="Arial" w:eastAsiaTheme="minorEastAsia" w:hint="eastAsia"/>
          <w:sz w:val="19"/>
          <w:szCs w:val="19"/>
          <w:lang w:eastAsia="ja-JP"/>
        </w:rPr>
        <w:t>地理情報システム</w:t>
      </w:r>
      <w:r w:rsidR="00784527">
        <w:rPr>
          <w:rFonts w:ascii="Arial" w:eastAsiaTheme="minorEastAsia"/>
          <w:sz w:val="19"/>
          <w:szCs w:val="19"/>
          <w:lang w:eastAsia="ja-JP"/>
        </w:rPr>
        <w:tab/>
      </w:r>
      <w:r w:rsidR="00784527">
        <w:rPr>
          <w:rFonts w:ascii="Arial" w:eastAsiaTheme="minorEastAsia"/>
          <w:sz w:val="19"/>
          <w:szCs w:val="19"/>
          <w:lang w:eastAsia="ja-JP"/>
        </w:rPr>
        <w:tab/>
      </w:r>
      <w:r w:rsidR="00784527">
        <w:rPr>
          <w:rFonts w:ascii="Arial" w:eastAsiaTheme="minorEastAsia"/>
          <w:sz w:val="19"/>
          <w:szCs w:val="19"/>
          <w:lang w:eastAsia="ja-JP"/>
        </w:rPr>
        <w:tab/>
      </w:r>
      <w:r w:rsidR="00784527">
        <w:rPr>
          <w:rFonts w:ascii="Arial" w:eastAsiaTheme="minorEastAsia"/>
          <w:sz w:val="19"/>
          <w:szCs w:val="19"/>
          <w:lang w:eastAsia="ja-JP"/>
        </w:rPr>
        <w:tab/>
      </w:r>
      <w:r w:rsidR="00784527" w:rsidRPr="006A1464">
        <w:rPr>
          <w:rFonts w:ascii="Arial" w:eastAsiaTheme="minorEastAsia" w:hint="eastAsia"/>
          <w:b/>
          <w:bCs/>
          <w:sz w:val="19"/>
          <w:szCs w:val="19"/>
          <w:lang w:eastAsia="ja-JP"/>
        </w:rPr>
        <w:t>WRI</w:t>
      </w:r>
      <w:r w:rsidR="00784527">
        <w:rPr>
          <w:rFonts w:ascii="Arial" w:eastAsiaTheme="minorEastAsia"/>
          <w:sz w:val="19"/>
          <w:szCs w:val="19"/>
          <w:lang w:eastAsia="ja-JP"/>
        </w:rPr>
        <w:tab/>
      </w:r>
      <w:r w:rsidR="00784527">
        <w:rPr>
          <w:rFonts w:ascii="Arial" w:eastAsiaTheme="minorEastAsia"/>
          <w:sz w:val="19"/>
          <w:szCs w:val="19"/>
          <w:lang w:eastAsia="ja-JP"/>
        </w:rPr>
        <w:tab/>
      </w:r>
      <w:r w:rsidR="00784527">
        <w:rPr>
          <w:rFonts w:ascii="Arial" w:eastAsiaTheme="minorEastAsia" w:hint="eastAsia"/>
          <w:sz w:val="19"/>
          <w:szCs w:val="19"/>
          <w:lang w:eastAsia="ja-JP"/>
        </w:rPr>
        <w:t>世界資源研究所</w:t>
      </w:r>
    </w:p>
    <w:p w14:paraId="2317CCC0" w14:textId="6D2B5BBB" w:rsidR="00BA5F75" w:rsidRDefault="00BA5F75" w:rsidP="00A403E6">
      <w:pPr>
        <w:spacing w:line="360" w:lineRule="auto"/>
        <w:ind w:leftChars="321" w:left="706" w:firstLine="1"/>
        <w:rPr>
          <w:rFonts w:ascii="Arial" w:eastAsiaTheme="minorEastAsia"/>
          <w:sz w:val="19"/>
          <w:szCs w:val="19"/>
          <w:lang w:eastAsia="ja-JP"/>
        </w:rPr>
      </w:pPr>
      <w:r w:rsidRPr="006A1464">
        <w:rPr>
          <w:rFonts w:ascii="Arial" w:eastAsiaTheme="minorEastAsia" w:hint="eastAsia"/>
          <w:b/>
          <w:bCs/>
          <w:sz w:val="19"/>
          <w:szCs w:val="19"/>
          <w:lang w:eastAsia="ja-JP"/>
        </w:rPr>
        <w:t>GTP</w:t>
      </w:r>
      <w:r>
        <w:rPr>
          <w:rFonts w:ascii="Arial" w:eastAsiaTheme="minorEastAsia"/>
          <w:sz w:val="19"/>
          <w:szCs w:val="19"/>
          <w:lang w:eastAsia="ja-JP"/>
        </w:rPr>
        <w:tab/>
      </w:r>
      <w:r>
        <w:rPr>
          <w:rFonts w:ascii="Arial" w:eastAsiaTheme="minorEastAsia"/>
          <w:sz w:val="19"/>
          <w:szCs w:val="19"/>
          <w:lang w:eastAsia="ja-JP"/>
        </w:rPr>
        <w:tab/>
      </w:r>
      <w:r>
        <w:rPr>
          <w:rFonts w:ascii="Arial" w:eastAsiaTheme="minorEastAsia" w:hint="eastAsia"/>
          <w:sz w:val="19"/>
          <w:szCs w:val="19"/>
          <w:lang w:eastAsia="ja-JP"/>
        </w:rPr>
        <w:t>地球温度変化係数</w:t>
      </w:r>
    </w:p>
    <w:p w14:paraId="43B985F5" w14:textId="1BC192FF" w:rsidR="00BA5F75" w:rsidRDefault="00806512" w:rsidP="00A403E6">
      <w:pPr>
        <w:spacing w:line="360" w:lineRule="auto"/>
        <w:ind w:leftChars="321" w:left="706" w:firstLine="1"/>
        <w:rPr>
          <w:rFonts w:ascii="Arial" w:eastAsiaTheme="minorEastAsia"/>
          <w:sz w:val="19"/>
          <w:szCs w:val="19"/>
          <w:lang w:eastAsia="ja-JP"/>
        </w:rPr>
      </w:pPr>
      <w:r w:rsidRPr="006A1464">
        <w:rPr>
          <w:rFonts w:ascii="Arial" w:eastAsiaTheme="minorEastAsia"/>
          <w:b/>
          <w:bCs/>
          <w:noProof/>
          <w:sz w:val="19"/>
          <w:szCs w:val="19"/>
          <w:lang w:eastAsia="ja-JP"/>
        </w:rPr>
        <w:drawing>
          <wp:anchor distT="0" distB="0" distL="114300" distR="114300" simplePos="0" relativeHeight="251662336" behindDoc="0" locked="0" layoutInCell="1" allowOverlap="1" wp14:anchorId="02FFCF71" wp14:editId="565DDFA3">
            <wp:simplePos x="0" y="0"/>
            <wp:positionH relativeFrom="column">
              <wp:posOffset>4425950</wp:posOffset>
            </wp:positionH>
            <wp:positionV relativeFrom="paragraph">
              <wp:posOffset>106045</wp:posOffset>
            </wp:positionV>
            <wp:extent cx="2765425" cy="4366260"/>
            <wp:effectExtent l="0" t="0" r="0" b="0"/>
            <wp:wrapSquare wrapText="bothSides"/>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3"/>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765425" cy="4366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5F75" w:rsidRPr="006A1464">
        <w:rPr>
          <w:rFonts w:ascii="Arial" w:eastAsiaTheme="minorEastAsia" w:hint="eastAsia"/>
          <w:b/>
          <w:bCs/>
          <w:sz w:val="19"/>
          <w:szCs w:val="19"/>
          <w:lang w:eastAsia="ja-JP"/>
        </w:rPr>
        <w:t>GWP</w:t>
      </w:r>
      <w:r w:rsidR="00BA5F75">
        <w:rPr>
          <w:rFonts w:ascii="Arial" w:eastAsiaTheme="minorEastAsia"/>
          <w:sz w:val="19"/>
          <w:szCs w:val="19"/>
          <w:lang w:eastAsia="ja-JP"/>
        </w:rPr>
        <w:tab/>
      </w:r>
      <w:r w:rsidR="00BA5F75">
        <w:rPr>
          <w:rFonts w:ascii="Arial" w:eastAsiaTheme="minorEastAsia"/>
          <w:sz w:val="19"/>
          <w:szCs w:val="19"/>
          <w:lang w:eastAsia="ja-JP"/>
        </w:rPr>
        <w:tab/>
      </w:r>
      <w:r w:rsidR="00BA5F75">
        <w:rPr>
          <w:rFonts w:ascii="Arial" w:eastAsiaTheme="minorEastAsia" w:hint="eastAsia"/>
          <w:sz w:val="19"/>
          <w:szCs w:val="19"/>
          <w:lang w:eastAsia="ja-JP"/>
        </w:rPr>
        <w:t>地球温暖化係数</w:t>
      </w:r>
    </w:p>
    <w:p w14:paraId="08DAFCB8" w14:textId="5189BD68" w:rsidR="00BA5F75" w:rsidRDefault="00BA5F75" w:rsidP="00A403E6">
      <w:pPr>
        <w:spacing w:line="360" w:lineRule="auto"/>
        <w:ind w:leftChars="321" w:left="706" w:firstLine="1"/>
        <w:rPr>
          <w:rFonts w:ascii="Arial" w:eastAsiaTheme="minorEastAsia"/>
          <w:sz w:val="19"/>
          <w:szCs w:val="19"/>
          <w:lang w:eastAsia="ja-JP"/>
        </w:rPr>
      </w:pPr>
      <w:r w:rsidRPr="006A1464">
        <w:rPr>
          <w:rFonts w:ascii="Arial" w:eastAsiaTheme="minorEastAsia" w:hint="eastAsia"/>
          <w:b/>
          <w:bCs/>
          <w:sz w:val="19"/>
          <w:szCs w:val="19"/>
          <w:lang w:eastAsia="ja-JP"/>
        </w:rPr>
        <w:t>HFC</w:t>
      </w:r>
      <w:r w:rsidR="00A403E6" w:rsidRPr="006A1464">
        <w:rPr>
          <w:rFonts w:ascii="Arial" w:eastAsiaTheme="minorEastAsia" w:hint="eastAsia"/>
          <w:b/>
          <w:bCs/>
          <w:sz w:val="19"/>
          <w:szCs w:val="19"/>
          <w:lang w:eastAsia="ja-JP"/>
        </w:rPr>
        <w:t>s</w:t>
      </w:r>
      <w:r>
        <w:rPr>
          <w:rFonts w:ascii="Arial" w:eastAsiaTheme="minorEastAsia"/>
          <w:sz w:val="19"/>
          <w:szCs w:val="19"/>
          <w:lang w:eastAsia="ja-JP"/>
        </w:rPr>
        <w:tab/>
      </w:r>
      <w:r>
        <w:rPr>
          <w:rFonts w:ascii="Arial" w:eastAsiaTheme="minorEastAsia"/>
          <w:sz w:val="19"/>
          <w:szCs w:val="19"/>
          <w:lang w:eastAsia="ja-JP"/>
        </w:rPr>
        <w:tab/>
      </w:r>
      <w:r>
        <w:rPr>
          <w:rFonts w:ascii="Arial" w:eastAsiaTheme="minorEastAsia" w:hint="eastAsia"/>
          <w:sz w:val="19"/>
          <w:szCs w:val="19"/>
          <w:lang w:eastAsia="ja-JP"/>
        </w:rPr>
        <w:t>ハイドロフルオロカーボン・代替フロン</w:t>
      </w:r>
    </w:p>
    <w:p w14:paraId="329ED767" w14:textId="25ADE89D" w:rsidR="00BA5F75" w:rsidRDefault="00BA5F75" w:rsidP="00A403E6">
      <w:pPr>
        <w:spacing w:line="360" w:lineRule="auto"/>
        <w:ind w:leftChars="321" w:left="706" w:firstLine="1"/>
        <w:rPr>
          <w:rFonts w:ascii="Arial" w:eastAsiaTheme="minorEastAsia"/>
          <w:sz w:val="19"/>
          <w:szCs w:val="19"/>
          <w:lang w:eastAsia="ja-JP"/>
        </w:rPr>
      </w:pPr>
      <w:r w:rsidRPr="006A1464">
        <w:rPr>
          <w:rFonts w:ascii="Arial" w:eastAsiaTheme="minorEastAsia" w:hint="eastAsia"/>
          <w:b/>
          <w:bCs/>
          <w:sz w:val="19"/>
          <w:szCs w:val="19"/>
          <w:lang w:eastAsia="ja-JP"/>
        </w:rPr>
        <w:t>ILCD</w:t>
      </w:r>
      <w:r>
        <w:rPr>
          <w:rFonts w:ascii="Arial" w:eastAsiaTheme="minorEastAsia"/>
          <w:sz w:val="19"/>
          <w:szCs w:val="19"/>
          <w:lang w:eastAsia="ja-JP"/>
        </w:rPr>
        <w:tab/>
      </w:r>
      <w:r>
        <w:rPr>
          <w:rFonts w:ascii="Arial" w:eastAsiaTheme="minorEastAsia"/>
          <w:sz w:val="19"/>
          <w:szCs w:val="19"/>
          <w:lang w:eastAsia="ja-JP"/>
        </w:rPr>
        <w:tab/>
      </w:r>
      <w:r>
        <w:rPr>
          <w:rFonts w:ascii="Arial" w:eastAsiaTheme="minorEastAsia" w:hint="eastAsia"/>
          <w:sz w:val="19"/>
          <w:szCs w:val="19"/>
          <w:lang w:eastAsia="ja-JP"/>
        </w:rPr>
        <w:t>国際レファレンス・ライフサイクル・データ</w:t>
      </w:r>
    </w:p>
    <w:p w14:paraId="47F39550" w14:textId="0713A015" w:rsidR="00BA5F75" w:rsidRDefault="00BA5F75" w:rsidP="00A403E6">
      <w:pPr>
        <w:spacing w:line="360" w:lineRule="auto"/>
        <w:ind w:leftChars="321" w:left="706" w:firstLine="1"/>
        <w:rPr>
          <w:rFonts w:ascii="Arial" w:eastAsiaTheme="minorEastAsia"/>
          <w:sz w:val="19"/>
          <w:szCs w:val="19"/>
          <w:lang w:eastAsia="ja-JP"/>
        </w:rPr>
      </w:pPr>
      <w:r w:rsidRPr="006A1464">
        <w:rPr>
          <w:rFonts w:ascii="Arial" w:eastAsiaTheme="minorEastAsia" w:hint="eastAsia"/>
          <w:b/>
          <w:bCs/>
          <w:sz w:val="19"/>
          <w:szCs w:val="19"/>
          <w:lang w:eastAsia="ja-JP"/>
        </w:rPr>
        <w:t>IPCC</w:t>
      </w:r>
      <w:r>
        <w:rPr>
          <w:rFonts w:ascii="Arial" w:eastAsiaTheme="minorEastAsia"/>
          <w:sz w:val="19"/>
          <w:szCs w:val="19"/>
          <w:lang w:eastAsia="ja-JP"/>
        </w:rPr>
        <w:tab/>
      </w:r>
      <w:r>
        <w:rPr>
          <w:rFonts w:ascii="Arial" w:eastAsiaTheme="minorEastAsia"/>
          <w:sz w:val="19"/>
          <w:szCs w:val="19"/>
          <w:lang w:eastAsia="ja-JP"/>
        </w:rPr>
        <w:tab/>
      </w:r>
      <w:r>
        <w:rPr>
          <w:rFonts w:ascii="Arial" w:eastAsiaTheme="minorEastAsia" w:hint="eastAsia"/>
          <w:sz w:val="19"/>
          <w:szCs w:val="19"/>
          <w:lang w:eastAsia="ja-JP"/>
        </w:rPr>
        <w:t>気候変動に関する政府間パネル</w:t>
      </w:r>
    </w:p>
    <w:p w14:paraId="3F1BD847" w14:textId="497FBBAE" w:rsidR="00BA5F75" w:rsidRDefault="00BA5F75" w:rsidP="00A403E6">
      <w:pPr>
        <w:spacing w:line="360" w:lineRule="auto"/>
        <w:ind w:leftChars="321" w:left="706" w:firstLine="1"/>
        <w:rPr>
          <w:rFonts w:ascii="Arial" w:eastAsiaTheme="minorEastAsia"/>
          <w:sz w:val="19"/>
          <w:szCs w:val="19"/>
          <w:lang w:eastAsia="ja-JP"/>
        </w:rPr>
      </w:pPr>
      <w:r w:rsidRPr="006A1464">
        <w:rPr>
          <w:rFonts w:ascii="Arial" w:eastAsiaTheme="minorEastAsia" w:hint="eastAsia"/>
          <w:b/>
          <w:bCs/>
          <w:sz w:val="19"/>
          <w:szCs w:val="19"/>
          <w:lang w:eastAsia="ja-JP"/>
        </w:rPr>
        <w:t>ISO</w:t>
      </w:r>
      <w:r>
        <w:rPr>
          <w:rFonts w:ascii="Arial" w:eastAsiaTheme="minorEastAsia"/>
          <w:sz w:val="19"/>
          <w:szCs w:val="19"/>
          <w:lang w:eastAsia="ja-JP"/>
        </w:rPr>
        <w:tab/>
      </w:r>
      <w:r>
        <w:rPr>
          <w:rFonts w:ascii="Arial" w:eastAsiaTheme="minorEastAsia"/>
          <w:sz w:val="19"/>
          <w:szCs w:val="19"/>
          <w:lang w:eastAsia="ja-JP"/>
        </w:rPr>
        <w:tab/>
      </w:r>
      <w:r>
        <w:rPr>
          <w:rFonts w:ascii="Arial" w:eastAsiaTheme="minorEastAsia" w:hint="eastAsia"/>
          <w:sz w:val="19"/>
          <w:szCs w:val="19"/>
          <w:lang w:eastAsia="ja-JP"/>
        </w:rPr>
        <w:t>国際標準化機構</w:t>
      </w:r>
    </w:p>
    <w:p w14:paraId="7C990B8C" w14:textId="6C0EF4F3" w:rsidR="00BA5F75" w:rsidRDefault="006A1464" w:rsidP="00A403E6">
      <w:pPr>
        <w:spacing w:line="360" w:lineRule="auto"/>
        <w:ind w:leftChars="321" w:left="706" w:firstLine="1"/>
        <w:rPr>
          <w:rFonts w:ascii="Arial" w:eastAsiaTheme="minorEastAsia"/>
          <w:sz w:val="19"/>
          <w:szCs w:val="19"/>
          <w:lang w:eastAsia="ja-JP"/>
        </w:rPr>
      </w:pPr>
      <w:r>
        <w:rPr>
          <w:rFonts w:ascii="Arial" w:eastAsiaTheme="minorEastAsia" w:hint="eastAsia"/>
          <w:b/>
          <w:bCs/>
          <w:sz w:val="19"/>
          <w:szCs w:val="19"/>
          <w:lang w:eastAsia="ja-JP"/>
        </w:rPr>
        <w:t>k</w:t>
      </w:r>
      <w:r>
        <w:rPr>
          <w:rFonts w:ascii="Arial" w:eastAsiaTheme="minorEastAsia"/>
          <w:b/>
          <w:bCs/>
          <w:sz w:val="19"/>
          <w:szCs w:val="19"/>
          <w:lang w:eastAsia="ja-JP"/>
        </w:rPr>
        <w:t>g</w:t>
      </w:r>
      <w:r w:rsidR="00BA5F75">
        <w:rPr>
          <w:rFonts w:ascii="Arial" w:eastAsiaTheme="minorEastAsia"/>
          <w:sz w:val="19"/>
          <w:szCs w:val="19"/>
          <w:lang w:eastAsia="ja-JP"/>
        </w:rPr>
        <w:tab/>
      </w:r>
      <w:r w:rsidR="00BA5F75">
        <w:rPr>
          <w:rFonts w:ascii="Arial" w:eastAsiaTheme="minorEastAsia"/>
          <w:sz w:val="19"/>
          <w:szCs w:val="19"/>
          <w:lang w:eastAsia="ja-JP"/>
        </w:rPr>
        <w:tab/>
      </w:r>
      <w:r w:rsidR="00BA5F75">
        <w:rPr>
          <w:rFonts w:ascii="Arial" w:eastAsiaTheme="minorEastAsia" w:hint="eastAsia"/>
          <w:sz w:val="19"/>
          <w:szCs w:val="19"/>
          <w:lang w:eastAsia="ja-JP"/>
        </w:rPr>
        <w:t>キログラム</w:t>
      </w:r>
    </w:p>
    <w:p w14:paraId="11C5B3B5" w14:textId="1C40ECF6" w:rsidR="00BA5F75" w:rsidRDefault="00BA5F75" w:rsidP="00A403E6">
      <w:pPr>
        <w:spacing w:line="360" w:lineRule="auto"/>
        <w:ind w:leftChars="321" w:left="706" w:firstLine="1"/>
        <w:rPr>
          <w:rFonts w:ascii="Arial" w:eastAsiaTheme="minorEastAsia"/>
          <w:sz w:val="19"/>
          <w:szCs w:val="19"/>
          <w:lang w:eastAsia="ja-JP"/>
        </w:rPr>
      </w:pPr>
      <w:r w:rsidRPr="006A1464">
        <w:rPr>
          <w:rFonts w:ascii="Arial" w:eastAsiaTheme="minorEastAsia" w:hint="eastAsia"/>
          <w:b/>
          <w:bCs/>
          <w:sz w:val="19"/>
          <w:szCs w:val="19"/>
          <w:lang w:eastAsia="ja-JP"/>
        </w:rPr>
        <w:t>LCA</w:t>
      </w:r>
      <w:r>
        <w:rPr>
          <w:rFonts w:ascii="Arial" w:eastAsiaTheme="minorEastAsia"/>
          <w:sz w:val="19"/>
          <w:szCs w:val="19"/>
          <w:lang w:eastAsia="ja-JP"/>
        </w:rPr>
        <w:tab/>
      </w:r>
      <w:r>
        <w:rPr>
          <w:rFonts w:ascii="Arial" w:eastAsiaTheme="minorEastAsia"/>
          <w:sz w:val="19"/>
          <w:szCs w:val="19"/>
          <w:lang w:eastAsia="ja-JP"/>
        </w:rPr>
        <w:tab/>
      </w:r>
      <w:r>
        <w:rPr>
          <w:rFonts w:ascii="Arial" w:eastAsiaTheme="minorEastAsia" w:hint="eastAsia"/>
          <w:sz w:val="19"/>
          <w:szCs w:val="19"/>
          <w:lang w:eastAsia="ja-JP"/>
        </w:rPr>
        <w:t>ライフサイクルアセスメント</w:t>
      </w:r>
    </w:p>
    <w:p w14:paraId="2FB12606" w14:textId="46032E16" w:rsidR="00BA5F75" w:rsidRDefault="00BA5F75" w:rsidP="00A403E6">
      <w:pPr>
        <w:spacing w:line="360" w:lineRule="auto"/>
        <w:ind w:leftChars="321" w:left="706" w:firstLine="1"/>
        <w:rPr>
          <w:rFonts w:ascii="Arial" w:eastAsiaTheme="minorEastAsia"/>
          <w:sz w:val="19"/>
          <w:szCs w:val="19"/>
          <w:lang w:eastAsia="ja-JP"/>
        </w:rPr>
      </w:pPr>
      <w:r w:rsidRPr="006A1464">
        <w:rPr>
          <w:rFonts w:ascii="Arial" w:eastAsiaTheme="minorEastAsia" w:hint="eastAsia"/>
          <w:b/>
          <w:bCs/>
          <w:sz w:val="19"/>
          <w:szCs w:val="19"/>
          <w:lang w:eastAsia="ja-JP"/>
        </w:rPr>
        <w:t>LCI</w:t>
      </w:r>
      <w:r>
        <w:rPr>
          <w:rFonts w:ascii="Arial" w:eastAsiaTheme="minorEastAsia"/>
          <w:sz w:val="19"/>
          <w:szCs w:val="19"/>
          <w:lang w:eastAsia="ja-JP"/>
        </w:rPr>
        <w:tab/>
      </w:r>
      <w:r>
        <w:rPr>
          <w:rFonts w:ascii="Arial" w:eastAsiaTheme="minorEastAsia"/>
          <w:sz w:val="19"/>
          <w:szCs w:val="19"/>
          <w:lang w:eastAsia="ja-JP"/>
        </w:rPr>
        <w:tab/>
      </w:r>
      <w:r>
        <w:rPr>
          <w:rFonts w:ascii="Arial" w:eastAsiaTheme="minorEastAsia" w:hint="eastAsia"/>
          <w:sz w:val="19"/>
          <w:szCs w:val="19"/>
          <w:lang w:eastAsia="ja-JP"/>
        </w:rPr>
        <w:t>ライフサイクルインベントリ</w:t>
      </w:r>
    </w:p>
    <w:p w14:paraId="030BEEF1" w14:textId="3C2BC3AF" w:rsidR="00BA5F75" w:rsidRDefault="00BA5F75" w:rsidP="00A403E6">
      <w:pPr>
        <w:spacing w:line="360" w:lineRule="auto"/>
        <w:ind w:leftChars="321" w:left="706" w:firstLine="1"/>
        <w:rPr>
          <w:rFonts w:ascii="Arial" w:eastAsiaTheme="minorEastAsia"/>
          <w:sz w:val="19"/>
          <w:szCs w:val="19"/>
          <w:lang w:eastAsia="ja-JP"/>
        </w:rPr>
      </w:pPr>
      <w:r w:rsidRPr="006A1464">
        <w:rPr>
          <w:rFonts w:ascii="Arial" w:eastAsiaTheme="minorEastAsia" w:hint="eastAsia"/>
          <w:b/>
          <w:bCs/>
          <w:sz w:val="19"/>
          <w:szCs w:val="19"/>
          <w:lang w:eastAsia="ja-JP"/>
        </w:rPr>
        <w:t>MW</w:t>
      </w:r>
      <w:r>
        <w:rPr>
          <w:rFonts w:ascii="Arial" w:eastAsiaTheme="minorEastAsia"/>
          <w:sz w:val="19"/>
          <w:szCs w:val="19"/>
          <w:lang w:eastAsia="ja-JP"/>
        </w:rPr>
        <w:tab/>
      </w:r>
      <w:r>
        <w:rPr>
          <w:rFonts w:ascii="Arial" w:eastAsiaTheme="minorEastAsia"/>
          <w:sz w:val="19"/>
          <w:szCs w:val="19"/>
          <w:lang w:eastAsia="ja-JP"/>
        </w:rPr>
        <w:tab/>
      </w:r>
      <w:r>
        <w:rPr>
          <w:rFonts w:ascii="Arial" w:eastAsiaTheme="minorEastAsia" w:hint="eastAsia"/>
          <w:sz w:val="19"/>
          <w:szCs w:val="19"/>
          <w:lang w:eastAsia="ja-JP"/>
        </w:rPr>
        <w:t>メガワット</w:t>
      </w:r>
    </w:p>
    <w:p w14:paraId="75FEE624" w14:textId="465D1810" w:rsidR="00BA5F75" w:rsidRDefault="00BA5F75" w:rsidP="00A403E6">
      <w:pPr>
        <w:spacing w:line="360" w:lineRule="auto"/>
        <w:ind w:leftChars="321" w:left="706" w:firstLine="1"/>
        <w:rPr>
          <w:rFonts w:ascii="Arial" w:eastAsiaTheme="minorEastAsia"/>
          <w:sz w:val="19"/>
          <w:szCs w:val="19"/>
          <w:lang w:eastAsia="ja-JP"/>
        </w:rPr>
      </w:pPr>
      <w:r w:rsidRPr="006A1464">
        <w:rPr>
          <w:rFonts w:ascii="Arial" w:eastAsiaTheme="minorEastAsia" w:hint="eastAsia"/>
          <w:b/>
          <w:bCs/>
          <w:sz w:val="19"/>
          <w:szCs w:val="19"/>
          <w:lang w:eastAsia="ja-JP"/>
        </w:rPr>
        <w:t>NAICS</w:t>
      </w:r>
      <w:r>
        <w:rPr>
          <w:rFonts w:ascii="Arial" w:eastAsiaTheme="minorEastAsia"/>
          <w:sz w:val="19"/>
          <w:szCs w:val="19"/>
          <w:lang w:eastAsia="ja-JP"/>
        </w:rPr>
        <w:tab/>
      </w:r>
      <w:r>
        <w:rPr>
          <w:rFonts w:ascii="Arial" w:eastAsiaTheme="minorEastAsia"/>
          <w:sz w:val="19"/>
          <w:szCs w:val="19"/>
          <w:lang w:eastAsia="ja-JP"/>
        </w:rPr>
        <w:tab/>
      </w:r>
      <w:r>
        <w:rPr>
          <w:rFonts w:ascii="Arial" w:eastAsiaTheme="minorEastAsia" w:hint="eastAsia"/>
          <w:sz w:val="19"/>
          <w:szCs w:val="19"/>
          <w:lang w:eastAsia="ja-JP"/>
        </w:rPr>
        <w:t>北米産業分類システム</w:t>
      </w:r>
    </w:p>
    <w:p w14:paraId="7C70FEB1" w14:textId="67DF4166" w:rsidR="00BA5F75" w:rsidRDefault="00BA5F75" w:rsidP="00A403E6">
      <w:pPr>
        <w:spacing w:line="360" w:lineRule="auto"/>
        <w:ind w:leftChars="321" w:left="706" w:firstLine="1"/>
        <w:rPr>
          <w:rFonts w:ascii="Arial" w:eastAsiaTheme="minorEastAsia"/>
          <w:sz w:val="19"/>
          <w:szCs w:val="19"/>
          <w:lang w:eastAsia="ja-JP"/>
        </w:rPr>
      </w:pPr>
      <w:r w:rsidRPr="006A1464">
        <w:rPr>
          <w:rFonts w:ascii="Arial" w:eastAsiaTheme="minorEastAsia" w:hint="eastAsia"/>
          <w:b/>
          <w:bCs/>
          <w:sz w:val="19"/>
          <w:szCs w:val="19"/>
          <w:lang w:eastAsia="ja-JP"/>
        </w:rPr>
        <w:t>NGO</w:t>
      </w:r>
      <w:r>
        <w:rPr>
          <w:rFonts w:ascii="Arial" w:eastAsiaTheme="minorEastAsia"/>
          <w:sz w:val="19"/>
          <w:szCs w:val="19"/>
          <w:lang w:eastAsia="ja-JP"/>
        </w:rPr>
        <w:tab/>
      </w:r>
      <w:r>
        <w:rPr>
          <w:rFonts w:ascii="Arial" w:eastAsiaTheme="minorEastAsia"/>
          <w:sz w:val="19"/>
          <w:szCs w:val="19"/>
          <w:lang w:eastAsia="ja-JP"/>
        </w:rPr>
        <w:tab/>
      </w:r>
      <w:r>
        <w:rPr>
          <w:rFonts w:ascii="Arial" w:eastAsiaTheme="minorEastAsia" w:hint="eastAsia"/>
          <w:sz w:val="19"/>
          <w:szCs w:val="19"/>
          <w:lang w:eastAsia="ja-JP"/>
        </w:rPr>
        <w:t>非政府組織</w:t>
      </w:r>
    </w:p>
    <w:p w14:paraId="7ADCE50E" w14:textId="06F88ECE" w:rsidR="00BA5F75" w:rsidRDefault="00BA5F75" w:rsidP="00A403E6">
      <w:pPr>
        <w:spacing w:line="360" w:lineRule="auto"/>
        <w:ind w:leftChars="321" w:left="706" w:firstLine="1"/>
        <w:rPr>
          <w:rFonts w:ascii="Arial" w:eastAsiaTheme="minorEastAsia"/>
          <w:sz w:val="19"/>
          <w:szCs w:val="19"/>
          <w:lang w:eastAsia="ja-JP"/>
        </w:rPr>
      </w:pPr>
      <w:r w:rsidRPr="006A1464">
        <w:rPr>
          <w:rFonts w:ascii="Arial" w:eastAsiaTheme="minorEastAsia" w:hint="eastAsia"/>
          <w:b/>
          <w:bCs/>
          <w:sz w:val="19"/>
          <w:szCs w:val="19"/>
          <w:lang w:eastAsia="ja-JP"/>
        </w:rPr>
        <w:t>N2O</w:t>
      </w:r>
      <w:r>
        <w:rPr>
          <w:rFonts w:ascii="Arial" w:eastAsiaTheme="minorEastAsia"/>
          <w:sz w:val="19"/>
          <w:szCs w:val="19"/>
          <w:lang w:eastAsia="ja-JP"/>
        </w:rPr>
        <w:tab/>
      </w:r>
      <w:r>
        <w:rPr>
          <w:rFonts w:ascii="Arial" w:eastAsiaTheme="minorEastAsia"/>
          <w:sz w:val="19"/>
          <w:szCs w:val="19"/>
          <w:lang w:eastAsia="ja-JP"/>
        </w:rPr>
        <w:tab/>
      </w:r>
      <w:r>
        <w:rPr>
          <w:rFonts w:ascii="Arial" w:eastAsiaTheme="minorEastAsia" w:hint="eastAsia"/>
          <w:sz w:val="19"/>
          <w:szCs w:val="19"/>
          <w:lang w:eastAsia="ja-JP"/>
        </w:rPr>
        <w:t>亜酸化窒素</w:t>
      </w:r>
    </w:p>
    <w:p w14:paraId="088B1B47" w14:textId="373088BC" w:rsidR="0079245C" w:rsidRDefault="0079245C" w:rsidP="00A403E6">
      <w:pPr>
        <w:spacing w:line="360" w:lineRule="auto"/>
        <w:ind w:leftChars="321" w:left="706" w:firstLine="1"/>
        <w:rPr>
          <w:rFonts w:ascii="Arial" w:eastAsiaTheme="minorEastAsia"/>
          <w:sz w:val="19"/>
          <w:szCs w:val="19"/>
          <w:lang w:eastAsia="ja-JP"/>
        </w:rPr>
      </w:pPr>
      <w:r w:rsidRPr="006A1464">
        <w:rPr>
          <w:rFonts w:ascii="Arial" w:eastAsiaTheme="minorEastAsia" w:hint="eastAsia"/>
          <w:b/>
          <w:bCs/>
          <w:sz w:val="19"/>
          <w:szCs w:val="19"/>
          <w:lang w:eastAsia="ja-JP"/>
        </w:rPr>
        <w:t>O&amp;M</w:t>
      </w:r>
      <w:r>
        <w:rPr>
          <w:rFonts w:ascii="Arial" w:eastAsiaTheme="minorEastAsia"/>
          <w:sz w:val="19"/>
          <w:szCs w:val="19"/>
          <w:lang w:eastAsia="ja-JP"/>
        </w:rPr>
        <w:tab/>
      </w:r>
      <w:r>
        <w:rPr>
          <w:rFonts w:ascii="Arial" w:eastAsiaTheme="minorEastAsia"/>
          <w:sz w:val="19"/>
          <w:szCs w:val="19"/>
          <w:lang w:eastAsia="ja-JP"/>
        </w:rPr>
        <w:tab/>
      </w:r>
      <w:r>
        <w:rPr>
          <w:rFonts w:ascii="Arial" w:eastAsiaTheme="minorEastAsia" w:hint="eastAsia"/>
          <w:sz w:val="19"/>
          <w:szCs w:val="19"/>
          <w:lang w:eastAsia="ja-JP"/>
        </w:rPr>
        <w:t>オペレーション＆メンテナンス</w:t>
      </w:r>
    </w:p>
    <w:p w14:paraId="5BFA5A81" w14:textId="0CD7D024" w:rsidR="0079245C" w:rsidRDefault="0079245C" w:rsidP="00A403E6">
      <w:pPr>
        <w:spacing w:line="360" w:lineRule="auto"/>
        <w:ind w:leftChars="321" w:left="706" w:firstLine="1"/>
        <w:rPr>
          <w:rFonts w:ascii="Arial" w:eastAsiaTheme="minorEastAsia"/>
          <w:sz w:val="19"/>
          <w:szCs w:val="19"/>
          <w:lang w:eastAsia="ja-JP"/>
        </w:rPr>
      </w:pPr>
      <w:r w:rsidRPr="006A1464">
        <w:rPr>
          <w:rFonts w:ascii="Arial" w:eastAsiaTheme="minorEastAsia" w:hint="eastAsia"/>
          <w:b/>
          <w:bCs/>
          <w:sz w:val="19"/>
          <w:szCs w:val="19"/>
          <w:lang w:eastAsia="ja-JP"/>
        </w:rPr>
        <w:t>PAS</w:t>
      </w:r>
      <w:r w:rsidRPr="006A1464">
        <w:rPr>
          <w:rFonts w:ascii="Arial" w:eastAsiaTheme="minorEastAsia" w:hint="eastAsia"/>
          <w:b/>
          <w:bCs/>
          <w:sz w:val="19"/>
          <w:szCs w:val="19"/>
          <w:lang w:eastAsia="ja-JP"/>
        </w:rPr>
        <w:t xml:space="preserve">　</w:t>
      </w:r>
      <w:r w:rsidRPr="006A1464">
        <w:rPr>
          <w:rFonts w:ascii="Arial" w:eastAsiaTheme="minorEastAsia" w:hint="eastAsia"/>
          <w:b/>
          <w:bCs/>
          <w:sz w:val="19"/>
          <w:szCs w:val="19"/>
          <w:lang w:eastAsia="ja-JP"/>
        </w:rPr>
        <w:t>2050</w:t>
      </w:r>
      <w:r>
        <w:rPr>
          <w:rFonts w:ascii="Arial" w:eastAsiaTheme="minorEastAsia"/>
          <w:sz w:val="19"/>
          <w:szCs w:val="19"/>
          <w:lang w:eastAsia="ja-JP"/>
        </w:rPr>
        <w:tab/>
      </w:r>
      <w:r>
        <w:rPr>
          <w:rFonts w:ascii="Arial" w:eastAsiaTheme="minorEastAsia" w:hint="eastAsia"/>
          <w:sz w:val="19"/>
          <w:szCs w:val="19"/>
          <w:lang w:eastAsia="ja-JP"/>
        </w:rPr>
        <w:t>BSI</w:t>
      </w:r>
      <w:r>
        <w:rPr>
          <w:rFonts w:ascii="Arial" w:eastAsiaTheme="minorEastAsia" w:hint="eastAsia"/>
          <w:sz w:val="19"/>
          <w:szCs w:val="19"/>
          <w:lang w:eastAsia="ja-JP"/>
        </w:rPr>
        <w:t>が発行したカーボンフットプリント規格</w:t>
      </w:r>
    </w:p>
    <w:p w14:paraId="4E58A7BB" w14:textId="52BA8D2B" w:rsidR="0079245C" w:rsidRDefault="0079245C" w:rsidP="00A403E6">
      <w:pPr>
        <w:spacing w:line="360" w:lineRule="auto"/>
        <w:ind w:leftChars="321" w:left="706" w:firstLine="1"/>
        <w:rPr>
          <w:rFonts w:ascii="Arial" w:eastAsiaTheme="minorEastAsia"/>
          <w:sz w:val="19"/>
          <w:szCs w:val="19"/>
          <w:lang w:eastAsia="ja-JP"/>
        </w:rPr>
      </w:pPr>
      <w:r w:rsidRPr="006A1464">
        <w:rPr>
          <w:rFonts w:ascii="Arial" w:eastAsiaTheme="minorEastAsia" w:hint="eastAsia"/>
          <w:b/>
          <w:bCs/>
          <w:sz w:val="19"/>
          <w:szCs w:val="19"/>
          <w:lang w:eastAsia="ja-JP"/>
        </w:rPr>
        <w:t>PCR</w:t>
      </w:r>
      <w:r>
        <w:rPr>
          <w:rFonts w:ascii="Arial" w:eastAsiaTheme="minorEastAsia"/>
          <w:sz w:val="19"/>
          <w:szCs w:val="19"/>
          <w:lang w:eastAsia="ja-JP"/>
        </w:rPr>
        <w:tab/>
      </w:r>
      <w:r>
        <w:rPr>
          <w:rFonts w:ascii="Arial" w:eastAsiaTheme="minorEastAsia"/>
          <w:sz w:val="19"/>
          <w:szCs w:val="19"/>
          <w:lang w:eastAsia="ja-JP"/>
        </w:rPr>
        <w:tab/>
      </w:r>
      <w:r w:rsidR="00A403E6">
        <w:rPr>
          <w:rFonts w:ascii="Arial" w:eastAsiaTheme="minorEastAsia" w:hint="eastAsia"/>
          <w:sz w:val="19"/>
          <w:szCs w:val="19"/>
          <w:lang w:eastAsia="ja-JP"/>
        </w:rPr>
        <w:t>製品カテゴリールール</w:t>
      </w:r>
    </w:p>
    <w:p w14:paraId="59C69325" w14:textId="00E28A5A" w:rsidR="00A403E6" w:rsidRDefault="00A403E6" w:rsidP="00A403E6">
      <w:pPr>
        <w:spacing w:line="360" w:lineRule="auto"/>
        <w:ind w:leftChars="321" w:left="706" w:firstLine="1"/>
        <w:rPr>
          <w:rFonts w:ascii="Arial" w:eastAsiaTheme="minorEastAsia"/>
          <w:sz w:val="19"/>
          <w:szCs w:val="19"/>
          <w:lang w:eastAsia="ja-JP"/>
        </w:rPr>
      </w:pPr>
      <w:r w:rsidRPr="006A1464">
        <w:rPr>
          <w:rFonts w:ascii="Arial" w:eastAsiaTheme="minorEastAsia" w:hint="eastAsia"/>
          <w:b/>
          <w:bCs/>
          <w:sz w:val="19"/>
          <w:szCs w:val="19"/>
          <w:lang w:eastAsia="ja-JP"/>
        </w:rPr>
        <w:t>PET</w:t>
      </w:r>
      <w:r>
        <w:rPr>
          <w:rFonts w:ascii="Arial" w:eastAsiaTheme="minorEastAsia"/>
          <w:sz w:val="19"/>
          <w:szCs w:val="19"/>
          <w:lang w:eastAsia="ja-JP"/>
        </w:rPr>
        <w:tab/>
      </w:r>
      <w:r>
        <w:rPr>
          <w:rFonts w:ascii="Arial" w:eastAsiaTheme="minorEastAsia"/>
          <w:sz w:val="19"/>
          <w:szCs w:val="19"/>
          <w:lang w:eastAsia="ja-JP"/>
        </w:rPr>
        <w:tab/>
      </w:r>
      <w:r>
        <w:rPr>
          <w:rFonts w:ascii="Arial" w:eastAsiaTheme="minorEastAsia" w:hint="eastAsia"/>
          <w:sz w:val="19"/>
          <w:szCs w:val="19"/>
          <w:lang w:eastAsia="ja-JP"/>
        </w:rPr>
        <w:t>ポリエチレンテレフタラート</w:t>
      </w:r>
    </w:p>
    <w:p w14:paraId="0DE25339" w14:textId="1BB8778D" w:rsidR="00A403E6" w:rsidRDefault="00A403E6" w:rsidP="00A403E6">
      <w:pPr>
        <w:spacing w:line="360" w:lineRule="auto"/>
        <w:ind w:leftChars="321" w:left="706" w:firstLine="1"/>
        <w:rPr>
          <w:rFonts w:ascii="Arial" w:eastAsiaTheme="minorEastAsia" w:hint="eastAsia"/>
          <w:sz w:val="19"/>
          <w:szCs w:val="19"/>
          <w:lang w:eastAsia="ja-JP"/>
        </w:rPr>
      </w:pPr>
      <w:r w:rsidRPr="006A1464">
        <w:rPr>
          <w:rFonts w:ascii="Arial" w:eastAsiaTheme="minorEastAsia" w:hint="eastAsia"/>
          <w:b/>
          <w:bCs/>
          <w:sz w:val="19"/>
          <w:szCs w:val="19"/>
          <w:lang w:eastAsia="ja-JP"/>
        </w:rPr>
        <w:t>PFCs</w:t>
      </w:r>
      <w:r>
        <w:rPr>
          <w:rFonts w:ascii="Arial" w:eastAsiaTheme="minorEastAsia"/>
          <w:sz w:val="19"/>
          <w:szCs w:val="19"/>
          <w:lang w:eastAsia="ja-JP"/>
        </w:rPr>
        <w:tab/>
      </w:r>
      <w:r>
        <w:rPr>
          <w:rFonts w:ascii="Arial" w:eastAsiaTheme="minorEastAsia"/>
          <w:sz w:val="19"/>
          <w:szCs w:val="19"/>
          <w:lang w:eastAsia="ja-JP"/>
        </w:rPr>
        <w:tab/>
      </w:r>
      <w:r>
        <w:rPr>
          <w:rFonts w:ascii="Arial" w:eastAsiaTheme="minorEastAsia" w:hint="eastAsia"/>
          <w:sz w:val="19"/>
          <w:szCs w:val="19"/>
          <w:lang w:eastAsia="ja-JP"/>
        </w:rPr>
        <w:t>有機フッ素化合物</w:t>
      </w:r>
    </w:p>
    <w:p w14:paraId="61816CE7" w14:textId="77777777" w:rsidR="00BA5F75" w:rsidRDefault="00BA5F75" w:rsidP="00BA5F75">
      <w:pPr>
        <w:ind w:leftChars="321" w:left="706" w:firstLine="1"/>
        <w:rPr>
          <w:rFonts w:ascii="Arial" w:eastAsiaTheme="minorEastAsia"/>
          <w:sz w:val="19"/>
          <w:szCs w:val="19"/>
          <w:lang w:eastAsia="ja-JP"/>
        </w:rPr>
      </w:pPr>
    </w:p>
    <w:p w14:paraId="7EFA1838" w14:textId="23F116D7" w:rsidR="00806512" w:rsidRPr="00BA5F75" w:rsidRDefault="00806512" w:rsidP="00BA5F75">
      <w:pPr>
        <w:ind w:leftChars="321" w:left="706" w:firstLine="1"/>
        <w:rPr>
          <w:rFonts w:ascii="Arial" w:eastAsiaTheme="minorEastAsia" w:hint="eastAsia"/>
          <w:sz w:val="19"/>
          <w:szCs w:val="19"/>
          <w:lang w:eastAsia="ja-JP"/>
        </w:rPr>
        <w:sectPr w:rsidR="00806512" w:rsidRPr="00BA5F75">
          <w:headerReference w:type="even" r:id="rId385"/>
          <w:pgSz w:w="12240" w:h="15840"/>
          <w:pgMar w:top="0" w:right="0" w:bottom="840" w:left="0" w:header="0" w:footer="655" w:gutter="0"/>
          <w:cols w:space="720"/>
        </w:sectPr>
      </w:pPr>
    </w:p>
    <w:p w14:paraId="23946BE8" w14:textId="77777777" w:rsidR="0055291C" w:rsidRPr="00BA5F75" w:rsidRDefault="0055291C">
      <w:pPr>
        <w:rPr>
          <w:sz w:val="19"/>
          <w:szCs w:val="19"/>
          <w:lang w:eastAsia="ja-JP"/>
        </w:rPr>
        <w:sectPr w:rsidR="0055291C" w:rsidRPr="00BA5F75">
          <w:type w:val="continuous"/>
          <w:pgSz w:w="12240" w:h="15840"/>
          <w:pgMar w:top="740" w:right="0" w:bottom="280" w:left="0" w:header="0" w:footer="859" w:gutter="0"/>
          <w:cols w:num="2" w:space="720" w:equalWidth="0">
            <w:col w:w="5556" w:space="40"/>
            <w:col w:w="6644"/>
          </w:cols>
        </w:sectPr>
      </w:pPr>
    </w:p>
    <w:p w14:paraId="0FFC5A48" w14:textId="77777777" w:rsidR="0055291C" w:rsidRDefault="00000000">
      <w:pPr>
        <w:pStyle w:val="a3"/>
        <w:ind w:left="9"/>
        <w:rPr>
          <w:sz w:val="20"/>
        </w:rPr>
      </w:pPr>
      <w:r>
        <w:rPr>
          <w:sz w:val="20"/>
        </w:rPr>
      </w:r>
      <w:r>
        <w:rPr>
          <w:sz w:val="20"/>
        </w:rPr>
        <w:pict w14:anchorId="63202CF8">
          <v:group id="docshapegroup1705" o:spid="_x0000_s2109" style="width:552.55pt;height:100.65pt;mso-position-horizontal-relative:char;mso-position-vertical-relative:line" coordsize="11051,2013">
            <v:shape id="docshape1706" o:spid="_x0000_s2111" style="position:absolute;width:11051;height:2009" coordsize="11051,2009" path="m11050,l,,,2008r10811,l10950,2005r71,-27l11047,1907r4,-139l11051,42,11050,xe" fillcolor="#e2d9ec" stroked="f">
              <v:path arrowok="t"/>
            </v:shape>
            <v:shape id="docshape1707" o:spid="_x0000_s2110" type="#_x0000_t202" style="position:absolute;width:11051;height:2013" filled="f" stroked="f">
              <v:textbox inset="0,0,0,0">
                <w:txbxContent>
                  <w:p w14:paraId="49B30C44" w14:textId="77777777" w:rsidR="0055291C" w:rsidRDefault="0055291C">
                    <w:pPr>
                      <w:rPr>
                        <w:sz w:val="54"/>
                      </w:rPr>
                    </w:pPr>
                  </w:p>
                  <w:p w14:paraId="74EA6DCF" w14:textId="77777777" w:rsidR="0055291C" w:rsidRDefault="0055291C">
                    <w:pPr>
                      <w:spacing w:before="11"/>
                      <w:rPr>
                        <w:sz w:val="75"/>
                      </w:rPr>
                    </w:pPr>
                  </w:p>
                  <w:p w14:paraId="6083879F" w14:textId="2E5FAECB" w:rsidR="0055291C" w:rsidRDefault="00806512">
                    <w:pPr>
                      <w:spacing w:line="541" w:lineRule="exact"/>
                      <w:ind w:left="1091"/>
                      <w:rPr>
                        <w:rFonts w:ascii="Arial"/>
                        <w:b/>
                        <w:i/>
                        <w:sz w:val="48"/>
                      </w:rPr>
                    </w:pPr>
                    <w:r>
                      <w:rPr>
                        <w:rFonts w:ascii="ＭＳ ゴシック" w:eastAsia="ＭＳ ゴシック" w:hAnsi="ＭＳ ゴシック" w:cs="ＭＳ ゴシック" w:hint="eastAsia"/>
                        <w:b/>
                        <w:i/>
                        <w:color w:val="545456"/>
                        <w:sz w:val="48"/>
                        <w:lang w:eastAsia="ja-JP"/>
                      </w:rPr>
                      <w:t>用語集</w:t>
                    </w:r>
                  </w:p>
                </w:txbxContent>
              </v:textbox>
            </v:shape>
            <w10:anchorlock/>
          </v:group>
        </w:pict>
      </w:r>
    </w:p>
    <w:p w14:paraId="5F203C12" w14:textId="7DF1D0A6" w:rsidR="0055291C" w:rsidRDefault="004E5DB3">
      <w:pPr>
        <w:pStyle w:val="a3"/>
        <w:rPr>
          <w:sz w:val="20"/>
          <w:lang w:eastAsia="ja-JP"/>
        </w:rPr>
      </w:pPr>
      <w:r>
        <w:rPr>
          <w:sz w:val="20"/>
        </w:rPr>
        <w:tab/>
      </w:r>
      <w:r>
        <w:rPr>
          <w:sz w:val="20"/>
        </w:rPr>
        <w:tab/>
      </w:r>
      <w:r w:rsidR="00067284">
        <w:rPr>
          <w:rFonts w:ascii="ＭＳ ゴシック" w:eastAsia="ＭＳ ゴシック" w:hAnsi="ＭＳ ゴシック" w:cs="ＭＳ ゴシック" w:hint="eastAsia"/>
          <w:sz w:val="20"/>
          <w:lang w:eastAsia="ja-JP"/>
        </w:rPr>
        <w:t>訳者注：用語は</w:t>
      </w:r>
      <w:r w:rsidR="00FC14B5">
        <w:rPr>
          <w:rFonts w:ascii="ＭＳ ゴシック" w:eastAsia="ＭＳ ゴシック" w:hAnsi="ＭＳ ゴシック" w:cs="ＭＳ ゴシック" w:hint="eastAsia"/>
          <w:sz w:val="20"/>
          <w:lang w:eastAsia="ja-JP"/>
        </w:rPr>
        <w:t>、</w:t>
      </w:r>
      <w:r w:rsidR="00067284">
        <w:rPr>
          <w:rFonts w:ascii="ＭＳ ゴシック" w:eastAsia="ＭＳ ゴシック" w:hAnsi="ＭＳ ゴシック" w:cs="ＭＳ ゴシック" w:hint="eastAsia"/>
          <w:sz w:val="20"/>
          <w:lang w:eastAsia="ja-JP"/>
        </w:rPr>
        <w:t>英語の</w:t>
      </w:r>
      <w:r w:rsidR="00FC14B5">
        <w:rPr>
          <w:rFonts w:ascii="ＭＳ ゴシック" w:eastAsia="ＭＳ ゴシック" w:hAnsi="ＭＳ ゴシック" w:cs="ＭＳ ゴシック" w:hint="eastAsia"/>
          <w:sz w:val="20"/>
          <w:lang w:eastAsia="ja-JP"/>
        </w:rPr>
        <w:t>アルファベット</w:t>
      </w:r>
      <w:r w:rsidR="00067284">
        <w:rPr>
          <w:rFonts w:ascii="ＭＳ ゴシック" w:eastAsia="ＭＳ ゴシック" w:hAnsi="ＭＳ ゴシック" w:cs="ＭＳ ゴシック" w:hint="eastAsia"/>
          <w:sz w:val="20"/>
          <w:lang w:eastAsia="ja-JP"/>
        </w:rPr>
        <w:t>順に並んでいます。</w:t>
      </w:r>
    </w:p>
    <w:p w14:paraId="72AD560D" w14:textId="77777777" w:rsidR="0055291C" w:rsidRDefault="0055291C">
      <w:pPr>
        <w:pStyle w:val="a3"/>
        <w:rPr>
          <w:sz w:val="20"/>
          <w:lang w:eastAsia="ja-JP"/>
        </w:rPr>
      </w:pPr>
    </w:p>
    <w:p w14:paraId="7ECB36EA" w14:textId="77777777" w:rsidR="0055291C" w:rsidRDefault="0055291C">
      <w:pPr>
        <w:pStyle w:val="a3"/>
        <w:spacing w:before="1"/>
        <w:rPr>
          <w:sz w:val="24"/>
          <w:lang w:eastAsia="ja-JP"/>
        </w:rPr>
      </w:pPr>
    </w:p>
    <w:p w14:paraId="585B80A1" w14:textId="77777777" w:rsidR="00DE1B8E" w:rsidRPr="00F23AE0" w:rsidRDefault="006A1464" w:rsidP="00DE1B8E">
      <w:pPr>
        <w:pStyle w:val="a3"/>
        <w:tabs>
          <w:tab w:val="left" w:pos="1418"/>
        </w:tabs>
        <w:spacing w:line="312" w:lineRule="auto"/>
        <w:ind w:left="1418" w:right="900"/>
        <w:rPr>
          <w:rFonts w:ascii="ＭＳ ゴシック" w:eastAsia="ＭＳ ゴシック" w:hAnsi="ＭＳ ゴシック" w:cs="ＭＳ ゴシック"/>
          <w:bCs/>
          <w:color w:val="545456"/>
          <w:lang w:eastAsia="ja-JP"/>
        </w:rPr>
      </w:pPr>
      <w:r w:rsidRPr="00C134B9">
        <w:rPr>
          <w:rFonts w:ascii="ＭＳ ゴシック" w:eastAsia="ＭＳ ゴシック" w:hAnsi="ＭＳ ゴシック" w:cs="ＭＳ ゴシック" w:hint="eastAsia"/>
          <w:b/>
          <w:color w:val="00ACA1"/>
          <w:lang w:eastAsia="ja-JP"/>
        </w:rPr>
        <w:t>割当/</w:t>
      </w:r>
      <w:r w:rsidR="00000000" w:rsidRPr="00C134B9">
        <w:rPr>
          <w:rFonts w:ascii="ＭＳ ゴシック" w:eastAsia="ＭＳ ゴシック" w:hAnsi="ＭＳ ゴシック"/>
          <w:b/>
        </w:rPr>
        <w:pict w14:anchorId="646A1E21">
          <v:shape id="docshape1708" o:spid="_x0000_s2108" style="position:absolute;left:0;text-align:left;margin-left:580.75pt;margin-top:-138.8pt;width:31.3pt;height:285.85pt;z-index:251684352;mso-position-horizontal-relative:page;mso-position-vertical-relative:text" coordorigin="11615,-2776" coordsize="626,5717" path="m12240,-2776r-625,l11615,2714r3,131l11643,2912r67,25l11842,2940r398,l12240,-2776xe" fillcolor="#00aca1" stroked="f">
            <v:path arrowok="t"/>
            <w10:wrap anchorx="page"/>
          </v:shape>
        </w:pict>
      </w:r>
      <w:r w:rsidR="00F23C61" w:rsidRPr="00C134B9">
        <w:rPr>
          <w:rFonts w:ascii="ＭＳ ゴシック" w:eastAsia="ＭＳ ゴシック" w:hAnsi="ＭＳ ゴシック"/>
          <w:b/>
          <w:color w:val="00ACA1"/>
          <w:lang w:eastAsia="ja-JP"/>
        </w:rPr>
        <w:t>Allocation</w:t>
      </w:r>
      <w:r w:rsidR="00F23C61" w:rsidRPr="00F23AE0">
        <w:rPr>
          <w:rFonts w:ascii="ＭＳ ゴシック" w:eastAsia="ＭＳ ゴシック" w:hAnsi="ＭＳ ゴシック"/>
          <w:bCs/>
          <w:color w:val="00ACA1"/>
          <w:lang w:eastAsia="ja-JP"/>
        </w:rPr>
        <w:tab/>
      </w:r>
      <w:r w:rsidR="009B6FB1" w:rsidRPr="00F23AE0">
        <w:rPr>
          <w:rFonts w:ascii="ＭＳ ゴシック" w:eastAsia="ＭＳ ゴシック" w:hAnsi="ＭＳ ゴシック"/>
          <w:bCs/>
          <w:color w:val="00ACA1"/>
          <w:lang w:eastAsia="ja-JP"/>
        </w:rPr>
        <w:tab/>
      </w:r>
      <w:r w:rsidRPr="00F23AE0">
        <w:rPr>
          <w:rFonts w:ascii="ＭＳ ゴシック" w:eastAsia="ＭＳ ゴシック" w:hAnsi="ＭＳ ゴシック" w:cs="ＭＳ ゴシック" w:hint="eastAsia"/>
          <w:bCs/>
          <w:color w:val="545456"/>
          <w:lang w:eastAsia="ja-JP"/>
        </w:rPr>
        <w:t>共通のプロセスから排出・除去されたGHGを、調査対象製品のライフサイクルと副産物のラ</w:t>
      </w:r>
    </w:p>
    <w:p w14:paraId="5506BB7F" w14:textId="52FF951A" w:rsidR="0055291C" w:rsidRPr="00F23AE0" w:rsidRDefault="00DE1B8E" w:rsidP="00DE1B8E">
      <w:pPr>
        <w:pStyle w:val="a3"/>
        <w:tabs>
          <w:tab w:val="left" w:pos="1418"/>
        </w:tabs>
        <w:spacing w:line="312" w:lineRule="auto"/>
        <w:ind w:left="1418" w:right="900"/>
        <w:rPr>
          <w:rFonts w:ascii="ＭＳ ゴシック" w:eastAsia="ＭＳ ゴシック" w:hAnsi="ＭＳ ゴシック" w:cs="ＭＳ ゴシック"/>
          <w:bCs/>
          <w:color w:val="545456"/>
          <w:lang w:eastAsia="ja-JP"/>
        </w:rPr>
      </w:pP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bCs/>
          <w:color w:val="00ACA1"/>
          <w:lang w:eastAsia="ja-JP"/>
        </w:rPr>
        <w:tab/>
      </w:r>
      <w:r w:rsidR="006A1464" w:rsidRPr="00F23AE0">
        <w:rPr>
          <w:rFonts w:ascii="ＭＳ ゴシック" w:eastAsia="ＭＳ ゴシック" w:hAnsi="ＭＳ ゴシック" w:cs="ＭＳ ゴシック" w:hint="eastAsia"/>
          <w:bCs/>
          <w:color w:val="545456"/>
          <w:lang w:eastAsia="ja-JP"/>
        </w:rPr>
        <w:t>イフサイクルに分割すること。</w:t>
      </w:r>
      <w:r w:rsidR="00F23C61" w:rsidRPr="00F23AE0">
        <w:rPr>
          <w:rFonts w:ascii="ＭＳ ゴシック" w:eastAsia="ＭＳ ゴシック" w:hAnsi="ＭＳ ゴシック"/>
          <w:bCs/>
          <w:color w:val="545456"/>
          <w:position w:val="6"/>
          <w:lang w:eastAsia="ja-JP"/>
        </w:rPr>
        <w:t>1</w:t>
      </w:r>
    </w:p>
    <w:p w14:paraId="7E53E727" w14:textId="77777777" w:rsidR="0055291C" w:rsidRPr="00F23AE0" w:rsidRDefault="0055291C" w:rsidP="00DE1B8E">
      <w:pPr>
        <w:pStyle w:val="a3"/>
        <w:tabs>
          <w:tab w:val="left" w:pos="1418"/>
        </w:tabs>
        <w:spacing w:before="5"/>
        <w:ind w:left="1418" w:right="900"/>
        <w:rPr>
          <w:rFonts w:ascii="ＭＳ ゴシック" w:eastAsia="ＭＳ ゴシック" w:hAnsi="ＭＳ ゴシック"/>
          <w:bCs/>
          <w:lang w:eastAsia="ja-JP"/>
        </w:rPr>
      </w:pPr>
    </w:p>
    <w:p w14:paraId="794A212F" w14:textId="77777777" w:rsidR="00DE1B8E" w:rsidRPr="00F23AE0" w:rsidRDefault="006A1464" w:rsidP="00DE1B8E">
      <w:pPr>
        <w:pStyle w:val="a3"/>
        <w:tabs>
          <w:tab w:val="left" w:pos="1418"/>
        </w:tabs>
        <w:spacing w:line="312" w:lineRule="auto"/>
        <w:ind w:left="1418" w:right="900"/>
        <w:rPr>
          <w:rFonts w:ascii="ＭＳ ゴシック" w:eastAsia="ＭＳ ゴシック" w:hAnsi="ＭＳ ゴシック" w:cs="ＭＳ ゴシック"/>
          <w:bCs/>
          <w:color w:val="545456"/>
          <w:lang w:eastAsia="ja-JP"/>
        </w:rPr>
      </w:pPr>
      <w:r w:rsidRPr="00C134B9">
        <w:rPr>
          <w:rFonts w:ascii="ＭＳ ゴシック" w:eastAsia="ＭＳ ゴシック" w:hAnsi="ＭＳ ゴシック" w:cs="ＭＳ ゴシック" w:hint="eastAsia"/>
          <w:b/>
          <w:color w:val="00ACA1"/>
          <w:lang w:eastAsia="ja-JP"/>
        </w:rPr>
        <w:t>保証/</w:t>
      </w:r>
      <w:r w:rsidR="00F23C61" w:rsidRPr="00C134B9">
        <w:rPr>
          <w:rFonts w:ascii="ＭＳ ゴシック" w:eastAsia="ＭＳ ゴシック" w:hAnsi="ＭＳ ゴシック"/>
          <w:b/>
          <w:color w:val="00ACA1"/>
          <w:lang w:eastAsia="ja-JP"/>
        </w:rPr>
        <w:t>Assurance</w:t>
      </w:r>
      <w:r w:rsidR="00F23C61" w:rsidRPr="00F23AE0">
        <w:rPr>
          <w:rFonts w:ascii="ＭＳ ゴシック" w:eastAsia="ＭＳ ゴシック" w:hAnsi="ＭＳ ゴシック"/>
          <w:bCs/>
          <w:color w:val="00ACA1"/>
          <w:lang w:eastAsia="ja-JP"/>
        </w:rPr>
        <w:tab/>
      </w:r>
      <w:r w:rsidR="009B6FB1" w:rsidRPr="00F23AE0">
        <w:rPr>
          <w:rFonts w:ascii="ＭＳ ゴシック" w:eastAsia="ＭＳ ゴシック" w:hAnsi="ＭＳ ゴシック"/>
          <w:bCs/>
          <w:color w:val="00ACA1"/>
          <w:lang w:eastAsia="ja-JP"/>
        </w:rPr>
        <w:tab/>
      </w:r>
      <w:r w:rsidR="007057AE" w:rsidRPr="00F23AE0">
        <w:rPr>
          <w:rFonts w:ascii="ＭＳ ゴシック" w:eastAsia="ＭＳ ゴシック" w:hAnsi="ＭＳ ゴシック" w:cs="ＭＳ ゴシック" w:hint="eastAsia"/>
          <w:bCs/>
          <w:color w:val="545456"/>
          <w:lang w:eastAsia="ja-JP"/>
        </w:rPr>
        <w:t>算出の結果と報告書の内容が完全であり、正確であり、一貫性があり、透明性があり、</w:t>
      </w:r>
    </w:p>
    <w:p w14:paraId="73D7B235" w14:textId="644F4D71" w:rsidR="0055291C" w:rsidRPr="00F23AE0" w:rsidRDefault="00DE1B8E" w:rsidP="00DE1B8E">
      <w:pPr>
        <w:pStyle w:val="a3"/>
        <w:tabs>
          <w:tab w:val="left" w:pos="1418"/>
        </w:tabs>
        <w:spacing w:line="312" w:lineRule="auto"/>
        <w:ind w:left="1418" w:right="900"/>
        <w:rPr>
          <w:rFonts w:ascii="ＭＳ ゴシック" w:eastAsia="ＭＳ ゴシック" w:hAnsi="ＭＳ ゴシック" w:cs="ＭＳ ゴシック"/>
          <w:bCs/>
          <w:color w:val="545456"/>
          <w:lang w:eastAsia="ja-JP"/>
        </w:rPr>
      </w:pP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bCs/>
          <w:color w:val="00ACA1"/>
          <w:lang w:eastAsia="ja-JP"/>
        </w:rPr>
        <w:tab/>
      </w:r>
      <w:r w:rsidR="007057AE" w:rsidRPr="00F23AE0">
        <w:rPr>
          <w:rFonts w:ascii="ＭＳ ゴシック" w:eastAsia="ＭＳ ゴシック" w:hAnsi="ＭＳ ゴシック" w:cs="ＭＳ ゴシック" w:hint="eastAsia"/>
          <w:bCs/>
          <w:color w:val="545456"/>
          <w:lang w:eastAsia="ja-JP"/>
        </w:rPr>
        <w:t>適切であり、重大な虚偽表示がないという確証の度合い。</w:t>
      </w:r>
    </w:p>
    <w:p w14:paraId="34DCA2F3" w14:textId="77777777" w:rsidR="0055291C" w:rsidRPr="00F23AE0" w:rsidRDefault="0055291C" w:rsidP="00DE1B8E">
      <w:pPr>
        <w:pStyle w:val="a3"/>
        <w:tabs>
          <w:tab w:val="left" w:pos="1418"/>
        </w:tabs>
        <w:spacing w:before="4"/>
        <w:ind w:left="1418" w:right="900"/>
        <w:rPr>
          <w:rFonts w:ascii="ＭＳ ゴシック" w:eastAsia="ＭＳ ゴシック" w:hAnsi="ＭＳ ゴシック"/>
          <w:bCs/>
          <w:lang w:eastAsia="ja-JP"/>
        </w:rPr>
      </w:pPr>
    </w:p>
    <w:p w14:paraId="0F641C52" w14:textId="4CFACEE0" w:rsidR="0055291C" w:rsidRPr="00F23AE0" w:rsidRDefault="007057AE" w:rsidP="00DE1B8E">
      <w:pPr>
        <w:pStyle w:val="a3"/>
        <w:tabs>
          <w:tab w:val="left" w:pos="1418"/>
        </w:tabs>
        <w:spacing w:before="1" w:line="312" w:lineRule="auto"/>
        <w:ind w:left="1418" w:right="900"/>
        <w:rPr>
          <w:rFonts w:ascii="ＭＳ ゴシック" w:eastAsia="ＭＳ ゴシック" w:hAnsi="ＭＳ ゴシック"/>
          <w:bCs/>
        </w:rPr>
      </w:pPr>
      <w:r w:rsidRPr="00C134B9">
        <w:rPr>
          <w:rFonts w:ascii="ＭＳ ゴシック" w:eastAsia="ＭＳ ゴシック" w:hAnsi="ＭＳ ゴシック" w:cs="ＭＳ ゴシック" w:hint="eastAsia"/>
          <w:b/>
          <w:color w:val="00ACA1"/>
          <w:lang w:eastAsia="ja-JP"/>
        </w:rPr>
        <w:t>保証人/</w:t>
      </w:r>
      <w:r w:rsidR="00F23C61" w:rsidRPr="00C134B9">
        <w:rPr>
          <w:rFonts w:ascii="ＭＳ ゴシック" w:eastAsia="ＭＳ ゴシック" w:hAnsi="ＭＳ ゴシック"/>
          <w:b/>
          <w:color w:val="00ACA1"/>
        </w:rPr>
        <w:t>Assurer</w:t>
      </w:r>
      <w:r w:rsidR="00F23C61" w:rsidRPr="00F23AE0">
        <w:rPr>
          <w:rFonts w:ascii="ＭＳ ゴシック" w:eastAsia="ＭＳ ゴシック" w:hAnsi="ＭＳ ゴシック"/>
          <w:bCs/>
          <w:color w:val="00ACA1"/>
        </w:rPr>
        <w:tab/>
      </w:r>
      <w:r w:rsidR="009B6FB1" w:rsidRPr="00F23AE0">
        <w:rPr>
          <w:rFonts w:ascii="ＭＳ ゴシック" w:eastAsia="ＭＳ ゴシック" w:hAnsi="ＭＳ ゴシック"/>
          <w:bCs/>
          <w:color w:val="00ACA1"/>
        </w:rPr>
        <w:tab/>
      </w:r>
      <w:r w:rsidRPr="00F23AE0">
        <w:rPr>
          <w:rFonts w:ascii="ＭＳ ゴシック" w:eastAsia="ＭＳ ゴシック" w:hAnsi="ＭＳ ゴシック" w:cs="ＭＳ ゴシック" w:hint="eastAsia"/>
          <w:bCs/>
          <w:color w:val="545456"/>
          <w:lang w:eastAsia="ja-JP"/>
        </w:rPr>
        <w:t>企業の内外を問わず、保証のプロセスを行う信頼できる個人または組織。</w:t>
      </w:r>
    </w:p>
    <w:p w14:paraId="0E9F39AD" w14:textId="77777777" w:rsidR="0055291C" w:rsidRPr="00F23AE0" w:rsidRDefault="0055291C" w:rsidP="00DE1B8E">
      <w:pPr>
        <w:pStyle w:val="a3"/>
        <w:tabs>
          <w:tab w:val="left" w:pos="1418"/>
        </w:tabs>
        <w:spacing w:before="4"/>
        <w:ind w:left="1418" w:right="900"/>
        <w:rPr>
          <w:rFonts w:ascii="ＭＳ ゴシック" w:eastAsia="ＭＳ ゴシック" w:hAnsi="ＭＳ ゴシック"/>
          <w:bCs/>
        </w:rPr>
      </w:pPr>
    </w:p>
    <w:p w14:paraId="23BF9FC6" w14:textId="489CB77B" w:rsidR="009B6FB1" w:rsidRPr="00F23AE0" w:rsidRDefault="007057AE" w:rsidP="00DE1B8E">
      <w:pPr>
        <w:pStyle w:val="a3"/>
        <w:tabs>
          <w:tab w:val="left" w:pos="1134"/>
          <w:tab w:val="left" w:pos="1418"/>
        </w:tabs>
        <w:spacing w:line="312" w:lineRule="auto"/>
        <w:ind w:left="1418" w:right="616"/>
        <w:rPr>
          <w:rFonts w:ascii="ＭＳ ゴシック" w:eastAsia="ＭＳ ゴシック" w:hAnsi="ＭＳ ゴシック" w:cs="ＭＳ ゴシック"/>
          <w:bCs/>
          <w:color w:val="545456"/>
          <w:lang w:eastAsia="ja-JP"/>
        </w:rPr>
      </w:pPr>
      <w:r w:rsidRPr="00C134B9">
        <w:rPr>
          <w:rFonts w:ascii="ＭＳ ゴシック" w:eastAsia="ＭＳ ゴシック" w:hAnsi="ＭＳ ゴシック" w:cs="ＭＳ ゴシック" w:hint="eastAsia"/>
          <w:b/>
          <w:color w:val="00ACA1"/>
          <w:lang w:eastAsia="ja-JP"/>
        </w:rPr>
        <w:t>帰属プロセス/</w:t>
      </w:r>
      <w:r w:rsidR="00DE1B8E" w:rsidRPr="00F23AE0">
        <w:rPr>
          <w:rFonts w:ascii="ＭＳ ゴシック" w:eastAsia="ＭＳ ゴシック" w:hAnsi="ＭＳ ゴシック"/>
          <w:bCs/>
          <w:color w:val="00ACA1"/>
          <w:lang w:eastAsia="ja-JP"/>
        </w:rPr>
        <w:tab/>
      </w:r>
      <w:r w:rsidR="00DE1B8E" w:rsidRPr="00F23AE0">
        <w:rPr>
          <w:rFonts w:ascii="ＭＳ ゴシック" w:eastAsia="ＭＳ ゴシック" w:hAnsi="ＭＳ ゴシック"/>
          <w:bCs/>
          <w:color w:val="00ACA1"/>
          <w:lang w:eastAsia="ja-JP"/>
        </w:rPr>
        <w:tab/>
      </w:r>
      <w:r w:rsidR="009B6FB1" w:rsidRPr="00F23AE0">
        <w:rPr>
          <w:rFonts w:ascii="ＭＳ ゴシック" w:eastAsia="ＭＳ ゴシック" w:hAnsi="ＭＳ ゴシック" w:cs="ＭＳ ゴシック" w:hint="eastAsia"/>
          <w:bCs/>
          <w:lang w:eastAsia="ja-JP"/>
        </w:rPr>
        <w:t>ライフサイクルの中で、</w:t>
      </w:r>
      <w:r w:rsidR="009B6FB1" w:rsidRPr="00F23AE0">
        <w:rPr>
          <w:rFonts w:ascii="ＭＳ ゴシック" w:eastAsia="ＭＳ ゴシック" w:hAnsi="ＭＳ ゴシック" w:cs="ＭＳ ゴシック" w:hint="eastAsia"/>
          <w:bCs/>
          <w:color w:val="545456"/>
          <w:lang w:eastAsia="ja-JP"/>
        </w:rPr>
        <w:t>製品を構成し、作り、運ぶ</w:t>
      </w:r>
      <w:r w:rsidR="006C0BCD" w:rsidRPr="00F23AE0">
        <w:rPr>
          <w:rFonts w:ascii="ＭＳ ゴシック" w:eastAsia="ＭＳ ゴシック" w:hAnsi="ＭＳ ゴシック" w:cs="ＭＳ ゴシック" w:hint="eastAsia"/>
          <w:bCs/>
          <w:color w:val="545456"/>
          <w:lang w:eastAsia="ja-JP"/>
        </w:rPr>
        <w:t>ための</w:t>
      </w:r>
      <w:r w:rsidR="009B6FB1" w:rsidRPr="00F23AE0">
        <w:rPr>
          <w:rFonts w:ascii="ＭＳ ゴシック" w:eastAsia="ＭＳ ゴシック" w:hAnsi="ＭＳ ゴシック" w:cs="ＭＳ ゴシック" w:hint="eastAsia"/>
          <w:bCs/>
          <w:color w:val="545456"/>
          <w:lang w:eastAsia="ja-JP"/>
        </w:rPr>
        <w:t>、材料やエネルギ</w:t>
      </w:r>
      <w:r w:rsidR="00DE1B8E" w:rsidRPr="00F23AE0">
        <w:rPr>
          <w:rFonts w:ascii="ＭＳ ゴシック" w:eastAsia="ＭＳ ゴシック" w:hAnsi="ＭＳ ゴシック" w:cs="ＭＳ ゴシック" w:hint="eastAsia"/>
          <w:bCs/>
          <w:color w:val="545456"/>
          <w:lang w:eastAsia="ja-JP"/>
        </w:rPr>
        <w:t>ーの流れ。</w:t>
      </w:r>
    </w:p>
    <w:p w14:paraId="0D746B0E" w14:textId="3310ECBA" w:rsidR="0055291C" w:rsidRPr="00F23AE0" w:rsidRDefault="009B6FB1" w:rsidP="00DE1B8E">
      <w:pPr>
        <w:pStyle w:val="a3"/>
        <w:tabs>
          <w:tab w:val="left" w:pos="1134"/>
          <w:tab w:val="left" w:pos="1418"/>
        </w:tabs>
        <w:spacing w:line="312" w:lineRule="auto"/>
        <w:ind w:left="1418" w:right="900"/>
        <w:rPr>
          <w:rFonts w:ascii="ＭＳ ゴシック" w:eastAsia="ＭＳ ゴシック" w:hAnsi="ＭＳ ゴシック" w:cs="ＭＳ ゴシック"/>
          <w:bCs/>
          <w:color w:val="00ACA1"/>
          <w:lang w:eastAsia="ja-JP"/>
        </w:rPr>
      </w:pPr>
      <w:r w:rsidRPr="00F23AE0">
        <w:rPr>
          <w:rFonts w:ascii="ＭＳ ゴシック" w:eastAsia="ＭＳ ゴシック" w:hAnsi="ＭＳ ゴシック" w:cs="ＭＳ ゴシック"/>
          <w:bCs/>
          <w:color w:val="00ACA1"/>
          <w:lang w:eastAsia="ja-JP"/>
        </w:rPr>
        <w:tab/>
      </w:r>
      <w:r w:rsidRPr="00C134B9">
        <w:rPr>
          <w:rFonts w:ascii="ＭＳ ゴシック" w:eastAsia="ＭＳ ゴシック" w:hAnsi="ＭＳ ゴシック"/>
          <w:b/>
          <w:color w:val="00ACA1"/>
          <w:lang w:eastAsia="ja-JP"/>
        </w:rPr>
        <w:t>Attributable processes</w:t>
      </w:r>
      <w:r w:rsidRPr="00F23AE0">
        <w:rPr>
          <w:rFonts w:ascii="ＭＳ ゴシック" w:eastAsia="ＭＳ ゴシック" w:hAnsi="ＭＳ ゴシック" w:cs="ＭＳ ゴシック"/>
          <w:bCs/>
          <w:color w:val="00ACA1"/>
          <w:lang w:eastAsia="ja-JP"/>
        </w:rPr>
        <w:tab/>
      </w:r>
      <w:r w:rsidR="00D37A73" w:rsidRPr="00F23AE0">
        <w:rPr>
          <w:rFonts w:ascii="ＭＳ ゴシック" w:eastAsia="ＭＳ ゴシック" w:hAnsi="ＭＳ ゴシック" w:cs="ＭＳ ゴシック" w:hint="eastAsia"/>
          <w:bCs/>
          <w:color w:val="000000" w:themeColor="text1"/>
          <w:lang w:eastAsia="ja-JP"/>
        </w:rPr>
        <w:t>（c</w:t>
      </w:r>
      <w:r w:rsidR="00D37A73" w:rsidRPr="00F23AE0">
        <w:rPr>
          <w:rFonts w:ascii="ＭＳ ゴシック" w:eastAsia="ＭＳ ゴシック" w:hAnsi="ＭＳ ゴシック" w:cs="ＭＳ ゴシック"/>
          <w:bCs/>
          <w:color w:val="000000" w:themeColor="text1"/>
          <w:lang w:eastAsia="ja-JP"/>
        </w:rPr>
        <w:t>f.</w:t>
      </w:r>
      <w:r w:rsidR="00D37A73" w:rsidRPr="00F23AE0">
        <w:rPr>
          <w:rFonts w:ascii="ＭＳ ゴシック" w:eastAsia="ＭＳ ゴシック" w:hAnsi="ＭＳ ゴシック" w:cs="ＭＳ ゴシック" w:hint="eastAsia"/>
          <w:bCs/>
          <w:color w:val="000000" w:themeColor="text1"/>
          <w:lang w:eastAsia="ja-JP"/>
        </w:rPr>
        <w:t>非帰属プロセス）</w:t>
      </w:r>
    </w:p>
    <w:p w14:paraId="463BBD52" w14:textId="77777777" w:rsidR="0055291C" w:rsidRPr="00F23AE0" w:rsidRDefault="0055291C" w:rsidP="00DE1B8E">
      <w:pPr>
        <w:pStyle w:val="a3"/>
        <w:tabs>
          <w:tab w:val="left" w:pos="1418"/>
        </w:tabs>
        <w:spacing w:before="5"/>
        <w:ind w:left="1418" w:right="900"/>
        <w:rPr>
          <w:rFonts w:ascii="ＭＳ ゴシック" w:eastAsia="ＭＳ ゴシック" w:hAnsi="ＭＳ ゴシック"/>
          <w:bCs/>
          <w:lang w:eastAsia="ja-JP"/>
        </w:rPr>
      </w:pPr>
    </w:p>
    <w:p w14:paraId="58C8EC34" w14:textId="2F92C2BB" w:rsidR="009B6FB1" w:rsidRPr="00F23AE0" w:rsidRDefault="009B6FB1" w:rsidP="00DE1B8E">
      <w:pPr>
        <w:pStyle w:val="a3"/>
        <w:tabs>
          <w:tab w:val="left" w:pos="1418"/>
        </w:tabs>
        <w:spacing w:line="312" w:lineRule="auto"/>
        <w:ind w:left="1418" w:right="900"/>
        <w:rPr>
          <w:rFonts w:ascii="ＭＳ ゴシック" w:eastAsia="ＭＳ ゴシック" w:hAnsi="ＭＳ ゴシック"/>
          <w:bCs/>
          <w:lang w:eastAsia="ja-JP"/>
        </w:rPr>
      </w:pPr>
      <w:r w:rsidRPr="00C134B9">
        <w:rPr>
          <w:rFonts w:ascii="ＭＳ ゴシック" w:eastAsia="ＭＳ ゴシック" w:hAnsi="ＭＳ ゴシック" w:cs="ＭＳ ゴシック" w:hint="eastAsia"/>
          <w:b/>
          <w:color w:val="00ACA1"/>
          <w:lang w:eastAsia="ja-JP"/>
        </w:rPr>
        <w:t>帰属アプローチ/</w:t>
      </w:r>
      <w:r w:rsidRPr="00C134B9">
        <w:rPr>
          <w:rFonts w:ascii="ＭＳ ゴシック" w:eastAsia="ＭＳ ゴシック" w:hAnsi="ＭＳ ゴシック"/>
          <w:b/>
          <w:color w:val="00ACA1"/>
          <w:lang w:eastAsia="ja-JP"/>
        </w:rPr>
        <w:tab/>
      </w:r>
      <w:r w:rsidR="00F23C61" w:rsidRPr="00F23AE0">
        <w:rPr>
          <w:rFonts w:ascii="ＭＳ ゴシック" w:eastAsia="ＭＳ ゴシック" w:hAnsi="ＭＳ ゴシック"/>
          <w:bCs/>
          <w:color w:val="00ACA1"/>
          <w:lang w:eastAsia="ja-JP"/>
        </w:rPr>
        <w:tab/>
      </w:r>
      <w:r w:rsidRPr="00F23AE0">
        <w:rPr>
          <w:rFonts w:ascii="ＭＳ ゴシック" w:eastAsia="ＭＳ ゴシック" w:hAnsi="ＭＳ ゴシック"/>
          <w:bCs/>
          <w:lang w:eastAsia="ja-JP"/>
        </w:rPr>
        <w:t>GHG</w:t>
      </w:r>
      <w:r w:rsidRPr="00F23AE0">
        <w:rPr>
          <w:rFonts w:ascii="ＭＳ ゴシック" w:eastAsia="ＭＳ ゴシック" w:hAnsi="ＭＳ ゴシック" w:cs="ＭＳ ゴシック" w:hint="eastAsia"/>
          <w:bCs/>
          <w:lang w:eastAsia="ja-JP"/>
        </w:rPr>
        <w:t>の排出と除去を、製品のライフサイクルに沿った帰属プロセス</w:t>
      </w:r>
      <w:r w:rsidRPr="00F23AE0">
        <w:rPr>
          <w:rFonts w:ascii="ＭＳ ゴシック" w:eastAsia="ＭＳ ゴシック" w:hAnsi="ＭＳ ゴシック" w:cs="ＭＳ ゴシック" w:hint="eastAsia"/>
          <w:bCs/>
          <w:lang w:eastAsia="ja-JP"/>
        </w:rPr>
        <w:t>と</w:t>
      </w:r>
      <w:r w:rsidRPr="00F23AE0">
        <w:rPr>
          <w:rFonts w:ascii="ＭＳ ゴシック" w:eastAsia="ＭＳ ゴシック" w:hAnsi="ＭＳ ゴシック" w:cs="ＭＳ ゴシック" w:hint="eastAsia"/>
          <w:bCs/>
          <w:lang w:eastAsia="ja-JP"/>
        </w:rPr>
        <w:t>結びつけること</w:t>
      </w:r>
      <w:r w:rsidR="00DE1B8E" w:rsidRPr="00F23AE0">
        <w:rPr>
          <w:rFonts w:ascii="ＭＳ ゴシック" w:eastAsia="ＭＳ ゴシック" w:hAnsi="ＭＳ ゴシック" w:cs="ＭＳ ゴシック" w:hint="eastAsia"/>
          <w:bCs/>
          <w:lang w:eastAsia="ja-JP"/>
        </w:rPr>
        <w:t>に</w:t>
      </w:r>
    </w:p>
    <w:p w14:paraId="7CDAC655" w14:textId="2C454CE3" w:rsidR="0055291C" w:rsidRPr="00F23AE0" w:rsidRDefault="009B6FB1" w:rsidP="00DE1B8E">
      <w:pPr>
        <w:pStyle w:val="a3"/>
        <w:tabs>
          <w:tab w:val="left" w:pos="1418"/>
        </w:tabs>
        <w:spacing w:line="312" w:lineRule="auto"/>
        <w:ind w:left="1418" w:right="900"/>
        <w:rPr>
          <w:rFonts w:ascii="ＭＳ ゴシック" w:eastAsia="ＭＳ ゴシック" w:hAnsi="ＭＳ ゴシック"/>
          <w:bCs/>
          <w:lang w:eastAsia="ja-JP"/>
        </w:rPr>
      </w:pPr>
      <w:r w:rsidRPr="00C134B9">
        <w:rPr>
          <w:rFonts w:ascii="ＭＳ ゴシック" w:eastAsia="ＭＳ ゴシック" w:hAnsi="ＭＳ ゴシック" w:cs="ＭＳ ゴシック"/>
          <w:b/>
          <w:color w:val="00ACA1"/>
          <w:lang w:eastAsia="ja-JP"/>
        </w:rPr>
        <w:tab/>
      </w:r>
      <w:r w:rsidR="00DE1B8E" w:rsidRPr="00C134B9">
        <w:rPr>
          <w:rFonts w:ascii="ＭＳ ゴシック" w:eastAsia="ＭＳ ゴシック" w:hAnsi="ＭＳ ゴシック"/>
          <w:b/>
          <w:color w:val="00ACA1"/>
          <w:lang w:eastAsia="ja-JP"/>
        </w:rPr>
        <w:t>Attributional approach</w:t>
      </w: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hint="eastAsia"/>
          <w:bCs/>
          <w:lang w:eastAsia="ja-JP"/>
        </w:rPr>
        <w:t>よって、調査対象製品の分析単位に帰属させる</w:t>
      </w:r>
      <w:r w:rsidRPr="00F23AE0">
        <w:rPr>
          <w:rFonts w:ascii="ＭＳ ゴシック" w:eastAsia="ＭＳ ゴシック" w:hAnsi="ＭＳ ゴシック"/>
          <w:bCs/>
          <w:lang w:eastAsia="ja-JP"/>
        </w:rPr>
        <w:t>LCA</w:t>
      </w:r>
      <w:r w:rsidRPr="00F23AE0">
        <w:rPr>
          <w:rFonts w:ascii="ＭＳ ゴシック" w:eastAsia="ＭＳ ゴシック" w:hAnsi="ＭＳ ゴシック" w:cs="ＭＳ ゴシック" w:hint="eastAsia"/>
          <w:bCs/>
          <w:lang w:eastAsia="ja-JP"/>
        </w:rPr>
        <w:t>のアプローチ</w:t>
      </w:r>
      <w:r w:rsidRPr="00F23AE0">
        <w:rPr>
          <w:rFonts w:ascii="ＭＳ ゴシック" w:eastAsia="ＭＳ ゴシック" w:hAnsi="ＭＳ ゴシック" w:cs="ＭＳ ゴシック" w:hint="eastAsia"/>
          <w:bCs/>
          <w:lang w:eastAsia="ja-JP"/>
        </w:rPr>
        <w:t>。</w:t>
      </w:r>
      <w:r w:rsidR="00F23C61" w:rsidRPr="00F23AE0">
        <w:rPr>
          <w:rFonts w:ascii="ＭＳ ゴシック" w:eastAsia="ＭＳ ゴシック" w:hAnsi="ＭＳ ゴシック"/>
          <w:bCs/>
          <w:color w:val="545456"/>
          <w:spacing w:val="-1"/>
          <w:position w:val="6"/>
          <w:lang w:eastAsia="ja-JP"/>
        </w:rPr>
        <w:t>2</w:t>
      </w:r>
    </w:p>
    <w:p w14:paraId="6FF79905" w14:textId="77777777" w:rsidR="0055291C" w:rsidRPr="00F23AE0" w:rsidRDefault="0055291C" w:rsidP="00DE1B8E">
      <w:pPr>
        <w:pStyle w:val="a3"/>
        <w:tabs>
          <w:tab w:val="left" w:pos="1418"/>
        </w:tabs>
        <w:spacing w:before="5"/>
        <w:ind w:left="1418" w:right="900"/>
        <w:rPr>
          <w:rFonts w:ascii="ＭＳ ゴシック" w:eastAsia="ＭＳ ゴシック" w:hAnsi="ＭＳ ゴシック"/>
          <w:bCs/>
          <w:lang w:eastAsia="ja-JP"/>
        </w:rPr>
      </w:pPr>
    </w:p>
    <w:p w14:paraId="08B6559F" w14:textId="10CB5D85" w:rsidR="0055291C" w:rsidRPr="00F23AE0" w:rsidRDefault="00DE1B8E" w:rsidP="00751D0F">
      <w:pPr>
        <w:pStyle w:val="a3"/>
        <w:tabs>
          <w:tab w:val="left" w:pos="1418"/>
        </w:tabs>
        <w:spacing w:line="312" w:lineRule="auto"/>
        <w:ind w:left="1418" w:right="900"/>
        <w:rPr>
          <w:rFonts w:ascii="ＭＳ ゴシック" w:eastAsia="ＭＳ ゴシック" w:hAnsi="ＭＳ ゴシック" w:cs="ＭＳ ゴシック"/>
          <w:bCs/>
          <w:lang w:eastAsia="ja-JP"/>
        </w:rPr>
      </w:pPr>
      <w:r w:rsidRPr="00C134B9">
        <w:rPr>
          <w:rFonts w:ascii="ＭＳ ゴシック" w:eastAsia="ＭＳ ゴシック" w:hAnsi="ＭＳ ゴシック" w:cs="ＭＳ ゴシック" w:hint="eastAsia"/>
          <w:b/>
          <w:color w:val="00ACA1"/>
          <w:w w:val="105"/>
          <w:lang w:eastAsia="ja-JP"/>
        </w:rPr>
        <w:t>監査証跡/</w:t>
      </w:r>
      <w:r w:rsidRPr="00C134B9">
        <w:rPr>
          <w:rFonts w:ascii="ＭＳ ゴシック" w:eastAsia="ＭＳ ゴシック" w:hAnsi="ＭＳ ゴシック"/>
          <w:b/>
          <w:lang w:eastAsia="ja-JP"/>
        </w:rPr>
        <w:t xml:space="preserve"> </w:t>
      </w:r>
      <w:r w:rsidRPr="00C134B9">
        <w:rPr>
          <w:rFonts w:ascii="ＭＳ ゴシック" w:eastAsia="ＭＳ ゴシック" w:hAnsi="ＭＳ ゴシック"/>
          <w:b/>
          <w:color w:val="00ACA1"/>
          <w:lang w:eastAsia="ja-JP"/>
        </w:rPr>
        <w:t>Audit trail</w:t>
      </w:r>
      <w:r w:rsidRPr="00F23AE0">
        <w:rPr>
          <w:rFonts w:ascii="ＭＳ ゴシック" w:eastAsia="ＭＳ ゴシック" w:hAnsi="ＭＳ ゴシック" w:cs="ＭＳ ゴシック"/>
          <w:bCs/>
          <w:color w:val="00ACA1"/>
          <w:w w:val="105"/>
          <w:lang w:eastAsia="ja-JP"/>
        </w:rPr>
        <w:tab/>
      </w:r>
      <w:r w:rsidRPr="00F23AE0">
        <w:rPr>
          <w:rFonts w:ascii="ＭＳ ゴシック" w:eastAsia="ＭＳ ゴシック" w:hAnsi="ＭＳ ゴシック" w:cs="ＭＳ ゴシック" w:hint="eastAsia"/>
          <w:bCs/>
          <w:lang w:eastAsia="ja-JP"/>
        </w:rPr>
        <w:t>報告書</w:t>
      </w:r>
      <w:r w:rsidRPr="00F23AE0">
        <w:rPr>
          <w:rFonts w:ascii="ＭＳ ゴシック" w:eastAsia="ＭＳ ゴシック" w:hAnsi="ＭＳ ゴシック" w:cs="ＭＳ ゴシック" w:hint="eastAsia"/>
          <w:bCs/>
          <w:lang w:eastAsia="ja-JP"/>
        </w:rPr>
        <w:t>がどのように作成されたかを文書化した、整理され透明性のある履歴記録。</w:t>
      </w:r>
    </w:p>
    <w:p w14:paraId="55FF7187" w14:textId="77777777" w:rsidR="0055291C" w:rsidRPr="00F23AE0" w:rsidRDefault="0055291C" w:rsidP="00DE1B8E">
      <w:pPr>
        <w:pStyle w:val="a3"/>
        <w:tabs>
          <w:tab w:val="left" w:pos="1418"/>
        </w:tabs>
        <w:spacing w:before="4"/>
        <w:ind w:left="1418" w:right="900"/>
        <w:rPr>
          <w:rFonts w:ascii="ＭＳ ゴシック" w:eastAsia="ＭＳ ゴシック" w:hAnsi="ＭＳ ゴシック"/>
          <w:bCs/>
          <w:lang w:eastAsia="ja-JP"/>
        </w:rPr>
      </w:pPr>
    </w:p>
    <w:p w14:paraId="3ED681F0" w14:textId="6697D92C" w:rsidR="00DE1B8E" w:rsidRPr="00F23AE0" w:rsidRDefault="00DE1B8E" w:rsidP="00DE1B8E">
      <w:pPr>
        <w:pStyle w:val="a3"/>
        <w:tabs>
          <w:tab w:val="left" w:pos="1418"/>
        </w:tabs>
        <w:spacing w:before="1" w:line="312" w:lineRule="auto"/>
        <w:ind w:left="1418" w:right="900"/>
        <w:rPr>
          <w:rFonts w:ascii="ＭＳ ゴシック" w:eastAsia="ＭＳ ゴシック" w:hAnsi="ＭＳ ゴシック" w:cs="ＭＳ ゴシック"/>
          <w:bCs/>
          <w:color w:val="00ACA1"/>
          <w:lang w:eastAsia="ja-JP"/>
        </w:rPr>
      </w:pPr>
      <w:r w:rsidRPr="00C134B9">
        <w:rPr>
          <w:rFonts w:ascii="ＭＳ ゴシック" w:eastAsia="ＭＳ ゴシック" w:hAnsi="ＭＳ ゴシック" w:cs="ＭＳ ゴシック" w:hint="eastAsia"/>
          <w:b/>
          <w:color w:val="00ACA1"/>
          <w:lang w:eastAsia="ja-JP"/>
        </w:rPr>
        <w:t>バイオジェニック/</w:t>
      </w: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hint="eastAsia"/>
          <w:bCs/>
          <w:lang w:eastAsia="ja-JP"/>
        </w:rPr>
        <w:t>生物</w:t>
      </w:r>
      <w:r w:rsidR="00751D0F" w:rsidRPr="00F23AE0">
        <w:rPr>
          <w:rFonts w:ascii="ＭＳ ゴシック" w:eastAsia="ＭＳ ゴシック" w:hAnsi="ＭＳ ゴシック" w:cs="ＭＳ ゴシック" w:hint="eastAsia"/>
          <w:bCs/>
          <w:lang w:eastAsia="ja-JP"/>
        </w:rPr>
        <w:t>から、</w:t>
      </w:r>
      <w:r w:rsidRPr="00F23AE0">
        <w:rPr>
          <w:rFonts w:ascii="ＭＳ ゴシック" w:eastAsia="ＭＳ ゴシック" w:hAnsi="ＭＳ ゴシック" w:cs="ＭＳ ゴシック" w:hint="eastAsia"/>
          <w:bCs/>
          <w:lang w:eastAsia="ja-JP"/>
        </w:rPr>
        <w:t>または生物学的プロセスによって生成されるが、化石化されていない</w:t>
      </w:r>
      <w:r w:rsidR="00751D0F" w:rsidRPr="00F23AE0">
        <w:rPr>
          <w:rFonts w:ascii="ＭＳ ゴシック" w:eastAsia="ＭＳ ゴシック" w:hAnsi="ＭＳ ゴシック" w:cs="ＭＳ ゴシック" w:hint="eastAsia"/>
          <w:bCs/>
          <w:lang w:eastAsia="ja-JP"/>
        </w:rPr>
        <w:t>、</w:t>
      </w:r>
      <w:r w:rsidRPr="00F23AE0">
        <w:rPr>
          <w:rFonts w:ascii="ＭＳ ゴシック" w:eastAsia="ＭＳ ゴシック" w:hAnsi="ＭＳ ゴシック" w:cs="ＭＳ ゴシック" w:hint="eastAsia"/>
          <w:bCs/>
          <w:lang w:eastAsia="ja-JP"/>
        </w:rPr>
        <w:t>または</w:t>
      </w:r>
    </w:p>
    <w:p w14:paraId="43B32DCC" w14:textId="64F4ECDD" w:rsidR="0055291C" w:rsidRPr="00F23AE0" w:rsidRDefault="00F23C61" w:rsidP="00DE1B8E">
      <w:pPr>
        <w:pStyle w:val="a3"/>
        <w:tabs>
          <w:tab w:val="left" w:pos="1418"/>
        </w:tabs>
        <w:spacing w:before="1" w:line="312" w:lineRule="auto"/>
        <w:ind w:left="1418" w:right="900"/>
        <w:rPr>
          <w:rFonts w:ascii="ＭＳ ゴシック" w:eastAsia="ＭＳ ゴシック" w:hAnsi="ＭＳ ゴシック"/>
          <w:bCs/>
          <w:lang w:eastAsia="ja-JP"/>
        </w:rPr>
      </w:pPr>
      <w:r w:rsidRPr="00C134B9">
        <w:rPr>
          <w:rFonts w:ascii="ＭＳ ゴシック" w:eastAsia="ＭＳ ゴシック" w:hAnsi="ＭＳ ゴシック"/>
          <w:b/>
          <w:color w:val="00ACA1"/>
          <w:lang w:eastAsia="ja-JP"/>
        </w:rPr>
        <w:t>Biogenic</w:t>
      </w:r>
      <w:r w:rsidRPr="00F23AE0">
        <w:rPr>
          <w:rFonts w:ascii="ＭＳ ゴシック" w:eastAsia="ＭＳ ゴシック" w:hAnsi="ＭＳ ゴシック"/>
          <w:bCs/>
          <w:color w:val="00ACA1"/>
          <w:lang w:eastAsia="ja-JP"/>
        </w:rPr>
        <w:tab/>
      </w:r>
      <w:r w:rsidR="00751D0F" w:rsidRPr="00F23AE0">
        <w:rPr>
          <w:rFonts w:ascii="ＭＳ ゴシック" w:eastAsia="ＭＳ ゴシック" w:hAnsi="ＭＳ ゴシック"/>
          <w:bCs/>
          <w:color w:val="00ACA1"/>
          <w:lang w:eastAsia="ja-JP"/>
        </w:rPr>
        <w:tab/>
      </w:r>
      <w:r w:rsidR="00751D0F" w:rsidRPr="00F23AE0">
        <w:rPr>
          <w:rFonts w:ascii="ＭＳ ゴシック" w:eastAsia="ＭＳ ゴシック" w:hAnsi="ＭＳ ゴシック" w:cs="ＭＳ ゴシック" w:hint="eastAsia"/>
          <w:bCs/>
          <w:lang w:eastAsia="ja-JP"/>
        </w:rPr>
        <w:t>化石源から生成されたもの。</w:t>
      </w:r>
      <w:r w:rsidRPr="00F23AE0">
        <w:rPr>
          <w:rFonts w:ascii="ＭＳ ゴシック" w:eastAsia="ＭＳ ゴシック" w:hAnsi="ＭＳ ゴシック"/>
          <w:bCs/>
          <w:color w:val="545456"/>
          <w:position w:val="6"/>
          <w:lang w:eastAsia="ja-JP"/>
        </w:rPr>
        <w:t>3</w:t>
      </w:r>
    </w:p>
    <w:p w14:paraId="4BF0B836" w14:textId="77777777" w:rsidR="0055291C" w:rsidRPr="00F23AE0" w:rsidRDefault="0055291C" w:rsidP="00DE1B8E">
      <w:pPr>
        <w:pStyle w:val="a3"/>
        <w:tabs>
          <w:tab w:val="left" w:pos="1418"/>
        </w:tabs>
        <w:spacing w:before="4"/>
        <w:ind w:left="1418" w:right="900"/>
        <w:rPr>
          <w:rFonts w:ascii="ＭＳ ゴシック" w:eastAsia="ＭＳ ゴシック" w:hAnsi="ＭＳ ゴシック"/>
          <w:bCs/>
          <w:lang w:eastAsia="ja-JP"/>
        </w:rPr>
      </w:pPr>
    </w:p>
    <w:p w14:paraId="2E864606" w14:textId="77777777" w:rsidR="00751D0F" w:rsidRPr="00F23AE0" w:rsidRDefault="00751D0F" w:rsidP="00DE1B8E">
      <w:pPr>
        <w:pStyle w:val="a3"/>
        <w:tabs>
          <w:tab w:val="left" w:pos="1418"/>
        </w:tabs>
        <w:spacing w:line="312" w:lineRule="auto"/>
        <w:ind w:left="1418" w:right="900"/>
        <w:rPr>
          <w:rFonts w:ascii="ＭＳ ゴシック" w:eastAsia="ＭＳ ゴシック" w:hAnsi="ＭＳ ゴシック"/>
          <w:bCs/>
          <w:lang w:eastAsia="ja-JP"/>
        </w:rPr>
      </w:pPr>
      <w:r w:rsidRPr="00C134B9">
        <w:rPr>
          <w:rFonts w:ascii="ＭＳ ゴシック" w:eastAsia="ＭＳ ゴシック" w:hAnsi="ＭＳ ゴシック" w:cs="ＭＳ ゴシック" w:hint="eastAsia"/>
          <w:b/>
          <w:color w:val="00ACA1"/>
          <w:w w:val="95"/>
          <w:lang w:eastAsia="ja-JP"/>
        </w:rPr>
        <w:t>炭素蓄積量/</w:t>
      </w:r>
      <w:r w:rsidR="00F23C61" w:rsidRPr="00C134B9">
        <w:rPr>
          <w:rFonts w:ascii="ＭＳ ゴシック" w:eastAsia="ＭＳ ゴシック" w:hAnsi="ＭＳ ゴシック"/>
          <w:b/>
          <w:color w:val="00ACA1"/>
          <w:w w:val="95"/>
          <w:lang w:eastAsia="ja-JP"/>
        </w:rPr>
        <w:t>Carbon</w:t>
      </w:r>
      <w:r w:rsidR="00F23C61" w:rsidRPr="00C134B9">
        <w:rPr>
          <w:rFonts w:ascii="ＭＳ ゴシック" w:eastAsia="ＭＳ ゴシック" w:hAnsi="ＭＳ ゴシック"/>
          <w:b/>
          <w:color w:val="00ACA1"/>
          <w:spacing w:val="1"/>
          <w:w w:val="95"/>
          <w:lang w:eastAsia="ja-JP"/>
        </w:rPr>
        <w:t xml:space="preserve"> </w:t>
      </w:r>
      <w:r w:rsidR="00F23C61" w:rsidRPr="00C134B9">
        <w:rPr>
          <w:rFonts w:ascii="ＭＳ ゴシック" w:eastAsia="ＭＳ ゴシック" w:hAnsi="ＭＳ ゴシック"/>
          <w:b/>
          <w:color w:val="00ACA1"/>
          <w:w w:val="95"/>
          <w:lang w:eastAsia="ja-JP"/>
        </w:rPr>
        <w:t>stock</w:t>
      </w:r>
      <w:r w:rsidR="00F23C61" w:rsidRPr="00F23AE0">
        <w:rPr>
          <w:rFonts w:ascii="ＭＳ ゴシック" w:eastAsia="ＭＳ ゴシック" w:hAnsi="ＭＳ ゴシック"/>
          <w:bCs/>
          <w:color w:val="000000" w:themeColor="text1"/>
          <w:w w:val="95"/>
          <w:lang w:eastAsia="ja-JP"/>
        </w:rPr>
        <w:tab/>
      </w:r>
      <w:r w:rsidRPr="00F23AE0">
        <w:rPr>
          <w:rFonts w:ascii="ＭＳ ゴシック" w:eastAsia="ＭＳ ゴシック" w:hAnsi="ＭＳ ゴシック" w:cs="ＭＳ ゴシック" w:hint="eastAsia"/>
          <w:bCs/>
          <w:color w:val="000000" w:themeColor="text1"/>
          <w:w w:val="95"/>
          <w:lang w:eastAsia="ja-JP"/>
        </w:rPr>
        <w:t>ある</w:t>
      </w:r>
      <w:r w:rsidRPr="00F23AE0">
        <w:rPr>
          <w:rFonts w:ascii="ＭＳ ゴシック" w:eastAsia="ＭＳ ゴシック" w:hAnsi="ＭＳ ゴシック" w:cs="ＭＳ ゴシック" w:hint="eastAsia"/>
          <w:bCs/>
          <w:lang w:eastAsia="ja-JP"/>
        </w:rPr>
        <w:t>土地、ある時点</w:t>
      </w:r>
      <w:r w:rsidRPr="00F23AE0">
        <w:rPr>
          <w:rFonts w:ascii="ＭＳ ゴシック" w:eastAsia="ＭＳ ゴシック" w:hAnsi="ＭＳ ゴシック" w:cs="ＭＳ ゴシック" w:hint="eastAsia"/>
          <w:bCs/>
          <w:lang w:eastAsia="ja-JP"/>
        </w:rPr>
        <w:t>において</w:t>
      </w:r>
      <w:r w:rsidRPr="00F23AE0">
        <w:rPr>
          <w:rFonts w:ascii="ＭＳ ゴシック" w:eastAsia="ＭＳ ゴシック" w:hAnsi="ＭＳ ゴシック" w:cs="ＭＳ ゴシック" w:hint="eastAsia"/>
          <w:bCs/>
          <w:lang w:eastAsia="ja-JP"/>
        </w:rPr>
        <w:t>、バイオマス（地上・地下）、枯死有機物（枯れ木・落ち</w:t>
      </w:r>
      <w:r w:rsidRPr="00F23AE0">
        <w:rPr>
          <w:rFonts w:ascii="ＭＳ ゴシック" w:eastAsia="ＭＳ ゴシック" w:hAnsi="ＭＳ ゴシック"/>
          <w:bCs/>
          <w:lang w:eastAsia="ja-JP"/>
        </w:rPr>
        <w:t xml:space="preserve"> </w:t>
      </w:r>
    </w:p>
    <w:p w14:paraId="720315A9" w14:textId="77777777" w:rsidR="00751D0F" w:rsidRPr="00F23AE0" w:rsidRDefault="00751D0F" w:rsidP="00DE1B8E">
      <w:pPr>
        <w:pStyle w:val="a3"/>
        <w:tabs>
          <w:tab w:val="left" w:pos="1418"/>
        </w:tabs>
        <w:spacing w:line="312" w:lineRule="auto"/>
        <w:ind w:left="1418" w:right="900"/>
        <w:rPr>
          <w:rFonts w:ascii="ＭＳ ゴシック" w:eastAsia="ＭＳ ゴシック" w:hAnsi="ＭＳ ゴシック" w:cs="ＭＳ ゴシック"/>
          <w:bCs/>
          <w:lang w:eastAsia="ja-JP"/>
        </w:rPr>
      </w:pPr>
      <w:r w:rsidRPr="00F23AE0">
        <w:rPr>
          <w:rFonts w:ascii="ＭＳ ゴシック" w:eastAsia="ＭＳ ゴシック" w:hAnsi="ＭＳ ゴシック" w:cs="ＭＳ ゴシック"/>
          <w:bCs/>
          <w:color w:val="00ACA1"/>
          <w:w w:val="95"/>
          <w:lang w:eastAsia="ja-JP"/>
        </w:rPr>
        <w:tab/>
      </w:r>
      <w:r w:rsidRPr="00F23AE0">
        <w:rPr>
          <w:rFonts w:ascii="ＭＳ ゴシック" w:eastAsia="ＭＳ ゴシック" w:hAnsi="ＭＳ ゴシック" w:cs="ＭＳ ゴシック"/>
          <w:bCs/>
          <w:color w:val="00ACA1"/>
          <w:w w:val="95"/>
          <w:lang w:eastAsia="ja-JP"/>
        </w:rPr>
        <w:tab/>
      </w:r>
      <w:r w:rsidRPr="00F23AE0">
        <w:rPr>
          <w:rFonts w:ascii="ＭＳ ゴシック" w:eastAsia="ＭＳ ゴシック" w:hAnsi="ＭＳ ゴシック" w:cs="ＭＳ ゴシック"/>
          <w:bCs/>
          <w:color w:val="00ACA1"/>
          <w:w w:val="95"/>
          <w:lang w:eastAsia="ja-JP"/>
        </w:rPr>
        <w:tab/>
      </w:r>
      <w:r w:rsidRPr="00F23AE0">
        <w:rPr>
          <w:rFonts w:ascii="ＭＳ ゴシック" w:eastAsia="ＭＳ ゴシック" w:hAnsi="ＭＳ ゴシック" w:cs="ＭＳ ゴシック"/>
          <w:bCs/>
          <w:color w:val="00ACA1"/>
          <w:w w:val="95"/>
          <w:lang w:eastAsia="ja-JP"/>
        </w:rPr>
        <w:tab/>
      </w:r>
      <w:r w:rsidRPr="00F23AE0">
        <w:rPr>
          <w:rFonts w:ascii="ＭＳ ゴシック" w:eastAsia="ＭＳ ゴシック" w:hAnsi="ＭＳ ゴシック" w:cs="ＭＳ ゴシック" w:hint="eastAsia"/>
          <w:bCs/>
          <w:lang w:eastAsia="ja-JP"/>
        </w:rPr>
        <w:t>葉）、土壌有機物のいずれか</w:t>
      </w:r>
      <w:r w:rsidRPr="00F23AE0">
        <w:rPr>
          <w:rFonts w:ascii="ＭＳ ゴシック" w:eastAsia="ＭＳ ゴシック" w:hAnsi="ＭＳ ゴシック"/>
          <w:bCs/>
          <w:lang w:eastAsia="ja-JP"/>
        </w:rPr>
        <w:t>1</w:t>
      </w:r>
      <w:r w:rsidRPr="00F23AE0">
        <w:rPr>
          <w:rFonts w:ascii="ＭＳ ゴシック" w:eastAsia="ＭＳ ゴシック" w:hAnsi="ＭＳ ゴシック" w:cs="ＭＳ ゴシック" w:hint="eastAsia"/>
          <w:bCs/>
          <w:lang w:eastAsia="ja-JP"/>
        </w:rPr>
        <w:t>つ以上の炭素プールに貯蔵されている炭素の総量。</w:t>
      </w:r>
      <w:r w:rsidRPr="00F23AE0">
        <w:rPr>
          <w:rFonts w:ascii="ＭＳ ゴシック" w:eastAsia="ＭＳ ゴシック" w:hAnsi="ＭＳ ゴシック"/>
          <w:bCs/>
          <w:vertAlign w:val="superscript"/>
          <w:lang w:eastAsia="ja-JP"/>
        </w:rPr>
        <w:t>4</w:t>
      </w:r>
      <w:r w:rsidRPr="00F23AE0">
        <w:rPr>
          <w:rFonts w:ascii="ＭＳ ゴシック" w:eastAsia="ＭＳ ゴシック" w:hAnsi="ＭＳ ゴシック"/>
          <w:bCs/>
          <w:lang w:eastAsia="ja-JP"/>
        </w:rPr>
        <w:t xml:space="preserve"> </w:t>
      </w:r>
      <w:r w:rsidRPr="00F23AE0">
        <w:rPr>
          <w:rFonts w:ascii="ＭＳ ゴシック" w:eastAsia="ＭＳ ゴシック" w:hAnsi="ＭＳ ゴシック" w:cs="ＭＳ ゴシック" w:hint="eastAsia"/>
          <w:bCs/>
          <w:lang w:eastAsia="ja-JP"/>
        </w:rPr>
        <w:t>炭素蓄</w:t>
      </w:r>
    </w:p>
    <w:p w14:paraId="035CEA75" w14:textId="77777777" w:rsidR="00751D0F" w:rsidRPr="00F23AE0" w:rsidRDefault="00751D0F" w:rsidP="00DE1B8E">
      <w:pPr>
        <w:pStyle w:val="a3"/>
        <w:tabs>
          <w:tab w:val="left" w:pos="1418"/>
        </w:tabs>
        <w:spacing w:line="312" w:lineRule="auto"/>
        <w:ind w:left="1418" w:right="900"/>
        <w:rPr>
          <w:rFonts w:ascii="ＭＳ ゴシック" w:eastAsia="ＭＳ ゴシック" w:hAnsi="ＭＳ ゴシック" w:cs="ＭＳ ゴシック"/>
          <w:bCs/>
          <w:lang w:eastAsia="ja-JP"/>
        </w:rPr>
      </w:pPr>
      <w:r w:rsidRPr="00F23AE0">
        <w:rPr>
          <w:rFonts w:ascii="ＭＳ ゴシック" w:eastAsia="ＭＳ ゴシック" w:hAnsi="ＭＳ ゴシック" w:cs="ＭＳ ゴシック"/>
          <w:bCs/>
          <w:lang w:eastAsia="ja-JP"/>
        </w:rPr>
        <w:tab/>
      </w:r>
      <w:r w:rsidRPr="00F23AE0">
        <w:rPr>
          <w:rFonts w:ascii="ＭＳ ゴシック" w:eastAsia="ＭＳ ゴシック" w:hAnsi="ＭＳ ゴシック" w:cs="ＭＳ ゴシック"/>
          <w:bCs/>
          <w:lang w:eastAsia="ja-JP"/>
        </w:rPr>
        <w:tab/>
      </w:r>
      <w:r w:rsidRPr="00F23AE0">
        <w:rPr>
          <w:rFonts w:ascii="ＭＳ ゴシック" w:eastAsia="ＭＳ ゴシック" w:hAnsi="ＭＳ ゴシック" w:cs="ＭＳ ゴシック"/>
          <w:bCs/>
          <w:lang w:eastAsia="ja-JP"/>
        </w:rPr>
        <w:tab/>
      </w:r>
      <w:r w:rsidRPr="00F23AE0">
        <w:rPr>
          <w:rFonts w:ascii="ＭＳ ゴシック" w:eastAsia="ＭＳ ゴシック" w:hAnsi="ＭＳ ゴシック" w:cs="ＭＳ ゴシック"/>
          <w:bCs/>
          <w:lang w:eastAsia="ja-JP"/>
        </w:rPr>
        <w:tab/>
      </w:r>
      <w:r w:rsidRPr="00F23AE0">
        <w:rPr>
          <w:rFonts w:ascii="ＭＳ ゴシック" w:eastAsia="ＭＳ ゴシック" w:hAnsi="ＭＳ ゴシック" w:cs="ＭＳ ゴシック" w:hint="eastAsia"/>
          <w:bCs/>
          <w:lang w:eastAsia="ja-JP"/>
        </w:rPr>
        <w:t>積量の変化は、プール内の炭素蓄積量の増加、大気中からの</w:t>
      </w:r>
      <w:r w:rsidRPr="00F23AE0">
        <w:rPr>
          <w:rFonts w:ascii="ＭＳ ゴシック" w:eastAsia="ＭＳ ゴシック" w:hAnsi="ＭＳ ゴシック"/>
          <w:bCs/>
          <w:lang w:eastAsia="ja-JP"/>
        </w:rPr>
        <w:t>CO</w:t>
      </w:r>
      <w:r w:rsidRPr="00F23AE0">
        <w:rPr>
          <w:rFonts w:ascii="ＭＳ ゴシック" w:eastAsia="ＭＳ ゴシック" w:hAnsi="ＭＳ ゴシック"/>
          <w:bCs/>
          <w:vertAlign w:val="subscript"/>
          <w:lang w:eastAsia="ja-JP"/>
        </w:rPr>
        <w:t>2</w:t>
      </w:r>
      <w:r w:rsidRPr="00F23AE0">
        <w:rPr>
          <w:rFonts w:ascii="ＭＳ ゴシック" w:eastAsia="ＭＳ ゴシック" w:hAnsi="ＭＳ ゴシック" w:cs="ＭＳ ゴシック" w:hint="eastAsia"/>
          <w:bCs/>
          <w:lang w:eastAsia="ja-JP"/>
        </w:rPr>
        <w:t>の除去、または大気中へ</w:t>
      </w:r>
    </w:p>
    <w:p w14:paraId="6CD7C5EF" w14:textId="44DBE445" w:rsidR="0055291C" w:rsidRPr="00F23AE0" w:rsidRDefault="00751D0F" w:rsidP="00DE1B8E">
      <w:pPr>
        <w:pStyle w:val="a3"/>
        <w:tabs>
          <w:tab w:val="left" w:pos="1418"/>
        </w:tabs>
        <w:spacing w:line="312" w:lineRule="auto"/>
        <w:ind w:left="1418" w:right="900"/>
        <w:rPr>
          <w:rFonts w:ascii="ＭＳ ゴシック" w:eastAsia="ＭＳ ゴシック" w:hAnsi="ＭＳ ゴシック"/>
          <w:bCs/>
          <w:lang w:eastAsia="ja-JP"/>
        </w:rPr>
      </w:pPr>
      <w:r w:rsidRPr="00F23AE0">
        <w:rPr>
          <w:rFonts w:ascii="ＭＳ ゴシック" w:eastAsia="ＭＳ ゴシック" w:hAnsi="ＭＳ ゴシック" w:cs="ＭＳ ゴシック"/>
          <w:bCs/>
          <w:lang w:eastAsia="ja-JP"/>
        </w:rPr>
        <w:tab/>
      </w:r>
      <w:r w:rsidRPr="00F23AE0">
        <w:rPr>
          <w:rFonts w:ascii="ＭＳ ゴシック" w:eastAsia="ＭＳ ゴシック" w:hAnsi="ＭＳ ゴシック" w:cs="ＭＳ ゴシック"/>
          <w:bCs/>
          <w:lang w:eastAsia="ja-JP"/>
        </w:rPr>
        <w:tab/>
      </w:r>
      <w:r w:rsidRPr="00F23AE0">
        <w:rPr>
          <w:rFonts w:ascii="ＭＳ ゴシック" w:eastAsia="ＭＳ ゴシック" w:hAnsi="ＭＳ ゴシック" w:cs="ＭＳ ゴシック"/>
          <w:bCs/>
          <w:lang w:eastAsia="ja-JP"/>
        </w:rPr>
        <w:tab/>
      </w:r>
      <w:r w:rsidRPr="00F23AE0">
        <w:rPr>
          <w:rFonts w:ascii="ＭＳ ゴシック" w:eastAsia="ＭＳ ゴシック" w:hAnsi="ＭＳ ゴシック" w:cs="ＭＳ ゴシック"/>
          <w:bCs/>
          <w:lang w:eastAsia="ja-JP"/>
        </w:rPr>
        <w:tab/>
      </w:r>
      <w:r w:rsidRPr="00F23AE0">
        <w:rPr>
          <w:rFonts w:ascii="ＭＳ ゴシック" w:eastAsia="ＭＳ ゴシック" w:hAnsi="ＭＳ ゴシック" w:cs="ＭＳ ゴシック" w:hint="eastAsia"/>
          <w:bCs/>
          <w:lang w:eastAsia="ja-JP"/>
        </w:rPr>
        <w:t>の</w:t>
      </w:r>
      <w:r w:rsidRPr="00F23AE0">
        <w:rPr>
          <w:rFonts w:ascii="ＭＳ ゴシック" w:eastAsia="ＭＳ ゴシック" w:hAnsi="ＭＳ ゴシック"/>
          <w:bCs/>
          <w:lang w:eastAsia="ja-JP"/>
        </w:rPr>
        <w:t>CO</w:t>
      </w:r>
      <w:r w:rsidRPr="00F23AE0">
        <w:rPr>
          <w:rFonts w:ascii="ＭＳ ゴシック" w:eastAsia="ＭＳ ゴシック" w:hAnsi="ＭＳ ゴシック"/>
          <w:bCs/>
          <w:vertAlign w:val="subscript"/>
          <w:lang w:eastAsia="ja-JP"/>
        </w:rPr>
        <w:t>2</w:t>
      </w:r>
      <w:r w:rsidRPr="00F23AE0">
        <w:rPr>
          <w:rFonts w:ascii="ＭＳ ゴシック" w:eastAsia="ＭＳ ゴシック" w:hAnsi="ＭＳ ゴシック" w:cs="ＭＳ ゴシック" w:hint="eastAsia"/>
          <w:bCs/>
          <w:lang w:eastAsia="ja-JP"/>
        </w:rPr>
        <w:t>の排出を指すことがあ</w:t>
      </w:r>
      <w:r w:rsidRPr="00F23AE0">
        <w:rPr>
          <w:rFonts w:ascii="ＭＳ ゴシック" w:eastAsia="ＭＳ ゴシック" w:hAnsi="ＭＳ ゴシック" w:cs="ＭＳ ゴシック" w:hint="eastAsia"/>
          <w:bCs/>
          <w:lang w:eastAsia="ja-JP"/>
        </w:rPr>
        <w:t>る</w:t>
      </w:r>
      <w:r w:rsidRPr="00F23AE0">
        <w:rPr>
          <w:rFonts w:ascii="ＭＳ ゴシック" w:eastAsia="ＭＳ ゴシック" w:hAnsi="ＭＳ ゴシック" w:cs="ＭＳ ゴシック" w:hint="eastAsia"/>
          <w:bCs/>
          <w:lang w:eastAsia="ja-JP"/>
        </w:rPr>
        <w:t>。</w:t>
      </w:r>
    </w:p>
    <w:p w14:paraId="2CD14541" w14:textId="77777777" w:rsidR="0055291C" w:rsidRPr="00F23AE0" w:rsidRDefault="0055291C" w:rsidP="00DE1B8E">
      <w:pPr>
        <w:pStyle w:val="a3"/>
        <w:tabs>
          <w:tab w:val="left" w:pos="1418"/>
        </w:tabs>
        <w:spacing w:before="6"/>
        <w:ind w:left="1418" w:right="900"/>
        <w:rPr>
          <w:rFonts w:ascii="ＭＳ ゴシック" w:eastAsia="ＭＳ ゴシック" w:hAnsi="ＭＳ ゴシック"/>
          <w:bCs/>
          <w:lang w:eastAsia="ja-JP"/>
        </w:rPr>
      </w:pPr>
    </w:p>
    <w:p w14:paraId="0B42FEF6" w14:textId="6ABC46CF" w:rsidR="00751D0F" w:rsidRPr="00F23AE0" w:rsidRDefault="00751D0F" w:rsidP="00751D0F">
      <w:pPr>
        <w:pStyle w:val="a3"/>
        <w:tabs>
          <w:tab w:val="left" w:pos="1418"/>
        </w:tabs>
        <w:spacing w:line="312" w:lineRule="auto"/>
        <w:ind w:left="1418" w:right="900"/>
        <w:rPr>
          <w:rFonts w:ascii="ＭＳ ゴシック" w:eastAsia="ＭＳ ゴシック" w:hAnsi="ＭＳ ゴシック" w:cs="ＭＳ ゴシック"/>
          <w:bCs/>
          <w:color w:val="000000" w:themeColor="text1"/>
          <w:w w:val="95"/>
          <w:lang w:eastAsia="ja-JP"/>
        </w:rPr>
      </w:pPr>
      <w:r w:rsidRPr="00C134B9">
        <w:rPr>
          <w:rFonts w:ascii="ＭＳ ゴシック" w:eastAsia="ＭＳ ゴシック" w:hAnsi="ＭＳ ゴシック" w:cs="ＭＳ ゴシック" w:hint="eastAsia"/>
          <w:b/>
          <w:color w:val="00ACA1"/>
          <w:w w:val="95"/>
          <w:lang w:eastAsia="ja-JP"/>
        </w:rPr>
        <w:t>共通プロセス/</w:t>
      </w:r>
      <w:r w:rsidRPr="00F23AE0">
        <w:rPr>
          <w:rFonts w:ascii="ＭＳ ゴシック" w:eastAsia="ＭＳ ゴシック" w:hAnsi="ＭＳ ゴシック" w:cs="ＭＳ ゴシック"/>
          <w:bCs/>
          <w:color w:val="00ACA1"/>
          <w:w w:val="95"/>
          <w:lang w:eastAsia="ja-JP"/>
        </w:rPr>
        <w:tab/>
      </w:r>
      <w:r w:rsidRPr="00F23AE0">
        <w:rPr>
          <w:rFonts w:ascii="ＭＳ ゴシック" w:eastAsia="ＭＳ ゴシック" w:hAnsi="ＭＳ ゴシック" w:cs="ＭＳ ゴシック"/>
          <w:bCs/>
          <w:color w:val="00ACA1"/>
          <w:w w:val="95"/>
          <w:lang w:eastAsia="ja-JP"/>
        </w:rPr>
        <w:tab/>
      </w:r>
      <w:r w:rsidRPr="00F23AE0">
        <w:rPr>
          <w:rFonts w:ascii="ＭＳ ゴシック" w:eastAsia="ＭＳ ゴシック" w:hAnsi="ＭＳ ゴシック" w:cs="ＭＳ ゴシック" w:hint="eastAsia"/>
          <w:bCs/>
          <w:color w:val="000000" w:themeColor="text1"/>
          <w:w w:val="95"/>
          <w:lang w:eastAsia="ja-JP"/>
        </w:rPr>
        <w:t>調査</w:t>
      </w:r>
      <w:r w:rsidRPr="00F23AE0">
        <w:rPr>
          <w:rFonts w:ascii="ＭＳ ゴシック" w:eastAsia="ＭＳ ゴシック" w:hAnsi="ＭＳ ゴシック" w:cs="ＭＳ ゴシック" w:hint="eastAsia"/>
          <w:bCs/>
          <w:color w:val="000000" w:themeColor="text1"/>
          <w:w w:val="95"/>
          <w:lang w:eastAsia="ja-JP"/>
        </w:rPr>
        <w:t>対象製品および副産物を含む、複数の価値ある製品を</w:t>
      </w:r>
      <w:r w:rsidR="006C0BCD" w:rsidRPr="00F23AE0">
        <w:rPr>
          <w:rFonts w:ascii="ＭＳ ゴシック" w:eastAsia="ＭＳ ゴシック" w:hAnsi="ＭＳ ゴシック" w:cs="ＭＳ ゴシック" w:hint="eastAsia"/>
          <w:bCs/>
          <w:color w:val="000000" w:themeColor="text1"/>
          <w:w w:val="95"/>
          <w:lang w:eastAsia="ja-JP"/>
        </w:rPr>
        <w:t>投入または生産する</w:t>
      </w:r>
      <w:r w:rsidRPr="00F23AE0">
        <w:rPr>
          <w:rFonts w:ascii="ＭＳ ゴシック" w:eastAsia="ＭＳ ゴシック" w:hAnsi="ＭＳ ゴシック" w:cs="ＭＳ ゴシック"/>
          <w:bCs/>
          <w:color w:val="000000" w:themeColor="text1"/>
          <w:w w:val="95"/>
          <w:lang w:eastAsia="ja-JP"/>
        </w:rPr>
        <w:t>1</w:t>
      </w:r>
      <w:r w:rsidRPr="00F23AE0">
        <w:rPr>
          <w:rFonts w:ascii="ＭＳ ゴシック" w:eastAsia="ＭＳ ゴシック" w:hAnsi="ＭＳ ゴシック" w:cs="ＭＳ ゴシック" w:hint="eastAsia"/>
          <w:bCs/>
          <w:color w:val="000000" w:themeColor="text1"/>
          <w:w w:val="95"/>
          <w:lang w:eastAsia="ja-JP"/>
        </w:rPr>
        <w:t>つのプロセス。</w:t>
      </w:r>
    </w:p>
    <w:p w14:paraId="735AA9F3" w14:textId="243BC8E9" w:rsidR="0055291C" w:rsidRPr="00C134B9" w:rsidRDefault="00F23C61" w:rsidP="00DE1B8E">
      <w:pPr>
        <w:pStyle w:val="a3"/>
        <w:tabs>
          <w:tab w:val="left" w:pos="1418"/>
        </w:tabs>
        <w:spacing w:line="312" w:lineRule="auto"/>
        <w:ind w:left="1418" w:right="900"/>
        <w:rPr>
          <w:rFonts w:ascii="ＭＳ ゴシック" w:eastAsia="ＭＳ ゴシック" w:hAnsi="ＭＳ ゴシック"/>
          <w:b/>
        </w:rPr>
      </w:pPr>
      <w:r w:rsidRPr="00C134B9">
        <w:rPr>
          <w:rFonts w:ascii="ＭＳ ゴシック" w:eastAsia="ＭＳ ゴシック" w:hAnsi="ＭＳ ゴシック"/>
          <w:b/>
          <w:color w:val="00ACA1"/>
          <w:w w:val="95"/>
        </w:rPr>
        <w:t>Common</w:t>
      </w:r>
      <w:r w:rsidRPr="00C134B9">
        <w:rPr>
          <w:rFonts w:ascii="ＭＳ ゴシック" w:eastAsia="ＭＳ ゴシック" w:hAnsi="ＭＳ ゴシック"/>
          <w:b/>
          <w:color w:val="00ACA1"/>
          <w:spacing w:val="-8"/>
          <w:w w:val="95"/>
        </w:rPr>
        <w:t xml:space="preserve"> </w:t>
      </w:r>
      <w:r w:rsidRPr="00C134B9">
        <w:rPr>
          <w:rFonts w:ascii="ＭＳ ゴシック" w:eastAsia="ＭＳ ゴシック" w:hAnsi="ＭＳ ゴシック"/>
          <w:b/>
          <w:color w:val="00ACA1"/>
          <w:w w:val="95"/>
        </w:rPr>
        <w:t>process</w:t>
      </w:r>
      <w:r w:rsidRPr="00C134B9">
        <w:rPr>
          <w:rFonts w:ascii="ＭＳ ゴシック" w:eastAsia="ＭＳ ゴシック" w:hAnsi="ＭＳ ゴシック"/>
          <w:b/>
          <w:color w:val="00ACA1"/>
          <w:w w:val="95"/>
        </w:rPr>
        <w:tab/>
      </w:r>
    </w:p>
    <w:p w14:paraId="7836B939" w14:textId="77777777" w:rsidR="0055291C" w:rsidRPr="00F23AE0" w:rsidRDefault="0055291C" w:rsidP="00DE1B8E">
      <w:pPr>
        <w:pStyle w:val="a3"/>
        <w:tabs>
          <w:tab w:val="left" w:pos="1418"/>
        </w:tabs>
        <w:spacing w:before="5"/>
        <w:ind w:left="1418" w:right="900"/>
        <w:rPr>
          <w:rFonts w:ascii="ＭＳ ゴシック" w:eastAsia="ＭＳ ゴシック" w:hAnsi="ＭＳ ゴシック"/>
          <w:bCs/>
        </w:rPr>
      </w:pPr>
    </w:p>
    <w:p w14:paraId="6122C5A7" w14:textId="694B9226" w:rsidR="006C0BCD" w:rsidRPr="00F23AE0" w:rsidRDefault="006C0BCD" w:rsidP="00DE1B8E">
      <w:pPr>
        <w:pStyle w:val="a3"/>
        <w:tabs>
          <w:tab w:val="left" w:pos="1418"/>
        </w:tabs>
        <w:spacing w:line="312" w:lineRule="auto"/>
        <w:ind w:left="1418" w:right="900"/>
        <w:rPr>
          <w:rFonts w:ascii="ＭＳ ゴシック" w:eastAsia="ＭＳ ゴシック" w:hAnsi="ＭＳ ゴシック" w:cs="ＭＳ ゴシック"/>
          <w:bCs/>
          <w:color w:val="00ACA1"/>
          <w:spacing w:val="-1"/>
        </w:rPr>
      </w:pPr>
      <w:r w:rsidRPr="00C134B9">
        <w:rPr>
          <w:rFonts w:ascii="ＭＳ ゴシック" w:eastAsia="ＭＳ ゴシック" w:hAnsi="ＭＳ ゴシック" w:cs="ＭＳ ゴシック" w:hint="eastAsia"/>
          <w:b/>
          <w:color w:val="00ACA1"/>
          <w:spacing w:val="-1"/>
          <w:lang w:eastAsia="ja-JP"/>
        </w:rPr>
        <w:t>比較主張/</w:t>
      </w:r>
      <w:r w:rsidRPr="00F23AE0">
        <w:rPr>
          <w:rFonts w:ascii="ＭＳ ゴシック" w:eastAsia="ＭＳ ゴシック" w:hAnsi="ＭＳ ゴシック" w:cs="ＭＳ ゴシック"/>
          <w:bCs/>
          <w:color w:val="00ACA1"/>
          <w:spacing w:val="-1"/>
          <w:lang w:eastAsia="ja-JP"/>
        </w:rPr>
        <w:tab/>
      </w:r>
      <w:r w:rsidRPr="00F23AE0">
        <w:rPr>
          <w:rFonts w:ascii="ＭＳ ゴシック" w:eastAsia="ＭＳ ゴシック" w:hAnsi="ＭＳ ゴシック" w:cs="ＭＳ ゴシック"/>
          <w:bCs/>
          <w:color w:val="00ACA1"/>
          <w:spacing w:val="-1"/>
          <w:lang w:eastAsia="ja-JP"/>
        </w:rPr>
        <w:tab/>
      </w:r>
      <w:r w:rsidRPr="00F23AE0">
        <w:rPr>
          <w:rFonts w:ascii="ＭＳ ゴシック" w:eastAsia="ＭＳ ゴシック" w:hAnsi="ＭＳ ゴシック" w:cs="ＭＳ ゴシック" w:hint="eastAsia"/>
          <w:bCs/>
        </w:rPr>
        <w:t>ある製品と同じ機能を持つ競合製品との優劣に関する環境主張。</w:t>
      </w:r>
      <w:r w:rsidRPr="00F23AE0">
        <w:rPr>
          <w:rFonts w:ascii="ＭＳ ゴシック" w:eastAsia="ＭＳ ゴシック" w:hAnsi="ＭＳ ゴシック"/>
          <w:bCs/>
          <w:vertAlign w:val="superscript"/>
        </w:rPr>
        <w:t>5</w:t>
      </w:r>
    </w:p>
    <w:p w14:paraId="742529BC" w14:textId="707A8B3D" w:rsidR="0055291C" w:rsidRPr="00C134B9" w:rsidRDefault="00F23C61" w:rsidP="006C0BCD">
      <w:pPr>
        <w:pStyle w:val="a3"/>
        <w:tabs>
          <w:tab w:val="left" w:pos="1418"/>
        </w:tabs>
        <w:spacing w:line="312" w:lineRule="auto"/>
        <w:ind w:left="1418" w:right="900"/>
        <w:rPr>
          <w:rFonts w:ascii="ＭＳ ゴシック" w:eastAsia="ＭＳ ゴシック" w:hAnsi="ＭＳ ゴシック"/>
          <w:b/>
          <w:color w:val="00ACA1"/>
        </w:rPr>
      </w:pPr>
      <w:r w:rsidRPr="00C134B9">
        <w:rPr>
          <w:rFonts w:ascii="ＭＳ ゴシック" w:eastAsia="ＭＳ ゴシック" w:hAnsi="ＭＳ ゴシック"/>
          <w:b/>
          <w:color w:val="00ACA1"/>
          <w:spacing w:val="-1"/>
        </w:rPr>
        <w:t>Comparative</w:t>
      </w:r>
      <w:r w:rsidRPr="00C134B9">
        <w:rPr>
          <w:rFonts w:ascii="ＭＳ ゴシック" w:eastAsia="ＭＳ ゴシック" w:hAnsi="ＭＳ ゴシック"/>
          <w:b/>
          <w:color w:val="00ACA1"/>
          <w:spacing w:val="-12"/>
        </w:rPr>
        <w:t xml:space="preserve"> </w:t>
      </w:r>
      <w:r w:rsidRPr="00C134B9">
        <w:rPr>
          <w:rFonts w:ascii="ＭＳ ゴシック" w:eastAsia="ＭＳ ゴシック" w:hAnsi="ＭＳ ゴシック"/>
          <w:b/>
          <w:color w:val="00ACA1"/>
        </w:rPr>
        <w:t>assertion</w:t>
      </w:r>
      <w:r w:rsidRPr="00C134B9">
        <w:rPr>
          <w:rFonts w:ascii="ＭＳ ゴシック" w:eastAsia="ＭＳ ゴシック" w:hAnsi="ＭＳ ゴシック"/>
          <w:b/>
          <w:color w:val="00ACA1"/>
        </w:rPr>
        <w:tab/>
      </w:r>
    </w:p>
    <w:p w14:paraId="283C9CC5" w14:textId="77777777" w:rsidR="006C0BCD" w:rsidRPr="00F23AE0" w:rsidRDefault="006C0BCD" w:rsidP="006C0BCD">
      <w:pPr>
        <w:pStyle w:val="a3"/>
        <w:tabs>
          <w:tab w:val="left" w:pos="1418"/>
        </w:tabs>
        <w:spacing w:line="312" w:lineRule="auto"/>
        <w:ind w:left="1418" w:right="900"/>
        <w:rPr>
          <w:rFonts w:ascii="ＭＳ ゴシック" w:eastAsia="ＭＳ ゴシック" w:hAnsi="ＭＳ ゴシック"/>
          <w:bCs/>
        </w:rPr>
      </w:pPr>
    </w:p>
    <w:p w14:paraId="1A08E81E" w14:textId="5B41AFD6" w:rsidR="009A4C91" w:rsidRPr="00F23AE0" w:rsidRDefault="009A4C91" w:rsidP="00DE1B8E">
      <w:pPr>
        <w:pStyle w:val="a3"/>
        <w:tabs>
          <w:tab w:val="left" w:pos="1418"/>
        </w:tabs>
        <w:spacing w:line="312" w:lineRule="auto"/>
        <w:ind w:left="1418" w:right="900"/>
        <w:rPr>
          <w:rFonts w:ascii="ＭＳ ゴシック" w:eastAsia="ＭＳ ゴシック" w:hAnsi="ＭＳ ゴシック" w:cs="ＭＳ ゴシック"/>
          <w:bCs/>
          <w:color w:val="00ACA1"/>
          <w:spacing w:val="-2"/>
          <w:lang w:eastAsia="ja-JP"/>
        </w:rPr>
      </w:pPr>
      <w:r w:rsidRPr="00C134B9">
        <w:rPr>
          <w:rFonts w:ascii="ＭＳ ゴシック" w:eastAsia="ＭＳ ゴシック" w:hAnsi="ＭＳ ゴシック" w:cs="ＭＳ ゴシック" w:hint="eastAsia"/>
          <w:b/>
          <w:color w:val="00ACA1"/>
          <w:spacing w:val="-2"/>
          <w:lang w:eastAsia="ja-JP"/>
        </w:rPr>
        <w:t>結果分析法/</w:t>
      </w:r>
      <w:r w:rsidRPr="00F23AE0">
        <w:rPr>
          <w:rFonts w:ascii="ＭＳ ゴシック" w:eastAsia="ＭＳ ゴシック" w:hAnsi="ＭＳ ゴシック" w:cs="ＭＳ ゴシック"/>
          <w:bCs/>
          <w:color w:val="00ACA1"/>
          <w:spacing w:val="-2"/>
          <w:lang w:eastAsia="ja-JP"/>
        </w:rPr>
        <w:tab/>
      </w:r>
      <w:r w:rsidRPr="00F23AE0">
        <w:rPr>
          <w:rFonts w:ascii="ＭＳ ゴシック" w:eastAsia="ＭＳ ゴシック" w:hAnsi="ＭＳ ゴシック" w:cs="ＭＳ ゴシック"/>
          <w:bCs/>
          <w:color w:val="00ACA1"/>
          <w:spacing w:val="-2"/>
          <w:lang w:eastAsia="ja-JP"/>
        </w:rPr>
        <w:tab/>
      </w:r>
      <w:r w:rsidRPr="00F23AE0">
        <w:rPr>
          <w:rFonts w:ascii="ＭＳ ゴシック" w:eastAsia="ＭＳ ゴシック" w:hAnsi="ＭＳ ゴシック" w:cs="ＭＳ ゴシック" w:hint="eastAsia"/>
          <w:bCs/>
          <w:lang w:eastAsia="ja-JP"/>
        </w:rPr>
        <w:t>分析単位に対する需要の変化の結果として変化すると予測される範囲のプロセスを</w:t>
      </w:r>
      <w:r w:rsidRPr="00F23AE0">
        <w:rPr>
          <w:rFonts w:ascii="ＭＳ ゴシック" w:eastAsia="ＭＳ ゴシック" w:hAnsi="ＭＳ ゴシック" w:cs="ＭＳ ゴシック" w:hint="eastAsia"/>
          <w:bCs/>
          <w:lang w:eastAsia="ja-JP"/>
        </w:rPr>
        <w:t>、</w:t>
      </w:r>
      <w:r w:rsidRPr="00F23AE0">
        <w:rPr>
          <w:rFonts w:ascii="ＭＳ ゴシック" w:eastAsia="ＭＳ ゴシック" w:hAnsi="ＭＳ ゴシック" w:cs="ＭＳ ゴシック" w:hint="eastAsia"/>
          <w:bCs/>
          <w:lang w:eastAsia="ja-JP"/>
        </w:rPr>
        <w:t>ライ</w:t>
      </w:r>
    </w:p>
    <w:p w14:paraId="50BF086F" w14:textId="0129C3EC" w:rsidR="0055291C" w:rsidRPr="00F23AE0" w:rsidRDefault="00F23C61" w:rsidP="00DE1B8E">
      <w:pPr>
        <w:pStyle w:val="a3"/>
        <w:tabs>
          <w:tab w:val="left" w:pos="1418"/>
        </w:tabs>
        <w:spacing w:line="312" w:lineRule="auto"/>
        <w:ind w:left="1418" w:right="900"/>
        <w:rPr>
          <w:rFonts w:ascii="ＭＳ ゴシック" w:eastAsia="ＭＳ ゴシック" w:hAnsi="ＭＳ ゴシック"/>
          <w:bCs/>
          <w:lang w:eastAsia="ja-JP"/>
        </w:rPr>
      </w:pPr>
      <w:r w:rsidRPr="00C134B9">
        <w:rPr>
          <w:rFonts w:ascii="ＭＳ ゴシック" w:eastAsia="ＭＳ ゴシック" w:hAnsi="ＭＳ ゴシック"/>
          <w:b/>
          <w:color w:val="00ACA1"/>
          <w:spacing w:val="-2"/>
          <w:lang w:eastAsia="ja-JP"/>
        </w:rPr>
        <w:t>Consequential</w:t>
      </w:r>
      <w:r w:rsidRPr="00C134B9">
        <w:rPr>
          <w:rFonts w:ascii="ＭＳ ゴシック" w:eastAsia="ＭＳ ゴシック" w:hAnsi="ＭＳ ゴシック"/>
          <w:b/>
          <w:color w:val="00ACA1"/>
          <w:spacing w:val="-10"/>
          <w:lang w:eastAsia="ja-JP"/>
        </w:rPr>
        <w:t xml:space="preserve"> </w:t>
      </w:r>
      <w:r w:rsidRPr="00C134B9">
        <w:rPr>
          <w:rFonts w:ascii="ＭＳ ゴシック" w:eastAsia="ＭＳ ゴシック" w:hAnsi="ＭＳ ゴシック"/>
          <w:b/>
          <w:color w:val="00ACA1"/>
          <w:spacing w:val="-2"/>
          <w:lang w:eastAsia="ja-JP"/>
        </w:rPr>
        <w:t>approach</w:t>
      </w:r>
      <w:r w:rsidR="009A4C91" w:rsidRPr="00F23AE0">
        <w:rPr>
          <w:rFonts w:ascii="ＭＳ ゴシック" w:eastAsia="ＭＳ ゴシック" w:hAnsi="ＭＳ ゴシック" w:cs="ＭＳ ゴシック" w:hint="eastAsia"/>
          <w:bCs/>
          <w:color w:val="000000" w:themeColor="text1"/>
          <w:spacing w:val="-2"/>
          <w:lang w:eastAsia="ja-JP"/>
        </w:rPr>
        <w:t>フ</w:t>
      </w:r>
      <w:r w:rsidR="009A4C91" w:rsidRPr="00F23AE0">
        <w:rPr>
          <w:rFonts w:ascii="ＭＳ ゴシック" w:eastAsia="ＭＳ ゴシック" w:hAnsi="ＭＳ ゴシック" w:cs="ＭＳ ゴシック" w:hint="eastAsia"/>
          <w:bCs/>
          <w:lang w:eastAsia="ja-JP"/>
        </w:rPr>
        <w:t>サイクル境界線に含める</w:t>
      </w:r>
      <w:r w:rsidR="009A4C91" w:rsidRPr="00F23AE0">
        <w:rPr>
          <w:rFonts w:ascii="ＭＳ ゴシック" w:eastAsia="ＭＳ ゴシック" w:hAnsi="ＭＳ ゴシック"/>
          <w:bCs/>
          <w:lang w:eastAsia="ja-JP"/>
        </w:rPr>
        <w:t>LCA</w:t>
      </w:r>
      <w:r w:rsidR="009A4C91" w:rsidRPr="00F23AE0">
        <w:rPr>
          <w:rFonts w:ascii="ＭＳ ゴシック" w:eastAsia="ＭＳ ゴシック" w:hAnsi="ＭＳ ゴシック" w:cs="ＭＳ ゴシック" w:hint="eastAsia"/>
          <w:bCs/>
          <w:lang w:eastAsia="ja-JP"/>
        </w:rPr>
        <w:t>のアプローチ</w:t>
      </w:r>
      <w:r w:rsidR="009A4C91" w:rsidRPr="00F23AE0">
        <w:rPr>
          <w:rFonts w:ascii="ＭＳ ゴシック" w:eastAsia="ＭＳ ゴシック" w:hAnsi="ＭＳ ゴシック" w:cs="ＭＳ ゴシック" w:hint="eastAsia"/>
          <w:bCs/>
          <w:color w:val="000000" w:themeColor="text1"/>
          <w:spacing w:val="-2"/>
          <w:lang w:eastAsia="ja-JP"/>
        </w:rPr>
        <w:t>。B</w:t>
      </w:r>
      <w:r w:rsidR="009A4C91" w:rsidRPr="00F23AE0">
        <w:rPr>
          <w:rFonts w:ascii="ＭＳ ゴシック" w:eastAsia="ＭＳ ゴシック" w:hAnsi="ＭＳ ゴシック" w:cs="ＭＳ ゴシック"/>
          <w:bCs/>
          <w:color w:val="000000" w:themeColor="text1"/>
          <w:spacing w:val="-2"/>
          <w:lang w:eastAsia="ja-JP"/>
        </w:rPr>
        <w:t>ox</w:t>
      </w:r>
      <w:r w:rsidR="009A4C91" w:rsidRPr="00F23AE0">
        <w:rPr>
          <w:rFonts w:ascii="ＭＳ ゴシック" w:eastAsia="ＭＳ ゴシック" w:hAnsi="ＭＳ ゴシック" w:cs="ＭＳ ゴシック" w:hint="eastAsia"/>
          <w:bCs/>
          <w:color w:val="000000" w:themeColor="text1"/>
          <w:spacing w:val="-2"/>
          <w:lang w:eastAsia="ja-JP"/>
        </w:rPr>
        <w:t>5.1参照。</w:t>
      </w:r>
      <w:r w:rsidRPr="00F23AE0">
        <w:rPr>
          <w:rFonts w:ascii="ＭＳ ゴシック" w:eastAsia="ＭＳ ゴシック" w:hAnsi="ＭＳ ゴシック"/>
          <w:bCs/>
          <w:color w:val="545456"/>
          <w:position w:val="6"/>
          <w:lang w:eastAsia="ja-JP"/>
        </w:rPr>
        <w:t>6</w:t>
      </w:r>
    </w:p>
    <w:p w14:paraId="4BB35CF8" w14:textId="77777777" w:rsidR="0055291C" w:rsidRPr="00F23AE0" w:rsidRDefault="0055291C" w:rsidP="00DE1B8E">
      <w:pPr>
        <w:pStyle w:val="a3"/>
        <w:tabs>
          <w:tab w:val="left" w:pos="1418"/>
        </w:tabs>
        <w:spacing w:before="5"/>
        <w:ind w:left="1418" w:right="900"/>
        <w:rPr>
          <w:rFonts w:ascii="ＭＳ ゴシック" w:eastAsia="ＭＳ ゴシック" w:hAnsi="ＭＳ ゴシック"/>
          <w:bCs/>
          <w:lang w:eastAsia="ja-JP"/>
        </w:rPr>
      </w:pPr>
    </w:p>
    <w:p w14:paraId="3B027D58" w14:textId="070563CD" w:rsidR="0055291C" w:rsidRPr="00F23AE0" w:rsidRDefault="004E5DB3" w:rsidP="00DE1B8E">
      <w:pPr>
        <w:pStyle w:val="a3"/>
        <w:tabs>
          <w:tab w:val="left" w:pos="1418"/>
        </w:tabs>
        <w:ind w:left="1418" w:right="900"/>
        <w:rPr>
          <w:rFonts w:ascii="ＭＳ ゴシック" w:eastAsia="ＭＳ ゴシック" w:hAnsi="ＭＳ ゴシック"/>
          <w:bCs/>
        </w:rPr>
      </w:pPr>
      <w:r w:rsidRPr="00C134B9">
        <w:rPr>
          <w:rFonts w:ascii="ＭＳ ゴシック" w:eastAsia="ＭＳ ゴシック" w:hAnsi="ＭＳ ゴシック" w:cs="ＭＳ ゴシック" w:hint="eastAsia"/>
          <w:b/>
          <w:color w:val="00ACA1"/>
          <w:lang w:eastAsia="ja-JP"/>
        </w:rPr>
        <w:t>消費者/</w:t>
      </w:r>
      <w:r w:rsidR="00F23C61" w:rsidRPr="00C134B9">
        <w:rPr>
          <w:rFonts w:ascii="ＭＳ ゴシック" w:eastAsia="ＭＳ ゴシック" w:hAnsi="ＭＳ ゴシック"/>
          <w:b/>
          <w:color w:val="00ACA1"/>
        </w:rPr>
        <w:t>Consumer</w:t>
      </w:r>
      <w:r w:rsidR="00F23C61" w:rsidRPr="00F23AE0">
        <w:rPr>
          <w:rFonts w:ascii="ＭＳ ゴシック" w:eastAsia="ＭＳ ゴシック" w:hAnsi="ＭＳ ゴシック"/>
          <w:bCs/>
          <w:color w:val="00ACA1"/>
        </w:rPr>
        <w:tab/>
      </w:r>
      <w:r w:rsidR="00F23AE0" w:rsidRPr="00F23AE0">
        <w:rPr>
          <w:rFonts w:ascii="ＭＳ ゴシック" w:eastAsia="ＭＳ ゴシック" w:hAnsi="ＭＳ ゴシック"/>
          <w:bCs/>
          <w:color w:val="00ACA1"/>
        </w:rPr>
        <w:tab/>
      </w:r>
      <w:r w:rsidRPr="00F23AE0">
        <w:rPr>
          <w:rFonts w:ascii="ＭＳ ゴシック" w:eastAsia="ＭＳ ゴシック" w:hAnsi="ＭＳ ゴシック" w:cs="ＭＳ ゴシック" w:hint="eastAsia"/>
          <w:bCs/>
          <w:color w:val="545456"/>
          <w:lang w:eastAsia="ja-JP"/>
        </w:rPr>
        <w:t>製品を購入し、使用する個人のこと。</w:t>
      </w:r>
    </w:p>
    <w:p w14:paraId="698F7E58" w14:textId="77777777" w:rsidR="0055291C" w:rsidRPr="00F23AE0" w:rsidRDefault="0055291C" w:rsidP="00DE1B8E">
      <w:pPr>
        <w:pStyle w:val="a3"/>
        <w:tabs>
          <w:tab w:val="left" w:pos="1418"/>
        </w:tabs>
        <w:ind w:left="1418" w:right="900"/>
        <w:rPr>
          <w:rFonts w:ascii="ＭＳ ゴシック" w:eastAsia="ＭＳ ゴシック" w:hAnsi="ＭＳ ゴシック"/>
          <w:bCs/>
        </w:rPr>
      </w:pPr>
    </w:p>
    <w:p w14:paraId="7294148E" w14:textId="77777777" w:rsidR="004E5DB3" w:rsidRPr="00F23AE0" w:rsidRDefault="004E5DB3" w:rsidP="004E5DB3">
      <w:pPr>
        <w:pStyle w:val="a3"/>
        <w:tabs>
          <w:tab w:val="left" w:pos="1418"/>
        </w:tabs>
        <w:spacing w:before="115" w:line="312" w:lineRule="auto"/>
        <w:ind w:left="1418" w:right="900"/>
        <w:rPr>
          <w:rFonts w:ascii="ＭＳ ゴシック" w:eastAsia="ＭＳ ゴシック" w:hAnsi="ＭＳ ゴシック" w:cs="ＭＳ ゴシック"/>
          <w:bCs/>
          <w:lang w:eastAsia="ja-JP"/>
        </w:rPr>
      </w:pPr>
      <w:r w:rsidRPr="00C134B9">
        <w:rPr>
          <w:rFonts w:ascii="ＭＳ ゴシック" w:eastAsia="ＭＳ ゴシック" w:hAnsi="ＭＳ ゴシック" w:cs="ＭＳ ゴシック" w:hint="eastAsia"/>
          <w:b/>
          <w:color w:val="00ACA1"/>
          <w:lang w:eastAsia="ja-JP"/>
        </w:rPr>
        <w:t>副産物/</w:t>
      </w:r>
      <w:r w:rsidR="00F23C61" w:rsidRPr="00C134B9">
        <w:rPr>
          <w:rFonts w:ascii="ＭＳ ゴシック" w:eastAsia="ＭＳ ゴシック" w:hAnsi="ＭＳ ゴシック"/>
          <w:b/>
          <w:color w:val="00ACA1"/>
          <w:lang w:eastAsia="ja-JP"/>
        </w:rPr>
        <w:t>Co-product</w:t>
      </w:r>
      <w:r w:rsidR="00F23C61" w:rsidRPr="00F23AE0">
        <w:rPr>
          <w:rFonts w:ascii="ＭＳ ゴシック" w:eastAsia="ＭＳ ゴシック" w:hAnsi="ＭＳ ゴシック"/>
          <w:bCs/>
          <w:color w:val="00ACA1"/>
          <w:lang w:eastAsia="ja-JP"/>
        </w:rPr>
        <w:tab/>
      </w:r>
      <w:r w:rsidRPr="00F23AE0">
        <w:rPr>
          <w:rFonts w:ascii="ＭＳ ゴシック" w:eastAsia="ＭＳ ゴシック" w:hAnsi="ＭＳ ゴシック" w:cs="ＭＳ ゴシック" w:hint="eastAsia"/>
          <w:bCs/>
          <w:lang w:eastAsia="ja-JP"/>
        </w:rPr>
        <w:t>他の製品のライフサイクル</w:t>
      </w:r>
      <w:r w:rsidRPr="00F23AE0">
        <w:rPr>
          <w:rFonts w:ascii="ＭＳ ゴシック" w:eastAsia="ＭＳ ゴシック" w:hAnsi="ＭＳ ゴシック" w:cs="ＭＳ ゴシック" w:hint="eastAsia"/>
          <w:bCs/>
          <w:lang w:eastAsia="ja-JP"/>
        </w:rPr>
        <w:t>へ</w:t>
      </w:r>
      <w:r w:rsidRPr="00F23AE0">
        <w:rPr>
          <w:rFonts w:ascii="ＭＳ ゴシック" w:eastAsia="ＭＳ ゴシック" w:hAnsi="ＭＳ ゴシック" w:cs="ＭＳ ゴシック" w:hint="eastAsia"/>
          <w:bCs/>
          <w:lang w:eastAsia="ja-JP"/>
        </w:rPr>
        <w:t>の</w:t>
      </w:r>
      <w:r w:rsidRPr="00F23AE0">
        <w:rPr>
          <w:rFonts w:ascii="ＭＳ ゴシック" w:eastAsia="ＭＳ ゴシック" w:hAnsi="ＭＳ ゴシック" w:cs="ＭＳ ゴシック" w:hint="eastAsia"/>
          <w:bCs/>
          <w:lang w:eastAsia="ja-JP"/>
        </w:rPr>
        <w:t>投入物</w:t>
      </w:r>
      <w:r w:rsidRPr="00F23AE0">
        <w:rPr>
          <w:rFonts w:ascii="ＭＳ ゴシック" w:eastAsia="ＭＳ ゴシック" w:hAnsi="ＭＳ ゴシック" w:cs="ＭＳ ゴシック" w:hint="eastAsia"/>
          <w:bCs/>
          <w:lang w:eastAsia="ja-JP"/>
        </w:rPr>
        <w:t>として価値を持つ、</w:t>
      </w:r>
      <w:r w:rsidRPr="00F23AE0">
        <w:rPr>
          <w:rFonts w:ascii="ＭＳ ゴシック" w:eastAsia="ＭＳ ゴシック" w:hAnsi="ＭＳ ゴシック" w:cs="ＭＳ ゴシック" w:hint="eastAsia"/>
          <w:bCs/>
          <w:lang w:eastAsia="ja-JP"/>
        </w:rPr>
        <w:t>調査対象製品の</w:t>
      </w:r>
      <w:r w:rsidRPr="00F23AE0">
        <w:rPr>
          <w:rFonts w:ascii="ＭＳ ゴシック" w:eastAsia="ＭＳ ゴシック" w:hAnsi="ＭＳ ゴシック" w:cs="ＭＳ ゴシック" w:hint="eastAsia"/>
          <w:bCs/>
          <w:lang w:eastAsia="ja-JP"/>
        </w:rPr>
        <w:t>共通プロセスか</w:t>
      </w:r>
    </w:p>
    <w:p w14:paraId="29053791" w14:textId="2DFEA192" w:rsidR="0055291C" w:rsidRPr="00F23AE0" w:rsidRDefault="004E5DB3" w:rsidP="004E5DB3">
      <w:pPr>
        <w:pStyle w:val="a3"/>
        <w:tabs>
          <w:tab w:val="left" w:pos="1418"/>
        </w:tabs>
        <w:spacing w:before="115" w:line="312" w:lineRule="auto"/>
        <w:ind w:left="1418" w:right="900"/>
        <w:rPr>
          <w:rFonts w:ascii="ＭＳ ゴシック" w:eastAsia="ＭＳ ゴシック" w:hAnsi="ＭＳ ゴシック"/>
          <w:bCs/>
          <w:lang w:eastAsia="ja-JP"/>
        </w:rPr>
        <w:sectPr w:rsidR="0055291C" w:rsidRPr="00F23AE0">
          <w:headerReference w:type="default" r:id="rId386"/>
          <w:footerReference w:type="even" r:id="rId387"/>
          <w:footerReference w:type="default" r:id="rId388"/>
          <w:pgSz w:w="12240" w:h="15840"/>
          <w:pgMar w:top="0" w:right="0" w:bottom="1040" w:left="0" w:header="0" w:footer="859" w:gutter="0"/>
          <w:pgNumType w:start="133"/>
          <w:cols w:space="720"/>
        </w:sectPr>
      </w:pP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hint="eastAsia"/>
          <w:bCs/>
          <w:lang w:eastAsia="ja-JP"/>
        </w:rPr>
        <w:t>ら生み出される製品。</w:t>
      </w:r>
    </w:p>
    <w:p w14:paraId="7D107F8A" w14:textId="77777777" w:rsidR="0055291C" w:rsidRPr="00F23AE0" w:rsidRDefault="0055291C" w:rsidP="00A24D6C">
      <w:pPr>
        <w:pStyle w:val="a3"/>
        <w:tabs>
          <w:tab w:val="left" w:pos="1418"/>
        </w:tabs>
        <w:spacing w:before="6"/>
        <w:ind w:right="900"/>
        <w:rPr>
          <w:rFonts w:ascii="ＭＳ ゴシック" w:eastAsia="ＭＳ ゴシック" w:hAnsi="ＭＳ ゴシック" w:hint="eastAsia"/>
          <w:bCs/>
          <w:lang w:eastAsia="ja-JP"/>
        </w:rPr>
      </w:pPr>
    </w:p>
    <w:p w14:paraId="7805AE30" w14:textId="3F9645F6" w:rsidR="00067284" w:rsidRPr="00F23AE0" w:rsidRDefault="004E5DB3" w:rsidP="00DE1B8E">
      <w:pPr>
        <w:pStyle w:val="a3"/>
        <w:tabs>
          <w:tab w:val="left" w:pos="1418"/>
        </w:tabs>
        <w:spacing w:line="312" w:lineRule="auto"/>
        <w:ind w:left="1418" w:right="900"/>
        <w:rPr>
          <w:rFonts w:ascii="ＭＳ ゴシック" w:eastAsia="ＭＳ ゴシック" w:hAnsi="ＭＳ ゴシック" w:cs="ＭＳ ゴシック"/>
          <w:bCs/>
          <w:color w:val="00ACA1"/>
          <w:lang w:eastAsia="ja-JP"/>
        </w:rPr>
      </w:pPr>
      <w:r w:rsidRPr="00C134B9">
        <w:rPr>
          <w:rFonts w:ascii="ＭＳ ゴシック" w:eastAsia="ＭＳ ゴシック" w:hAnsi="ＭＳ ゴシック" w:cs="ＭＳ ゴシック" w:hint="eastAsia"/>
          <w:b/>
          <w:color w:val="00ACA1"/>
          <w:lang w:eastAsia="ja-JP"/>
        </w:rPr>
        <w:t>生産から出荷まで</w:t>
      </w:r>
      <w:r w:rsidR="00067284" w:rsidRPr="00C134B9">
        <w:rPr>
          <w:rFonts w:ascii="ＭＳ ゴシック" w:eastAsia="ＭＳ ゴシック" w:hAnsi="ＭＳ ゴシック" w:cs="ＭＳ ゴシック" w:hint="eastAsia"/>
          <w:b/>
          <w:color w:val="00ACA1"/>
          <w:lang w:eastAsia="ja-JP"/>
        </w:rPr>
        <w:t>の</w:t>
      </w:r>
      <w:r w:rsidR="00067284" w:rsidRPr="00F23AE0">
        <w:rPr>
          <w:rFonts w:ascii="ＭＳ ゴシック" w:eastAsia="ＭＳ ゴシック" w:hAnsi="ＭＳ ゴシック" w:cs="ＭＳ ゴシック"/>
          <w:bCs/>
          <w:color w:val="00ACA1"/>
          <w:lang w:eastAsia="ja-JP"/>
        </w:rPr>
        <w:tab/>
      </w:r>
      <w:r w:rsidR="00067284" w:rsidRPr="00F23AE0">
        <w:rPr>
          <w:rFonts w:ascii="ＭＳ ゴシック" w:eastAsia="ＭＳ ゴシック" w:hAnsi="ＭＳ ゴシック" w:cs="ＭＳ ゴシック" w:hint="eastAsia"/>
          <w:bCs/>
          <w:color w:val="000000" w:themeColor="text1"/>
          <w:lang w:eastAsia="ja-JP"/>
        </w:rPr>
        <w:t>製品の</w:t>
      </w:r>
      <w:r w:rsidR="00067284" w:rsidRPr="00F23AE0">
        <w:rPr>
          <w:rFonts w:ascii="ＭＳ ゴシック" w:eastAsia="ＭＳ ゴシック" w:hAnsi="ＭＳ ゴシック" w:cs="ＭＳ ゴシック" w:hint="eastAsia"/>
          <w:bCs/>
          <w:lang w:eastAsia="ja-JP"/>
        </w:rPr>
        <w:t>原材料の入手から、製品が企業の門を出るまで（例えば、製品の生産直後）</w:t>
      </w:r>
      <w:r w:rsidR="00DE3882" w:rsidRPr="00F23AE0">
        <w:rPr>
          <w:rFonts w:ascii="ＭＳ ゴシック" w:eastAsia="ＭＳ ゴシック" w:hAnsi="ＭＳ ゴシック" w:cs="ＭＳ ゴシック" w:hint="eastAsia"/>
          <w:bCs/>
          <w:lang w:eastAsia="ja-JP"/>
        </w:rPr>
        <w:t>の中間</w:t>
      </w:r>
    </w:p>
    <w:p w14:paraId="1CE838D2" w14:textId="703777B3" w:rsidR="00DE3882" w:rsidRPr="00F23AE0" w:rsidRDefault="00067284" w:rsidP="00DE1B8E">
      <w:pPr>
        <w:pStyle w:val="a3"/>
        <w:tabs>
          <w:tab w:val="left" w:pos="1418"/>
        </w:tabs>
        <w:spacing w:line="312" w:lineRule="auto"/>
        <w:ind w:left="1418" w:right="900"/>
        <w:rPr>
          <w:rFonts w:ascii="ＭＳ ゴシック" w:eastAsia="ＭＳ ゴシック" w:hAnsi="ＭＳ ゴシック" w:cs="ＭＳ ゴシック"/>
          <w:bCs/>
          <w:lang w:eastAsia="ja-JP"/>
        </w:rPr>
      </w:pPr>
      <w:r w:rsidRPr="00C134B9">
        <w:rPr>
          <w:rFonts w:ascii="ＭＳ ゴシック" w:eastAsia="ＭＳ ゴシック" w:hAnsi="ＭＳ ゴシック" w:cs="ＭＳ ゴシック" w:hint="eastAsia"/>
          <w:b/>
          <w:color w:val="00ACA1"/>
          <w:lang w:eastAsia="ja-JP"/>
        </w:rPr>
        <w:t>排出量</w:t>
      </w:r>
      <w:r w:rsidR="004E5DB3" w:rsidRPr="00C134B9">
        <w:rPr>
          <w:rFonts w:ascii="ＭＳ ゴシック" w:eastAsia="ＭＳ ゴシック" w:hAnsi="ＭＳ ゴシック" w:cs="ＭＳ ゴシック" w:hint="eastAsia"/>
          <w:b/>
          <w:color w:val="00ACA1"/>
          <w:lang w:eastAsia="ja-JP"/>
        </w:rPr>
        <w:t>/</w:t>
      </w:r>
      <w:r w:rsidR="004E5DB3" w:rsidRPr="00C134B9">
        <w:rPr>
          <w:rFonts w:ascii="ＭＳ ゴシック" w:eastAsia="ＭＳ ゴシック" w:hAnsi="ＭＳ ゴシック" w:cs="ＭＳ ゴシック"/>
          <w:b/>
          <w:color w:val="00ACA1"/>
          <w:lang w:eastAsia="ja-JP"/>
        </w:rPr>
        <w:tab/>
      </w:r>
      <w:r w:rsidRPr="00C134B9">
        <w:rPr>
          <w:rFonts w:ascii="ＭＳ ゴシック" w:eastAsia="ＭＳ ゴシック" w:hAnsi="ＭＳ ゴシック"/>
          <w:b/>
          <w:color w:val="00ACA1"/>
        </w:rPr>
        <w:t>Cradle-to-gate</w:t>
      </w:r>
      <w:r w:rsidRPr="00F23AE0">
        <w:rPr>
          <w:rFonts w:ascii="ＭＳ ゴシック" w:eastAsia="ＭＳ ゴシック" w:hAnsi="ＭＳ ゴシック"/>
          <w:bCs/>
          <w:color w:val="00ACA1"/>
        </w:rPr>
        <w:tab/>
      </w:r>
      <w:r w:rsidRPr="00F23AE0">
        <w:rPr>
          <w:rFonts w:ascii="ＭＳ ゴシック" w:eastAsia="ＭＳ ゴシック" w:hAnsi="ＭＳ ゴシック" w:cs="ＭＳ ゴシック" w:hint="eastAsia"/>
          <w:bCs/>
          <w:lang w:eastAsia="ja-JP"/>
        </w:rPr>
        <w:t>製品の</w:t>
      </w:r>
      <w:r w:rsidRPr="00F23AE0">
        <w:rPr>
          <w:rFonts w:ascii="ＭＳ ゴシック" w:eastAsia="ＭＳ ゴシック" w:hAnsi="ＭＳ ゴシック" w:cs="ＭＳ ゴシック" w:hint="eastAsia"/>
          <w:bCs/>
          <w:lang w:eastAsia="ja-JP"/>
        </w:rPr>
        <w:t>GHG排出量。</w:t>
      </w:r>
      <w:r w:rsidR="00DE3882" w:rsidRPr="00F23AE0">
        <w:rPr>
          <w:rFonts w:ascii="ＭＳ ゴシック" w:eastAsia="ＭＳ ゴシック" w:hAnsi="ＭＳ ゴシック" w:cs="ＭＳ ゴシック" w:hint="eastAsia"/>
          <w:bCs/>
          <w:lang w:eastAsia="ja-JP"/>
        </w:rPr>
        <w:t>英語では「ゆりかごからゲートまでの排出量」。（c</w:t>
      </w:r>
      <w:r w:rsidR="00DE3882" w:rsidRPr="00F23AE0">
        <w:rPr>
          <w:rFonts w:ascii="ＭＳ ゴシック" w:eastAsia="ＭＳ ゴシック" w:hAnsi="ＭＳ ゴシック" w:cs="ＭＳ ゴシック"/>
          <w:bCs/>
          <w:lang w:eastAsia="ja-JP"/>
        </w:rPr>
        <w:t>f.</w:t>
      </w:r>
      <w:r w:rsidR="00DE3882" w:rsidRPr="00F23AE0">
        <w:rPr>
          <w:rFonts w:ascii="ＭＳ ゴシック" w:eastAsia="ＭＳ ゴシック" w:hAnsi="ＭＳ ゴシック" w:cs="ＭＳ ゴシック" w:hint="eastAsia"/>
          <w:bCs/>
          <w:lang w:eastAsia="ja-JP"/>
        </w:rPr>
        <w:t>「ゆりかごから</w:t>
      </w:r>
    </w:p>
    <w:p w14:paraId="124AAA3B" w14:textId="1AF7F86E" w:rsidR="004E5DB3" w:rsidRPr="00F23AE0" w:rsidRDefault="00DE3882" w:rsidP="00DE3882">
      <w:pPr>
        <w:pStyle w:val="a3"/>
        <w:tabs>
          <w:tab w:val="left" w:pos="1418"/>
        </w:tabs>
        <w:spacing w:line="312" w:lineRule="auto"/>
        <w:ind w:left="1418" w:right="900"/>
        <w:rPr>
          <w:rFonts w:ascii="ＭＳ ゴシック" w:eastAsia="ＭＳ ゴシック" w:hAnsi="ＭＳ ゴシック"/>
          <w:bCs/>
          <w:lang w:eastAsia="ja-JP"/>
        </w:rPr>
      </w:pPr>
      <w:r w:rsidRPr="00F23AE0">
        <w:rPr>
          <w:rFonts w:ascii="ＭＳ ゴシック" w:eastAsia="ＭＳ ゴシック" w:hAnsi="ＭＳ ゴシック" w:cs="ＭＳ ゴシック"/>
          <w:bCs/>
          <w:color w:val="00ACA1"/>
          <w:lang w:eastAsia="ja-JP"/>
        </w:rPr>
        <w:tab/>
      </w:r>
      <w:r w:rsidRPr="00C134B9">
        <w:rPr>
          <w:rFonts w:ascii="ＭＳ ゴシック" w:eastAsia="ＭＳ ゴシック" w:hAnsi="ＭＳ ゴシック"/>
          <w:b/>
          <w:color w:val="00ACA1"/>
          <w:lang w:eastAsia="ja-JP"/>
        </w:rPr>
        <w:t>I</w:t>
      </w:r>
      <w:r w:rsidRPr="00C134B9">
        <w:rPr>
          <w:rFonts w:ascii="ＭＳ ゴシック" w:eastAsia="ＭＳ ゴシック" w:hAnsi="ＭＳ ゴシック"/>
          <w:b/>
          <w:color w:val="00ACA1"/>
          <w:lang w:eastAsia="ja-JP"/>
        </w:rPr>
        <w:t>nventory</w:t>
      </w:r>
      <w:r w:rsidRPr="00F23AE0">
        <w:rPr>
          <w:rFonts w:ascii="ＭＳ ゴシック" w:eastAsia="ＭＳ ゴシック" w:hAnsi="ＭＳ ゴシック"/>
          <w:bCs/>
          <w:lang w:eastAsia="ja-JP"/>
        </w:rPr>
        <w:tab/>
      </w: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hint="eastAsia"/>
          <w:bCs/>
          <w:lang w:eastAsia="ja-JP"/>
        </w:rPr>
        <w:t>墓場まで」の排出量）</w:t>
      </w:r>
    </w:p>
    <w:p w14:paraId="18B24D0A" w14:textId="77777777" w:rsidR="0055291C" w:rsidRPr="00F23AE0" w:rsidRDefault="0055291C" w:rsidP="00DE1B8E">
      <w:pPr>
        <w:pStyle w:val="a3"/>
        <w:tabs>
          <w:tab w:val="left" w:pos="1418"/>
        </w:tabs>
        <w:spacing w:before="5"/>
        <w:ind w:left="1418" w:right="900"/>
        <w:rPr>
          <w:rFonts w:ascii="ＭＳ ゴシック" w:eastAsia="ＭＳ ゴシック" w:hAnsi="ＭＳ ゴシック"/>
          <w:bCs/>
          <w:lang w:eastAsia="ja-JP"/>
        </w:rPr>
      </w:pPr>
    </w:p>
    <w:p w14:paraId="7A05109A" w14:textId="3CA51323" w:rsidR="00DE3882" w:rsidRPr="00F23AE0" w:rsidRDefault="00DE3882" w:rsidP="00DE1B8E">
      <w:pPr>
        <w:tabs>
          <w:tab w:val="left" w:pos="1418"/>
        </w:tabs>
        <w:spacing w:line="312" w:lineRule="auto"/>
        <w:ind w:left="1418" w:right="900"/>
        <w:rPr>
          <w:rFonts w:ascii="ＭＳ ゴシック" w:eastAsia="ＭＳ ゴシック" w:hAnsi="ＭＳ ゴシック" w:cs="ＭＳ ゴシック"/>
          <w:bCs/>
          <w:color w:val="00ACA1"/>
          <w:sz w:val="19"/>
          <w:szCs w:val="19"/>
          <w:lang w:eastAsia="ja-JP"/>
        </w:rPr>
      </w:pPr>
      <w:r w:rsidRPr="00C134B9">
        <w:rPr>
          <w:rFonts w:ascii="ＭＳ ゴシック" w:eastAsia="ＭＳ ゴシック" w:hAnsi="ＭＳ ゴシック" w:cs="ＭＳ ゴシック" w:hint="eastAsia"/>
          <w:b/>
          <w:color w:val="00ACA1"/>
          <w:sz w:val="19"/>
          <w:szCs w:val="19"/>
          <w:lang w:eastAsia="ja-JP"/>
        </w:rPr>
        <w:t>「ゆりかごから墓場まで」</w:t>
      </w:r>
      <w:r w:rsidRPr="00F23AE0">
        <w:rPr>
          <w:rFonts w:ascii="ＭＳ ゴシック" w:eastAsia="ＭＳ ゴシック" w:hAnsi="ＭＳ ゴシック" w:cs="ＭＳ ゴシック" w:hint="eastAsia"/>
          <w:bCs/>
          <w:color w:val="545456"/>
          <w:sz w:val="19"/>
          <w:szCs w:val="19"/>
          <w:lang w:eastAsia="ja-JP"/>
        </w:rPr>
        <w:t>調査対象製品の原材料入手</w:t>
      </w:r>
      <w:r w:rsidRPr="00F23AE0">
        <w:rPr>
          <w:rFonts w:ascii="ＭＳ ゴシック" w:eastAsia="ＭＳ ゴシック" w:hAnsi="ＭＳ ゴシック" w:cs="ＭＳ ゴシック" w:hint="eastAsia"/>
          <w:bCs/>
          <w:color w:val="545456"/>
          <w:sz w:val="19"/>
          <w:szCs w:val="19"/>
          <w:lang w:eastAsia="ja-JP"/>
        </w:rPr>
        <w:t>（＝ゆりかご）</w:t>
      </w:r>
      <w:r w:rsidRPr="00F23AE0">
        <w:rPr>
          <w:rFonts w:ascii="ＭＳ ゴシック" w:eastAsia="ＭＳ ゴシック" w:hAnsi="ＭＳ ゴシック" w:cs="ＭＳ ゴシック" w:hint="eastAsia"/>
          <w:bCs/>
          <w:color w:val="545456"/>
          <w:sz w:val="19"/>
          <w:szCs w:val="19"/>
          <w:lang w:eastAsia="ja-JP"/>
        </w:rPr>
        <w:t>から廃棄</w:t>
      </w:r>
      <w:r w:rsidRPr="00F23AE0">
        <w:rPr>
          <w:rFonts w:ascii="ＭＳ ゴシック" w:eastAsia="ＭＳ ゴシック" w:hAnsi="ＭＳ ゴシック" w:cs="ＭＳ ゴシック" w:hint="eastAsia"/>
          <w:bCs/>
          <w:color w:val="545456"/>
          <w:sz w:val="19"/>
          <w:szCs w:val="19"/>
          <w:lang w:eastAsia="ja-JP"/>
        </w:rPr>
        <w:t>（＝墓場）</w:t>
      </w:r>
      <w:r w:rsidRPr="00F23AE0">
        <w:rPr>
          <w:rFonts w:ascii="ＭＳ ゴシック" w:eastAsia="ＭＳ ゴシック" w:hAnsi="ＭＳ ゴシック" w:cs="ＭＳ ゴシック" w:hint="eastAsia"/>
          <w:bCs/>
          <w:color w:val="545456"/>
          <w:sz w:val="19"/>
          <w:szCs w:val="19"/>
          <w:lang w:eastAsia="ja-JP"/>
        </w:rPr>
        <w:t>までのGHG排出量。</w:t>
      </w:r>
    </w:p>
    <w:p w14:paraId="6116519F" w14:textId="4A2235C9" w:rsidR="00DE3882" w:rsidRPr="00C134B9" w:rsidRDefault="00DE3882" w:rsidP="00DE1B8E">
      <w:pPr>
        <w:tabs>
          <w:tab w:val="left" w:pos="1418"/>
        </w:tabs>
        <w:spacing w:line="312" w:lineRule="auto"/>
        <w:ind w:left="1418" w:right="900"/>
        <w:rPr>
          <w:rFonts w:ascii="ＭＳ ゴシック" w:eastAsia="ＭＳ ゴシック" w:hAnsi="ＭＳ ゴシック"/>
          <w:b/>
          <w:color w:val="00ACA1"/>
          <w:sz w:val="19"/>
          <w:szCs w:val="19"/>
        </w:rPr>
      </w:pPr>
      <w:r w:rsidRPr="00C134B9">
        <w:rPr>
          <w:rFonts w:ascii="ＭＳ ゴシック" w:eastAsia="ＭＳ ゴシック" w:hAnsi="ＭＳ ゴシック" w:cs="ＭＳ ゴシック" w:hint="eastAsia"/>
          <w:b/>
          <w:color w:val="00ACA1"/>
          <w:sz w:val="19"/>
          <w:szCs w:val="19"/>
          <w:lang w:eastAsia="ja-JP"/>
        </w:rPr>
        <w:t>の排出量/</w:t>
      </w:r>
      <w:r w:rsidR="00F23C61" w:rsidRPr="00C134B9">
        <w:rPr>
          <w:rFonts w:ascii="ＭＳ ゴシック" w:eastAsia="ＭＳ ゴシック" w:hAnsi="ＭＳ ゴシック"/>
          <w:b/>
          <w:color w:val="00ACA1"/>
          <w:sz w:val="19"/>
          <w:szCs w:val="19"/>
        </w:rPr>
        <w:t>Cradle-to-</w:t>
      </w:r>
    </w:p>
    <w:p w14:paraId="0B4249A2" w14:textId="59C1F3AC" w:rsidR="0055291C" w:rsidRPr="00C134B9" w:rsidRDefault="00DE3882" w:rsidP="00DE1B8E">
      <w:pPr>
        <w:tabs>
          <w:tab w:val="left" w:pos="1418"/>
        </w:tabs>
        <w:spacing w:line="312" w:lineRule="auto"/>
        <w:ind w:left="1418" w:right="900"/>
        <w:rPr>
          <w:rFonts w:ascii="ＭＳ ゴシック" w:eastAsia="ＭＳ ゴシック" w:hAnsi="ＭＳ ゴシック"/>
          <w:b/>
          <w:sz w:val="19"/>
          <w:szCs w:val="19"/>
        </w:rPr>
      </w:pPr>
      <w:r w:rsidRPr="00C134B9">
        <w:rPr>
          <w:rFonts w:ascii="ＭＳ ゴシック" w:eastAsia="ＭＳ ゴシック" w:hAnsi="ＭＳ ゴシック"/>
          <w:b/>
          <w:color w:val="00ACA1"/>
          <w:sz w:val="19"/>
          <w:szCs w:val="19"/>
        </w:rPr>
        <w:t>grave</w:t>
      </w:r>
      <w:r w:rsidRPr="00C134B9">
        <w:rPr>
          <w:rFonts w:ascii="ＭＳ ゴシック" w:eastAsia="ＭＳ ゴシック" w:hAnsi="ＭＳ ゴシック"/>
          <w:b/>
          <w:color w:val="00ACA1"/>
          <w:sz w:val="19"/>
          <w:szCs w:val="19"/>
        </w:rPr>
        <w:t xml:space="preserve"> </w:t>
      </w:r>
      <w:r w:rsidR="00F23C61" w:rsidRPr="00C134B9">
        <w:rPr>
          <w:rFonts w:ascii="ＭＳ ゴシック" w:eastAsia="ＭＳ ゴシック" w:hAnsi="ＭＳ ゴシック"/>
          <w:b/>
          <w:color w:val="00ACA1"/>
          <w:sz w:val="19"/>
          <w:szCs w:val="19"/>
        </w:rPr>
        <w:t>inventory</w:t>
      </w:r>
      <w:r w:rsidR="00F23C61" w:rsidRPr="00C134B9">
        <w:rPr>
          <w:rFonts w:ascii="ＭＳ ゴシック" w:eastAsia="ＭＳ ゴシック" w:hAnsi="ＭＳ ゴシック"/>
          <w:b/>
          <w:color w:val="00ACA1"/>
          <w:sz w:val="19"/>
          <w:szCs w:val="19"/>
        </w:rPr>
        <w:tab/>
      </w:r>
    </w:p>
    <w:p w14:paraId="090F8CE5" w14:textId="77777777" w:rsidR="0055291C" w:rsidRPr="00F23AE0" w:rsidRDefault="0055291C" w:rsidP="00DE1B8E">
      <w:pPr>
        <w:pStyle w:val="a3"/>
        <w:tabs>
          <w:tab w:val="left" w:pos="1418"/>
        </w:tabs>
        <w:spacing w:before="4"/>
        <w:ind w:left="1418" w:right="900"/>
        <w:rPr>
          <w:rFonts w:ascii="ＭＳ ゴシック" w:eastAsia="ＭＳ ゴシック" w:hAnsi="ＭＳ ゴシック"/>
          <w:bCs/>
        </w:rPr>
      </w:pPr>
    </w:p>
    <w:p w14:paraId="349CD3C8" w14:textId="1533C971" w:rsidR="0055291C" w:rsidRPr="00F23AE0" w:rsidRDefault="00DE3882" w:rsidP="00DE1B8E">
      <w:pPr>
        <w:pStyle w:val="a3"/>
        <w:tabs>
          <w:tab w:val="left" w:pos="1418"/>
        </w:tabs>
        <w:spacing w:before="1"/>
        <w:ind w:left="1418" w:right="900"/>
        <w:rPr>
          <w:rFonts w:ascii="ＭＳ ゴシック" w:eastAsia="ＭＳ ゴシック" w:hAnsi="ＭＳ ゴシック"/>
          <w:bCs/>
        </w:rPr>
      </w:pPr>
      <w:r w:rsidRPr="00C134B9">
        <w:rPr>
          <w:rFonts w:ascii="ＭＳ ゴシック" w:eastAsia="ＭＳ ゴシック" w:hAnsi="ＭＳ ゴシック" w:cs="ＭＳ ゴシック" w:hint="eastAsia"/>
          <w:b/>
          <w:color w:val="00ACA1"/>
          <w:w w:val="105"/>
          <w:lang w:eastAsia="ja-JP"/>
        </w:rPr>
        <w:t>顧客/</w:t>
      </w:r>
      <w:r w:rsidR="00F23C61" w:rsidRPr="00C134B9">
        <w:rPr>
          <w:rFonts w:ascii="ＭＳ ゴシック" w:eastAsia="ＭＳ ゴシック" w:hAnsi="ＭＳ ゴシック"/>
          <w:b/>
          <w:color w:val="00ACA1"/>
          <w:w w:val="105"/>
          <w:lang w:eastAsia="ja-JP"/>
        </w:rPr>
        <w:t>Customer</w:t>
      </w:r>
      <w:r w:rsidR="00C731E8" w:rsidRPr="00F23AE0">
        <w:rPr>
          <w:rFonts w:ascii="ＭＳ ゴシック" w:eastAsia="ＭＳ ゴシック" w:hAnsi="ＭＳ ゴシック"/>
          <w:bCs/>
          <w:color w:val="00ACA1"/>
          <w:w w:val="105"/>
          <w:lang w:eastAsia="ja-JP"/>
        </w:rPr>
        <w:tab/>
      </w:r>
      <w:r w:rsidR="00C731E8" w:rsidRPr="00F23AE0">
        <w:rPr>
          <w:rFonts w:ascii="ＭＳ ゴシック" w:eastAsia="ＭＳ ゴシック" w:hAnsi="ＭＳ ゴシック"/>
          <w:bCs/>
          <w:color w:val="00ACA1"/>
          <w:w w:val="105"/>
          <w:lang w:eastAsia="ja-JP"/>
        </w:rPr>
        <w:tab/>
      </w:r>
      <w:r w:rsidR="00C731E8" w:rsidRPr="00F23AE0">
        <w:rPr>
          <w:rFonts w:ascii="ＭＳ ゴシック" w:eastAsia="ＭＳ ゴシック" w:hAnsi="ＭＳ ゴシック" w:cs="ＭＳ ゴシック" w:hint="eastAsia"/>
          <w:bCs/>
          <w:lang w:eastAsia="ja-JP"/>
        </w:rPr>
        <w:t>他の事業者（供給者）の製品を購入、レンタル、または使用する事業者。</w:t>
      </w:r>
    </w:p>
    <w:p w14:paraId="7F756809" w14:textId="77777777" w:rsidR="0055291C" w:rsidRPr="00F23AE0" w:rsidRDefault="0055291C" w:rsidP="00DE1B8E">
      <w:pPr>
        <w:pStyle w:val="a3"/>
        <w:tabs>
          <w:tab w:val="left" w:pos="1418"/>
        </w:tabs>
        <w:ind w:left="1418" w:right="900"/>
        <w:rPr>
          <w:rFonts w:ascii="ＭＳ ゴシック" w:eastAsia="ＭＳ ゴシック" w:hAnsi="ＭＳ ゴシック"/>
          <w:bCs/>
        </w:rPr>
      </w:pPr>
    </w:p>
    <w:p w14:paraId="13EAFCE0" w14:textId="42C28BA9" w:rsidR="00C731E8" w:rsidRPr="00F23AE0" w:rsidRDefault="00C731E8" w:rsidP="00C731E8">
      <w:pPr>
        <w:pStyle w:val="a3"/>
        <w:tabs>
          <w:tab w:val="left" w:pos="1418"/>
          <w:tab w:val="left" w:pos="3490"/>
        </w:tabs>
        <w:spacing w:before="115"/>
        <w:ind w:left="1418" w:right="900"/>
        <w:rPr>
          <w:rFonts w:ascii="ＭＳ ゴシック" w:eastAsia="ＭＳ ゴシック" w:hAnsi="ＭＳ ゴシック" w:cs="ＭＳ ゴシック"/>
          <w:bCs/>
          <w:color w:val="00ACA1"/>
          <w:spacing w:val="-1"/>
          <w:lang w:eastAsia="ja-JP"/>
        </w:rPr>
      </w:pPr>
      <w:r w:rsidRPr="00C134B9">
        <w:rPr>
          <w:rFonts w:ascii="ＭＳ ゴシック" w:eastAsia="ＭＳ ゴシック" w:hAnsi="ＭＳ ゴシック" w:cs="ＭＳ ゴシック" w:hint="eastAsia"/>
          <w:b/>
          <w:color w:val="00ACA1"/>
          <w:spacing w:val="-1"/>
          <w:lang w:eastAsia="ja-JP"/>
        </w:rPr>
        <w:t>直接排出データ/</w:t>
      </w:r>
      <w:r w:rsidRPr="00F23AE0">
        <w:rPr>
          <w:rFonts w:ascii="ＭＳ ゴシック" w:eastAsia="ＭＳ ゴシック" w:hAnsi="ＭＳ ゴシック" w:cs="ＭＳ ゴシック"/>
          <w:bCs/>
          <w:color w:val="00ACA1"/>
          <w:spacing w:val="-1"/>
          <w:lang w:eastAsia="ja-JP"/>
        </w:rPr>
        <w:tab/>
      </w:r>
      <w:r w:rsidR="00587034" w:rsidRPr="00F23AE0">
        <w:rPr>
          <w:rFonts w:ascii="ＭＳ ゴシック" w:eastAsia="ＭＳ ゴシック" w:hAnsi="ＭＳ ゴシック" w:cs="ＭＳ ゴシック"/>
          <w:bCs/>
          <w:color w:val="00ACA1"/>
          <w:spacing w:val="-1"/>
          <w:lang w:eastAsia="ja-JP"/>
        </w:rPr>
        <w:tab/>
      </w:r>
      <w:r w:rsidRPr="00F23AE0">
        <w:rPr>
          <w:rFonts w:ascii="ＭＳ ゴシック" w:eastAsia="ＭＳ ゴシック" w:hAnsi="ＭＳ ゴシック" w:cs="ＭＳ ゴシック" w:hint="eastAsia"/>
          <w:bCs/>
          <w:lang w:eastAsia="ja-JP"/>
        </w:rPr>
        <w:t>直接モニタリング、化学量論、マスバランス、または同様の手法により決定された、</w:t>
      </w:r>
      <w:r w:rsidRPr="00F23AE0">
        <w:rPr>
          <w:rFonts w:ascii="ＭＳ ゴシック" w:eastAsia="ＭＳ ゴシック" w:hAnsi="ＭＳ ゴシック" w:cs="ＭＳ ゴシック" w:hint="eastAsia"/>
          <w:bCs/>
          <w:lang w:eastAsia="ja-JP"/>
        </w:rPr>
        <w:t>製造</w:t>
      </w:r>
      <w:r w:rsidR="007B0BA9" w:rsidRPr="00F23AE0">
        <w:rPr>
          <w:rFonts w:ascii="ＭＳ ゴシック" w:eastAsia="ＭＳ ゴシック" w:hAnsi="ＭＳ ゴシック" w:cs="ＭＳ ゴシック"/>
          <w:bCs/>
          <w:lang w:eastAsia="ja-JP"/>
        </w:rPr>
        <w:br/>
      </w:r>
      <w:r w:rsidRPr="00C134B9">
        <w:rPr>
          <w:rFonts w:ascii="ＭＳ ゴシック" w:eastAsia="ＭＳ ゴシック" w:hAnsi="ＭＳ ゴシック"/>
          <w:b/>
          <w:color w:val="00ACA1"/>
          <w:spacing w:val="-1"/>
          <w:lang w:eastAsia="ja-JP"/>
        </w:rPr>
        <w:t>Direct</w:t>
      </w:r>
      <w:r w:rsidRPr="00C134B9">
        <w:rPr>
          <w:rFonts w:ascii="ＭＳ ゴシック" w:eastAsia="ＭＳ ゴシック" w:hAnsi="ＭＳ ゴシック"/>
          <w:b/>
          <w:color w:val="00ACA1"/>
          <w:spacing w:val="-11"/>
          <w:lang w:eastAsia="ja-JP"/>
        </w:rPr>
        <w:t xml:space="preserve"> </w:t>
      </w:r>
      <w:r w:rsidRPr="00C134B9">
        <w:rPr>
          <w:rFonts w:ascii="ＭＳ ゴシック" w:eastAsia="ＭＳ ゴシック" w:hAnsi="ＭＳ ゴシック"/>
          <w:b/>
          <w:color w:val="00ACA1"/>
          <w:spacing w:val="-1"/>
          <w:lang w:eastAsia="ja-JP"/>
        </w:rPr>
        <w:t>emissions</w:t>
      </w:r>
      <w:r w:rsidRPr="00C134B9">
        <w:rPr>
          <w:rFonts w:ascii="ＭＳ ゴシック" w:eastAsia="ＭＳ ゴシック" w:hAnsi="ＭＳ ゴシック"/>
          <w:b/>
          <w:color w:val="00ACA1"/>
          <w:spacing w:val="-11"/>
          <w:lang w:eastAsia="ja-JP"/>
        </w:rPr>
        <w:t xml:space="preserve"> </w:t>
      </w:r>
      <w:r w:rsidRPr="00C134B9">
        <w:rPr>
          <w:rFonts w:ascii="ＭＳ ゴシック" w:eastAsia="ＭＳ ゴシック" w:hAnsi="ＭＳ ゴシック"/>
          <w:b/>
          <w:color w:val="00ACA1"/>
          <w:lang w:eastAsia="ja-JP"/>
        </w:rPr>
        <w:t>data</w:t>
      </w:r>
      <w:r w:rsidRPr="00F23AE0">
        <w:rPr>
          <w:rFonts w:ascii="ＭＳ ゴシック" w:eastAsia="ＭＳ ゴシック" w:hAnsi="ＭＳ ゴシック" w:cs="ＭＳ ゴシック"/>
          <w:bCs/>
          <w:color w:val="00ACA1"/>
          <w:spacing w:val="-1"/>
          <w:lang w:eastAsia="ja-JP"/>
        </w:rPr>
        <w:tab/>
      </w:r>
      <w:r w:rsidR="00587034" w:rsidRPr="00F23AE0">
        <w:rPr>
          <w:rFonts w:ascii="ＭＳ ゴシック" w:eastAsia="ＭＳ ゴシック" w:hAnsi="ＭＳ ゴシック" w:cs="ＭＳ ゴシック"/>
          <w:bCs/>
          <w:color w:val="00ACA1"/>
          <w:spacing w:val="-1"/>
          <w:lang w:eastAsia="ja-JP"/>
        </w:rPr>
        <w:tab/>
      </w:r>
      <w:r w:rsidR="00587034" w:rsidRPr="00F23AE0">
        <w:rPr>
          <w:rFonts w:ascii="ＭＳ ゴシック" w:eastAsia="ＭＳ ゴシック" w:hAnsi="ＭＳ ゴシック" w:cs="ＭＳ ゴシック" w:hint="eastAsia"/>
          <w:bCs/>
          <w:color w:val="000000" w:themeColor="text1"/>
          <w:spacing w:val="-1"/>
          <w:lang w:eastAsia="ja-JP"/>
        </w:rPr>
        <w:t>工</w:t>
      </w:r>
      <w:r w:rsidRPr="00F23AE0">
        <w:rPr>
          <w:rFonts w:ascii="ＭＳ ゴシック" w:eastAsia="ＭＳ ゴシック" w:hAnsi="ＭＳ ゴシック" w:cs="ＭＳ ゴシック" w:hint="eastAsia"/>
          <w:bCs/>
          <w:lang w:eastAsia="ja-JP"/>
        </w:rPr>
        <w:t>程</w:t>
      </w:r>
      <w:r w:rsidRPr="00F23AE0">
        <w:rPr>
          <w:rFonts w:ascii="ＭＳ ゴシック" w:eastAsia="ＭＳ ゴシック" w:hAnsi="ＭＳ ゴシック" w:cs="ＭＳ ゴシック" w:hint="eastAsia"/>
          <w:bCs/>
          <w:lang w:eastAsia="ja-JP"/>
        </w:rPr>
        <w:t>から</w:t>
      </w:r>
      <w:r w:rsidRPr="00F23AE0">
        <w:rPr>
          <w:rFonts w:ascii="ＭＳ ゴシック" w:eastAsia="ＭＳ ゴシック" w:hAnsi="ＭＳ ゴシック" w:cs="ＭＳ ゴシック" w:hint="eastAsia"/>
          <w:bCs/>
          <w:lang w:eastAsia="ja-JP"/>
        </w:rPr>
        <w:t>排出</w:t>
      </w:r>
      <w:r w:rsidRPr="00F23AE0">
        <w:rPr>
          <w:rFonts w:ascii="ＭＳ ゴシック" w:eastAsia="ＭＳ ゴシック" w:hAnsi="ＭＳ ゴシック" w:cs="ＭＳ ゴシック" w:hint="eastAsia"/>
          <w:bCs/>
          <w:lang w:eastAsia="ja-JP"/>
        </w:rPr>
        <w:t>される排出量</w:t>
      </w:r>
      <w:r w:rsidRPr="00F23AE0">
        <w:rPr>
          <w:rFonts w:ascii="ＭＳ ゴシック" w:eastAsia="ＭＳ ゴシック" w:hAnsi="ＭＳ ゴシック"/>
          <w:bCs/>
          <w:lang w:eastAsia="ja-JP"/>
        </w:rPr>
        <w:t xml:space="preserve"> </w:t>
      </w:r>
      <w:r w:rsidRPr="00F23AE0">
        <w:rPr>
          <w:rFonts w:ascii="ＭＳ ゴシック" w:eastAsia="ＭＳ ゴシック" w:hAnsi="ＭＳ ゴシック" w:cs="ＭＳ ゴシック" w:hint="eastAsia"/>
          <w:bCs/>
          <w:lang w:eastAsia="ja-JP"/>
        </w:rPr>
        <w:t>（または大気から吸収される除去量）。</w:t>
      </w:r>
    </w:p>
    <w:p w14:paraId="666E5423" w14:textId="77777777" w:rsidR="0055291C" w:rsidRPr="00F23AE0" w:rsidRDefault="0055291C" w:rsidP="00DE1B8E">
      <w:pPr>
        <w:pStyle w:val="a3"/>
        <w:tabs>
          <w:tab w:val="left" w:pos="1418"/>
        </w:tabs>
        <w:spacing w:before="4"/>
        <w:ind w:left="1418" w:right="900"/>
        <w:rPr>
          <w:rFonts w:ascii="ＭＳ ゴシック" w:eastAsia="ＭＳ ゴシック" w:hAnsi="ＭＳ ゴシック"/>
          <w:bCs/>
          <w:lang w:eastAsia="ja-JP"/>
        </w:rPr>
      </w:pPr>
    </w:p>
    <w:p w14:paraId="7383E32A" w14:textId="1CEA2927" w:rsidR="00587034" w:rsidRPr="00F23AE0" w:rsidRDefault="00C731E8" w:rsidP="00DE1B8E">
      <w:pPr>
        <w:pStyle w:val="a3"/>
        <w:tabs>
          <w:tab w:val="left" w:pos="1418"/>
        </w:tabs>
        <w:spacing w:before="1" w:line="312" w:lineRule="auto"/>
        <w:ind w:left="1418" w:right="900"/>
        <w:rPr>
          <w:rFonts w:ascii="ＭＳ ゴシック" w:eastAsia="ＭＳ ゴシック" w:hAnsi="ＭＳ ゴシック" w:cs="ＭＳ ゴシック"/>
          <w:bCs/>
          <w:lang w:eastAsia="ja-JP"/>
        </w:rPr>
      </w:pPr>
      <w:r w:rsidRPr="00C134B9">
        <w:rPr>
          <w:rFonts w:ascii="ＭＳ ゴシック" w:eastAsia="ＭＳ ゴシック" w:hAnsi="ＭＳ ゴシック" w:cs="ＭＳ ゴシック" w:hint="eastAsia"/>
          <w:b/>
          <w:color w:val="00ACA1"/>
          <w:lang w:eastAsia="ja-JP"/>
        </w:rPr>
        <w:t>下流/</w:t>
      </w:r>
      <w:r w:rsidR="00F23C61" w:rsidRPr="00C134B9">
        <w:rPr>
          <w:rFonts w:ascii="ＭＳ ゴシック" w:eastAsia="ＭＳ ゴシック" w:hAnsi="ＭＳ ゴシック"/>
          <w:b/>
          <w:color w:val="00ACA1"/>
          <w:lang w:eastAsia="ja-JP"/>
        </w:rPr>
        <w:t>Downstream</w:t>
      </w:r>
      <w:r w:rsidR="00F23C61" w:rsidRPr="00C134B9">
        <w:rPr>
          <w:rFonts w:ascii="ＭＳ ゴシック" w:eastAsia="ＭＳ ゴシック" w:hAnsi="ＭＳ ゴシック"/>
          <w:b/>
          <w:color w:val="00ACA1"/>
          <w:lang w:eastAsia="ja-JP"/>
        </w:rPr>
        <w:tab/>
      </w:r>
      <w:r w:rsidR="00F23AE0">
        <w:rPr>
          <w:rFonts w:ascii="ＭＳ ゴシック" w:eastAsia="ＭＳ ゴシック" w:hAnsi="ＭＳ ゴシック"/>
          <w:bCs/>
          <w:color w:val="00ACA1"/>
          <w:lang w:eastAsia="ja-JP"/>
        </w:rPr>
        <w:tab/>
      </w:r>
      <w:r w:rsidRPr="00F23AE0">
        <w:rPr>
          <w:rFonts w:ascii="ＭＳ ゴシック" w:eastAsia="ＭＳ ゴシック" w:hAnsi="ＭＳ ゴシック" w:cs="ＭＳ ゴシック" w:hint="eastAsia"/>
          <w:bCs/>
          <w:lang w:eastAsia="ja-JP"/>
        </w:rPr>
        <w:t>報告企業が所有または管理する工程</w:t>
      </w:r>
      <w:r w:rsidRPr="00F23AE0">
        <w:rPr>
          <w:rFonts w:ascii="ＭＳ ゴシック" w:eastAsia="ＭＳ ゴシック" w:hAnsi="ＭＳ ゴシック" w:cs="ＭＳ ゴシック" w:hint="eastAsia"/>
          <w:bCs/>
          <w:lang w:eastAsia="ja-JP"/>
        </w:rPr>
        <w:t>より後にあ</w:t>
      </w:r>
      <w:r w:rsidR="00587034" w:rsidRPr="00F23AE0">
        <w:rPr>
          <w:rFonts w:ascii="ＭＳ ゴシック" w:eastAsia="ＭＳ ゴシック" w:hAnsi="ＭＳ ゴシック" w:cs="ＭＳ ゴシック" w:hint="eastAsia"/>
          <w:bCs/>
          <w:lang w:eastAsia="ja-JP"/>
        </w:rPr>
        <w:t>るが</w:t>
      </w:r>
      <w:r w:rsidRPr="00F23AE0">
        <w:rPr>
          <w:rFonts w:ascii="ＭＳ ゴシック" w:eastAsia="ＭＳ ゴシック" w:hAnsi="ＭＳ ゴシック" w:cs="ＭＳ ゴシック" w:hint="eastAsia"/>
          <w:bCs/>
          <w:lang w:eastAsia="ja-JP"/>
        </w:rPr>
        <w:t>、</w:t>
      </w:r>
      <w:r w:rsidRPr="00F23AE0">
        <w:rPr>
          <w:rFonts w:ascii="ＭＳ ゴシック" w:eastAsia="ＭＳ ゴシック" w:hAnsi="ＭＳ ゴシック" w:cs="ＭＳ ゴシック" w:hint="eastAsia"/>
          <w:bCs/>
          <w:lang w:eastAsia="ja-JP"/>
        </w:rPr>
        <w:t>製品のライフサイクル</w:t>
      </w:r>
      <w:r w:rsidR="00587034" w:rsidRPr="00F23AE0">
        <w:rPr>
          <w:rFonts w:ascii="ＭＳ ゴシック" w:eastAsia="ＭＳ ゴシック" w:hAnsi="ＭＳ ゴシック" w:cs="ＭＳ ゴシック" w:hint="eastAsia"/>
          <w:bCs/>
          <w:lang w:eastAsia="ja-JP"/>
        </w:rPr>
        <w:t>内</w:t>
      </w:r>
      <w:r w:rsidRPr="00F23AE0">
        <w:rPr>
          <w:rFonts w:ascii="ＭＳ ゴシック" w:eastAsia="ＭＳ ゴシック" w:hAnsi="ＭＳ ゴシック" w:cs="ＭＳ ゴシック" w:hint="eastAsia"/>
          <w:bCs/>
          <w:lang w:eastAsia="ja-JP"/>
        </w:rPr>
        <w:t>で</w:t>
      </w:r>
      <w:r w:rsidR="00587034" w:rsidRPr="00F23AE0">
        <w:rPr>
          <w:rFonts w:ascii="ＭＳ ゴシック" w:eastAsia="ＭＳ ゴシック" w:hAnsi="ＭＳ ゴシック" w:cs="ＭＳ ゴシック" w:hint="eastAsia"/>
          <w:bCs/>
          <w:lang w:eastAsia="ja-JP"/>
        </w:rPr>
        <w:t>行う</w:t>
      </w:r>
      <w:r w:rsidRPr="00F23AE0">
        <w:rPr>
          <w:rFonts w:ascii="ＭＳ ゴシック" w:eastAsia="ＭＳ ゴシック" w:hAnsi="ＭＳ ゴシック" w:cs="ＭＳ ゴシック" w:hint="eastAsia"/>
          <w:bCs/>
          <w:lang w:eastAsia="ja-JP"/>
        </w:rPr>
        <w:t>工程</w:t>
      </w:r>
    </w:p>
    <w:p w14:paraId="319EB3B5" w14:textId="0A4FC569" w:rsidR="0055291C" w:rsidRPr="00F23AE0" w:rsidRDefault="00587034" w:rsidP="00DE1B8E">
      <w:pPr>
        <w:pStyle w:val="a3"/>
        <w:tabs>
          <w:tab w:val="left" w:pos="1418"/>
        </w:tabs>
        <w:spacing w:before="1" w:line="312" w:lineRule="auto"/>
        <w:ind w:left="1418" w:right="900"/>
        <w:rPr>
          <w:rFonts w:ascii="ＭＳ ゴシック" w:eastAsia="ＭＳ ゴシック" w:hAnsi="ＭＳ ゴシック"/>
          <w:bCs/>
          <w:lang w:eastAsia="ja-JP"/>
        </w:rPr>
      </w:pP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bCs/>
          <w:color w:val="00ACA1"/>
          <w:lang w:eastAsia="ja-JP"/>
        </w:rPr>
        <w:tab/>
      </w:r>
      <w:r w:rsidR="00C731E8" w:rsidRPr="00F23AE0">
        <w:rPr>
          <w:rFonts w:ascii="ＭＳ ゴシック" w:eastAsia="ＭＳ ゴシック" w:hAnsi="ＭＳ ゴシック" w:cs="ＭＳ ゴシック" w:hint="eastAsia"/>
          <w:bCs/>
          <w:lang w:eastAsia="ja-JP"/>
        </w:rPr>
        <w:t>に関連する</w:t>
      </w:r>
      <w:r w:rsidRPr="00F23AE0">
        <w:rPr>
          <w:rFonts w:ascii="ＭＳ ゴシック" w:eastAsia="ＭＳ ゴシック" w:hAnsi="ＭＳ ゴシック" w:cs="ＭＳ ゴシック" w:hint="eastAsia"/>
          <w:bCs/>
          <w:lang w:eastAsia="ja-JP"/>
        </w:rPr>
        <w:t>、</w:t>
      </w:r>
      <w:r w:rsidR="00C731E8" w:rsidRPr="00F23AE0">
        <w:rPr>
          <w:rFonts w:ascii="ＭＳ ゴシック" w:eastAsia="ＭＳ ゴシック" w:hAnsi="ＭＳ ゴシック"/>
          <w:bCs/>
          <w:lang w:eastAsia="ja-JP"/>
        </w:rPr>
        <w:t>GHG</w:t>
      </w:r>
      <w:r w:rsidR="00C731E8" w:rsidRPr="00F23AE0">
        <w:rPr>
          <w:rFonts w:ascii="ＭＳ ゴシック" w:eastAsia="ＭＳ ゴシック" w:hAnsi="ＭＳ ゴシック" w:cs="ＭＳ ゴシック" w:hint="eastAsia"/>
          <w:bCs/>
          <w:lang w:eastAsia="ja-JP"/>
        </w:rPr>
        <w:t>排出量または除去量。</w:t>
      </w:r>
      <w:r w:rsidR="00F23C61" w:rsidRPr="00F23AE0">
        <w:rPr>
          <w:rFonts w:ascii="ＭＳ ゴシック" w:eastAsia="ＭＳ ゴシック" w:hAnsi="ＭＳ ゴシック"/>
          <w:bCs/>
          <w:color w:val="545456"/>
          <w:position w:val="6"/>
          <w:lang w:eastAsia="ja-JP"/>
        </w:rPr>
        <w:t>7</w:t>
      </w:r>
    </w:p>
    <w:p w14:paraId="3060FD4C" w14:textId="77777777" w:rsidR="0055291C" w:rsidRPr="00F23AE0" w:rsidRDefault="0055291C" w:rsidP="00DE1B8E">
      <w:pPr>
        <w:pStyle w:val="a3"/>
        <w:tabs>
          <w:tab w:val="left" w:pos="1418"/>
        </w:tabs>
        <w:spacing w:before="4"/>
        <w:ind w:left="1418" w:right="900"/>
        <w:rPr>
          <w:rFonts w:ascii="ＭＳ ゴシック" w:eastAsia="ＭＳ ゴシック" w:hAnsi="ＭＳ ゴシック"/>
          <w:bCs/>
          <w:lang w:eastAsia="ja-JP"/>
        </w:rPr>
      </w:pPr>
    </w:p>
    <w:p w14:paraId="4C572266" w14:textId="09F95BBF" w:rsidR="00587034" w:rsidRPr="00F23AE0" w:rsidRDefault="00587034" w:rsidP="00DE1B8E">
      <w:pPr>
        <w:tabs>
          <w:tab w:val="left" w:pos="1418"/>
        </w:tabs>
        <w:ind w:left="1418" w:right="900"/>
        <w:rPr>
          <w:rFonts w:ascii="ＭＳ ゴシック" w:eastAsia="ＭＳ ゴシック" w:hAnsi="ＭＳ ゴシック" w:cs="ＭＳ ゴシック" w:hint="eastAsia"/>
          <w:bCs/>
          <w:color w:val="00ACA1"/>
          <w:w w:val="95"/>
          <w:sz w:val="19"/>
          <w:szCs w:val="19"/>
          <w:lang w:eastAsia="ja-JP"/>
        </w:rPr>
      </w:pPr>
      <w:r w:rsidRPr="00C134B9">
        <w:rPr>
          <w:rFonts w:ascii="ＭＳ ゴシック" w:eastAsia="ＭＳ ゴシック" w:hAnsi="ＭＳ ゴシック" w:cs="ＭＳ ゴシック" w:hint="eastAsia"/>
          <w:b/>
          <w:color w:val="00ACA1"/>
          <w:w w:val="95"/>
          <w:sz w:val="19"/>
          <w:szCs w:val="19"/>
          <w:lang w:eastAsia="ja-JP"/>
        </w:rPr>
        <w:t>排出係数/</w:t>
      </w:r>
      <w:r w:rsidRPr="00F23AE0">
        <w:rPr>
          <w:rFonts w:ascii="ＭＳ ゴシック" w:eastAsia="ＭＳ ゴシック" w:hAnsi="ＭＳ ゴシック" w:cs="ＭＳ ゴシック"/>
          <w:bCs/>
          <w:color w:val="00ACA1"/>
          <w:w w:val="95"/>
          <w:sz w:val="19"/>
          <w:szCs w:val="19"/>
          <w:lang w:eastAsia="ja-JP"/>
        </w:rPr>
        <w:tab/>
      </w:r>
      <w:r w:rsidRPr="00F23AE0">
        <w:rPr>
          <w:rFonts w:ascii="ＭＳ ゴシック" w:eastAsia="ＭＳ ゴシック" w:hAnsi="ＭＳ ゴシック" w:cs="ＭＳ ゴシック"/>
          <w:bCs/>
          <w:color w:val="00ACA1"/>
          <w:w w:val="95"/>
          <w:sz w:val="19"/>
          <w:szCs w:val="19"/>
          <w:lang w:eastAsia="ja-JP"/>
        </w:rPr>
        <w:tab/>
      </w:r>
      <w:r w:rsidRPr="00F23AE0">
        <w:rPr>
          <w:rFonts w:ascii="ＭＳ ゴシック" w:eastAsia="ＭＳ ゴシック" w:hAnsi="ＭＳ ゴシック" w:cs="ＭＳ ゴシック" w:hint="eastAsia"/>
          <w:bCs/>
          <w:color w:val="000000" w:themeColor="text1"/>
          <w:w w:val="95"/>
          <w:sz w:val="19"/>
          <w:szCs w:val="19"/>
          <w:lang w:eastAsia="ja-JP"/>
        </w:rPr>
        <w:t>活動データ当たりのGHG排出量データ。</w:t>
      </w:r>
    </w:p>
    <w:p w14:paraId="13E21E95" w14:textId="45CF9240" w:rsidR="0055291C" w:rsidRPr="00C134B9" w:rsidRDefault="00F23C61" w:rsidP="00DE1B8E">
      <w:pPr>
        <w:tabs>
          <w:tab w:val="left" w:pos="1418"/>
        </w:tabs>
        <w:ind w:left="1418" w:right="900"/>
        <w:rPr>
          <w:rFonts w:ascii="ＭＳ ゴシック" w:eastAsia="ＭＳ ゴシック" w:hAnsi="ＭＳ ゴシック"/>
          <w:b/>
          <w:sz w:val="19"/>
          <w:szCs w:val="19"/>
          <w:lang w:eastAsia="ja-JP"/>
        </w:rPr>
      </w:pPr>
      <w:r w:rsidRPr="00C134B9">
        <w:rPr>
          <w:rFonts w:ascii="ＭＳ ゴシック" w:eastAsia="ＭＳ ゴシック" w:hAnsi="ＭＳ ゴシック"/>
          <w:b/>
          <w:color w:val="00ACA1"/>
          <w:w w:val="95"/>
          <w:sz w:val="19"/>
          <w:szCs w:val="19"/>
          <w:lang w:eastAsia="ja-JP"/>
        </w:rPr>
        <w:t>Emissions factor</w:t>
      </w:r>
      <w:r w:rsidRPr="00C134B9">
        <w:rPr>
          <w:rFonts w:ascii="ＭＳ ゴシック" w:eastAsia="ＭＳ ゴシック" w:hAnsi="ＭＳ ゴシック"/>
          <w:b/>
          <w:color w:val="00ACA1"/>
          <w:w w:val="95"/>
          <w:sz w:val="19"/>
          <w:szCs w:val="19"/>
          <w:lang w:eastAsia="ja-JP"/>
        </w:rPr>
        <w:tab/>
      </w:r>
    </w:p>
    <w:p w14:paraId="64BC0907" w14:textId="77777777" w:rsidR="0055291C" w:rsidRPr="00F23AE0" w:rsidRDefault="0055291C" w:rsidP="00DE1B8E">
      <w:pPr>
        <w:pStyle w:val="a3"/>
        <w:tabs>
          <w:tab w:val="left" w:pos="1418"/>
        </w:tabs>
        <w:ind w:left="1418" w:right="900"/>
        <w:rPr>
          <w:rFonts w:ascii="ＭＳ ゴシック" w:eastAsia="ＭＳ ゴシック" w:hAnsi="ＭＳ ゴシック"/>
          <w:bCs/>
          <w:lang w:eastAsia="ja-JP"/>
        </w:rPr>
      </w:pPr>
    </w:p>
    <w:p w14:paraId="6DA61BA7" w14:textId="1C56815C" w:rsidR="00627DB0" w:rsidRPr="00F23AE0" w:rsidRDefault="00627DB0" w:rsidP="007B0BA9">
      <w:pPr>
        <w:pStyle w:val="a3"/>
        <w:tabs>
          <w:tab w:val="left" w:pos="1418"/>
          <w:tab w:val="left" w:pos="3620"/>
        </w:tabs>
        <w:spacing w:before="116"/>
        <w:ind w:left="1440" w:right="900" w:hanging="22"/>
        <w:jc w:val="both"/>
        <w:rPr>
          <w:rFonts w:ascii="ＭＳ ゴシック" w:eastAsia="ＭＳ ゴシック" w:hAnsi="ＭＳ ゴシック" w:cs="ＭＳ ゴシック" w:hint="eastAsia"/>
          <w:bCs/>
          <w:lang w:eastAsia="ja-JP"/>
        </w:rPr>
      </w:pPr>
      <w:r w:rsidRPr="00C134B9">
        <w:rPr>
          <w:rFonts w:ascii="ＭＳ ゴシック" w:eastAsia="ＭＳ ゴシック" w:hAnsi="ＭＳ ゴシック" w:cs="ＭＳ ゴシック" w:hint="eastAsia"/>
          <w:b/>
          <w:color w:val="00ACA1"/>
          <w:lang w:eastAsia="ja-JP"/>
        </w:rPr>
        <w:t>廃棄ステージ/</w:t>
      </w: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hint="eastAsia"/>
          <w:bCs/>
          <w:lang w:eastAsia="ja-JP"/>
        </w:rPr>
        <w:t>使用済みの製品が消費者によって廃棄された時点から始まり、製品が</w:t>
      </w:r>
      <w:r w:rsidRPr="00F23AE0">
        <w:rPr>
          <w:rFonts w:ascii="ＭＳ ゴシック" w:eastAsia="ＭＳ ゴシック" w:hAnsi="ＭＳ ゴシック" w:cs="ＭＳ ゴシック" w:hint="eastAsia"/>
          <w:bCs/>
          <w:lang w:eastAsia="ja-JP"/>
        </w:rPr>
        <w:t>焼却などで</w:t>
      </w:r>
      <w:r w:rsidRPr="00F23AE0">
        <w:rPr>
          <w:rFonts w:ascii="ＭＳ ゴシック" w:eastAsia="ＭＳ ゴシック" w:hAnsi="ＭＳ ゴシック" w:cs="ＭＳ ゴシック" w:hint="eastAsia"/>
          <w:bCs/>
          <w:lang w:eastAsia="ja-JP"/>
        </w:rPr>
        <w:t>自然に還</w:t>
      </w:r>
      <w:r w:rsidR="007B0BA9" w:rsidRPr="00F23AE0">
        <w:rPr>
          <w:rFonts w:ascii="ＭＳ ゴシック" w:eastAsia="ＭＳ ゴシック" w:hAnsi="ＭＳ ゴシック" w:cs="ＭＳ ゴシック"/>
          <w:bCs/>
          <w:lang w:eastAsia="ja-JP"/>
        </w:rPr>
        <w:br/>
      </w:r>
      <w:r w:rsidRPr="00C134B9">
        <w:rPr>
          <w:rFonts w:ascii="ＭＳ ゴシック" w:eastAsia="ＭＳ ゴシック" w:hAnsi="ＭＳ ゴシック"/>
          <w:b/>
          <w:color w:val="00ACA1"/>
          <w:lang w:eastAsia="ja-JP"/>
        </w:rPr>
        <w:t>End-of-life stage</w:t>
      </w: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hint="eastAsia"/>
          <w:bCs/>
          <w:lang w:eastAsia="ja-JP"/>
        </w:rPr>
        <w:t>るか、他の製品のライフサイクルに割り当てられた時点で終了するライフサイクルステー</w:t>
      </w:r>
      <w:r w:rsidR="007B0BA9" w:rsidRPr="00F23AE0">
        <w:rPr>
          <w:rFonts w:ascii="ＭＳ ゴシック" w:eastAsia="ＭＳ ゴシック" w:hAnsi="ＭＳ ゴシック" w:cs="ＭＳ ゴシック"/>
          <w:bCs/>
          <w:lang w:eastAsia="ja-JP"/>
        </w:rPr>
        <w:br/>
      </w:r>
      <w:r w:rsidR="007B0BA9" w:rsidRPr="00F23AE0">
        <w:rPr>
          <w:rFonts w:ascii="ＭＳ ゴシック" w:eastAsia="ＭＳ ゴシック" w:hAnsi="ＭＳ ゴシック" w:cs="ＭＳ ゴシック"/>
          <w:bCs/>
          <w:lang w:eastAsia="ja-JP"/>
        </w:rPr>
        <w:tab/>
      </w:r>
      <w:r w:rsidR="007B0BA9" w:rsidRPr="00F23AE0">
        <w:rPr>
          <w:rFonts w:ascii="ＭＳ ゴシック" w:eastAsia="ＭＳ ゴシック" w:hAnsi="ＭＳ ゴシック" w:cs="ＭＳ ゴシック" w:hint="eastAsia"/>
          <w:bCs/>
          <w:lang w:eastAsia="ja-JP"/>
        </w:rPr>
        <w:t>ジのこと。</w:t>
      </w:r>
    </w:p>
    <w:p w14:paraId="221DEE8F" w14:textId="77777777" w:rsidR="0055291C" w:rsidRPr="00F23AE0" w:rsidRDefault="0055291C" w:rsidP="00DE1B8E">
      <w:pPr>
        <w:pStyle w:val="a3"/>
        <w:tabs>
          <w:tab w:val="left" w:pos="1418"/>
        </w:tabs>
        <w:spacing w:before="5"/>
        <w:ind w:left="1418" w:right="900"/>
        <w:rPr>
          <w:rFonts w:ascii="ＭＳ ゴシック" w:eastAsia="ＭＳ ゴシック" w:hAnsi="ＭＳ ゴシック"/>
          <w:bCs/>
          <w:lang w:eastAsia="ja-JP"/>
        </w:rPr>
      </w:pPr>
    </w:p>
    <w:p w14:paraId="4738D9DF" w14:textId="1D4D1723" w:rsidR="00627DB0" w:rsidRPr="00F23AE0" w:rsidRDefault="00627DB0" w:rsidP="00DE1B8E">
      <w:pPr>
        <w:tabs>
          <w:tab w:val="left" w:pos="1418"/>
        </w:tabs>
        <w:ind w:left="1418" w:right="900"/>
        <w:rPr>
          <w:rFonts w:ascii="ＭＳ ゴシック" w:eastAsia="ＭＳ ゴシック" w:hAnsi="ＭＳ ゴシック" w:cs="ＭＳ ゴシック"/>
          <w:bCs/>
          <w:color w:val="00ACA1"/>
          <w:sz w:val="19"/>
          <w:szCs w:val="19"/>
          <w:lang w:eastAsia="ja-JP"/>
        </w:rPr>
      </w:pPr>
      <w:r w:rsidRPr="00C134B9">
        <w:rPr>
          <w:rFonts w:ascii="ＭＳ ゴシック" w:eastAsia="ＭＳ ゴシック" w:hAnsi="ＭＳ ゴシック" w:cs="ＭＳ ゴシック" w:hint="eastAsia"/>
          <w:b/>
          <w:color w:val="00ACA1"/>
          <w:sz w:val="19"/>
          <w:szCs w:val="19"/>
          <w:lang w:eastAsia="ja-JP"/>
        </w:rPr>
        <w:t>環境拡張型インプット</w:t>
      </w:r>
      <w:r w:rsidR="009C24A3" w:rsidRPr="00F23AE0">
        <w:rPr>
          <w:rFonts w:ascii="ＭＳ ゴシック" w:eastAsia="ＭＳ ゴシック" w:hAnsi="ＭＳ ゴシック" w:cs="ＭＳ ゴシック"/>
          <w:bCs/>
          <w:color w:val="00ACA1"/>
          <w:sz w:val="19"/>
          <w:szCs w:val="19"/>
          <w:lang w:eastAsia="ja-JP"/>
        </w:rPr>
        <w:tab/>
      </w:r>
      <w:r w:rsidR="009C24A3" w:rsidRPr="00F23AE0">
        <w:rPr>
          <w:rFonts w:ascii="ＭＳ ゴシック" w:eastAsia="ＭＳ ゴシック" w:hAnsi="ＭＳ ゴシック" w:cs="ＭＳ ゴシック" w:hint="eastAsia"/>
          <w:bCs/>
          <w:color w:val="545456"/>
          <w:sz w:val="19"/>
          <w:szCs w:val="19"/>
          <w:lang w:eastAsia="ja-JP"/>
        </w:rPr>
        <w:t>ある産業または製品分類におけるGHG排出量を調べるために使われる、</w:t>
      </w:r>
      <w:r w:rsidR="009C24A3" w:rsidRPr="00F23AE0">
        <w:rPr>
          <w:rFonts w:ascii="ＭＳ ゴシック" w:eastAsia="ＭＳ ゴシック" w:hAnsi="ＭＳ ゴシック" w:cs="ＭＳ ゴシック" w:hint="eastAsia"/>
          <w:bCs/>
          <w:sz w:val="19"/>
          <w:szCs w:val="19"/>
          <w:lang w:eastAsia="ja-JP"/>
        </w:rPr>
        <w:t>経済の流れの分</w:t>
      </w:r>
    </w:p>
    <w:p w14:paraId="713B6FE2" w14:textId="7B338FC4" w:rsidR="00627DB0" w:rsidRPr="00F23AE0" w:rsidRDefault="00627DB0" w:rsidP="00DE1B8E">
      <w:pPr>
        <w:tabs>
          <w:tab w:val="left" w:pos="1418"/>
        </w:tabs>
        <w:ind w:left="1418" w:right="900"/>
        <w:rPr>
          <w:rFonts w:ascii="ＭＳ ゴシック" w:eastAsia="ＭＳ ゴシック" w:hAnsi="ＭＳ ゴシック" w:cs="ＭＳ ゴシック"/>
          <w:bCs/>
          <w:color w:val="00ACA1"/>
          <w:sz w:val="19"/>
          <w:szCs w:val="19"/>
          <w:lang w:eastAsia="ja-JP"/>
        </w:rPr>
      </w:pPr>
      <w:r w:rsidRPr="00C134B9">
        <w:rPr>
          <w:rFonts w:ascii="ＭＳ ゴシック" w:eastAsia="ＭＳ ゴシック" w:hAnsi="ＭＳ ゴシック" w:cs="ＭＳ ゴシック" w:hint="eastAsia"/>
          <w:b/>
          <w:color w:val="00ACA1"/>
          <w:sz w:val="19"/>
          <w:szCs w:val="19"/>
          <w:lang w:eastAsia="ja-JP"/>
        </w:rPr>
        <w:t>・アウトプット/</w:t>
      </w:r>
      <w:r w:rsidR="009C24A3" w:rsidRPr="00C134B9">
        <w:rPr>
          <w:rFonts w:ascii="ＭＳ ゴシック" w:eastAsia="ＭＳ ゴシック" w:hAnsi="ＭＳ ゴシック" w:cs="ＭＳ ゴシック"/>
          <w:b/>
          <w:color w:val="00ACA1"/>
          <w:sz w:val="19"/>
          <w:szCs w:val="19"/>
          <w:lang w:eastAsia="ja-JP"/>
        </w:rPr>
        <w:tab/>
      </w:r>
      <w:r w:rsidR="009C24A3" w:rsidRPr="00F23AE0">
        <w:rPr>
          <w:rFonts w:ascii="ＭＳ ゴシック" w:eastAsia="ＭＳ ゴシック" w:hAnsi="ＭＳ ゴシック" w:cs="ＭＳ ゴシック"/>
          <w:bCs/>
          <w:color w:val="00ACA1"/>
          <w:sz w:val="19"/>
          <w:szCs w:val="19"/>
          <w:lang w:eastAsia="ja-JP"/>
        </w:rPr>
        <w:tab/>
      </w:r>
      <w:r w:rsidR="009C24A3" w:rsidRPr="00F23AE0">
        <w:rPr>
          <w:rFonts w:ascii="ＭＳ ゴシック" w:eastAsia="ＭＳ ゴシック" w:hAnsi="ＭＳ ゴシック" w:cs="ＭＳ ゴシック" w:hint="eastAsia"/>
          <w:bCs/>
          <w:sz w:val="19"/>
          <w:szCs w:val="19"/>
          <w:lang w:eastAsia="ja-JP"/>
        </w:rPr>
        <w:t>析を通じて開発された排出係数。</w:t>
      </w:r>
      <w:r w:rsidR="009C24A3" w:rsidRPr="00F23AE0">
        <w:rPr>
          <w:rFonts w:ascii="ＭＳ ゴシック" w:eastAsia="ＭＳ ゴシック" w:hAnsi="ＭＳ ゴシック"/>
          <w:bCs/>
          <w:color w:val="545456"/>
          <w:position w:val="6"/>
          <w:sz w:val="19"/>
          <w:szCs w:val="19"/>
          <w:lang w:eastAsia="ja-JP"/>
        </w:rPr>
        <w:t>8</w:t>
      </w:r>
    </w:p>
    <w:p w14:paraId="30494DF1" w14:textId="56F5D2D7" w:rsidR="009C24A3" w:rsidRPr="00C134B9" w:rsidRDefault="00F23C61" w:rsidP="00DE1B8E">
      <w:pPr>
        <w:tabs>
          <w:tab w:val="left" w:pos="1418"/>
        </w:tabs>
        <w:ind w:left="1418" w:right="900"/>
        <w:rPr>
          <w:rFonts w:ascii="ＭＳ ゴシック" w:eastAsia="ＭＳ ゴシック" w:hAnsi="ＭＳ ゴシック" w:cs="ＭＳ ゴシック"/>
          <w:b/>
          <w:sz w:val="19"/>
          <w:szCs w:val="19"/>
          <w:lang w:eastAsia="ja-JP"/>
        </w:rPr>
      </w:pPr>
      <w:r w:rsidRPr="00C134B9">
        <w:rPr>
          <w:rFonts w:ascii="ＭＳ ゴシック" w:eastAsia="ＭＳ ゴシック" w:hAnsi="ＭＳ ゴシック"/>
          <w:b/>
          <w:color w:val="00ACA1"/>
          <w:sz w:val="19"/>
          <w:szCs w:val="19"/>
          <w:lang w:eastAsia="ja-JP"/>
        </w:rPr>
        <w:t>Environmentally</w:t>
      </w:r>
      <w:r w:rsidRPr="00C134B9">
        <w:rPr>
          <w:rFonts w:ascii="ＭＳ ゴシック" w:eastAsia="ＭＳ ゴシック" w:hAnsi="ＭＳ ゴシック"/>
          <w:b/>
          <w:color w:val="00ACA1"/>
          <w:spacing w:val="-7"/>
          <w:sz w:val="19"/>
          <w:szCs w:val="19"/>
          <w:lang w:eastAsia="ja-JP"/>
        </w:rPr>
        <w:t xml:space="preserve"> </w:t>
      </w:r>
      <w:r w:rsidRPr="00C134B9">
        <w:rPr>
          <w:rFonts w:ascii="ＭＳ ゴシック" w:eastAsia="ＭＳ ゴシック" w:hAnsi="ＭＳ ゴシック"/>
          <w:b/>
          <w:color w:val="00ACA1"/>
          <w:sz w:val="19"/>
          <w:szCs w:val="19"/>
          <w:lang w:eastAsia="ja-JP"/>
        </w:rPr>
        <w:t>extended</w:t>
      </w:r>
      <w:r w:rsidRPr="00C134B9">
        <w:rPr>
          <w:rFonts w:ascii="ＭＳ ゴシック" w:eastAsia="ＭＳ ゴシック" w:hAnsi="ＭＳ ゴシック"/>
          <w:b/>
          <w:color w:val="00ACA1"/>
          <w:spacing w:val="84"/>
          <w:sz w:val="19"/>
          <w:szCs w:val="19"/>
          <w:lang w:eastAsia="ja-JP"/>
        </w:rPr>
        <w:t xml:space="preserve"> </w:t>
      </w:r>
    </w:p>
    <w:p w14:paraId="7D2E904A" w14:textId="2DE9784D" w:rsidR="0055291C" w:rsidRPr="00F23AE0" w:rsidRDefault="009C24A3" w:rsidP="009C24A3">
      <w:pPr>
        <w:tabs>
          <w:tab w:val="left" w:pos="1418"/>
        </w:tabs>
        <w:ind w:left="1418" w:right="900"/>
        <w:rPr>
          <w:rFonts w:ascii="ＭＳ ゴシック" w:eastAsia="ＭＳ ゴシック" w:hAnsi="ＭＳ ゴシック"/>
          <w:bCs/>
          <w:sz w:val="19"/>
          <w:szCs w:val="19"/>
          <w:lang w:eastAsia="ja-JP"/>
        </w:rPr>
      </w:pPr>
      <w:r w:rsidRPr="00C134B9">
        <w:rPr>
          <w:rFonts w:ascii="ＭＳ ゴシック" w:eastAsia="ＭＳ ゴシック" w:hAnsi="ＭＳ ゴシック"/>
          <w:b/>
          <w:color w:val="00ACA1"/>
          <w:sz w:val="19"/>
          <w:szCs w:val="19"/>
          <w:lang w:eastAsia="ja-JP"/>
        </w:rPr>
        <w:tab/>
      </w:r>
      <w:r w:rsidRPr="00C134B9">
        <w:rPr>
          <w:rFonts w:ascii="ＭＳ ゴシック" w:eastAsia="ＭＳ ゴシック" w:hAnsi="ＭＳ ゴシック"/>
          <w:b/>
          <w:color w:val="00ACA1"/>
          <w:sz w:val="19"/>
          <w:szCs w:val="19"/>
        </w:rPr>
        <w:t>input-output</w:t>
      </w:r>
      <w:r w:rsidRPr="00C134B9">
        <w:rPr>
          <w:rFonts w:ascii="ＭＳ ゴシック" w:eastAsia="ＭＳ ゴシック" w:hAnsi="ＭＳ ゴシック"/>
          <w:b/>
          <w:color w:val="00ACA1"/>
          <w:spacing w:val="-5"/>
          <w:sz w:val="19"/>
          <w:szCs w:val="19"/>
        </w:rPr>
        <w:t xml:space="preserve"> </w:t>
      </w:r>
      <w:r w:rsidRPr="00C134B9">
        <w:rPr>
          <w:rFonts w:ascii="ＭＳ ゴシック" w:eastAsia="ＭＳ ゴシック" w:hAnsi="ＭＳ ゴシック"/>
          <w:b/>
          <w:color w:val="00ACA1"/>
          <w:sz w:val="19"/>
          <w:szCs w:val="19"/>
        </w:rPr>
        <w:t>(EEIO)</w:t>
      </w:r>
      <w:r w:rsidRPr="00F23AE0">
        <w:rPr>
          <w:rFonts w:ascii="ＭＳ ゴシック" w:eastAsia="ＭＳ ゴシック" w:hAnsi="ＭＳ ゴシック"/>
          <w:bCs/>
          <w:color w:val="00ACA1"/>
          <w:sz w:val="19"/>
          <w:szCs w:val="19"/>
          <w:lang w:eastAsia="ja-JP"/>
        </w:rPr>
        <w:tab/>
      </w:r>
    </w:p>
    <w:p w14:paraId="7E626954" w14:textId="77777777" w:rsidR="0055291C" w:rsidRPr="00F23AE0" w:rsidRDefault="0055291C" w:rsidP="00DE1B8E">
      <w:pPr>
        <w:pStyle w:val="a3"/>
        <w:tabs>
          <w:tab w:val="left" w:pos="1418"/>
        </w:tabs>
        <w:ind w:left="1418" w:right="900"/>
        <w:rPr>
          <w:rFonts w:ascii="ＭＳ ゴシック" w:eastAsia="ＭＳ ゴシック" w:hAnsi="ＭＳ ゴシック"/>
          <w:bCs/>
        </w:rPr>
      </w:pPr>
    </w:p>
    <w:p w14:paraId="206FC4DD" w14:textId="735AEAF8" w:rsidR="0055291C" w:rsidRPr="00F23AE0" w:rsidRDefault="009C24A3" w:rsidP="00370FAF">
      <w:pPr>
        <w:pStyle w:val="a3"/>
        <w:tabs>
          <w:tab w:val="left" w:pos="1418"/>
        </w:tabs>
        <w:spacing w:before="115"/>
        <w:ind w:left="1418" w:right="900"/>
        <w:rPr>
          <w:rFonts w:ascii="ＭＳ ゴシック" w:eastAsia="ＭＳ ゴシック" w:hAnsi="ＭＳ ゴシック" w:hint="eastAsia"/>
          <w:bCs/>
          <w:color w:val="00ACA1"/>
          <w:lang w:eastAsia="ja-JP"/>
        </w:rPr>
      </w:pPr>
      <w:r w:rsidRPr="00C134B9">
        <w:rPr>
          <w:rFonts w:ascii="ＭＳ ゴシック" w:eastAsia="ＭＳ ゴシック" w:hAnsi="ＭＳ ゴシック" w:cs="ＭＳ ゴシック" w:hint="eastAsia"/>
          <w:b/>
          <w:color w:val="00ACA1"/>
          <w:lang w:eastAsia="ja-JP"/>
        </w:rPr>
        <w:t>外挿データ/</w:t>
      </w:r>
      <w:r w:rsidR="00370FAF" w:rsidRPr="00F23AE0">
        <w:rPr>
          <w:rFonts w:ascii="ＭＳ ゴシック" w:eastAsia="ＭＳ ゴシック" w:hAnsi="ＭＳ ゴシック" w:cs="ＭＳ ゴシック"/>
          <w:bCs/>
          <w:color w:val="00ACA1"/>
          <w:lang w:eastAsia="ja-JP"/>
        </w:rPr>
        <w:tab/>
      </w:r>
      <w:r w:rsidR="00370FAF" w:rsidRPr="00F23AE0">
        <w:rPr>
          <w:rFonts w:ascii="ＭＳ ゴシック" w:eastAsia="ＭＳ ゴシック" w:hAnsi="ＭＳ ゴシック" w:cs="ＭＳ ゴシック"/>
          <w:bCs/>
          <w:color w:val="00ACA1"/>
          <w:lang w:eastAsia="ja-JP"/>
        </w:rPr>
        <w:tab/>
      </w:r>
      <w:r w:rsidR="00370FAF" w:rsidRPr="00F23AE0">
        <w:rPr>
          <w:rFonts w:ascii="ＭＳ ゴシック" w:eastAsia="ＭＳ ゴシック" w:hAnsi="ＭＳ ゴシック" w:cs="ＭＳ ゴシック" w:hint="eastAsia"/>
          <w:bCs/>
          <w:color w:val="000000" w:themeColor="text1"/>
          <w:lang w:eastAsia="ja-JP"/>
        </w:rPr>
        <w:t>他のプロセスや製品に固有のデータを、調査対象製品のライフサイクルにおける所定のプ</w:t>
      </w:r>
      <w:r w:rsidR="00370FAF" w:rsidRPr="00F23AE0">
        <w:rPr>
          <w:rFonts w:ascii="ＭＳ ゴシック" w:eastAsia="ＭＳ ゴシック" w:hAnsi="ＭＳ ゴシック" w:cs="ＭＳ ゴシック"/>
          <w:bCs/>
          <w:color w:val="00ACA1"/>
          <w:lang w:eastAsia="ja-JP"/>
        </w:rPr>
        <w:br/>
      </w:r>
      <w:r w:rsidR="007B0BA9" w:rsidRPr="00C134B9">
        <w:rPr>
          <w:rFonts w:ascii="ＭＳ ゴシック" w:eastAsia="ＭＳ ゴシック" w:hAnsi="ＭＳ ゴシック"/>
          <w:b/>
          <w:color w:val="00ACA1"/>
          <w:lang w:eastAsia="ja-JP"/>
        </w:rPr>
        <w:t>Extrapolated</w:t>
      </w:r>
      <w:r w:rsidR="007B0BA9" w:rsidRPr="00C134B9">
        <w:rPr>
          <w:rFonts w:ascii="ＭＳ ゴシック" w:eastAsia="ＭＳ ゴシック" w:hAnsi="ＭＳ ゴシック"/>
          <w:b/>
          <w:color w:val="00ACA1"/>
          <w:spacing w:val="2"/>
          <w:lang w:eastAsia="ja-JP"/>
        </w:rPr>
        <w:t xml:space="preserve"> </w:t>
      </w:r>
      <w:r w:rsidR="007B0BA9" w:rsidRPr="00C134B9">
        <w:rPr>
          <w:rFonts w:ascii="ＭＳ ゴシック" w:eastAsia="ＭＳ ゴシック" w:hAnsi="ＭＳ ゴシック"/>
          <w:b/>
          <w:color w:val="00ACA1"/>
          <w:lang w:eastAsia="ja-JP"/>
        </w:rPr>
        <w:t>data</w:t>
      </w: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hint="eastAsia"/>
          <w:bCs/>
          <w:lang w:eastAsia="ja-JP"/>
        </w:rPr>
        <w:t>ロセスの条件に近づけるために適合またはカスタマイズしたもの。</w:t>
      </w:r>
    </w:p>
    <w:p w14:paraId="7AE003CF" w14:textId="77777777" w:rsidR="0055291C" w:rsidRPr="00F23AE0" w:rsidRDefault="0055291C" w:rsidP="00DE1B8E">
      <w:pPr>
        <w:pStyle w:val="a3"/>
        <w:tabs>
          <w:tab w:val="left" w:pos="1418"/>
        </w:tabs>
        <w:spacing w:before="5"/>
        <w:ind w:left="1418" w:right="900"/>
        <w:rPr>
          <w:rFonts w:ascii="ＭＳ ゴシック" w:eastAsia="ＭＳ ゴシック" w:hAnsi="ＭＳ ゴシック"/>
          <w:bCs/>
          <w:lang w:eastAsia="ja-JP"/>
        </w:rPr>
      </w:pPr>
    </w:p>
    <w:p w14:paraId="7EFF1EDF" w14:textId="4290CA9B" w:rsidR="0055291C" w:rsidRPr="00F23AE0" w:rsidRDefault="007B0BA9" w:rsidP="00DE1B8E">
      <w:pPr>
        <w:pStyle w:val="a3"/>
        <w:tabs>
          <w:tab w:val="left" w:pos="1418"/>
        </w:tabs>
        <w:spacing w:line="312" w:lineRule="auto"/>
        <w:ind w:left="1418" w:right="900"/>
        <w:rPr>
          <w:rFonts w:ascii="ＭＳ ゴシック" w:eastAsia="ＭＳ ゴシック" w:hAnsi="ＭＳ ゴシック"/>
          <w:bCs/>
          <w:lang w:eastAsia="ja-JP"/>
        </w:rPr>
      </w:pPr>
      <w:r w:rsidRPr="00C134B9">
        <w:rPr>
          <w:rFonts w:ascii="ＭＳ ゴシック" w:eastAsia="ＭＳ ゴシック" w:hAnsi="ＭＳ ゴシック" w:cs="ＭＳ ゴシック" w:hint="eastAsia"/>
          <w:b/>
          <w:color w:val="00ACA1"/>
          <w:lang w:eastAsia="ja-JP"/>
        </w:rPr>
        <w:t>最終製品/</w:t>
      </w:r>
      <w:r w:rsidR="00F23C61" w:rsidRPr="00C134B9">
        <w:rPr>
          <w:rFonts w:ascii="ＭＳ ゴシック" w:eastAsia="ＭＳ ゴシック" w:hAnsi="ＭＳ ゴシック"/>
          <w:b/>
          <w:color w:val="00ACA1"/>
          <w:lang w:eastAsia="ja-JP"/>
        </w:rPr>
        <w:t>Final</w:t>
      </w:r>
      <w:r w:rsidR="00F23C61" w:rsidRPr="00C134B9">
        <w:rPr>
          <w:rFonts w:ascii="ＭＳ ゴシック" w:eastAsia="ＭＳ ゴシック" w:hAnsi="ＭＳ ゴシック"/>
          <w:b/>
          <w:color w:val="00ACA1"/>
          <w:spacing w:val="-12"/>
          <w:lang w:eastAsia="ja-JP"/>
        </w:rPr>
        <w:t xml:space="preserve"> </w:t>
      </w:r>
      <w:r w:rsidR="00F23C61" w:rsidRPr="00C134B9">
        <w:rPr>
          <w:rFonts w:ascii="ＭＳ ゴシック" w:eastAsia="ＭＳ ゴシック" w:hAnsi="ＭＳ ゴシック"/>
          <w:b/>
          <w:color w:val="00ACA1"/>
          <w:lang w:eastAsia="ja-JP"/>
        </w:rPr>
        <w:t>product</w:t>
      </w:r>
      <w:r w:rsidR="00F23C61" w:rsidRPr="00F23AE0">
        <w:rPr>
          <w:rFonts w:ascii="ＭＳ ゴシック" w:eastAsia="ＭＳ ゴシック" w:hAnsi="ＭＳ ゴシック"/>
          <w:bCs/>
          <w:color w:val="00ACA1"/>
          <w:lang w:eastAsia="ja-JP"/>
        </w:rPr>
        <w:tab/>
      </w:r>
      <w:r w:rsidRPr="00F23AE0">
        <w:rPr>
          <w:rFonts w:ascii="ＭＳ ゴシック" w:eastAsia="ＭＳ ゴシック" w:hAnsi="ＭＳ ゴシック" w:cs="ＭＳ ゴシック" w:hint="eastAsia"/>
          <w:bCs/>
          <w:lang w:eastAsia="ja-JP"/>
        </w:rPr>
        <w:t>別の財やサービスの生産に使用されるのではなく、</w:t>
      </w:r>
      <w:r w:rsidRPr="00F23AE0">
        <w:rPr>
          <w:rFonts w:ascii="ＭＳ ゴシック" w:eastAsia="ＭＳ ゴシック" w:hAnsi="ＭＳ ゴシック" w:cs="ＭＳ ゴシック" w:hint="eastAsia"/>
          <w:bCs/>
          <w:lang w:eastAsia="ja-JP"/>
        </w:rPr>
        <w:t>最終消費者</w:t>
      </w:r>
      <w:r w:rsidRPr="00F23AE0">
        <w:rPr>
          <w:rFonts w:ascii="ＭＳ ゴシック" w:eastAsia="ＭＳ ゴシック" w:hAnsi="ＭＳ ゴシック" w:cs="ＭＳ ゴシック" w:hint="eastAsia"/>
          <w:bCs/>
          <w:lang w:eastAsia="ja-JP"/>
        </w:rPr>
        <w:t>が消費する財やサービス。</w:t>
      </w:r>
    </w:p>
    <w:p w14:paraId="1C5048D3" w14:textId="77777777" w:rsidR="0055291C" w:rsidRPr="00F23AE0" w:rsidRDefault="0055291C" w:rsidP="00DE1B8E">
      <w:pPr>
        <w:pStyle w:val="a3"/>
        <w:tabs>
          <w:tab w:val="left" w:pos="1418"/>
        </w:tabs>
        <w:spacing w:before="5"/>
        <w:ind w:left="1418" w:right="900"/>
        <w:rPr>
          <w:rFonts w:ascii="ＭＳ ゴシック" w:eastAsia="ＭＳ ゴシック" w:hAnsi="ＭＳ ゴシック"/>
          <w:bCs/>
          <w:lang w:eastAsia="ja-JP"/>
        </w:rPr>
      </w:pPr>
    </w:p>
    <w:p w14:paraId="4F068B36" w14:textId="7E0E4439" w:rsidR="0055291C" w:rsidRPr="00F23AE0" w:rsidRDefault="007B0BA9" w:rsidP="00DE1B8E">
      <w:pPr>
        <w:tabs>
          <w:tab w:val="left" w:pos="1418"/>
        </w:tabs>
        <w:ind w:left="1418" w:right="900"/>
        <w:rPr>
          <w:rFonts w:ascii="ＭＳ ゴシック" w:eastAsia="ＭＳ ゴシック" w:hAnsi="ＭＳ ゴシック"/>
          <w:bCs/>
          <w:sz w:val="19"/>
          <w:szCs w:val="19"/>
        </w:rPr>
      </w:pPr>
      <w:r w:rsidRPr="00C134B9">
        <w:rPr>
          <w:rFonts w:ascii="ＭＳ ゴシック" w:eastAsia="ＭＳ ゴシック" w:hAnsi="ＭＳ ゴシック" w:cs="ＭＳ ゴシック" w:hint="eastAsia"/>
          <w:b/>
          <w:color w:val="00ACA1"/>
          <w:sz w:val="19"/>
          <w:szCs w:val="19"/>
          <w:lang w:eastAsia="ja-JP"/>
        </w:rPr>
        <w:t>財務活動データ/</w:t>
      </w:r>
      <w:r w:rsidRPr="00C134B9">
        <w:rPr>
          <w:rFonts w:ascii="ＭＳ ゴシック" w:eastAsia="ＭＳ ゴシック" w:hAnsi="ＭＳ ゴシック" w:cs="ＭＳ ゴシック"/>
          <w:b/>
          <w:color w:val="00ACA1"/>
          <w:sz w:val="19"/>
          <w:szCs w:val="19"/>
          <w:lang w:eastAsia="ja-JP"/>
        </w:rPr>
        <w:tab/>
      </w:r>
      <w:r w:rsidRPr="00F23AE0">
        <w:rPr>
          <w:rFonts w:ascii="ＭＳ ゴシック" w:eastAsia="ＭＳ ゴシック" w:hAnsi="ＭＳ ゴシック" w:cs="ＭＳ ゴシック"/>
          <w:bCs/>
          <w:color w:val="00ACA1"/>
          <w:sz w:val="19"/>
          <w:szCs w:val="19"/>
          <w:lang w:eastAsia="ja-JP"/>
        </w:rPr>
        <w:tab/>
      </w:r>
      <w:r w:rsidRPr="00F23AE0">
        <w:rPr>
          <w:rFonts w:ascii="ＭＳ ゴシック" w:eastAsia="ＭＳ ゴシック" w:hAnsi="ＭＳ ゴシック"/>
          <w:bCs/>
          <w:sz w:val="19"/>
          <w:szCs w:val="19"/>
          <w:lang w:eastAsia="ja-JP"/>
        </w:rPr>
        <w:t>GHG</w:t>
      </w:r>
      <w:r w:rsidRPr="00F23AE0">
        <w:rPr>
          <w:rFonts w:ascii="ＭＳ ゴシック" w:eastAsia="ＭＳ ゴシック" w:hAnsi="ＭＳ ゴシック" w:cs="ＭＳ ゴシック" w:hint="eastAsia"/>
          <w:bCs/>
          <w:sz w:val="19"/>
          <w:szCs w:val="19"/>
          <w:lang w:eastAsia="ja-JP"/>
        </w:rPr>
        <w:t>の排出または除去をもたらす</w:t>
      </w:r>
      <w:r w:rsidRPr="00F23AE0">
        <w:rPr>
          <w:rFonts w:ascii="ＭＳ ゴシック" w:eastAsia="ＭＳ ゴシック" w:hAnsi="ＭＳ ゴシック" w:cs="ＭＳ ゴシック" w:hint="eastAsia"/>
          <w:bCs/>
          <w:sz w:val="19"/>
          <w:szCs w:val="19"/>
          <w:lang w:eastAsia="ja-JP"/>
        </w:rPr>
        <w:t>工程</w:t>
      </w:r>
      <w:r w:rsidRPr="00F23AE0">
        <w:rPr>
          <w:rFonts w:ascii="ＭＳ ゴシック" w:eastAsia="ＭＳ ゴシック" w:hAnsi="ＭＳ ゴシック" w:cs="ＭＳ ゴシック" w:hint="eastAsia"/>
          <w:bCs/>
          <w:sz w:val="19"/>
          <w:szCs w:val="19"/>
          <w:lang w:eastAsia="ja-JP"/>
        </w:rPr>
        <w:t>の金銭的尺度。</w:t>
      </w:r>
      <w:r w:rsidRPr="00F23AE0">
        <w:rPr>
          <w:rFonts w:ascii="ＭＳ ゴシック" w:eastAsia="ＭＳ ゴシック" w:hAnsi="ＭＳ ゴシック" w:cs="ＭＳ ゴシック"/>
          <w:bCs/>
          <w:color w:val="00ACA1"/>
          <w:sz w:val="19"/>
          <w:szCs w:val="19"/>
          <w:lang w:eastAsia="ja-JP"/>
        </w:rPr>
        <w:br/>
      </w:r>
      <w:r w:rsidR="00F23C61" w:rsidRPr="00C134B9">
        <w:rPr>
          <w:rFonts w:ascii="ＭＳ ゴシック" w:eastAsia="ＭＳ ゴシック" w:hAnsi="ＭＳ ゴシック"/>
          <w:b/>
          <w:color w:val="00ACA1"/>
          <w:sz w:val="19"/>
          <w:szCs w:val="19"/>
        </w:rPr>
        <w:t>Financial</w:t>
      </w:r>
      <w:r w:rsidR="00F23C61" w:rsidRPr="00C134B9">
        <w:rPr>
          <w:rFonts w:ascii="ＭＳ ゴシック" w:eastAsia="ＭＳ ゴシック" w:hAnsi="ＭＳ ゴシック"/>
          <w:b/>
          <w:color w:val="00ACA1"/>
          <w:spacing w:val="-8"/>
          <w:sz w:val="19"/>
          <w:szCs w:val="19"/>
        </w:rPr>
        <w:t xml:space="preserve"> </w:t>
      </w:r>
      <w:r w:rsidR="00F23C61" w:rsidRPr="00C134B9">
        <w:rPr>
          <w:rFonts w:ascii="ＭＳ ゴシック" w:eastAsia="ＭＳ ゴシック" w:hAnsi="ＭＳ ゴシック"/>
          <w:b/>
          <w:color w:val="00ACA1"/>
          <w:sz w:val="19"/>
          <w:szCs w:val="19"/>
        </w:rPr>
        <w:t>activity</w:t>
      </w:r>
      <w:r w:rsidR="00F23C61" w:rsidRPr="00C134B9">
        <w:rPr>
          <w:rFonts w:ascii="ＭＳ ゴシック" w:eastAsia="ＭＳ ゴシック" w:hAnsi="ＭＳ ゴシック"/>
          <w:b/>
          <w:color w:val="00ACA1"/>
          <w:spacing w:val="-8"/>
          <w:sz w:val="19"/>
          <w:szCs w:val="19"/>
        </w:rPr>
        <w:t xml:space="preserve"> </w:t>
      </w:r>
      <w:r w:rsidR="00F23C61" w:rsidRPr="00C134B9">
        <w:rPr>
          <w:rFonts w:ascii="ＭＳ ゴシック" w:eastAsia="ＭＳ ゴシック" w:hAnsi="ＭＳ ゴシック"/>
          <w:b/>
          <w:color w:val="00ACA1"/>
          <w:sz w:val="19"/>
          <w:szCs w:val="19"/>
        </w:rPr>
        <w:t>data</w:t>
      </w:r>
      <w:r w:rsidR="00F23C61" w:rsidRPr="00F23AE0">
        <w:rPr>
          <w:rFonts w:ascii="ＭＳ ゴシック" w:eastAsia="ＭＳ ゴシック" w:hAnsi="ＭＳ ゴシック"/>
          <w:bCs/>
          <w:color w:val="00ACA1"/>
          <w:sz w:val="19"/>
          <w:szCs w:val="19"/>
        </w:rPr>
        <w:tab/>
      </w:r>
    </w:p>
    <w:p w14:paraId="4917782C" w14:textId="77777777" w:rsidR="0055291C" w:rsidRPr="00F23AE0" w:rsidRDefault="0055291C" w:rsidP="00DE1B8E">
      <w:pPr>
        <w:pStyle w:val="a3"/>
        <w:tabs>
          <w:tab w:val="left" w:pos="1418"/>
        </w:tabs>
        <w:ind w:left="1418" w:right="900"/>
        <w:rPr>
          <w:rFonts w:ascii="ＭＳ ゴシック" w:eastAsia="ＭＳ ゴシック" w:hAnsi="ＭＳ ゴシック"/>
          <w:bCs/>
        </w:rPr>
      </w:pPr>
    </w:p>
    <w:p w14:paraId="14E8995D" w14:textId="5C587EF9" w:rsidR="00370FAF" w:rsidRPr="00C134B9" w:rsidRDefault="007B0BA9" w:rsidP="00370FAF">
      <w:pPr>
        <w:pStyle w:val="a3"/>
        <w:tabs>
          <w:tab w:val="left" w:pos="1418"/>
        </w:tabs>
        <w:spacing w:before="115"/>
        <w:ind w:left="1418" w:right="900"/>
        <w:rPr>
          <w:rFonts w:ascii="ＭＳ ゴシック" w:eastAsia="ＭＳ ゴシック" w:hAnsi="ＭＳ ゴシック"/>
          <w:b/>
          <w:color w:val="545456"/>
        </w:rPr>
      </w:pPr>
      <w:r w:rsidRPr="00C134B9">
        <w:rPr>
          <w:rFonts w:ascii="ＭＳ ゴシック" w:eastAsia="ＭＳ ゴシック" w:hAnsi="ＭＳ ゴシック" w:cs="ＭＳ ゴシック" w:hint="eastAsia"/>
          <w:b/>
          <w:color w:val="00ACA1"/>
          <w:lang w:eastAsia="ja-JP"/>
        </w:rPr>
        <w:t>第一者保証/</w:t>
      </w:r>
      <w:r w:rsidR="00F23C61" w:rsidRPr="00C134B9">
        <w:rPr>
          <w:rFonts w:ascii="ＭＳ ゴシック" w:eastAsia="ＭＳ ゴシック" w:hAnsi="ＭＳ ゴシック"/>
          <w:b/>
          <w:color w:val="00ACA1"/>
        </w:rPr>
        <w:t>First</w:t>
      </w:r>
      <w:r w:rsidR="00F23C61" w:rsidRPr="00C134B9">
        <w:rPr>
          <w:rFonts w:ascii="ＭＳ ゴシック" w:eastAsia="ＭＳ ゴシック" w:hAnsi="ＭＳ ゴシック"/>
          <w:b/>
          <w:color w:val="00ACA1"/>
          <w:spacing w:val="-3"/>
        </w:rPr>
        <w:t xml:space="preserve"> </w:t>
      </w:r>
      <w:r w:rsidR="00F23C61" w:rsidRPr="00C134B9">
        <w:rPr>
          <w:rFonts w:ascii="ＭＳ ゴシック" w:eastAsia="ＭＳ ゴシック" w:hAnsi="ＭＳ ゴシック"/>
          <w:b/>
          <w:color w:val="00ACA1"/>
        </w:rPr>
        <w:t>party</w:t>
      </w:r>
      <w:r w:rsidR="00F23C61" w:rsidRPr="00F23AE0">
        <w:rPr>
          <w:rFonts w:ascii="ＭＳ ゴシック" w:eastAsia="ＭＳ ゴシック" w:hAnsi="ＭＳ ゴシック"/>
          <w:bCs/>
          <w:color w:val="00ACA1"/>
          <w:spacing w:val="-3"/>
        </w:rPr>
        <w:t xml:space="preserve"> </w:t>
      </w:r>
      <w:r w:rsidR="00370FAF" w:rsidRPr="00F23AE0">
        <w:rPr>
          <w:rFonts w:ascii="ＭＳ ゴシック" w:eastAsia="ＭＳ ゴシック" w:hAnsi="ＭＳ ゴシック"/>
          <w:bCs/>
          <w:color w:val="00ACA1"/>
          <w:spacing w:val="-3"/>
        </w:rPr>
        <w:tab/>
      </w:r>
      <w:r w:rsidR="00370FAF" w:rsidRPr="00F23AE0">
        <w:rPr>
          <w:rFonts w:ascii="ＭＳ ゴシック" w:eastAsia="ＭＳ ゴシック" w:hAnsi="ＭＳ ゴシック" w:cs="ＭＳ ゴシック" w:hint="eastAsia"/>
          <w:bCs/>
          <w:color w:val="000000" w:themeColor="text1"/>
          <w:spacing w:val="-3"/>
          <w:lang w:eastAsia="ja-JP"/>
        </w:rPr>
        <w:t>企業内部の、報告書作成プロセスに関係のない人物による保証。</w:t>
      </w:r>
      <w:r w:rsidRPr="00F23AE0">
        <w:rPr>
          <w:rFonts w:ascii="ＭＳ ゴシック" w:eastAsia="ＭＳ ゴシック" w:hAnsi="ＭＳ ゴシック"/>
          <w:bCs/>
          <w:color w:val="00ACA1"/>
        </w:rPr>
        <w:br/>
      </w:r>
      <w:r w:rsidR="00F23C61" w:rsidRPr="00C134B9">
        <w:rPr>
          <w:rFonts w:ascii="ＭＳ ゴシック" w:eastAsia="ＭＳ ゴシック" w:hAnsi="ＭＳ ゴシック"/>
          <w:b/>
          <w:color w:val="00ACA1"/>
        </w:rPr>
        <w:t>(self</w:t>
      </w:r>
      <w:r w:rsidR="00F23C61" w:rsidRPr="00C134B9">
        <w:rPr>
          <w:rFonts w:ascii="ＭＳ ゴシック" w:eastAsia="ＭＳ ゴシック" w:hAnsi="ＭＳ ゴシック"/>
          <w:b/>
          <w:color w:val="00ACA1"/>
          <w:spacing w:val="-2"/>
        </w:rPr>
        <w:t xml:space="preserve"> </w:t>
      </w:r>
      <w:r w:rsidR="00F23C61" w:rsidRPr="00C134B9">
        <w:rPr>
          <w:rFonts w:ascii="ＭＳ ゴシック" w:eastAsia="ＭＳ ゴシック" w:hAnsi="ＭＳ ゴシック"/>
          <w:b/>
          <w:color w:val="00ACA1"/>
        </w:rPr>
        <w:t>or</w:t>
      </w:r>
      <w:r w:rsidR="00F23AE0" w:rsidRPr="00C134B9">
        <w:rPr>
          <w:rFonts w:ascii="ＭＳ ゴシック" w:eastAsia="ＭＳ ゴシック" w:hAnsi="ＭＳ ゴシック"/>
          <w:b/>
          <w:color w:val="00ACA1"/>
        </w:rPr>
        <w:t xml:space="preserve"> </w:t>
      </w:r>
      <w:r w:rsidR="00F23C61" w:rsidRPr="00C134B9">
        <w:rPr>
          <w:rFonts w:ascii="ＭＳ ゴシック" w:eastAsia="ＭＳ ゴシック" w:hAnsi="ＭＳ ゴシック"/>
          <w:b/>
          <w:color w:val="00ACA1"/>
          <w:spacing w:val="-2"/>
        </w:rPr>
        <w:t>internal)</w:t>
      </w:r>
      <w:r w:rsidR="00F23C61" w:rsidRPr="00C134B9">
        <w:rPr>
          <w:rFonts w:ascii="ＭＳ ゴシック" w:eastAsia="ＭＳ ゴシック" w:hAnsi="ＭＳ ゴシック"/>
          <w:b/>
          <w:color w:val="00ACA1"/>
          <w:spacing w:val="-11"/>
        </w:rPr>
        <w:t xml:space="preserve"> </w:t>
      </w:r>
      <w:r w:rsidR="00370FAF" w:rsidRPr="00F23AE0">
        <w:rPr>
          <w:rFonts w:ascii="ＭＳ ゴシック" w:eastAsia="ＭＳ ゴシック" w:hAnsi="ＭＳ ゴシック"/>
          <w:bCs/>
          <w:color w:val="00ACA1"/>
          <w:spacing w:val="-11"/>
        </w:rPr>
        <w:br/>
      </w:r>
      <w:r w:rsidR="00F23C61" w:rsidRPr="00C134B9">
        <w:rPr>
          <w:rFonts w:ascii="ＭＳ ゴシック" w:eastAsia="ＭＳ ゴシック" w:hAnsi="ＭＳ ゴシック"/>
          <w:b/>
          <w:color w:val="00ACA1"/>
          <w:spacing w:val="-1"/>
        </w:rPr>
        <w:t>assurance</w:t>
      </w:r>
      <w:r w:rsidR="00F23C61" w:rsidRPr="00C134B9">
        <w:rPr>
          <w:rFonts w:ascii="ＭＳ ゴシック" w:eastAsia="ＭＳ ゴシック" w:hAnsi="ＭＳ ゴシック"/>
          <w:b/>
          <w:color w:val="00ACA1"/>
          <w:spacing w:val="-1"/>
        </w:rPr>
        <w:tab/>
      </w:r>
      <w:r w:rsidR="00F23C61" w:rsidRPr="00C134B9">
        <w:rPr>
          <w:rFonts w:ascii="ＭＳ ゴシック" w:eastAsia="ＭＳ ゴシック" w:hAnsi="ＭＳ ゴシック"/>
          <w:b/>
          <w:color w:val="00ACA1"/>
          <w:spacing w:val="-1"/>
        </w:rPr>
        <w:tab/>
      </w:r>
    </w:p>
    <w:p w14:paraId="6BA5AAC2" w14:textId="15160842" w:rsidR="00370FAF" w:rsidRPr="00F23AE0" w:rsidRDefault="00370FAF" w:rsidP="00370FAF">
      <w:pPr>
        <w:pStyle w:val="a3"/>
        <w:tabs>
          <w:tab w:val="left" w:pos="1418"/>
        </w:tabs>
        <w:spacing w:before="115"/>
        <w:ind w:left="1418" w:right="900"/>
        <w:rPr>
          <w:rFonts w:ascii="ＭＳ ゴシック" w:eastAsia="ＭＳ ゴシック" w:hAnsi="ＭＳ ゴシック" w:cs="ＭＳ ゴシック"/>
          <w:bCs/>
          <w:color w:val="545456"/>
          <w:lang w:eastAsia="ja-JP"/>
        </w:rPr>
      </w:pPr>
      <w:r w:rsidRPr="00C134B9">
        <w:rPr>
          <w:rFonts w:ascii="ＭＳ ゴシック" w:eastAsia="ＭＳ ゴシック" w:hAnsi="ＭＳ ゴシック" w:cs="ＭＳ ゴシック" w:hint="eastAsia"/>
          <w:b/>
          <w:color w:val="00ACA1"/>
          <w:lang w:eastAsia="ja-JP"/>
        </w:rPr>
        <w:t>機能/</w:t>
      </w:r>
      <w:r w:rsidR="00F23C61" w:rsidRPr="00C134B9">
        <w:rPr>
          <w:rFonts w:ascii="ＭＳ ゴシック" w:eastAsia="ＭＳ ゴシック" w:hAnsi="ＭＳ ゴシック"/>
          <w:b/>
          <w:color w:val="00ACA1"/>
          <w:w w:val="105"/>
        </w:rPr>
        <w:t>Function</w:t>
      </w:r>
      <w:r w:rsidR="00F23C61" w:rsidRPr="00F23AE0">
        <w:rPr>
          <w:rFonts w:ascii="ＭＳ ゴシック" w:eastAsia="ＭＳ ゴシック" w:hAnsi="ＭＳ ゴシック"/>
          <w:bCs/>
          <w:color w:val="00ACA1"/>
          <w:w w:val="105"/>
        </w:rPr>
        <w:tab/>
      </w:r>
      <w:r w:rsidRPr="00F23AE0">
        <w:rPr>
          <w:rFonts w:ascii="ＭＳ ゴシック" w:eastAsia="ＭＳ ゴシック" w:hAnsi="ＭＳ ゴシック"/>
          <w:bCs/>
          <w:color w:val="00ACA1"/>
          <w:w w:val="105"/>
        </w:rPr>
        <w:tab/>
      </w:r>
      <w:r w:rsidRPr="00F23AE0">
        <w:rPr>
          <w:rFonts w:ascii="ＭＳ ゴシック" w:eastAsia="ＭＳ ゴシック" w:hAnsi="ＭＳ ゴシック" w:cs="ＭＳ ゴシック" w:hint="eastAsia"/>
          <w:bCs/>
          <w:color w:val="545456"/>
          <w:lang w:eastAsia="ja-JP"/>
        </w:rPr>
        <w:t>調査対象製品が提供するサービス。</w:t>
      </w:r>
    </w:p>
    <w:p w14:paraId="0947799D" w14:textId="77777777" w:rsidR="00A24D6C" w:rsidRPr="00F23AE0" w:rsidRDefault="00A24D6C" w:rsidP="00370FAF">
      <w:pPr>
        <w:pStyle w:val="a3"/>
        <w:tabs>
          <w:tab w:val="left" w:pos="1418"/>
        </w:tabs>
        <w:spacing w:before="115"/>
        <w:ind w:left="1418" w:right="900"/>
        <w:rPr>
          <w:rFonts w:ascii="ＭＳ ゴシック" w:eastAsia="ＭＳ ゴシック" w:hAnsi="ＭＳ ゴシック" w:cs="ＭＳ ゴシック" w:hint="eastAsia"/>
          <w:bCs/>
          <w:color w:val="545456"/>
        </w:rPr>
      </w:pPr>
    </w:p>
    <w:p w14:paraId="15E1D47A" w14:textId="37D93279" w:rsidR="0055291C" w:rsidRPr="00F23AE0" w:rsidRDefault="00370FAF" w:rsidP="00370FAF">
      <w:pPr>
        <w:pStyle w:val="a3"/>
        <w:tabs>
          <w:tab w:val="left" w:pos="1418"/>
        </w:tabs>
        <w:spacing w:before="115"/>
        <w:ind w:left="1418" w:right="900"/>
        <w:rPr>
          <w:rFonts w:ascii="ＭＳ ゴシック" w:eastAsia="ＭＳ ゴシック" w:hAnsi="ＭＳ ゴシック"/>
          <w:bCs/>
          <w:lang w:eastAsia="ja-JP"/>
        </w:rPr>
      </w:pPr>
      <w:r w:rsidRPr="00C134B9">
        <w:rPr>
          <w:rFonts w:ascii="ＭＳ ゴシック" w:eastAsia="ＭＳ ゴシック" w:hAnsi="ＭＳ ゴシック" w:cs="ＭＳ ゴシック" w:hint="eastAsia"/>
          <w:b/>
          <w:color w:val="00ACA1"/>
          <w:lang w:eastAsia="ja-JP"/>
        </w:rPr>
        <w:t>機能単位/</w:t>
      </w:r>
      <w:r w:rsidR="00F23C61" w:rsidRPr="00C134B9">
        <w:rPr>
          <w:rFonts w:ascii="ＭＳ ゴシック" w:eastAsia="ＭＳ ゴシック" w:hAnsi="ＭＳ ゴシック"/>
          <w:b/>
          <w:color w:val="00ACA1"/>
        </w:rPr>
        <w:t>Functional</w:t>
      </w:r>
      <w:r w:rsidR="00F23C61" w:rsidRPr="00C134B9">
        <w:rPr>
          <w:rFonts w:ascii="ＭＳ ゴシック" w:eastAsia="ＭＳ ゴシック" w:hAnsi="ＭＳ ゴシック"/>
          <w:b/>
          <w:color w:val="00ACA1"/>
          <w:spacing w:val="-11"/>
        </w:rPr>
        <w:t xml:space="preserve"> </w:t>
      </w:r>
      <w:r w:rsidR="00F23C61" w:rsidRPr="00C134B9">
        <w:rPr>
          <w:rFonts w:ascii="ＭＳ ゴシック" w:eastAsia="ＭＳ ゴシック" w:hAnsi="ＭＳ ゴシック"/>
          <w:b/>
          <w:color w:val="00ACA1"/>
        </w:rPr>
        <w:t>unit</w:t>
      </w:r>
      <w:r w:rsidR="00A24D6C" w:rsidRPr="00F23AE0">
        <w:rPr>
          <w:rFonts w:ascii="ＭＳ ゴシック" w:eastAsia="ＭＳ ゴシック" w:hAnsi="ＭＳ ゴシック" w:cs="ＭＳ ゴシック" w:hint="eastAsia"/>
          <w:bCs/>
          <w:color w:val="00ACA1"/>
          <w:lang w:eastAsia="ja-JP"/>
        </w:rPr>
        <w:t xml:space="preserve">　</w:t>
      </w:r>
      <w:r w:rsidR="00A24D6C" w:rsidRPr="00F23AE0">
        <w:rPr>
          <w:rFonts w:ascii="ＭＳ ゴシック" w:eastAsia="ＭＳ ゴシック" w:hAnsi="ＭＳ ゴシック" w:cs="ＭＳ ゴシック" w:hint="eastAsia"/>
          <w:bCs/>
          <w:color w:val="545456"/>
          <w:lang w:eastAsia="ja-JP"/>
        </w:rPr>
        <w:t>調査対象製品の定量化された性能。</w:t>
      </w:r>
      <w:r w:rsidR="00F23C61" w:rsidRPr="00F23AE0">
        <w:rPr>
          <w:rFonts w:ascii="ＭＳ ゴシック" w:eastAsia="ＭＳ ゴシック" w:hAnsi="ＭＳ ゴシック"/>
          <w:bCs/>
          <w:color w:val="545456"/>
          <w:position w:val="6"/>
          <w:lang w:eastAsia="ja-JP"/>
        </w:rPr>
        <w:t>9</w:t>
      </w:r>
    </w:p>
    <w:p w14:paraId="7B79699E" w14:textId="77777777" w:rsidR="00A24D6C" w:rsidRPr="00F23AE0" w:rsidRDefault="00A24D6C" w:rsidP="00A24D6C">
      <w:pPr>
        <w:pStyle w:val="a3"/>
        <w:tabs>
          <w:tab w:val="left" w:pos="1418"/>
        </w:tabs>
        <w:spacing w:before="2" w:line="312" w:lineRule="auto"/>
        <w:ind w:left="1418" w:right="900"/>
        <w:rPr>
          <w:rFonts w:ascii="ＭＳ ゴシック" w:eastAsia="ＭＳ ゴシック" w:hAnsi="ＭＳ ゴシック" w:cs="ＭＳ ゴシック"/>
          <w:bCs/>
          <w:color w:val="00ACA1"/>
          <w:w w:val="105"/>
          <w:lang w:eastAsia="ja-JP"/>
        </w:rPr>
      </w:pPr>
    </w:p>
    <w:p w14:paraId="2A27FF7B" w14:textId="296C212E" w:rsidR="00A24D6C" w:rsidRPr="00F23AE0" w:rsidRDefault="00A24D6C" w:rsidP="00A24D6C">
      <w:pPr>
        <w:pStyle w:val="a3"/>
        <w:tabs>
          <w:tab w:val="left" w:pos="1418"/>
        </w:tabs>
        <w:spacing w:before="2" w:line="312" w:lineRule="auto"/>
        <w:ind w:left="1418" w:right="900"/>
        <w:rPr>
          <w:rFonts w:ascii="ＭＳ ゴシック" w:eastAsia="ＭＳ ゴシック" w:hAnsi="ＭＳ ゴシック" w:cs="ＭＳ ゴシック"/>
          <w:bCs/>
          <w:color w:val="00ACA1"/>
          <w:w w:val="105"/>
          <w:lang w:eastAsia="ja-JP"/>
        </w:rPr>
      </w:pPr>
      <w:r w:rsidRPr="00C134B9">
        <w:rPr>
          <w:rFonts w:ascii="ＭＳ ゴシック" w:eastAsia="ＭＳ ゴシック" w:hAnsi="ＭＳ ゴシック" w:cs="ＭＳ ゴシック" w:hint="eastAsia"/>
          <w:b/>
          <w:color w:val="00ACA1"/>
          <w:w w:val="105"/>
          <w:lang w:eastAsia="ja-JP"/>
        </w:rPr>
        <w:t>ゲートからゲート/</w:t>
      </w:r>
      <w:r w:rsidRPr="00F23AE0">
        <w:rPr>
          <w:rFonts w:ascii="ＭＳ ゴシック" w:eastAsia="ＭＳ ゴシック" w:hAnsi="ＭＳ ゴシック" w:cs="ＭＳ ゴシック"/>
          <w:bCs/>
          <w:color w:val="00ACA1"/>
          <w:w w:val="105"/>
          <w:lang w:eastAsia="ja-JP"/>
        </w:rPr>
        <w:tab/>
      </w:r>
      <w:r w:rsidRPr="00F23AE0">
        <w:rPr>
          <w:rFonts w:ascii="ＭＳ ゴシック" w:eastAsia="ＭＳ ゴシック" w:hAnsi="ＭＳ ゴシック" w:cs="ＭＳ ゴシック" w:hint="eastAsia"/>
          <w:bCs/>
          <w:lang w:eastAsia="ja-JP"/>
        </w:rPr>
        <w:t>調査対象製品が報告企業の所有または管理下にある間に、その製品に起因</w:t>
      </w:r>
      <w:r w:rsidRPr="00F23AE0">
        <w:rPr>
          <w:rFonts w:ascii="ＭＳ ゴシック" w:eastAsia="ＭＳ ゴシック" w:hAnsi="ＭＳ ゴシック" w:cs="ＭＳ ゴシック" w:hint="eastAsia"/>
          <w:bCs/>
          <w:lang w:eastAsia="ja-JP"/>
        </w:rPr>
        <w:t>したGHG</w:t>
      </w:r>
      <w:r w:rsidRPr="00F23AE0">
        <w:rPr>
          <w:rFonts w:ascii="ＭＳ ゴシック" w:eastAsia="ＭＳ ゴシック" w:hAnsi="ＭＳ ゴシック" w:cs="ＭＳ ゴシック" w:hint="eastAsia"/>
          <w:bCs/>
          <w:lang w:eastAsia="ja-JP"/>
        </w:rPr>
        <w:t>排出</w:t>
      </w:r>
      <w:r w:rsidRPr="00F23AE0">
        <w:rPr>
          <w:rFonts w:ascii="ＭＳ ゴシック" w:eastAsia="ＭＳ ゴシック" w:hAnsi="ＭＳ ゴシック" w:cs="ＭＳ ゴシック" w:hint="eastAsia"/>
          <w:bCs/>
          <w:lang w:eastAsia="ja-JP"/>
        </w:rPr>
        <w:t>。</w:t>
      </w:r>
    </w:p>
    <w:p w14:paraId="13A11AC6" w14:textId="0DD0A69E" w:rsidR="0055291C" w:rsidRPr="00C134B9" w:rsidRDefault="00F23C61" w:rsidP="00A24D6C">
      <w:pPr>
        <w:pStyle w:val="a3"/>
        <w:tabs>
          <w:tab w:val="left" w:pos="1418"/>
        </w:tabs>
        <w:spacing w:before="2" w:line="312" w:lineRule="auto"/>
        <w:ind w:left="1418" w:right="900"/>
        <w:rPr>
          <w:rFonts w:ascii="ＭＳ ゴシック" w:eastAsia="ＭＳ ゴシック" w:hAnsi="ＭＳ ゴシック" w:cs="ＭＳ ゴシック"/>
          <w:b/>
          <w:color w:val="00ACA1"/>
          <w:w w:val="105"/>
          <w:lang w:eastAsia="ja-JP"/>
        </w:rPr>
      </w:pPr>
      <w:r w:rsidRPr="00C134B9">
        <w:rPr>
          <w:rFonts w:ascii="ＭＳ ゴシック" w:eastAsia="ＭＳ ゴシック" w:hAnsi="ＭＳ ゴシック"/>
          <w:b/>
          <w:color w:val="00ACA1"/>
          <w:w w:val="105"/>
          <w:lang w:eastAsia="ja-JP"/>
        </w:rPr>
        <w:t>Gate-to-gate</w:t>
      </w:r>
      <w:r w:rsidRPr="00C134B9">
        <w:rPr>
          <w:rFonts w:ascii="ＭＳ ゴシック" w:eastAsia="ＭＳ ゴシック" w:hAnsi="ＭＳ ゴシック"/>
          <w:b/>
          <w:color w:val="00ACA1"/>
          <w:w w:val="105"/>
          <w:lang w:eastAsia="ja-JP"/>
        </w:rPr>
        <w:tab/>
      </w:r>
    </w:p>
    <w:p w14:paraId="268CD83A" w14:textId="77777777" w:rsidR="0055291C" w:rsidRPr="00F23AE0" w:rsidRDefault="0055291C" w:rsidP="00DE1B8E">
      <w:pPr>
        <w:pStyle w:val="a3"/>
        <w:tabs>
          <w:tab w:val="left" w:pos="1418"/>
        </w:tabs>
        <w:spacing w:before="4"/>
        <w:ind w:left="1418" w:right="900"/>
        <w:rPr>
          <w:rFonts w:ascii="ＭＳ ゴシック" w:eastAsia="ＭＳ ゴシック" w:hAnsi="ＭＳ ゴシック"/>
          <w:bCs/>
          <w:lang w:eastAsia="ja-JP"/>
        </w:rPr>
      </w:pPr>
    </w:p>
    <w:p w14:paraId="044FE8B0" w14:textId="6948F71C" w:rsidR="0055291C" w:rsidRPr="00F23AE0" w:rsidRDefault="00A24D6C" w:rsidP="00DE1B8E">
      <w:pPr>
        <w:pStyle w:val="a3"/>
        <w:tabs>
          <w:tab w:val="left" w:pos="1418"/>
        </w:tabs>
        <w:spacing w:line="312" w:lineRule="auto"/>
        <w:ind w:left="1418" w:right="900"/>
        <w:jc w:val="both"/>
        <w:rPr>
          <w:rFonts w:ascii="ＭＳ ゴシック" w:eastAsia="ＭＳ ゴシック" w:hAnsi="ＭＳ ゴシック"/>
          <w:bCs/>
          <w:lang w:eastAsia="ja-JP"/>
        </w:rPr>
      </w:pPr>
      <w:r w:rsidRPr="00C134B9">
        <w:rPr>
          <w:rFonts w:ascii="ＭＳ ゴシック" w:eastAsia="ＭＳ ゴシック" w:hAnsi="ＭＳ ゴシック" w:hint="eastAsia"/>
          <w:b/>
          <w:color w:val="00ACA1"/>
          <w:w w:val="95"/>
          <w:lang w:eastAsia="ja-JP"/>
        </w:rPr>
        <w:t>GHG</w:t>
      </w:r>
      <w:r w:rsidRPr="00C134B9">
        <w:rPr>
          <w:rFonts w:ascii="ＭＳ ゴシック" w:eastAsia="ＭＳ ゴシック" w:hAnsi="ＭＳ ゴシック" w:cs="ＭＳ ゴシック" w:hint="eastAsia"/>
          <w:b/>
          <w:color w:val="00ACA1"/>
          <w:w w:val="95"/>
          <w:lang w:eastAsia="ja-JP"/>
        </w:rPr>
        <w:t>影響/</w:t>
      </w:r>
      <w:r w:rsidR="00F23C61" w:rsidRPr="00C134B9">
        <w:rPr>
          <w:rFonts w:ascii="ＭＳ ゴシック" w:eastAsia="ＭＳ ゴシック" w:hAnsi="ＭＳ ゴシック"/>
          <w:b/>
          <w:color w:val="00ACA1"/>
          <w:w w:val="95"/>
          <w:lang w:eastAsia="ja-JP"/>
        </w:rPr>
        <w:t>GHG</w:t>
      </w:r>
      <w:r w:rsidR="00F23C61" w:rsidRPr="00C134B9">
        <w:rPr>
          <w:rFonts w:ascii="ＭＳ ゴシック" w:eastAsia="ＭＳ ゴシック" w:hAnsi="ＭＳ ゴシック"/>
          <w:b/>
          <w:color w:val="00ACA1"/>
          <w:spacing w:val="-1"/>
          <w:w w:val="95"/>
          <w:lang w:eastAsia="ja-JP"/>
        </w:rPr>
        <w:t xml:space="preserve"> </w:t>
      </w:r>
      <w:r w:rsidR="00F23C61" w:rsidRPr="00C134B9">
        <w:rPr>
          <w:rFonts w:ascii="ＭＳ ゴシック" w:eastAsia="ＭＳ ゴシック" w:hAnsi="ＭＳ ゴシック"/>
          <w:b/>
          <w:color w:val="00ACA1"/>
          <w:w w:val="95"/>
          <w:lang w:eastAsia="ja-JP"/>
        </w:rPr>
        <w:t>impact</w:t>
      </w:r>
      <w:r w:rsidR="00F23C61" w:rsidRPr="00F23AE0">
        <w:rPr>
          <w:rFonts w:ascii="ＭＳ ゴシック" w:eastAsia="ＭＳ ゴシック" w:hAnsi="ＭＳ ゴシック"/>
          <w:bCs/>
          <w:color w:val="00ACA1"/>
          <w:w w:val="95"/>
          <w:lang w:eastAsia="ja-JP"/>
        </w:rPr>
        <w:tab/>
      </w:r>
      <w:r w:rsidRPr="00F23AE0">
        <w:rPr>
          <w:rFonts w:ascii="ＭＳ ゴシック" w:eastAsia="ＭＳ ゴシック" w:hAnsi="ＭＳ ゴシック"/>
          <w:bCs/>
          <w:lang w:eastAsia="ja-JP"/>
        </w:rPr>
        <w:t>GHG</w:t>
      </w:r>
      <w:r w:rsidRPr="00F23AE0">
        <w:rPr>
          <w:rFonts w:ascii="ＭＳ ゴシック" w:eastAsia="ＭＳ ゴシック" w:hAnsi="ＭＳ ゴシック" w:cs="ＭＳ ゴシック" w:hint="eastAsia"/>
          <w:bCs/>
          <w:lang w:eastAsia="ja-JP"/>
        </w:rPr>
        <w:t>の排出量と除去量に、該当する地球温暖化係数（</w:t>
      </w:r>
      <w:r w:rsidRPr="00F23AE0">
        <w:rPr>
          <w:rFonts w:ascii="ＭＳ ゴシック" w:eastAsia="ＭＳ ゴシック" w:hAnsi="ＭＳ ゴシック"/>
          <w:bCs/>
          <w:lang w:eastAsia="ja-JP"/>
        </w:rPr>
        <w:t>GWP</w:t>
      </w:r>
      <w:r w:rsidRPr="00F23AE0">
        <w:rPr>
          <w:rFonts w:ascii="ＭＳ ゴシック" w:eastAsia="ＭＳ ゴシック" w:hAnsi="ＭＳ ゴシック" w:cs="ＭＳ ゴシック" w:hint="eastAsia"/>
          <w:bCs/>
          <w:lang w:eastAsia="ja-JP"/>
        </w:rPr>
        <w:t>）を乗じて算出した結果</w:t>
      </w:r>
      <w:r w:rsidRPr="00F23AE0">
        <w:rPr>
          <w:rFonts w:ascii="ＭＳ ゴシック" w:eastAsia="ＭＳ ゴシック" w:hAnsi="ＭＳ ゴシック" w:cs="ＭＳ ゴシック" w:hint="eastAsia"/>
          <w:bCs/>
          <w:lang w:eastAsia="ja-JP"/>
        </w:rPr>
        <w:t>。</w:t>
      </w:r>
    </w:p>
    <w:p w14:paraId="089E6396" w14:textId="77777777" w:rsidR="0055291C" w:rsidRPr="00F23AE0" w:rsidRDefault="0055291C" w:rsidP="00DE1B8E">
      <w:pPr>
        <w:tabs>
          <w:tab w:val="left" w:pos="1418"/>
        </w:tabs>
        <w:spacing w:line="312" w:lineRule="auto"/>
        <w:ind w:left="1418" w:right="900"/>
        <w:jc w:val="both"/>
        <w:rPr>
          <w:rFonts w:ascii="ＭＳ ゴシック" w:eastAsia="ＭＳ ゴシック" w:hAnsi="ＭＳ ゴシック"/>
          <w:bCs/>
          <w:sz w:val="19"/>
          <w:szCs w:val="19"/>
          <w:lang w:eastAsia="ja-JP"/>
        </w:rPr>
        <w:sectPr w:rsidR="0055291C" w:rsidRPr="00F23AE0">
          <w:headerReference w:type="even" r:id="rId389"/>
          <w:headerReference w:type="default" r:id="rId390"/>
          <w:pgSz w:w="12240" w:h="15840"/>
          <w:pgMar w:top="620" w:right="0" w:bottom="1040" w:left="0" w:header="0" w:footer="859" w:gutter="0"/>
          <w:cols w:space="720"/>
        </w:sectPr>
      </w:pPr>
    </w:p>
    <w:p w14:paraId="45204975" w14:textId="25156702" w:rsidR="0055291C" w:rsidRPr="00F23AE0" w:rsidRDefault="00000000" w:rsidP="0032772F">
      <w:pPr>
        <w:pStyle w:val="a3"/>
        <w:tabs>
          <w:tab w:val="left" w:pos="1418"/>
        </w:tabs>
        <w:ind w:left="1418" w:right="900"/>
        <w:rPr>
          <w:rFonts w:ascii="ＭＳ ゴシック" w:eastAsia="ＭＳ ゴシック" w:hAnsi="ＭＳ ゴシック"/>
          <w:bCs/>
          <w:color w:val="545456"/>
        </w:rPr>
      </w:pPr>
      <w:r w:rsidRPr="00C134B9">
        <w:rPr>
          <w:rFonts w:ascii="ＭＳ ゴシック" w:eastAsia="ＭＳ ゴシック" w:hAnsi="ＭＳ ゴシック"/>
          <w:b/>
        </w:rPr>
        <w:lastRenderedPageBreak/>
        <w:pict w14:anchorId="5612B160">
          <v:group id="docshapegroup1713" o:spid="_x0000_s2105" style="position:absolute;left:0;text-align:left;margin-left:580.75pt;margin-top:0;width:31.3pt;height:285.85pt;z-index:251685376;mso-position-horizontal-relative:page;mso-position-vertical-relative:page" coordorigin="11615" coordsize="626,5717">
            <v:shape id="docshape1714" o:spid="_x0000_s2107" style="position:absolute;left:11614;width:626;height:5717" coordorigin="11615" coordsize="626,5717" path="m12240,r-625,l11615,5489r3,131l11643,5688r67,25l11842,5716r398,l12240,xe" fillcolor="#00aca1" stroked="f">
              <v:path arrowok="t"/>
            </v:shape>
            <v:shape id="docshape1715" o:spid="_x0000_s2106" style="position:absolute;left:11614;width:626;height:5717" coordorigin="11615" coordsize="626,5717" path="m12240,r-625,l11615,5489r3,131l11643,5688r67,25l11842,5716r398,l12240,xe" fillcolor="#00aca1" stroked="f">
              <v:path arrowok="t"/>
            </v:shape>
            <w10:wrap anchorx="page" anchory="page"/>
          </v:group>
        </w:pict>
      </w:r>
      <w:r w:rsidR="007B0298" w:rsidRPr="00C134B9">
        <w:rPr>
          <w:rFonts w:ascii="ＭＳ ゴシック" w:eastAsia="ＭＳ ゴシック" w:hAnsi="ＭＳ ゴシック" w:cs="ＭＳ ゴシック" w:hint="eastAsia"/>
          <w:b/>
          <w:color w:val="00ACA1"/>
          <w:lang w:eastAsia="ja-JP"/>
        </w:rPr>
        <w:t>地球温暖化係数/</w:t>
      </w:r>
      <w:r w:rsidR="007B0298" w:rsidRPr="00C134B9">
        <w:rPr>
          <w:rFonts w:ascii="ＭＳ ゴシック" w:eastAsia="ＭＳ ゴシック" w:hAnsi="ＭＳ ゴシック" w:cs="ＭＳ ゴシック"/>
          <w:b/>
          <w:color w:val="00ACA1"/>
          <w:lang w:eastAsia="ja-JP"/>
        </w:rPr>
        <w:tab/>
      </w:r>
      <w:r w:rsidR="00912458" w:rsidRPr="00F23AE0">
        <w:rPr>
          <w:rFonts w:ascii="ＭＳ ゴシック" w:eastAsia="ＭＳ ゴシック" w:hAnsi="ＭＳ ゴシック" w:cs="ＭＳ ゴシック"/>
          <w:bCs/>
          <w:color w:val="00ACA1"/>
          <w:lang w:eastAsia="ja-JP"/>
        </w:rPr>
        <w:tab/>
      </w:r>
      <w:r w:rsidR="007B0298" w:rsidRPr="00F23AE0">
        <w:rPr>
          <w:rFonts w:ascii="ＭＳ ゴシック" w:eastAsia="ＭＳ ゴシック" w:hAnsi="ＭＳ ゴシック" w:cs="ＭＳ ゴシック" w:hint="eastAsia"/>
          <w:bCs/>
          <w:lang w:eastAsia="ja-JP"/>
        </w:rPr>
        <w:t>複数の特定物質の放射強制力の累積的な影響を計算するために用いられる係数。</w:t>
      </w:r>
      <w:r w:rsidR="007B0298" w:rsidRPr="00F23AE0">
        <w:rPr>
          <w:rFonts w:ascii="ＭＳ ゴシック" w:eastAsia="ＭＳ ゴシック" w:hAnsi="ＭＳ ゴシック" w:cs="ＭＳ ゴシック"/>
          <w:bCs/>
          <w:color w:val="00ACA1"/>
          <w:lang w:eastAsia="ja-JP"/>
        </w:rPr>
        <w:br/>
      </w:r>
      <w:r w:rsidR="00F23C61" w:rsidRPr="00C134B9">
        <w:rPr>
          <w:rFonts w:ascii="ＭＳ ゴシック" w:eastAsia="ＭＳ ゴシック" w:hAnsi="ＭＳ ゴシック"/>
          <w:b/>
          <w:color w:val="00ACA1"/>
        </w:rPr>
        <w:t>Global</w:t>
      </w:r>
      <w:r w:rsidR="00F23C61" w:rsidRPr="00C134B9">
        <w:rPr>
          <w:rFonts w:ascii="ＭＳ ゴシック" w:eastAsia="ＭＳ ゴシック" w:hAnsi="ＭＳ ゴシック"/>
          <w:b/>
          <w:color w:val="00ACA1"/>
          <w:spacing w:val="-6"/>
        </w:rPr>
        <w:t xml:space="preserve"> </w:t>
      </w:r>
      <w:r w:rsidR="00F23C61" w:rsidRPr="00C134B9">
        <w:rPr>
          <w:rFonts w:ascii="ＭＳ ゴシック" w:eastAsia="ＭＳ ゴシック" w:hAnsi="ＭＳ ゴシック"/>
          <w:b/>
          <w:color w:val="00ACA1"/>
        </w:rPr>
        <w:t>warming</w:t>
      </w:r>
      <w:r w:rsidR="00F23C61" w:rsidRPr="00C134B9">
        <w:rPr>
          <w:rFonts w:ascii="ＭＳ ゴシック" w:eastAsia="ＭＳ ゴシック" w:hAnsi="ＭＳ ゴシック"/>
          <w:b/>
          <w:color w:val="00ACA1"/>
          <w:spacing w:val="-6"/>
        </w:rPr>
        <w:t xml:space="preserve"> </w:t>
      </w:r>
      <w:r w:rsidR="00F23C61" w:rsidRPr="00C134B9">
        <w:rPr>
          <w:rFonts w:ascii="ＭＳ ゴシック" w:eastAsia="ＭＳ ゴシック" w:hAnsi="ＭＳ ゴシック"/>
          <w:b/>
          <w:color w:val="00ACA1"/>
        </w:rPr>
        <w:t>potential</w:t>
      </w:r>
      <w:r w:rsidR="007B0298" w:rsidRPr="00F23AE0">
        <w:rPr>
          <w:rFonts w:ascii="ＭＳ ゴシック" w:eastAsia="ＭＳ ゴシック" w:hAnsi="ＭＳ ゴシック"/>
          <w:bCs/>
          <w:color w:val="00ACA1"/>
        </w:rPr>
        <w:t xml:space="preserve"> </w:t>
      </w:r>
      <w:r w:rsidR="007B0298" w:rsidRPr="00F23AE0">
        <w:rPr>
          <w:rFonts w:ascii="ＭＳ ゴシック" w:eastAsia="ＭＳ ゴシック" w:hAnsi="ＭＳ ゴシック" w:hint="eastAsia"/>
          <w:bCs/>
          <w:color w:val="000000" w:themeColor="text1"/>
          <w:lang w:eastAsia="ja-JP"/>
        </w:rPr>
        <w:t>GHG同士</w:t>
      </w:r>
      <w:r w:rsidR="007B0298" w:rsidRPr="00F23AE0">
        <w:rPr>
          <w:rFonts w:ascii="ＭＳ ゴシック" w:eastAsia="ＭＳ ゴシック" w:hAnsi="ＭＳ ゴシック" w:cs="ＭＳ ゴシック" w:hint="eastAsia"/>
          <w:bCs/>
          <w:color w:val="000000" w:themeColor="text1"/>
          <w:lang w:eastAsia="ja-JP"/>
        </w:rPr>
        <w:t>の比較に用いられる。</w:t>
      </w:r>
      <w:r w:rsidR="00F23C61" w:rsidRPr="00F23AE0">
        <w:rPr>
          <w:rFonts w:ascii="ＭＳ ゴシック" w:eastAsia="ＭＳ ゴシック" w:hAnsi="ＭＳ ゴシック"/>
          <w:bCs/>
          <w:color w:val="545456"/>
          <w:w w:val="95"/>
          <w:position w:val="6"/>
        </w:rPr>
        <w:t>10</w:t>
      </w:r>
    </w:p>
    <w:p w14:paraId="02AEEAF2" w14:textId="77777777" w:rsidR="0055291C" w:rsidRPr="00F23AE0" w:rsidRDefault="0055291C" w:rsidP="00DE1B8E">
      <w:pPr>
        <w:pStyle w:val="a3"/>
        <w:tabs>
          <w:tab w:val="left" w:pos="1418"/>
        </w:tabs>
        <w:ind w:left="1418" w:right="900"/>
        <w:rPr>
          <w:rFonts w:ascii="ＭＳ ゴシック" w:eastAsia="ＭＳ ゴシック" w:hAnsi="ＭＳ ゴシック"/>
          <w:bCs/>
        </w:rPr>
      </w:pPr>
    </w:p>
    <w:p w14:paraId="0B77E670" w14:textId="018D3F6F" w:rsidR="0055291C" w:rsidRPr="00F23AE0" w:rsidRDefault="007B0298" w:rsidP="00DE1B8E">
      <w:pPr>
        <w:tabs>
          <w:tab w:val="left" w:pos="1418"/>
        </w:tabs>
        <w:spacing w:before="116"/>
        <w:ind w:left="1418" w:right="900"/>
        <w:rPr>
          <w:rFonts w:ascii="ＭＳ ゴシック" w:eastAsia="ＭＳ ゴシック" w:hAnsi="ＭＳ ゴシック"/>
          <w:bCs/>
          <w:sz w:val="19"/>
          <w:szCs w:val="19"/>
        </w:rPr>
      </w:pPr>
      <w:r w:rsidRPr="00C134B9">
        <w:rPr>
          <w:rFonts w:ascii="ＭＳ ゴシック" w:eastAsia="ＭＳ ゴシック" w:hAnsi="ＭＳ ゴシック" w:cs="ＭＳ ゴシック" w:hint="eastAsia"/>
          <w:b/>
          <w:color w:val="00ACA1"/>
          <w:spacing w:val="-1"/>
          <w:sz w:val="19"/>
          <w:szCs w:val="19"/>
          <w:lang w:eastAsia="ja-JP"/>
        </w:rPr>
        <w:t>間接的な土地利用変化/</w:t>
      </w:r>
      <w:r w:rsidRPr="00F23AE0">
        <w:rPr>
          <w:rFonts w:ascii="ＭＳ ゴシック" w:eastAsia="ＭＳ ゴシック" w:hAnsi="ＭＳ ゴシック" w:cs="ＭＳ ゴシック"/>
          <w:bCs/>
          <w:color w:val="00ACA1"/>
          <w:spacing w:val="-1"/>
          <w:sz w:val="19"/>
          <w:szCs w:val="19"/>
          <w:lang w:eastAsia="ja-JP"/>
        </w:rPr>
        <w:tab/>
      </w:r>
      <w:proofErr w:type="spellStart"/>
      <w:r w:rsidRPr="00F23AE0">
        <w:rPr>
          <w:rFonts w:ascii="ＭＳ ゴシック" w:eastAsia="ＭＳ ゴシック" w:hAnsi="ＭＳ ゴシック" w:cs="ＭＳ ゴシック" w:hint="eastAsia"/>
          <w:bCs/>
          <w:sz w:val="19"/>
          <w:szCs w:val="19"/>
        </w:rPr>
        <w:t>ある土地利用に対する需要が、他の土地での炭素蓄積量の変化を誘発する場合</w:t>
      </w:r>
      <w:proofErr w:type="spellEnd"/>
      <w:r w:rsidRPr="00F23AE0">
        <w:rPr>
          <w:rFonts w:ascii="ＭＳ ゴシック" w:eastAsia="ＭＳ ゴシック" w:hAnsi="ＭＳ ゴシック" w:cs="ＭＳ ゴシック" w:hint="eastAsia"/>
          <w:bCs/>
          <w:sz w:val="19"/>
          <w:szCs w:val="19"/>
        </w:rPr>
        <w:t>。</w:t>
      </w:r>
      <w:r w:rsidRPr="00F23AE0">
        <w:rPr>
          <w:rFonts w:ascii="ＭＳ ゴシック" w:eastAsia="ＭＳ ゴシック" w:hAnsi="ＭＳ ゴシック" w:cs="ＭＳ ゴシック"/>
          <w:bCs/>
          <w:color w:val="00ACA1"/>
          <w:spacing w:val="-1"/>
          <w:sz w:val="19"/>
          <w:szCs w:val="19"/>
        </w:rPr>
        <w:br/>
      </w:r>
      <w:r w:rsidR="00F23C61" w:rsidRPr="00C134B9">
        <w:rPr>
          <w:rFonts w:ascii="ＭＳ ゴシック" w:eastAsia="ＭＳ ゴシック" w:hAnsi="ＭＳ ゴシック"/>
          <w:b/>
          <w:color w:val="00ACA1"/>
          <w:spacing w:val="-1"/>
          <w:sz w:val="19"/>
          <w:szCs w:val="19"/>
        </w:rPr>
        <w:t>Indirect</w:t>
      </w:r>
      <w:r w:rsidR="00F23C61" w:rsidRPr="00C134B9">
        <w:rPr>
          <w:rFonts w:ascii="ＭＳ ゴシック" w:eastAsia="ＭＳ ゴシック" w:hAnsi="ＭＳ ゴシック"/>
          <w:b/>
          <w:color w:val="00ACA1"/>
          <w:spacing w:val="-12"/>
          <w:sz w:val="19"/>
          <w:szCs w:val="19"/>
        </w:rPr>
        <w:t xml:space="preserve"> </w:t>
      </w:r>
      <w:r w:rsidR="00F23C61" w:rsidRPr="00C134B9">
        <w:rPr>
          <w:rFonts w:ascii="ＭＳ ゴシック" w:eastAsia="ＭＳ ゴシック" w:hAnsi="ＭＳ ゴシック"/>
          <w:b/>
          <w:color w:val="00ACA1"/>
          <w:sz w:val="19"/>
          <w:szCs w:val="19"/>
        </w:rPr>
        <w:t>land-use</w:t>
      </w:r>
      <w:r w:rsidR="00F23C61" w:rsidRPr="00C134B9">
        <w:rPr>
          <w:rFonts w:ascii="ＭＳ ゴシック" w:eastAsia="ＭＳ ゴシック" w:hAnsi="ＭＳ ゴシック"/>
          <w:b/>
          <w:color w:val="00ACA1"/>
          <w:spacing w:val="-12"/>
          <w:sz w:val="19"/>
          <w:szCs w:val="19"/>
        </w:rPr>
        <w:t xml:space="preserve"> </w:t>
      </w:r>
      <w:r w:rsidR="00F23C61" w:rsidRPr="00C134B9">
        <w:rPr>
          <w:rFonts w:ascii="ＭＳ ゴシック" w:eastAsia="ＭＳ ゴシック" w:hAnsi="ＭＳ ゴシック"/>
          <w:b/>
          <w:color w:val="00ACA1"/>
          <w:sz w:val="19"/>
          <w:szCs w:val="19"/>
        </w:rPr>
        <w:t>change</w:t>
      </w:r>
    </w:p>
    <w:p w14:paraId="11D003BA" w14:textId="77777777" w:rsidR="0055291C" w:rsidRPr="00F23AE0" w:rsidRDefault="0055291C" w:rsidP="00DE1B8E">
      <w:pPr>
        <w:pStyle w:val="a3"/>
        <w:tabs>
          <w:tab w:val="left" w:pos="1418"/>
        </w:tabs>
        <w:ind w:left="1418" w:right="900"/>
        <w:rPr>
          <w:rFonts w:ascii="ＭＳ ゴシック" w:eastAsia="ＭＳ ゴシック" w:hAnsi="ＭＳ ゴシック"/>
          <w:bCs/>
        </w:rPr>
      </w:pPr>
    </w:p>
    <w:p w14:paraId="742BA10B" w14:textId="0C9C4C98" w:rsidR="0055291C" w:rsidRPr="00F23AE0" w:rsidRDefault="007B0298" w:rsidP="00DE1B8E">
      <w:pPr>
        <w:pStyle w:val="a3"/>
        <w:tabs>
          <w:tab w:val="left" w:pos="1418"/>
        </w:tabs>
        <w:spacing w:before="115" w:line="312" w:lineRule="auto"/>
        <w:ind w:left="1418" w:right="900"/>
        <w:rPr>
          <w:rFonts w:ascii="ＭＳ ゴシック" w:eastAsia="ＭＳ ゴシック" w:hAnsi="ＭＳ ゴシック"/>
          <w:bCs/>
        </w:rPr>
      </w:pPr>
      <w:r w:rsidRPr="00C134B9">
        <w:rPr>
          <w:rFonts w:ascii="ＭＳ ゴシック" w:eastAsia="ＭＳ ゴシック" w:hAnsi="ＭＳ ゴシック" w:cs="ＭＳ ゴシック" w:hint="eastAsia"/>
          <w:b/>
          <w:color w:val="00ACA1"/>
          <w:spacing w:val="-2"/>
          <w:lang w:eastAsia="ja-JP"/>
        </w:rPr>
        <w:t>重要度閾値/</w:t>
      </w:r>
      <w:r w:rsidRPr="00F23AE0">
        <w:rPr>
          <w:rFonts w:ascii="ＭＳ ゴシック" w:eastAsia="ＭＳ ゴシック" w:hAnsi="ＭＳ ゴシック" w:cs="ＭＳ ゴシック"/>
          <w:bCs/>
          <w:color w:val="00ACA1"/>
          <w:spacing w:val="-2"/>
          <w:lang w:eastAsia="ja-JP"/>
        </w:rPr>
        <w:tab/>
      </w:r>
      <w:r w:rsidRPr="00F23AE0">
        <w:rPr>
          <w:rFonts w:ascii="ＭＳ ゴシック" w:eastAsia="ＭＳ ゴシック" w:hAnsi="ＭＳ ゴシック" w:cs="ＭＳ ゴシック"/>
          <w:bCs/>
          <w:color w:val="00ACA1"/>
          <w:spacing w:val="-2"/>
          <w:lang w:eastAsia="ja-JP"/>
        </w:rPr>
        <w:tab/>
      </w:r>
      <w:r w:rsidRPr="00F23AE0">
        <w:rPr>
          <w:rFonts w:ascii="ＭＳ ゴシック" w:eastAsia="ＭＳ ゴシック" w:hAnsi="ＭＳ ゴシック" w:cs="ＭＳ ゴシック" w:hint="eastAsia"/>
          <w:bCs/>
          <w:color w:val="000000" w:themeColor="text1"/>
          <w:spacing w:val="-2"/>
          <w:lang w:eastAsia="ja-JP"/>
        </w:rPr>
        <w:t>調査対象製品の</w:t>
      </w:r>
      <w:r w:rsidRPr="00F23AE0">
        <w:rPr>
          <w:rFonts w:ascii="ＭＳ ゴシック" w:eastAsia="ＭＳ ゴシック" w:hAnsi="ＭＳ ゴシック" w:hint="eastAsia"/>
          <w:bCs/>
          <w:color w:val="000000" w:themeColor="text1"/>
          <w:spacing w:val="-2"/>
          <w:lang w:eastAsia="ja-JP"/>
        </w:rPr>
        <w:t>GHG</w:t>
      </w:r>
      <w:r w:rsidRPr="00F23AE0">
        <w:rPr>
          <w:rFonts w:ascii="ＭＳ ゴシック" w:eastAsia="ＭＳ ゴシック" w:hAnsi="ＭＳ ゴシック" w:cs="ＭＳ ゴシック" w:hint="eastAsia"/>
          <w:bCs/>
          <w:color w:val="000000" w:themeColor="text1"/>
          <w:spacing w:val="-2"/>
          <w:lang w:eastAsia="ja-JP"/>
        </w:rPr>
        <w:t>算出において、あるプロセスや投入物、完成品がその算出にとって重要</w:t>
      </w:r>
      <w:r w:rsidRPr="00F23AE0">
        <w:rPr>
          <w:rFonts w:ascii="ＭＳ ゴシック" w:eastAsia="ＭＳ ゴシック" w:hAnsi="ＭＳ ゴシック"/>
          <w:bCs/>
          <w:color w:val="00ACA1"/>
          <w:spacing w:val="-2"/>
          <w:lang w:eastAsia="ja-JP"/>
        </w:rPr>
        <w:br/>
      </w:r>
      <w:r w:rsidR="00F23C61" w:rsidRPr="00C134B9">
        <w:rPr>
          <w:rFonts w:ascii="ＭＳ ゴシック" w:eastAsia="ＭＳ ゴシック" w:hAnsi="ＭＳ ゴシック"/>
          <w:b/>
          <w:color w:val="00ACA1"/>
          <w:spacing w:val="-2"/>
          <w:lang w:eastAsia="ja-JP"/>
        </w:rPr>
        <w:t>Insignificance</w:t>
      </w:r>
      <w:r w:rsidR="00F23C61" w:rsidRPr="00C134B9">
        <w:rPr>
          <w:rFonts w:ascii="ＭＳ ゴシック" w:eastAsia="ＭＳ ゴシック" w:hAnsi="ＭＳ ゴシック"/>
          <w:b/>
          <w:color w:val="00ACA1"/>
          <w:spacing w:val="-9"/>
          <w:lang w:eastAsia="ja-JP"/>
        </w:rPr>
        <w:t xml:space="preserve"> </w:t>
      </w:r>
      <w:r w:rsidR="00F23C61" w:rsidRPr="00C134B9">
        <w:rPr>
          <w:rFonts w:ascii="ＭＳ ゴシック" w:eastAsia="ＭＳ ゴシック" w:hAnsi="ＭＳ ゴシック"/>
          <w:b/>
          <w:color w:val="00ACA1"/>
          <w:spacing w:val="-1"/>
          <w:lang w:eastAsia="ja-JP"/>
        </w:rPr>
        <w:t>threshold</w:t>
      </w:r>
      <w:r w:rsidR="00F23C61" w:rsidRPr="00F23AE0">
        <w:rPr>
          <w:rFonts w:ascii="ＭＳ ゴシック" w:eastAsia="ＭＳ ゴシック" w:hAnsi="ＭＳ ゴシック"/>
          <w:bCs/>
          <w:color w:val="00ACA1"/>
          <w:spacing w:val="-1"/>
          <w:lang w:eastAsia="ja-JP"/>
        </w:rPr>
        <w:tab/>
      </w:r>
      <w:r w:rsidR="0032772F" w:rsidRPr="00F23AE0">
        <w:rPr>
          <w:rFonts w:ascii="ＭＳ ゴシック" w:eastAsia="ＭＳ ゴシック" w:hAnsi="ＭＳ ゴシック" w:cs="ＭＳ ゴシック" w:hint="eastAsia"/>
          <w:bCs/>
          <w:color w:val="000000" w:themeColor="text1"/>
          <w:spacing w:val="-2"/>
          <w:lang w:eastAsia="ja-JP"/>
        </w:rPr>
        <w:t>でないと判断される閾値。</w:t>
      </w:r>
    </w:p>
    <w:p w14:paraId="48CE1393" w14:textId="77777777" w:rsidR="0055291C" w:rsidRPr="00F23AE0" w:rsidRDefault="0055291C" w:rsidP="00DE1B8E">
      <w:pPr>
        <w:pStyle w:val="a3"/>
        <w:tabs>
          <w:tab w:val="left" w:pos="1418"/>
        </w:tabs>
        <w:spacing w:before="4"/>
        <w:ind w:left="1418" w:right="900"/>
        <w:rPr>
          <w:rFonts w:ascii="ＭＳ ゴシック" w:eastAsia="ＭＳ ゴシック" w:hAnsi="ＭＳ ゴシック"/>
          <w:bCs/>
        </w:rPr>
      </w:pPr>
    </w:p>
    <w:p w14:paraId="24D1D847" w14:textId="2625FC10" w:rsidR="0055291C" w:rsidRPr="00F23AE0" w:rsidRDefault="0032772F" w:rsidP="00DE1B8E">
      <w:pPr>
        <w:tabs>
          <w:tab w:val="left" w:pos="1418"/>
        </w:tabs>
        <w:spacing w:before="1"/>
        <w:ind w:left="1418" w:right="900"/>
        <w:rPr>
          <w:rFonts w:ascii="ＭＳ ゴシック" w:eastAsia="ＭＳ ゴシック" w:hAnsi="ＭＳ ゴシック"/>
          <w:bCs/>
          <w:sz w:val="19"/>
          <w:szCs w:val="19"/>
        </w:rPr>
      </w:pPr>
      <w:r w:rsidRPr="00C134B9">
        <w:rPr>
          <w:rFonts w:ascii="ＭＳ ゴシック" w:eastAsia="ＭＳ ゴシック" w:hAnsi="ＭＳ ゴシック" w:cs="ＭＳ ゴシック" w:hint="eastAsia"/>
          <w:b/>
          <w:color w:val="00ACA1"/>
          <w:sz w:val="19"/>
          <w:szCs w:val="19"/>
          <w:lang w:eastAsia="ja-JP"/>
        </w:rPr>
        <w:t>中間製品/</w:t>
      </w:r>
      <w:r w:rsidRPr="00F23AE0">
        <w:rPr>
          <w:rFonts w:ascii="ＭＳ ゴシック" w:eastAsia="ＭＳ ゴシック" w:hAnsi="ＭＳ ゴシック" w:cs="ＭＳ ゴシック"/>
          <w:bCs/>
          <w:color w:val="00ACA1"/>
          <w:sz w:val="19"/>
          <w:szCs w:val="19"/>
          <w:lang w:eastAsia="ja-JP"/>
        </w:rPr>
        <w:tab/>
      </w:r>
      <w:r w:rsidRPr="00F23AE0">
        <w:rPr>
          <w:rFonts w:ascii="ＭＳ ゴシック" w:eastAsia="ＭＳ ゴシック" w:hAnsi="ＭＳ ゴシック" w:cs="ＭＳ ゴシック"/>
          <w:bCs/>
          <w:color w:val="00ACA1"/>
          <w:sz w:val="19"/>
          <w:szCs w:val="19"/>
          <w:lang w:eastAsia="ja-JP"/>
        </w:rPr>
        <w:tab/>
      </w:r>
      <w:r w:rsidRPr="00F23AE0">
        <w:rPr>
          <w:rFonts w:ascii="ＭＳ ゴシック" w:eastAsia="ＭＳ ゴシック" w:hAnsi="ＭＳ ゴシック" w:cs="ＭＳ ゴシック" w:hint="eastAsia"/>
          <w:bCs/>
          <w:color w:val="000000" w:themeColor="text1"/>
          <w:sz w:val="19"/>
          <w:szCs w:val="19"/>
          <w:lang w:eastAsia="ja-JP"/>
        </w:rPr>
        <w:t>他の財やサービスの生産のための投入物として使用される財。</w:t>
      </w:r>
      <w:r w:rsidRPr="00F23AE0">
        <w:rPr>
          <w:rFonts w:ascii="ＭＳ ゴシック" w:eastAsia="ＭＳ ゴシック" w:hAnsi="ＭＳ ゴシック" w:cs="ＭＳ ゴシック"/>
          <w:bCs/>
          <w:color w:val="00ACA1"/>
          <w:sz w:val="19"/>
          <w:szCs w:val="19"/>
        </w:rPr>
        <w:br/>
      </w:r>
      <w:r w:rsidR="00F23C61" w:rsidRPr="00C134B9">
        <w:rPr>
          <w:rFonts w:ascii="ＭＳ ゴシック" w:eastAsia="ＭＳ ゴシック" w:hAnsi="ＭＳ ゴシック"/>
          <w:b/>
          <w:color w:val="00ACA1"/>
          <w:sz w:val="19"/>
          <w:szCs w:val="19"/>
        </w:rPr>
        <w:t>Intermediate</w:t>
      </w:r>
      <w:r w:rsidR="00F23C61" w:rsidRPr="00C134B9">
        <w:rPr>
          <w:rFonts w:ascii="ＭＳ ゴシック" w:eastAsia="ＭＳ ゴシック" w:hAnsi="ＭＳ ゴシック"/>
          <w:b/>
          <w:color w:val="00ACA1"/>
          <w:spacing w:val="-2"/>
          <w:sz w:val="19"/>
          <w:szCs w:val="19"/>
        </w:rPr>
        <w:t xml:space="preserve"> </w:t>
      </w:r>
      <w:r w:rsidR="00F23C61" w:rsidRPr="00C134B9">
        <w:rPr>
          <w:rFonts w:ascii="ＭＳ ゴシック" w:eastAsia="ＭＳ ゴシック" w:hAnsi="ＭＳ ゴシック"/>
          <w:b/>
          <w:color w:val="00ACA1"/>
          <w:sz w:val="19"/>
          <w:szCs w:val="19"/>
        </w:rPr>
        <w:t>products</w:t>
      </w:r>
      <w:r w:rsidR="00F23C61" w:rsidRPr="00F23AE0">
        <w:rPr>
          <w:rFonts w:ascii="ＭＳ ゴシック" w:eastAsia="ＭＳ ゴシック" w:hAnsi="ＭＳ ゴシック"/>
          <w:bCs/>
          <w:color w:val="00ACA1"/>
          <w:sz w:val="19"/>
          <w:szCs w:val="19"/>
        </w:rPr>
        <w:tab/>
      </w:r>
    </w:p>
    <w:p w14:paraId="2162E886" w14:textId="77777777" w:rsidR="0055291C" w:rsidRPr="00F23AE0" w:rsidRDefault="0055291C" w:rsidP="00DE1B8E">
      <w:pPr>
        <w:pStyle w:val="a3"/>
        <w:tabs>
          <w:tab w:val="left" w:pos="1418"/>
        </w:tabs>
        <w:ind w:left="1418" w:right="900"/>
        <w:rPr>
          <w:rFonts w:ascii="ＭＳ ゴシック" w:eastAsia="ＭＳ ゴシック" w:hAnsi="ＭＳ ゴシック"/>
          <w:bCs/>
        </w:rPr>
      </w:pPr>
    </w:p>
    <w:p w14:paraId="6A7F1027" w14:textId="08916720" w:rsidR="0055291C" w:rsidRPr="00F23AE0" w:rsidRDefault="0032772F" w:rsidP="00DE1B8E">
      <w:pPr>
        <w:tabs>
          <w:tab w:val="left" w:pos="1418"/>
        </w:tabs>
        <w:spacing w:before="115" w:line="307" w:lineRule="auto"/>
        <w:ind w:left="1418" w:right="900"/>
        <w:rPr>
          <w:rFonts w:ascii="ＭＳ ゴシック" w:eastAsia="ＭＳ ゴシック" w:hAnsi="ＭＳ ゴシック"/>
          <w:bCs/>
          <w:sz w:val="19"/>
          <w:szCs w:val="19"/>
        </w:rPr>
      </w:pPr>
      <w:r w:rsidRPr="00C134B9">
        <w:rPr>
          <w:rFonts w:ascii="ＭＳ ゴシック" w:eastAsia="ＭＳ ゴシック" w:hAnsi="ＭＳ ゴシック" w:cs="ＭＳ ゴシック" w:hint="eastAsia"/>
          <w:b/>
          <w:color w:val="00ACA1"/>
          <w:spacing w:val="-2"/>
          <w:w w:val="105"/>
          <w:sz w:val="19"/>
          <w:szCs w:val="19"/>
          <w:lang w:eastAsia="ja-JP"/>
        </w:rPr>
        <w:t>報告書/</w:t>
      </w:r>
      <w:r w:rsidRPr="00C134B9">
        <w:rPr>
          <w:rFonts w:ascii="ＭＳ ゴシック" w:eastAsia="ＭＳ ゴシック" w:hAnsi="ＭＳ ゴシック" w:cs="ＭＳ ゴシック"/>
          <w:b/>
          <w:color w:val="00ACA1"/>
          <w:spacing w:val="-2"/>
          <w:w w:val="105"/>
          <w:sz w:val="19"/>
          <w:szCs w:val="19"/>
          <w:lang w:eastAsia="ja-JP"/>
        </w:rPr>
        <w:tab/>
      </w:r>
      <w:r w:rsidR="00C134B9" w:rsidRPr="00C134B9">
        <w:rPr>
          <w:rFonts w:ascii="ＭＳ ゴシック" w:eastAsia="ＭＳ ゴシック" w:hAnsi="ＭＳ ゴシック"/>
          <w:b/>
          <w:color w:val="00ACA1"/>
          <w:spacing w:val="-2"/>
          <w:w w:val="105"/>
          <w:sz w:val="19"/>
          <w:szCs w:val="19"/>
        </w:rPr>
        <w:t>Inventory</w:t>
      </w:r>
      <w:r w:rsidR="00C134B9" w:rsidRPr="00C134B9">
        <w:rPr>
          <w:rFonts w:ascii="ＭＳ ゴシック" w:eastAsia="ＭＳ ゴシック" w:hAnsi="ＭＳ ゴシック"/>
          <w:b/>
          <w:color w:val="00ACA1"/>
          <w:spacing w:val="-12"/>
          <w:w w:val="105"/>
          <w:sz w:val="19"/>
          <w:szCs w:val="19"/>
        </w:rPr>
        <w:t xml:space="preserve"> </w:t>
      </w:r>
      <w:r w:rsidR="00C134B9" w:rsidRPr="00C134B9">
        <w:rPr>
          <w:rFonts w:ascii="ＭＳ ゴシック" w:eastAsia="ＭＳ ゴシック" w:hAnsi="ＭＳ ゴシック"/>
          <w:b/>
          <w:color w:val="00ACA1"/>
          <w:spacing w:val="-2"/>
          <w:w w:val="105"/>
          <w:sz w:val="19"/>
          <w:szCs w:val="19"/>
        </w:rPr>
        <w:t>report</w:t>
      </w:r>
      <w:r w:rsidR="00C134B9">
        <w:rPr>
          <w:rFonts w:ascii="ＭＳ ゴシック" w:eastAsia="ＭＳ ゴシック" w:hAnsi="ＭＳ ゴシック" w:cs="ＭＳ ゴシック"/>
          <w:bCs/>
          <w:color w:val="00ACA1"/>
          <w:spacing w:val="-2"/>
          <w:w w:val="105"/>
          <w:sz w:val="19"/>
          <w:szCs w:val="19"/>
          <w:lang w:eastAsia="ja-JP"/>
        </w:rPr>
        <w:t xml:space="preserve"> </w:t>
      </w:r>
      <w:r w:rsidRPr="00F23AE0">
        <w:rPr>
          <w:rFonts w:ascii="ＭＳ ゴシック" w:eastAsia="ＭＳ ゴシック" w:hAnsi="ＭＳ ゴシック" w:cs="ＭＳ ゴシック" w:hint="eastAsia"/>
          <w:bCs/>
          <w:color w:val="000000" w:themeColor="text1"/>
          <w:spacing w:val="-2"/>
          <w:w w:val="105"/>
          <w:sz w:val="19"/>
          <w:szCs w:val="19"/>
          <w:lang w:eastAsia="ja-JP"/>
        </w:rPr>
        <w:t>製品規格に準拠して公表された、報告要件のすべてと任意の情報を含む文書。</w:t>
      </w:r>
      <w:r w:rsidR="00F23C61" w:rsidRPr="00F23AE0">
        <w:rPr>
          <w:rFonts w:ascii="ＭＳ ゴシック" w:eastAsia="ＭＳ ゴシック" w:hAnsi="ＭＳ ゴシック"/>
          <w:bCs/>
          <w:color w:val="00ACA1"/>
          <w:spacing w:val="-2"/>
          <w:w w:val="105"/>
          <w:sz w:val="19"/>
          <w:szCs w:val="19"/>
        </w:rPr>
        <w:tab/>
      </w:r>
    </w:p>
    <w:p w14:paraId="279BA034" w14:textId="77777777" w:rsidR="0055291C" w:rsidRPr="00F23AE0" w:rsidRDefault="0055291C" w:rsidP="00DE1B8E">
      <w:pPr>
        <w:pStyle w:val="a3"/>
        <w:tabs>
          <w:tab w:val="left" w:pos="1418"/>
        </w:tabs>
        <w:spacing w:before="9"/>
        <w:ind w:left="1418" w:right="900"/>
        <w:rPr>
          <w:rFonts w:ascii="ＭＳ ゴシック" w:eastAsia="ＭＳ ゴシック" w:hAnsi="ＭＳ ゴシック"/>
          <w:bCs/>
        </w:rPr>
      </w:pPr>
    </w:p>
    <w:p w14:paraId="185DC448" w14:textId="1C54CE84" w:rsidR="0055291C" w:rsidRPr="00C134B9" w:rsidRDefault="0032772F" w:rsidP="00DE1B8E">
      <w:pPr>
        <w:tabs>
          <w:tab w:val="left" w:pos="1418"/>
        </w:tabs>
        <w:ind w:left="1418" w:right="900"/>
        <w:rPr>
          <w:rFonts w:ascii="ＭＳ ゴシック" w:eastAsia="ＭＳ ゴシック" w:hAnsi="ＭＳ ゴシック"/>
          <w:b/>
          <w:sz w:val="19"/>
          <w:szCs w:val="19"/>
        </w:rPr>
      </w:pPr>
      <w:r w:rsidRPr="00C134B9">
        <w:rPr>
          <w:rFonts w:ascii="ＭＳ ゴシック" w:eastAsia="ＭＳ ゴシック" w:hAnsi="ＭＳ ゴシック" w:cs="ＭＳ ゴシック" w:hint="eastAsia"/>
          <w:b/>
          <w:color w:val="00ACA1"/>
          <w:sz w:val="19"/>
          <w:szCs w:val="19"/>
          <w:lang w:eastAsia="ja-JP"/>
        </w:rPr>
        <w:t>算出結果/</w:t>
      </w:r>
      <w:r w:rsidRPr="00F23AE0">
        <w:rPr>
          <w:rFonts w:ascii="ＭＳ ゴシック" w:eastAsia="ＭＳ ゴシック" w:hAnsi="ＭＳ ゴシック" w:cs="ＭＳ ゴシック"/>
          <w:bCs/>
          <w:color w:val="00ACA1"/>
          <w:sz w:val="19"/>
          <w:szCs w:val="19"/>
          <w:lang w:eastAsia="ja-JP"/>
        </w:rPr>
        <w:tab/>
      </w:r>
      <w:r w:rsidRPr="00F23AE0">
        <w:rPr>
          <w:rFonts w:ascii="ＭＳ ゴシック" w:eastAsia="ＭＳ ゴシック" w:hAnsi="ＭＳ ゴシック" w:cs="ＭＳ ゴシック"/>
          <w:bCs/>
          <w:color w:val="00ACA1"/>
          <w:sz w:val="19"/>
          <w:szCs w:val="19"/>
          <w:lang w:eastAsia="ja-JP"/>
        </w:rPr>
        <w:tab/>
      </w:r>
      <w:r w:rsidRPr="00F23AE0">
        <w:rPr>
          <w:rFonts w:ascii="ＭＳ ゴシック" w:eastAsia="ＭＳ ゴシック" w:hAnsi="ＭＳ ゴシック" w:cs="ＭＳ ゴシック" w:hint="eastAsia"/>
          <w:bCs/>
          <w:color w:val="000000" w:themeColor="text1"/>
          <w:sz w:val="19"/>
          <w:szCs w:val="19"/>
          <w:lang w:eastAsia="ja-JP"/>
        </w:rPr>
        <w:t>調査対象製品の分析単位当たりのGHG影響量。</w:t>
      </w:r>
      <w:r w:rsidRPr="00F23AE0">
        <w:rPr>
          <w:rFonts w:ascii="ＭＳ ゴシック" w:eastAsia="ＭＳ ゴシック" w:hAnsi="ＭＳ ゴシック" w:cs="ＭＳ ゴシック"/>
          <w:bCs/>
          <w:color w:val="00ACA1"/>
          <w:sz w:val="19"/>
          <w:szCs w:val="19"/>
        </w:rPr>
        <w:br/>
      </w:r>
      <w:r w:rsidR="00F23C61" w:rsidRPr="00C134B9">
        <w:rPr>
          <w:rFonts w:ascii="ＭＳ ゴシック" w:eastAsia="ＭＳ ゴシック" w:hAnsi="ＭＳ ゴシック"/>
          <w:b/>
          <w:color w:val="00ACA1"/>
          <w:sz w:val="19"/>
          <w:szCs w:val="19"/>
        </w:rPr>
        <w:t>Inventory</w:t>
      </w:r>
      <w:r w:rsidR="00F23C61" w:rsidRPr="00C134B9">
        <w:rPr>
          <w:rFonts w:ascii="ＭＳ ゴシック" w:eastAsia="ＭＳ ゴシック" w:hAnsi="ＭＳ ゴシック"/>
          <w:b/>
          <w:color w:val="00ACA1"/>
          <w:spacing w:val="-6"/>
          <w:sz w:val="19"/>
          <w:szCs w:val="19"/>
        </w:rPr>
        <w:t xml:space="preserve"> </w:t>
      </w:r>
      <w:r w:rsidR="00F23C61" w:rsidRPr="00C134B9">
        <w:rPr>
          <w:rFonts w:ascii="ＭＳ ゴシック" w:eastAsia="ＭＳ ゴシック" w:hAnsi="ＭＳ ゴシック"/>
          <w:b/>
          <w:color w:val="00ACA1"/>
          <w:sz w:val="19"/>
          <w:szCs w:val="19"/>
        </w:rPr>
        <w:t>results</w:t>
      </w:r>
      <w:r w:rsidR="00F23C61" w:rsidRPr="00C134B9">
        <w:rPr>
          <w:rFonts w:ascii="ＭＳ ゴシック" w:eastAsia="ＭＳ ゴシック" w:hAnsi="ＭＳ ゴシック"/>
          <w:b/>
          <w:color w:val="00ACA1"/>
          <w:sz w:val="19"/>
          <w:szCs w:val="19"/>
        </w:rPr>
        <w:tab/>
      </w:r>
    </w:p>
    <w:p w14:paraId="603FCC61" w14:textId="77777777" w:rsidR="0055291C" w:rsidRPr="00C134B9" w:rsidRDefault="0055291C" w:rsidP="00DE1B8E">
      <w:pPr>
        <w:pStyle w:val="a3"/>
        <w:tabs>
          <w:tab w:val="left" w:pos="1418"/>
        </w:tabs>
        <w:ind w:left="1418" w:right="900"/>
        <w:rPr>
          <w:rFonts w:ascii="ＭＳ ゴシック" w:eastAsia="ＭＳ ゴシック" w:hAnsi="ＭＳ ゴシック"/>
          <w:b/>
        </w:rPr>
      </w:pPr>
    </w:p>
    <w:p w14:paraId="0A90975C" w14:textId="418F2CB8" w:rsidR="0055291C" w:rsidRPr="00C134B9" w:rsidRDefault="00744669" w:rsidP="00DE1B8E">
      <w:pPr>
        <w:tabs>
          <w:tab w:val="left" w:pos="1418"/>
        </w:tabs>
        <w:spacing w:before="115"/>
        <w:ind w:left="1418" w:right="900"/>
        <w:rPr>
          <w:rFonts w:ascii="ＭＳ ゴシック" w:eastAsia="ＭＳ ゴシック" w:hAnsi="ＭＳ ゴシック"/>
          <w:b/>
          <w:sz w:val="19"/>
          <w:szCs w:val="19"/>
        </w:rPr>
      </w:pPr>
      <w:r w:rsidRPr="00C134B9">
        <w:rPr>
          <w:rFonts w:ascii="ＭＳ ゴシック" w:eastAsia="ＭＳ ゴシック" w:hAnsi="ＭＳ ゴシック" w:cs="ＭＳ ゴシック" w:hint="eastAsia"/>
          <w:b/>
          <w:color w:val="00ACA1"/>
          <w:spacing w:val="-2"/>
          <w:sz w:val="19"/>
          <w:szCs w:val="19"/>
          <w:lang w:eastAsia="ja-JP"/>
        </w:rPr>
        <w:t>土地利用区分/</w:t>
      </w:r>
      <w:r w:rsidRPr="00F23AE0">
        <w:rPr>
          <w:rFonts w:ascii="ＭＳ ゴシック" w:eastAsia="ＭＳ ゴシック" w:hAnsi="ＭＳ ゴシック" w:cs="ＭＳ ゴシック"/>
          <w:bCs/>
          <w:color w:val="00ACA1"/>
          <w:spacing w:val="-2"/>
          <w:sz w:val="19"/>
          <w:szCs w:val="19"/>
          <w:lang w:eastAsia="ja-JP"/>
        </w:rPr>
        <w:tab/>
      </w:r>
      <w:r w:rsidRPr="00F23AE0">
        <w:rPr>
          <w:rFonts w:ascii="ＭＳ ゴシック" w:eastAsia="ＭＳ ゴシック" w:hAnsi="ＭＳ ゴシック" w:cs="ＭＳ ゴシック"/>
          <w:bCs/>
          <w:color w:val="00ACA1"/>
          <w:spacing w:val="-2"/>
          <w:sz w:val="19"/>
          <w:szCs w:val="19"/>
          <w:lang w:eastAsia="ja-JP"/>
        </w:rPr>
        <w:tab/>
      </w:r>
      <w:r w:rsidRPr="00F23AE0">
        <w:rPr>
          <w:rFonts w:ascii="ＭＳ ゴシック" w:eastAsia="ＭＳ ゴシック" w:hAnsi="ＭＳ ゴシック" w:cs="ＭＳ ゴシック" w:hint="eastAsia"/>
          <w:bCs/>
          <w:color w:val="000000" w:themeColor="text1"/>
          <w:spacing w:val="-2"/>
          <w:sz w:val="19"/>
          <w:szCs w:val="19"/>
          <w:lang w:eastAsia="ja-JP"/>
        </w:rPr>
        <w:t>森林、農耕地、装置、湿地、集落、その他の土地など。</w:t>
      </w:r>
      <w:r w:rsidRPr="00F23AE0">
        <w:rPr>
          <w:rFonts w:ascii="ＭＳ ゴシック" w:eastAsia="ＭＳ ゴシック" w:hAnsi="ＭＳ ゴシック" w:cs="ＭＳ ゴシック" w:hint="eastAsia"/>
          <w:bCs/>
          <w:color w:val="000000" w:themeColor="text1"/>
          <w:spacing w:val="-2"/>
          <w:sz w:val="19"/>
          <w:szCs w:val="19"/>
          <w:vertAlign w:val="superscript"/>
          <w:lang w:eastAsia="ja-JP"/>
        </w:rPr>
        <w:t>11</w:t>
      </w:r>
      <w:r w:rsidRPr="00F23AE0">
        <w:rPr>
          <w:rFonts w:ascii="ＭＳ ゴシック" w:eastAsia="ＭＳ ゴシック" w:hAnsi="ＭＳ ゴシック" w:cs="ＭＳ ゴシック"/>
          <w:bCs/>
          <w:color w:val="00ACA1"/>
          <w:spacing w:val="-2"/>
          <w:sz w:val="19"/>
          <w:szCs w:val="19"/>
        </w:rPr>
        <w:br/>
      </w:r>
      <w:r w:rsidR="00F23C61" w:rsidRPr="00C134B9">
        <w:rPr>
          <w:rFonts w:ascii="ＭＳ ゴシック" w:eastAsia="ＭＳ ゴシック" w:hAnsi="ＭＳ ゴシック"/>
          <w:b/>
          <w:color w:val="00ACA1"/>
          <w:spacing w:val="-2"/>
          <w:sz w:val="19"/>
          <w:szCs w:val="19"/>
        </w:rPr>
        <w:t>Land</w:t>
      </w:r>
      <w:r w:rsidR="00F23C61" w:rsidRPr="00C134B9">
        <w:rPr>
          <w:rFonts w:ascii="ＭＳ ゴシック" w:eastAsia="ＭＳ ゴシック" w:hAnsi="ＭＳ ゴシック"/>
          <w:b/>
          <w:color w:val="00ACA1"/>
          <w:spacing w:val="-11"/>
          <w:sz w:val="19"/>
          <w:szCs w:val="19"/>
        </w:rPr>
        <w:t xml:space="preserve"> </w:t>
      </w:r>
      <w:r w:rsidR="00F23C61" w:rsidRPr="00C134B9">
        <w:rPr>
          <w:rFonts w:ascii="ＭＳ ゴシック" w:eastAsia="ＭＳ ゴシック" w:hAnsi="ＭＳ ゴシック"/>
          <w:b/>
          <w:color w:val="00ACA1"/>
          <w:spacing w:val="-2"/>
          <w:sz w:val="19"/>
          <w:szCs w:val="19"/>
        </w:rPr>
        <w:t>use</w:t>
      </w:r>
      <w:r w:rsidR="00F23C61" w:rsidRPr="00C134B9">
        <w:rPr>
          <w:rFonts w:ascii="ＭＳ ゴシック" w:eastAsia="ＭＳ ゴシック" w:hAnsi="ＭＳ ゴシック"/>
          <w:b/>
          <w:color w:val="00ACA1"/>
          <w:spacing w:val="-11"/>
          <w:sz w:val="19"/>
          <w:szCs w:val="19"/>
        </w:rPr>
        <w:t xml:space="preserve"> </w:t>
      </w:r>
      <w:r w:rsidR="00F23C61" w:rsidRPr="00C134B9">
        <w:rPr>
          <w:rFonts w:ascii="ＭＳ ゴシック" w:eastAsia="ＭＳ ゴシック" w:hAnsi="ＭＳ ゴシック"/>
          <w:b/>
          <w:color w:val="00ACA1"/>
          <w:spacing w:val="-2"/>
          <w:sz w:val="19"/>
          <w:szCs w:val="19"/>
        </w:rPr>
        <w:t>categories</w:t>
      </w:r>
      <w:r w:rsidR="00F23C61" w:rsidRPr="00C134B9">
        <w:rPr>
          <w:rFonts w:ascii="ＭＳ ゴシック" w:eastAsia="ＭＳ ゴシック" w:hAnsi="ＭＳ ゴシック"/>
          <w:b/>
          <w:color w:val="00ACA1"/>
          <w:spacing w:val="-2"/>
          <w:sz w:val="19"/>
          <w:szCs w:val="19"/>
        </w:rPr>
        <w:tab/>
      </w:r>
    </w:p>
    <w:p w14:paraId="680B4A09" w14:textId="77777777" w:rsidR="0055291C" w:rsidRPr="00C134B9" w:rsidRDefault="0055291C" w:rsidP="00DE1B8E">
      <w:pPr>
        <w:pStyle w:val="a3"/>
        <w:tabs>
          <w:tab w:val="left" w:pos="1418"/>
        </w:tabs>
        <w:ind w:left="1418" w:right="900"/>
        <w:rPr>
          <w:rFonts w:ascii="ＭＳ ゴシック" w:eastAsia="ＭＳ ゴシック" w:hAnsi="ＭＳ ゴシック"/>
          <w:b/>
        </w:rPr>
      </w:pPr>
    </w:p>
    <w:p w14:paraId="14241C28" w14:textId="4A0C0E44" w:rsidR="0055291C" w:rsidRPr="00F23AE0" w:rsidRDefault="00744669" w:rsidP="00744669">
      <w:pPr>
        <w:pStyle w:val="a3"/>
        <w:tabs>
          <w:tab w:val="left" w:pos="1418"/>
        </w:tabs>
        <w:spacing w:before="115" w:line="312" w:lineRule="auto"/>
        <w:ind w:left="1418" w:right="900"/>
        <w:rPr>
          <w:rFonts w:ascii="ＭＳ ゴシック" w:eastAsia="ＭＳ ゴシック" w:hAnsi="ＭＳ ゴシック" w:cs="ＭＳ ゴシック"/>
          <w:bCs/>
          <w:color w:val="00ACA1"/>
          <w:w w:val="95"/>
          <w:lang w:eastAsia="ja-JP"/>
        </w:rPr>
      </w:pPr>
      <w:r w:rsidRPr="00C134B9">
        <w:rPr>
          <w:rFonts w:ascii="ＭＳ ゴシック" w:eastAsia="ＭＳ ゴシック" w:hAnsi="ＭＳ ゴシック" w:cs="ＭＳ ゴシック" w:hint="eastAsia"/>
          <w:b/>
          <w:color w:val="00ACA1"/>
          <w:w w:val="95"/>
          <w:lang w:eastAsia="ja-JP"/>
        </w:rPr>
        <w:t>土地利用変化/</w:t>
      </w:r>
      <w:r w:rsidRPr="00F23AE0">
        <w:rPr>
          <w:rFonts w:ascii="ＭＳ ゴシック" w:eastAsia="ＭＳ ゴシック" w:hAnsi="ＭＳ ゴシック"/>
          <w:bCs/>
          <w:color w:val="00ACA1"/>
          <w:w w:val="95"/>
          <w:lang w:eastAsia="ja-JP"/>
        </w:rPr>
        <w:tab/>
      </w:r>
      <w:r w:rsidRPr="00F23AE0">
        <w:rPr>
          <w:rFonts w:ascii="ＭＳ ゴシック" w:eastAsia="ＭＳ ゴシック" w:hAnsi="ＭＳ ゴシック"/>
          <w:bCs/>
          <w:color w:val="00ACA1"/>
          <w:w w:val="95"/>
          <w:lang w:eastAsia="ja-JP"/>
        </w:rPr>
        <w:tab/>
      </w:r>
      <w:r w:rsidRPr="00F23AE0">
        <w:rPr>
          <w:rFonts w:ascii="ＭＳ ゴシック" w:eastAsia="ＭＳ ゴシック" w:hAnsi="ＭＳ ゴシック" w:cs="ＭＳ ゴシック" w:hint="eastAsia"/>
          <w:bCs/>
          <w:color w:val="000000" w:themeColor="text1"/>
          <w:w w:val="95"/>
          <w:lang w:eastAsia="ja-JP"/>
        </w:rPr>
        <w:t>別の土地利用区分から、もしくは同じ土地利用区分内での</w:t>
      </w:r>
      <w:r w:rsidR="00912458" w:rsidRPr="00F23AE0">
        <w:rPr>
          <w:rFonts w:ascii="ＭＳ ゴシック" w:eastAsia="ＭＳ ゴシック" w:hAnsi="ＭＳ ゴシック" w:cs="ＭＳ ゴシック" w:hint="eastAsia"/>
          <w:bCs/>
          <w:color w:val="000000" w:themeColor="text1"/>
          <w:w w:val="95"/>
          <w:lang w:eastAsia="ja-JP"/>
        </w:rPr>
        <w:t>用途</w:t>
      </w:r>
      <w:r w:rsidRPr="00F23AE0">
        <w:rPr>
          <w:rFonts w:ascii="ＭＳ ゴシック" w:eastAsia="ＭＳ ゴシック" w:hAnsi="ＭＳ ゴシック" w:cs="ＭＳ ゴシック" w:hint="eastAsia"/>
          <w:bCs/>
          <w:color w:val="000000" w:themeColor="text1"/>
          <w:w w:val="95"/>
          <w:lang w:eastAsia="ja-JP"/>
        </w:rPr>
        <w:t>転換により</w:t>
      </w:r>
      <w:r w:rsidR="00912458" w:rsidRPr="00F23AE0">
        <w:rPr>
          <w:rFonts w:ascii="ＭＳ ゴシック" w:eastAsia="ＭＳ ゴシック" w:hAnsi="ＭＳ ゴシック" w:cs="ＭＳ ゴシック" w:hint="eastAsia"/>
          <w:bCs/>
          <w:color w:val="000000" w:themeColor="text1"/>
          <w:w w:val="95"/>
          <w:lang w:eastAsia="ja-JP"/>
        </w:rPr>
        <w:t>、</w:t>
      </w:r>
      <w:r w:rsidR="00912458" w:rsidRPr="00F23AE0">
        <w:rPr>
          <w:rFonts w:ascii="ＭＳ ゴシック" w:eastAsia="ＭＳ ゴシック" w:hAnsi="ＭＳ ゴシック" w:cs="ＭＳ ゴシック" w:hint="eastAsia"/>
          <w:bCs/>
          <w:color w:val="000000" w:themeColor="text1"/>
          <w:w w:val="95"/>
          <w:lang w:eastAsia="ja-JP"/>
        </w:rPr>
        <w:t>特定の土地利用への</w:t>
      </w:r>
      <w:r w:rsidRPr="00F23AE0">
        <w:rPr>
          <w:rFonts w:ascii="ＭＳ ゴシック" w:eastAsia="ＭＳ ゴシック" w:hAnsi="ＭＳ ゴシック"/>
          <w:bCs/>
          <w:color w:val="00ACA1"/>
          <w:w w:val="95"/>
          <w:lang w:eastAsia="ja-JP"/>
        </w:rPr>
        <w:br/>
      </w:r>
      <w:r w:rsidR="00F23C61" w:rsidRPr="00C134B9">
        <w:rPr>
          <w:rFonts w:ascii="ＭＳ ゴシック" w:eastAsia="ＭＳ ゴシック" w:hAnsi="ＭＳ ゴシック"/>
          <w:b/>
          <w:color w:val="00ACA1"/>
          <w:w w:val="95"/>
          <w:lang w:eastAsia="ja-JP"/>
        </w:rPr>
        <w:t>Land-use</w:t>
      </w:r>
      <w:r w:rsidR="00F23C61" w:rsidRPr="00C134B9">
        <w:rPr>
          <w:rFonts w:ascii="ＭＳ ゴシック" w:eastAsia="ＭＳ ゴシック" w:hAnsi="ＭＳ ゴシック"/>
          <w:b/>
          <w:color w:val="00ACA1"/>
          <w:spacing w:val="-1"/>
          <w:w w:val="95"/>
          <w:lang w:eastAsia="ja-JP"/>
        </w:rPr>
        <w:t xml:space="preserve"> </w:t>
      </w:r>
      <w:r w:rsidR="00F23C61" w:rsidRPr="00C134B9">
        <w:rPr>
          <w:rFonts w:ascii="ＭＳ ゴシック" w:eastAsia="ＭＳ ゴシック" w:hAnsi="ＭＳ ゴシック"/>
          <w:b/>
          <w:color w:val="00ACA1"/>
          <w:w w:val="95"/>
          <w:lang w:eastAsia="ja-JP"/>
        </w:rPr>
        <w:t>change</w:t>
      </w:r>
      <w:r w:rsidR="00F23C61" w:rsidRPr="00F23AE0">
        <w:rPr>
          <w:rFonts w:ascii="ＭＳ ゴシック" w:eastAsia="ＭＳ ゴシック" w:hAnsi="ＭＳ ゴシック"/>
          <w:bCs/>
          <w:color w:val="00ACA1"/>
          <w:w w:val="95"/>
          <w:lang w:eastAsia="ja-JP"/>
        </w:rPr>
        <w:tab/>
      </w:r>
      <w:r w:rsidR="00F23AE0">
        <w:rPr>
          <w:rFonts w:ascii="ＭＳ ゴシック" w:eastAsia="ＭＳ ゴシック" w:hAnsi="ＭＳ ゴシック"/>
          <w:bCs/>
          <w:color w:val="00ACA1"/>
          <w:w w:val="95"/>
          <w:lang w:eastAsia="ja-JP"/>
        </w:rPr>
        <w:tab/>
      </w:r>
      <w:r w:rsidR="00912458" w:rsidRPr="00F23AE0">
        <w:rPr>
          <w:rFonts w:ascii="ＭＳ ゴシック" w:eastAsia="ＭＳ ゴシック" w:hAnsi="ＭＳ ゴシック" w:cs="ＭＳ ゴシック" w:hint="eastAsia"/>
          <w:bCs/>
          <w:color w:val="000000" w:themeColor="text1"/>
          <w:w w:val="95"/>
          <w:lang w:eastAsia="ja-JP"/>
        </w:rPr>
        <w:t>需要がその土地の炭素蓄積量を変化させる場合に生じる。</w:t>
      </w:r>
    </w:p>
    <w:p w14:paraId="4858D8B0" w14:textId="77777777" w:rsidR="0055291C" w:rsidRPr="00F23AE0" w:rsidRDefault="0055291C" w:rsidP="00DE1B8E">
      <w:pPr>
        <w:pStyle w:val="a3"/>
        <w:tabs>
          <w:tab w:val="left" w:pos="1418"/>
        </w:tabs>
        <w:spacing w:before="5"/>
        <w:ind w:left="1418" w:right="900"/>
        <w:rPr>
          <w:rFonts w:ascii="ＭＳ ゴシック" w:eastAsia="ＭＳ ゴシック" w:hAnsi="ＭＳ ゴシック"/>
          <w:bCs/>
          <w:lang w:eastAsia="ja-JP"/>
        </w:rPr>
      </w:pPr>
    </w:p>
    <w:p w14:paraId="137DAD95" w14:textId="075C0D51" w:rsidR="0055291C" w:rsidRPr="00F23AE0" w:rsidRDefault="00912458" w:rsidP="00DE1B8E">
      <w:pPr>
        <w:tabs>
          <w:tab w:val="left" w:pos="1418"/>
        </w:tabs>
        <w:ind w:left="1418" w:right="900"/>
        <w:rPr>
          <w:rFonts w:ascii="ＭＳ ゴシック" w:eastAsia="ＭＳ ゴシック" w:hAnsi="ＭＳ ゴシック"/>
          <w:bCs/>
          <w:sz w:val="19"/>
          <w:szCs w:val="19"/>
        </w:rPr>
      </w:pPr>
      <w:r w:rsidRPr="00C134B9">
        <w:rPr>
          <w:rFonts w:ascii="ＭＳ ゴシック" w:eastAsia="ＭＳ ゴシック" w:hAnsi="ＭＳ ゴシック" w:cs="ＭＳ ゴシック" w:hint="eastAsia"/>
          <w:b/>
          <w:color w:val="00ACA1"/>
          <w:w w:val="95"/>
          <w:sz w:val="19"/>
          <w:szCs w:val="19"/>
          <w:lang w:eastAsia="ja-JP"/>
        </w:rPr>
        <w:t>土地利用変化による影響</w:t>
      </w:r>
      <w:r w:rsidR="0040124C" w:rsidRPr="00C134B9">
        <w:rPr>
          <w:rFonts w:ascii="ＭＳ ゴシック" w:eastAsia="ＭＳ ゴシック" w:hAnsi="ＭＳ ゴシック" w:cs="ＭＳ ゴシック" w:hint="eastAsia"/>
          <w:b/>
          <w:color w:val="00ACA1"/>
          <w:w w:val="95"/>
          <w:sz w:val="19"/>
          <w:szCs w:val="19"/>
          <w:lang w:eastAsia="ja-JP"/>
        </w:rPr>
        <w:t>/</w:t>
      </w:r>
      <w:r w:rsidRPr="00F23AE0">
        <w:rPr>
          <w:rFonts w:ascii="ＭＳ ゴシック" w:eastAsia="ＭＳ ゴシック" w:hAnsi="ＭＳ ゴシック" w:cs="ＭＳ ゴシック"/>
          <w:bCs/>
          <w:color w:val="00ACA1"/>
          <w:w w:val="95"/>
          <w:sz w:val="19"/>
          <w:szCs w:val="19"/>
          <w:lang w:eastAsia="ja-JP"/>
        </w:rPr>
        <w:tab/>
      </w:r>
      <w:r w:rsidRPr="00F23AE0">
        <w:rPr>
          <w:rFonts w:ascii="ＭＳ ゴシック" w:eastAsia="ＭＳ ゴシック" w:hAnsi="ＭＳ ゴシック" w:cs="ＭＳ ゴシック" w:hint="eastAsia"/>
          <w:bCs/>
          <w:color w:val="000000" w:themeColor="text1"/>
          <w:w w:val="95"/>
          <w:sz w:val="19"/>
          <w:szCs w:val="19"/>
          <w:lang w:eastAsia="ja-JP"/>
        </w:rPr>
        <w:t>土地利用変化によるGHG排出量と除去量。</w:t>
      </w:r>
      <w:r w:rsidRPr="00F23AE0">
        <w:rPr>
          <w:rFonts w:ascii="ＭＳ ゴシック" w:eastAsia="ＭＳ ゴシック" w:hAnsi="ＭＳ ゴシック" w:cs="ＭＳ ゴシック"/>
          <w:bCs/>
          <w:color w:val="00ACA1"/>
          <w:w w:val="95"/>
          <w:sz w:val="19"/>
          <w:szCs w:val="19"/>
        </w:rPr>
        <w:br/>
      </w:r>
      <w:r w:rsidR="00F23C61" w:rsidRPr="00C134B9">
        <w:rPr>
          <w:rFonts w:ascii="ＭＳ ゴシック" w:eastAsia="ＭＳ ゴシック" w:hAnsi="ＭＳ ゴシック"/>
          <w:b/>
          <w:color w:val="00ACA1"/>
          <w:w w:val="95"/>
          <w:sz w:val="19"/>
          <w:szCs w:val="19"/>
        </w:rPr>
        <w:t>Land-use</w:t>
      </w:r>
      <w:r w:rsidR="00F23C61" w:rsidRPr="00C134B9">
        <w:rPr>
          <w:rFonts w:ascii="ＭＳ ゴシック" w:eastAsia="ＭＳ ゴシック" w:hAnsi="ＭＳ ゴシック"/>
          <w:b/>
          <w:color w:val="00ACA1"/>
          <w:spacing w:val="2"/>
          <w:w w:val="95"/>
          <w:sz w:val="19"/>
          <w:szCs w:val="19"/>
        </w:rPr>
        <w:t xml:space="preserve"> </w:t>
      </w:r>
      <w:r w:rsidR="00F23C61" w:rsidRPr="00C134B9">
        <w:rPr>
          <w:rFonts w:ascii="ＭＳ ゴシック" w:eastAsia="ＭＳ ゴシック" w:hAnsi="ＭＳ ゴシック"/>
          <w:b/>
          <w:color w:val="00ACA1"/>
          <w:w w:val="95"/>
          <w:sz w:val="19"/>
          <w:szCs w:val="19"/>
        </w:rPr>
        <w:t>change</w:t>
      </w:r>
      <w:r w:rsidR="00F23C61" w:rsidRPr="00C134B9">
        <w:rPr>
          <w:rFonts w:ascii="ＭＳ ゴシック" w:eastAsia="ＭＳ ゴシック" w:hAnsi="ＭＳ ゴシック"/>
          <w:b/>
          <w:color w:val="00ACA1"/>
          <w:spacing w:val="3"/>
          <w:w w:val="95"/>
          <w:sz w:val="19"/>
          <w:szCs w:val="19"/>
        </w:rPr>
        <w:t xml:space="preserve"> </w:t>
      </w:r>
      <w:r w:rsidR="00F23C61" w:rsidRPr="00C134B9">
        <w:rPr>
          <w:rFonts w:ascii="ＭＳ ゴシック" w:eastAsia="ＭＳ ゴシック" w:hAnsi="ＭＳ ゴシック"/>
          <w:b/>
          <w:color w:val="00ACA1"/>
          <w:w w:val="95"/>
          <w:sz w:val="19"/>
          <w:szCs w:val="19"/>
        </w:rPr>
        <w:t>impacts</w:t>
      </w:r>
      <w:r w:rsidR="00F23C61" w:rsidRPr="00F23AE0">
        <w:rPr>
          <w:rFonts w:ascii="ＭＳ ゴシック" w:eastAsia="ＭＳ ゴシック" w:hAnsi="ＭＳ ゴシック"/>
          <w:bCs/>
          <w:color w:val="00ACA1"/>
          <w:w w:val="95"/>
          <w:sz w:val="19"/>
          <w:szCs w:val="19"/>
        </w:rPr>
        <w:tab/>
      </w:r>
    </w:p>
    <w:p w14:paraId="5778F835" w14:textId="77777777" w:rsidR="0055291C" w:rsidRPr="00F23AE0" w:rsidRDefault="0055291C" w:rsidP="00DE1B8E">
      <w:pPr>
        <w:pStyle w:val="a3"/>
        <w:tabs>
          <w:tab w:val="left" w:pos="1418"/>
        </w:tabs>
        <w:ind w:left="1418" w:right="900"/>
        <w:rPr>
          <w:rFonts w:ascii="ＭＳ ゴシック" w:eastAsia="ＭＳ ゴシック" w:hAnsi="ＭＳ ゴシック"/>
          <w:bCs/>
        </w:rPr>
      </w:pPr>
    </w:p>
    <w:p w14:paraId="56D6E33E" w14:textId="65540F90" w:rsidR="0055291C" w:rsidRPr="00C134B9" w:rsidRDefault="00912458" w:rsidP="00DE1B8E">
      <w:pPr>
        <w:pStyle w:val="a3"/>
        <w:tabs>
          <w:tab w:val="left" w:pos="1418"/>
        </w:tabs>
        <w:spacing w:before="115" w:line="312" w:lineRule="auto"/>
        <w:ind w:left="1418" w:right="900"/>
        <w:rPr>
          <w:rFonts w:ascii="ＭＳ ゴシック" w:eastAsia="ＭＳ ゴシック" w:hAnsi="ＭＳ ゴシック"/>
          <w:b/>
        </w:rPr>
      </w:pPr>
      <w:r w:rsidRPr="00C134B9">
        <w:rPr>
          <w:rFonts w:ascii="ＭＳ ゴシック" w:eastAsia="ＭＳ ゴシック" w:hAnsi="ＭＳ ゴシック" w:cs="ＭＳ ゴシック" w:hint="eastAsia"/>
          <w:b/>
          <w:color w:val="00ACA1"/>
          <w:spacing w:val="-2"/>
          <w:lang w:eastAsia="ja-JP"/>
        </w:rPr>
        <w:t>保証レベル/</w:t>
      </w:r>
      <w:r w:rsidRPr="00F23AE0">
        <w:rPr>
          <w:rFonts w:ascii="ＭＳ ゴシック" w:eastAsia="ＭＳ ゴシック" w:hAnsi="ＭＳ ゴシック" w:cs="ＭＳ ゴシック"/>
          <w:bCs/>
          <w:color w:val="00ACA1"/>
          <w:spacing w:val="-2"/>
          <w:lang w:eastAsia="ja-JP"/>
        </w:rPr>
        <w:tab/>
      </w:r>
      <w:r w:rsidRPr="00F23AE0">
        <w:rPr>
          <w:rFonts w:ascii="ＭＳ ゴシック" w:eastAsia="ＭＳ ゴシック" w:hAnsi="ＭＳ ゴシック" w:cs="ＭＳ ゴシック"/>
          <w:bCs/>
          <w:color w:val="00ACA1"/>
          <w:spacing w:val="-2"/>
          <w:lang w:eastAsia="ja-JP"/>
        </w:rPr>
        <w:tab/>
      </w:r>
      <w:r w:rsidRPr="00F23AE0">
        <w:rPr>
          <w:rFonts w:ascii="ＭＳ ゴシック" w:eastAsia="ＭＳ ゴシック" w:hAnsi="ＭＳ ゴシック" w:cs="ＭＳ ゴシック" w:hint="eastAsia"/>
          <w:bCs/>
          <w:color w:val="000000" w:themeColor="text1"/>
          <w:spacing w:val="-2"/>
          <w:lang w:eastAsia="ja-JP"/>
        </w:rPr>
        <w:t>ステークホルダーが報告書の情報に対して持つことができる信頼度合い。</w:t>
      </w:r>
      <w:r w:rsidRPr="00F23AE0">
        <w:rPr>
          <w:rFonts w:ascii="ＭＳ ゴシック" w:eastAsia="ＭＳ ゴシック" w:hAnsi="ＭＳ ゴシック" w:cs="ＭＳ ゴシック"/>
          <w:bCs/>
          <w:color w:val="00ACA1"/>
          <w:spacing w:val="-2"/>
        </w:rPr>
        <w:br/>
      </w:r>
      <w:r w:rsidR="00F23C61" w:rsidRPr="00C134B9">
        <w:rPr>
          <w:rFonts w:ascii="ＭＳ ゴシック" w:eastAsia="ＭＳ ゴシック" w:hAnsi="ＭＳ ゴシック"/>
          <w:b/>
          <w:color w:val="00ACA1"/>
          <w:spacing w:val="-2"/>
        </w:rPr>
        <w:t>Level</w:t>
      </w:r>
      <w:r w:rsidR="00F23C61" w:rsidRPr="00C134B9">
        <w:rPr>
          <w:rFonts w:ascii="ＭＳ ゴシック" w:eastAsia="ＭＳ ゴシック" w:hAnsi="ＭＳ ゴシック"/>
          <w:b/>
          <w:color w:val="00ACA1"/>
          <w:spacing w:val="-11"/>
        </w:rPr>
        <w:t xml:space="preserve"> </w:t>
      </w:r>
      <w:r w:rsidR="00F23C61" w:rsidRPr="00C134B9">
        <w:rPr>
          <w:rFonts w:ascii="ＭＳ ゴシック" w:eastAsia="ＭＳ ゴシック" w:hAnsi="ＭＳ ゴシック"/>
          <w:b/>
          <w:color w:val="00ACA1"/>
          <w:spacing w:val="-2"/>
        </w:rPr>
        <w:t>of</w:t>
      </w:r>
      <w:r w:rsidR="00F23C61" w:rsidRPr="00C134B9">
        <w:rPr>
          <w:rFonts w:ascii="ＭＳ ゴシック" w:eastAsia="ＭＳ ゴシック" w:hAnsi="ＭＳ ゴシック"/>
          <w:b/>
          <w:color w:val="00ACA1"/>
          <w:spacing w:val="-11"/>
        </w:rPr>
        <w:t xml:space="preserve"> </w:t>
      </w:r>
      <w:r w:rsidR="00F23C61" w:rsidRPr="00C134B9">
        <w:rPr>
          <w:rFonts w:ascii="ＭＳ ゴシック" w:eastAsia="ＭＳ ゴシック" w:hAnsi="ＭＳ ゴシック"/>
          <w:b/>
          <w:color w:val="00ACA1"/>
          <w:spacing w:val="-2"/>
        </w:rPr>
        <w:t>assurance</w:t>
      </w:r>
      <w:r w:rsidR="00F23C61" w:rsidRPr="00C134B9">
        <w:rPr>
          <w:rFonts w:ascii="ＭＳ ゴシック" w:eastAsia="ＭＳ ゴシック" w:hAnsi="ＭＳ ゴシック"/>
          <w:b/>
          <w:color w:val="00ACA1"/>
          <w:spacing w:val="-2"/>
        </w:rPr>
        <w:tab/>
      </w:r>
    </w:p>
    <w:p w14:paraId="0CD8A123" w14:textId="77777777" w:rsidR="0055291C" w:rsidRPr="00C134B9" w:rsidRDefault="0055291C" w:rsidP="00DE1B8E">
      <w:pPr>
        <w:pStyle w:val="a3"/>
        <w:tabs>
          <w:tab w:val="left" w:pos="1418"/>
        </w:tabs>
        <w:spacing w:before="5"/>
        <w:ind w:left="1418" w:right="900"/>
        <w:rPr>
          <w:rFonts w:ascii="ＭＳ ゴシック" w:eastAsia="ＭＳ ゴシック" w:hAnsi="ＭＳ ゴシック"/>
          <w:b/>
        </w:rPr>
      </w:pPr>
    </w:p>
    <w:p w14:paraId="6DAA667F" w14:textId="5C1C9F46" w:rsidR="0055291C" w:rsidRPr="00F23AE0" w:rsidRDefault="0040124C" w:rsidP="00DE1B8E">
      <w:pPr>
        <w:pStyle w:val="a3"/>
        <w:tabs>
          <w:tab w:val="left" w:pos="1418"/>
        </w:tabs>
        <w:spacing w:line="312" w:lineRule="auto"/>
        <w:ind w:left="1418" w:right="900"/>
        <w:rPr>
          <w:rFonts w:ascii="ＭＳ ゴシック" w:eastAsia="ＭＳ ゴシック" w:hAnsi="ＭＳ ゴシック"/>
          <w:bCs/>
          <w:lang w:eastAsia="ja-JP"/>
        </w:rPr>
      </w:pPr>
      <w:r w:rsidRPr="00C134B9">
        <w:rPr>
          <w:rFonts w:ascii="ＭＳ ゴシック" w:eastAsia="ＭＳ ゴシック" w:hAnsi="ＭＳ ゴシック" w:cs="ＭＳ ゴシック" w:hint="eastAsia"/>
          <w:b/>
          <w:color w:val="00ACA1"/>
          <w:lang w:eastAsia="ja-JP"/>
        </w:rPr>
        <w:t>ライフサイクル/</w:t>
      </w:r>
      <w:r w:rsidR="00F23C61" w:rsidRPr="00C134B9">
        <w:rPr>
          <w:rFonts w:ascii="ＭＳ ゴシック" w:eastAsia="ＭＳ ゴシック" w:hAnsi="ＭＳ ゴシック"/>
          <w:b/>
          <w:color w:val="00ACA1"/>
          <w:lang w:eastAsia="ja-JP"/>
        </w:rPr>
        <w:t>Life</w:t>
      </w:r>
      <w:r w:rsidR="00F23C61" w:rsidRPr="00C134B9">
        <w:rPr>
          <w:rFonts w:ascii="ＭＳ ゴシック" w:eastAsia="ＭＳ ゴシック" w:hAnsi="ＭＳ ゴシック"/>
          <w:b/>
          <w:color w:val="00ACA1"/>
          <w:spacing w:val="-12"/>
          <w:lang w:eastAsia="ja-JP"/>
        </w:rPr>
        <w:t xml:space="preserve"> </w:t>
      </w:r>
      <w:r w:rsidR="00F23C61" w:rsidRPr="00C134B9">
        <w:rPr>
          <w:rFonts w:ascii="ＭＳ ゴシック" w:eastAsia="ＭＳ ゴシック" w:hAnsi="ＭＳ ゴシック"/>
          <w:b/>
          <w:color w:val="00ACA1"/>
          <w:lang w:eastAsia="ja-JP"/>
        </w:rPr>
        <w:t>cycle</w:t>
      </w:r>
      <w:r w:rsidRPr="00F23AE0">
        <w:rPr>
          <w:rFonts w:ascii="ＭＳ ゴシック" w:eastAsia="ＭＳ ゴシック" w:hAnsi="ＭＳ ゴシック"/>
          <w:bCs/>
          <w:color w:val="00ACA1"/>
          <w:lang w:eastAsia="ja-JP"/>
        </w:rPr>
        <w:t xml:space="preserve"> </w:t>
      </w:r>
      <w:r w:rsidRPr="00F23AE0">
        <w:rPr>
          <w:rFonts w:ascii="ＭＳ ゴシック" w:eastAsia="ＭＳ ゴシック" w:hAnsi="ＭＳ ゴシック" w:cs="ＭＳ ゴシック" w:hint="eastAsia"/>
          <w:bCs/>
          <w:color w:val="545456"/>
          <w:lang w:eastAsia="ja-JP"/>
        </w:rPr>
        <w:t>原材料の入手から廃棄までの、製品システムの連続で相互に関連した段階。</w:t>
      </w:r>
    </w:p>
    <w:p w14:paraId="3D2B0B7A" w14:textId="77777777" w:rsidR="0055291C" w:rsidRPr="00F23AE0" w:rsidRDefault="0055291C" w:rsidP="00DE1B8E">
      <w:pPr>
        <w:pStyle w:val="a3"/>
        <w:tabs>
          <w:tab w:val="left" w:pos="1418"/>
        </w:tabs>
        <w:spacing w:before="5"/>
        <w:ind w:left="1418" w:right="900"/>
        <w:rPr>
          <w:rFonts w:ascii="ＭＳ ゴシック" w:eastAsia="ＭＳ ゴシック" w:hAnsi="ＭＳ ゴシック"/>
          <w:bCs/>
          <w:lang w:eastAsia="ja-JP"/>
        </w:rPr>
      </w:pPr>
    </w:p>
    <w:p w14:paraId="37640C2E" w14:textId="557A6C4E" w:rsidR="0055291C" w:rsidRPr="00C134B9" w:rsidRDefault="0040124C" w:rsidP="00DE1B8E">
      <w:pPr>
        <w:pStyle w:val="a3"/>
        <w:tabs>
          <w:tab w:val="left" w:pos="1418"/>
        </w:tabs>
        <w:spacing w:line="312" w:lineRule="auto"/>
        <w:ind w:left="1418" w:right="900"/>
        <w:rPr>
          <w:rFonts w:ascii="ＭＳ ゴシック" w:eastAsia="ＭＳ ゴシック" w:hAnsi="ＭＳ ゴシック"/>
          <w:b/>
        </w:rPr>
      </w:pPr>
      <w:r w:rsidRPr="00C134B9">
        <w:rPr>
          <w:rFonts w:ascii="ＭＳ ゴシック" w:eastAsia="ＭＳ ゴシック" w:hAnsi="ＭＳ ゴシック" w:cs="ＭＳ ゴシック" w:hint="eastAsia"/>
          <w:b/>
          <w:color w:val="00ACA1"/>
          <w:w w:val="95"/>
          <w:lang w:eastAsia="ja-JP"/>
        </w:rPr>
        <w:t>ライフサイクルアセスメン</w:t>
      </w:r>
      <w:r w:rsidRPr="00F23AE0">
        <w:rPr>
          <w:rFonts w:ascii="ＭＳ ゴシック" w:eastAsia="ＭＳ ゴシック" w:hAnsi="ＭＳ ゴシック" w:cs="ＭＳ ゴシック"/>
          <w:bCs/>
          <w:color w:val="00ACA1"/>
          <w:w w:val="95"/>
          <w:lang w:eastAsia="ja-JP"/>
        </w:rPr>
        <w:tab/>
      </w:r>
      <w:r w:rsidRPr="00F23AE0">
        <w:rPr>
          <w:rFonts w:ascii="ＭＳ ゴシック" w:eastAsia="ＭＳ ゴシック" w:hAnsi="ＭＳ ゴシック" w:cs="ＭＳ ゴシック" w:hint="eastAsia"/>
          <w:bCs/>
          <w:color w:val="000000" w:themeColor="text1"/>
          <w:w w:val="95"/>
          <w:lang w:eastAsia="ja-JP"/>
        </w:rPr>
        <w:t>製品のライフサイクルを通しての排出量、除去量、及び潜在的な環境影響の集計と評価。</w:t>
      </w:r>
      <w:r w:rsidRPr="00F23AE0">
        <w:rPr>
          <w:rFonts w:ascii="ＭＳ ゴシック" w:eastAsia="ＭＳ ゴシック" w:hAnsi="ＭＳ ゴシック" w:cs="ＭＳ ゴシック" w:hint="eastAsia"/>
          <w:bCs/>
          <w:color w:val="000000" w:themeColor="text1"/>
          <w:w w:val="95"/>
          <w:vertAlign w:val="superscript"/>
          <w:lang w:eastAsia="ja-JP"/>
        </w:rPr>
        <w:t>12</w:t>
      </w:r>
      <w:r w:rsidRPr="00F23AE0">
        <w:rPr>
          <w:rFonts w:ascii="ＭＳ ゴシック" w:eastAsia="ＭＳ ゴシック" w:hAnsi="ＭＳ ゴシック" w:cs="ＭＳ ゴシック"/>
          <w:bCs/>
          <w:color w:val="000000" w:themeColor="text1"/>
          <w:w w:val="95"/>
          <w:lang w:eastAsia="ja-JP"/>
        </w:rPr>
        <w:br/>
      </w:r>
      <w:r w:rsidRPr="00C134B9">
        <w:rPr>
          <w:rFonts w:ascii="ＭＳ ゴシック" w:eastAsia="ＭＳ ゴシック" w:hAnsi="ＭＳ ゴシック" w:cs="ＭＳ ゴシック" w:hint="eastAsia"/>
          <w:b/>
          <w:color w:val="00ACA1"/>
          <w:w w:val="95"/>
          <w:lang w:eastAsia="ja-JP"/>
        </w:rPr>
        <w:t>ト/</w:t>
      </w:r>
      <w:r w:rsidR="00F23C61" w:rsidRPr="00C134B9">
        <w:rPr>
          <w:rFonts w:ascii="ＭＳ ゴシック" w:eastAsia="ＭＳ ゴシック" w:hAnsi="ＭＳ ゴシック"/>
          <w:b/>
          <w:color w:val="00ACA1"/>
          <w:w w:val="95"/>
        </w:rPr>
        <w:t>Life</w:t>
      </w:r>
      <w:r w:rsidR="00F23C61" w:rsidRPr="00C134B9">
        <w:rPr>
          <w:rFonts w:ascii="ＭＳ ゴシック" w:eastAsia="ＭＳ ゴシック" w:hAnsi="ＭＳ ゴシック"/>
          <w:b/>
          <w:color w:val="00ACA1"/>
          <w:spacing w:val="2"/>
          <w:w w:val="95"/>
        </w:rPr>
        <w:t xml:space="preserve"> </w:t>
      </w:r>
      <w:r w:rsidR="00F23C61" w:rsidRPr="00C134B9">
        <w:rPr>
          <w:rFonts w:ascii="ＭＳ ゴシック" w:eastAsia="ＭＳ ゴシック" w:hAnsi="ＭＳ ゴシック"/>
          <w:b/>
          <w:color w:val="00ACA1"/>
          <w:w w:val="95"/>
        </w:rPr>
        <w:t>cycle</w:t>
      </w:r>
      <w:r w:rsidR="00F23C61" w:rsidRPr="00C134B9">
        <w:rPr>
          <w:rFonts w:ascii="ＭＳ ゴシック" w:eastAsia="ＭＳ ゴシック" w:hAnsi="ＭＳ ゴシック"/>
          <w:b/>
          <w:color w:val="00ACA1"/>
          <w:spacing w:val="3"/>
          <w:w w:val="95"/>
        </w:rPr>
        <w:t xml:space="preserve"> </w:t>
      </w:r>
      <w:r w:rsidR="00F23C61" w:rsidRPr="00C134B9">
        <w:rPr>
          <w:rFonts w:ascii="ＭＳ ゴシック" w:eastAsia="ＭＳ ゴシック" w:hAnsi="ＭＳ ゴシック"/>
          <w:b/>
          <w:color w:val="00ACA1"/>
          <w:w w:val="95"/>
        </w:rPr>
        <w:t>assessment</w:t>
      </w:r>
      <w:r w:rsidR="00F23C61" w:rsidRPr="00C134B9">
        <w:rPr>
          <w:rFonts w:ascii="ＭＳ ゴシック" w:eastAsia="ＭＳ ゴシック" w:hAnsi="ＭＳ ゴシック"/>
          <w:b/>
          <w:color w:val="00ACA1"/>
          <w:w w:val="95"/>
        </w:rPr>
        <w:tab/>
      </w:r>
    </w:p>
    <w:p w14:paraId="143417C8" w14:textId="77777777" w:rsidR="0055291C" w:rsidRPr="00C134B9" w:rsidRDefault="0055291C" w:rsidP="00DE1B8E">
      <w:pPr>
        <w:pStyle w:val="a3"/>
        <w:tabs>
          <w:tab w:val="left" w:pos="1418"/>
        </w:tabs>
        <w:spacing w:before="4"/>
        <w:ind w:left="1418" w:right="900"/>
        <w:rPr>
          <w:rFonts w:ascii="ＭＳ ゴシック" w:eastAsia="ＭＳ ゴシック" w:hAnsi="ＭＳ ゴシック"/>
          <w:b/>
        </w:rPr>
      </w:pPr>
    </w:p>
    <w:p w14:paraId="2D8109AE" w14:textId="41A5ABD0" w:rsidR="0055291C" w:rsidRPr="00F23AE0" w:rsidRDefault="0040124C" w:rsidP="0040124C">
      <w:pPr>
        <w:pStyle w:val="a3"/>
        <w:tabs>
          <w:tab w:val="left" w:pos="1418"/>
        </w:tabs>
        <w:spacing w:before="1" w:line="312" w:lineRule="auto"/>
        <w:ind w:left="1418" w:right="900"/>
        <w:rPr>
          <w:rFonts w:ascii="ＭＳ ゴシック" w:eastAsia="ＭＳ ゴシック" w:hAnsi="ＭＳ ゴシック"/>
          <w:bCs/>
          <w:lang w:eastAsia="ja-JP"/>
        </w:rPr>
      </w:pPr>
      <w:r w:rsidRPr="00C134B9">
        <w:rPr>
          <w:rFonts w:ascii="ＭＳ ゴシック" w:eastAsia="ＭＳ ゴシック" w:hAnsi="ＭＳ ゴシック" w:cs="ＭＳ ゴシック" w:hint="eastAsia"/>
          <w:b/>
          <w:color w:val="00ACA1"/>
          <w:lang w:eastAsia="ja-JP"/>
        </w:rPr>
        <w:t>ライフサイクルステージ/</w:t>
      </w:r>
      <w:r w:rsidRPr="00F23AE0">
        <w:rPr>
          <w:rFonts w:ascii="ＭＳ ゴシック" w:eastAsia="ＭＳ ゴシック" w:hAnsi="ＭＳ ゴシック" w:cs="ＭＳ ゴシック"/>
          <w:bCs/>
          <w:color w:val="00ACA1"/>
          <w:lang w:eastAsia="ja-JP"/>
        </w:rPr>
        <w:t xml:space="preserve"> </w:t>
      </w:r>
      <w:r w:rsidRPr="00F23AE0">
        <w:rPr>
          <w:rFonts w:ascii="ＭＳ ゴシック" w:eastAsia="ＭＳ ゴシック" w:hAnsi="ＭＳ ゴシック" w:cs="ＭＳ ゴシック" w:hint="eastAsia"/>
          <w:bCs/>
          <w:color w:val="000000" w:themeColor="text1"/>
          <w:lang w:eastAsia="ja-JP"/>
        </w:rPr>
        <w:t>製品のライフサイクルにおける相互に関連するステップを分類したもので、</w:t>
      </w:r>
      <w:r w:rsidR="00880595" w:rsidRPr="00F23AE0">
        <w:rPr>
          <w:rFonts w:ascii="ＭＳ ゴシック" w:eastAsia="ＭＳ ゴシック" w:hAnsi="ＭＳ ゴシック" w:cs="ＭＳ ゴシック" w:hint="eastAsia"/>
          <w:bCs/>
          <w:color w:val="000000" w:themeColor="text1"/>
          <w:lang w:eastAsia="ja-JP"/>
        </w:rPr>
        <w:t>工程や</w:t>
      </w:r>
      <w:r w:rsidRPr="00F23AE0">
        <w:rPr>
          <w:rFonts w:ascii="ＭＳ ゴシック" w:eastAsia="ＭＳ ゴシック" w:hAnsi="ＭＳ ゴシック" w:cs="ＭＳ ゴシック" w:hint="eastAsia"/>
          <w:bCs/>
          <w:color w:val="000000" w:themeColor="text1"/>
          <w:lang w:eastAsia="ja-JP"/>
        </w:rPr>
        <w:t>データ</w:t>
      </w:r>
      <w:r w:rsidRPr="00F23AE0">
        <w:rPr>
          <w:rFonts w:ascii="ＭＳ ゴシック" w:eastAsia="ＭＳ ゴシック" w:hAnsi="ＭＳ ゴシック" w:cs="ＭＳ ゴシック"/>
          <w:bCs/>
          <w:color w:val="00ACA1"/>
          <w:lang w:eastAsia="ja-JP"/>
        </w:rPr>
        <w:br/>
      </w:r>
      <w:r w:rsidR="00F23C61" w:rsidRPr="00C134B9">
        <w:rPr>
          <w:rFonts w:ascii="ＭＳ ゴシック" w:eastAsia="ＭＳ ゴシック" w:hAnsi="ＭＳ ゴシック"/>
          <w:b/>
          <w:color w:val="00ACA1"/>
          <w:lang w:eastAsia="ja-JP"/>
        </w:rPr>
        <w:t>Life</w:t>
      </w:r>
      <w:r w:rsidR="00F23C61" w:rsidRPr="00C134B9">
        <w:rPr>
          <w:rFonts w:ascii="ＭＳ ゴシック" w:eastAsia="ＭＳ ゴシック" w:hAnsi="ＭＳ ゴシック"/>
          <w:b/>
          <w:color w:val="00ACA1"/>
          <w:spacing w:val="-12"/>
          <w:lang w:eastAsia="ja-JP"/>
        </w:rPr>
        <w:t xml:space="preserve"> </w:t>
      </w:r>
      <w:r w:rsidR="00F23C61" w:rsidRPr="00C134B9">
        <w:rPr>
          <w:rFonts w:ascii="ＭＳ ゴシック" w:eastAsia="ＭＳ ゴシック" w:hAnsi="ＭＳ ゴシック"/>
          <w:b/>
          <w:color w:val="00ACA1"/>
          <w:lang w:eastAsia="ja-JP"/>
        </w:rPr>
        <w:t>cycle</w:t>
      </w:r>
      <w:r w:rsidR="00F23C61" w:rsidRPr="00C134B9">
        <w:rPr>
          <w:rFonts w:ascii="ＭＳ ゴシック" w:eastAsia="ＭＳ ゴシック" w:hAnsi="ＭＳ ゴシック"/>
          <w:b/>
          <w:color w:val="00ACA1"/>
          <w:spacing w:val="-11"/>
          <w:lang w:eastAsia="ja-JP"/>
        </w:rPr>
        <w:t xml:space="preserve"> </w:t>
      </w:r>
      <w:r w:rsidR="00F23C61" w:rsidRPr="00C134B9">
        <w:rPr>
          <w:rFonts w:ascii="ＭＳ ゴシック" w:eastAsia="ＭＳ ゴシック" w:hAnsi="ＭＳ ゴシック"/>
          <w:b/>
          <w:color w:val="00ACA1"/>
          <w:lang w:eastAsia="ja-JP"/>
        </w:rPr>
        <w:t>stage</w:t>
      </w:r>
      <w:r w:rsidR="00F23C61" w:rsidRPr="00F23AE0">
        <w:rPr>
          <w:rFonts w:ascii="ＭＳ ゴシック" w:eastAsia="ＭＳ ゴシック" w:hAnsi="ＭＳ ゴシック"/>
          <w:bCs/>
          <w:color w:val="00ACA1"/>
          <w:lang w:eastAsia="ja-JP"/>
        </w:rPr>
        <w:tab/>
      </w:r>
      <w:r w:rsidR="00880595" w:rsidRPr="00F23AE0">
        <w:rPr>
          <w:rFonts w:ascii="ＭＳ ゴシック" w:eastAsia="ＭＳ ゴシック" w:hAnsi="ＭＳ ゴシック"/>
          <w:bCs/>
          <w:color w:val="00ACA1"/>
          <w:lang w:eastAsia="ja-JP"/>
        </w:rPr>
        <w:tab/>
        <w:t xml:space="preserve"> </w:t>
      </w:r>
      <w:r w:rsidR="00880595" w:rsidRPr="00F23AE0">
        <w:rPr>
          <w:rFonts w:ascii="ＭＳ ゴシック" w:eastAsia="ＭＳ ゴシック" w:hAnsi="ＭＳ ゴシック" w:cs="ＭＳ ゴシック" w:hint="eastAsia"/>
          <w:bCs/>
          <w:color w:val="000000" w:themeColor="text1"/>
          <w:lang w:eastAsia="ja-JP"/>
        </w:rPr>
        <w:t>収集、算出結果を整理するために有用である。</w:t>
      </w:r>
    </w:p>
    <w:p w14:paraId="4A5D30A0" w14:textId="77777777" w:rsidR="0055291C" w:rsidRPr="00F23AE0" w:rsidRDefault="0055291C" w:rsidP="00DE1B8E">
      <w:pPr>
        <w:pStyle w:val="a3"/>
        <w:tabs>
          <w:tab w:val="left" w:pos="1418"/>
        </w:tabs>
        <w:spacing w:before="4"/>
        <w:ind w:left="1418" w:right="900"/>
        <w:rPr>
          <w:rFonts w:ascii="ＭＳ ゴシック" w:eastAsia="ＭＳ ゴシック" w:hAnsi="ＭＳ ゴシック"/>
          <w:bCs/>
          <w:lang w:eastAsia="ja-JP"/>
        </w:rPr>
      </w:pPr>
    </w:p>
    <w:p w14:paraId="741F50D9" w14:textId="3C1E4A63" w:rsidR="0055291C" w:rsidRPr="00F23AE0" w:rsidRDefault="00880595" w:rsidP="00880595">
      <w:pPr>
        <w:tabs>
          <w:tab w:val="left" w:pos="1418"/>
          <w:tab w:val="left" w:pos="2539"/>
        </w:tabs>
        <w:ind w:left="1418" w:right="900"/>
        <w:rPr>
          <w:rFonts w:ascii="ＭＳ ゴシック" w:eastAsia="ＭＳ ゴシック" w:hAnsi="ＭＳ ゴシック"/>
          <w:bCs/>
          <w:sz w:val="19"/>
          <w:szCs w:val="19"/>
          <w:lang w:eastAsia="ja-JP"/>
        </w:rPr>
      </w:pPr>
      <w:r w:rsidRPr="00C134B9">
        <w:rPr>
          <w:rFonts w:ascii="ＭＳ ゴシック" w:eastAsia="ＭＳ ゴシック" w:hAnsi="ＭＳ ゴシック" w:cs="ＭＳ ゴシック" w:hint="eastAsia"/>
          <w:b/>
          <w:color w:val="00ACA1"/>
          <w:sz w:val="19"/>
          <w:szCs w:val="19"/>
          <w:lang w:eastAsia="ja-JP"/>
        </w:rPr>
        <w:t>材料入手と前処理段階/</w:t>
      </w:r>
      <w:r w:rsidRPr="00F23AE0">
        <w:rPr>
          <w:rFonts w:ascii="ＭＳ ゴシック" w:eastAsia="ＭＳ ゴシック" w:hAnsi="ＭＳ ゴシック" w:cs="ＭＳ ゴシック"/>
          <w:bCs/>
          <w:color w:val="00ACA1"/>
          <w:sz w:val="19"/>
          <w:szCs w:val="19"/>
          <w:lang w:eastAsia="ja-JP"/>
        </w:rPr>
        <w:tab/>
      </w:r>
      <w:r w:rsidR="00553A4F" w:rsidRPr="00F23AE0">
        <w:rPr>
          <w:rFonts w:ascii="ＭＳ ゴシック" w:eastAsia="ＭＳ ゴシック" w:hAnsi="ＭＳ ゴシック" w:cs="ＭＳ ゴシック" w:hint="eastAsia"/>
          <w:bCs/>
          <w:color w:val="000000" w:themeColor="text1"/>
          <w:sz w:val="19"/>
          <w:szCs w:val="19"/>
          <w:lang w:eastAsia="ja-JP"/>
        </w:rPr>
        <w:t>ライフサイクルステージにおいて、</w:t>
      </w:r>
      <w:r w:rsidRPr="00F23AE0">
        <w:rPr>
          <w:rFonts w:ascii="ＭＳ ゴシック" w:eastAsia="ＭＳ ゴシック" w:hAnsi="ＭＳ ゴシック" w:cs="ＭＳ ゴシック" w:hint="eastAsia"/>
          <w:bCs/>
          <w:color w:val="000000" w:themeColor="text1"/>
          <w:sz w:val="19"/>
          <w:szCs w:val="19"/>
          <w:lang w:eastAsia="ja-JP"/>
        </w:rPr>
        <w:t>自然界からの資源の採取から、調査対象製品が工場</w:t>
      </w:r>
      <w:r w:rsidRPr="00F23AE0">
        <w:rPr>
          <w:rFonts w:ascii="ＭＳ ゴシック" w:eastAsia="ＭＳ ゴシック" w:hAnsi="ＭＳ ゴシック" w:cs="ＭＳ ゴシック"/>
          <w:bCs/>
          <w:color w:val="00ACA1"/>
          <w:sz w:val="19"/>
          <w:szCs w:val="19"/>
          <w:lang w:eastAsia="ja-JP"/>
        </w:rPr>
        <w:br/>
      </w:r>
      <w:r w:rsidR="00F23C61" w:rsidRPr="00C134B9">
        <w:rPr>
          <w:rFonts w:ascii="ＭＳ ゴシック" w:eastAsia="ＭＳ ゴシック" w:hAnsi="ＭＳ ゴシック"/>
          <w:b/>
          <w:color w:val="00ACA1"/>
          <w:sz w:val="19"/>
          <w:szCs w:val="19"/>
          <w:lang w:eastAsia="ja-JP"/>
        </w:rPr>
        <w:t>Material</w:t>
      </w:r>
      <w:r w:rsidR="00F23C61" w:rsidRPr="00C134B9">
        <w:rPr>
          <w:rFonts w:ascii="ＭＳ ゴシック" w:eastAsia="ＭＳ ゴシック" w:hAnsi="ＭＳ ゴシック"/>
          <w:b/>
          <w:color w:val="00ACA1"/>
          <w:spacing w:val="-8"/>
          <w:sz w:val="19"/>
          <w:szCs w:val="19"/>
          <w:lang w:eastAsia="ja-JP"/>
        </w:rPr>
        <w:t xml:space="preserve"> </w:t>
      </w:r>
      <w:r w:rsidR="00F23C61" w:rsidRPr="00C134B9">
        <w:rPr>
          <w:rFonts w:ascii="ＭＳ ゴシック" w:eastAsia="ＭＳ ゴシック" w:hAnsi="ＭＳ ゴシック"/>
          <w:b/>
          <w:color w:val="00ACA1"/>
          <w:sz w:val="19"/>
          <w:szCs w:val="19"/>
          <w:lang w:eastAsia="ja-JP"/>
        </w:rPr>
        <w:t>acquisition</w:t>
      </w:r>
      <w:r w:rsidR="00F23C61" w:rsidRPr="00C134B9">
        <w:rPr>
          <w:rFonts w:ascii="ＭＳ ゴシック" w:eastAsia="ＭＳ ゴシック" w:hAnsi="ＭＳ ゴシック"/>
          <w:b/>
          <w:color w:val="00ACA1"/>
          <w:spacing w:val="-8"/>
          <w:sz w:val="19"/>
          <w:szCs w:val="19"/>
          <w:lang w:eastAsia="ja-JP"/>
        </w:rPr>
        <w:t xml:space="preserve"> </w:t>
      </w:r>
      <w:r w:rsidR="00F23C61" w:rsidRPr="00C134B9">
        <w:rPr>
          <w:rFonts w:ascii="ＭＳ ゴシック" w:eastAsia="ＭＳ ゴシック" w:hAnsi="ＭＳ ゴシック"/>
          <w:b/>
          <w:color w:val="00ACA1"/>
          <w:sz w:val="19"/>
          <w:szCs w:val="19"/>
          <w:lang w:eastAsia="ja-JP"/>
        </w:rPr>
        <w:t>and</w:t>
      </w:r>
      <w:r w:rsidR="00553A4F" w:rsidRPr="00F23AE0">
        <w:rPr>
          <w:rFonts w:ascii="ＭＳ ゴシック" w:eastAsia="ＭＳ ゴシック" w:hAnsi="ＭＳ ゴシック" w:cs="ＭＳ ゴシック" w:hint="eastAsia"/>
          <w:bCs/>
          <w:color w:val="000000" w:themeColor="text1"/>
          <w:sz w:val="19"/>
          <w:szCs w:val="19"/>
          <w:lang w:eastAsia="ja-JP"/>
        </w:rPr>
        <w:t>の門をくぐって外に出るまでの段階。</w:t>
      </w:r>
    </w:p>
    <w:p w14:paraId="706D9628" w14:textId="74A0CA24" w:rsidR="0055291C" w:rsidRPr="00C134B9" w:rsidRDefault="00F23C61" w:rsidP="00880595">
      <w:pPr>
        <w:tabs>
          <w:tab w:val="left" w:pos="1418"/>
          <w:tab w:val="left" w:pos="2279"/>
        </w:tabs>
        <w:spacing w:before="62"/>
        <w:ind w:left="1418" w:right="900"/>
        <w:rPr>
          <w:rFonts w:ascii="ＭＳ ゴシック" w:eastAsia="ＭＳ ゴシック" w:hAnsi="ＭＳ ゴシック"/>
          <w:b/>
          <w:sz w:val="19"/>
          <w:szCs w:val="19"/>
        </w:rPr>
      </w:pPr>
      <w:r w:rsidRPr="00C134B9">
        <w:rPr>
          <w:rFonts w:ascii="ＭＳ ゴシック" w:eastAsia="ＭＳ ゴシック" w:hAnsi="ＭＳ ゴシック"/>
          <w:b/>
          <w:color w:val="00ACA1"/>
          <w:w w:val="95"/>
          <w:sz w:val="19"/>
          <w:szCs w:val="19"/>
        </w:rPr>
        <w:t>pre-processing</w:t>
      </w:r>
      <w:r w:rsidRPr="00C134B9">
        <w:rPr>
          <w:rFonts w:ascii="ＭＳ ゴシック" w:eastAsia="ＭＳ ゴシック" w:hAnsi="ＭＳ ゴシック"/>
          <w:b/>
          <w:color w:val="00ACA1"/>
          <w:spacing w:val="6"/>
          <w:w w:val="95"/>
          <w:sz w:val="19"/>
          <w:szCs w:val="19"/>
        </w:rPr>
        <w:t xml:space="preserve"> </w:t>
      </w:r>
      <w:r w:rsidRPr="00C134B9">
        <w:rPr>
          <w:rFonts w:ascii="ＭＳ ゴシック" w:eastAsia="ＭＳ ゴシック" w:hAnsi="ＭＳ ゴシック"/>
          <w:b/>
          <w:color w:val="00ACA1"/>
          <w:w w:val="95"/>
          <w:sz w:val="19"/>
          <w:szCs w:val="19"/>
        </w:rPr>
        <w:t>stage</w:t>
      </w:r>
      <w:r w:rsidRPr="00C134B9">
        <w:rPr>
          <w:rFonts w:ascii="ＭＳ ゴシック" w:eastAsia="ＭＳ ゴシック" w:hAnsi="ＭＳ ゴシック"/>
          <w:b/>
          <w:color w:val="00ACA1"/>
          <w:w w:val="95"/>
          <w:sz w:val="19"/>
          <w:szCs w:val="19"/>
        </w:rPr>
        <w:tab/>
      </w:r>
    </w:p>
    <w:p w14:paraId="37266A27" w14:textId="77777777" w:rsidR="0055291C" w:rsidRPr="00F23AE0" w:rsidRDefault="0055291C" w:rsidP="00DE1B8E">
      <w:pPr>
        <w:pStyle w:val="a3"/>
        <w:tabs>
          <w:tab w:val="left" w:pos="1418"/>
        </w:tabs>
        <w:ind w:left="1418" w:right="900"/>
        <w:rPr>
          <w:rFonts w:ascii="ＭＳ ゴシック" w:eastAsia="ＭＳ ゴシック" w:hAnsi="ＭＳ ゴシック"/>
          <w:bCs/>
        </w:rPr>
      </w:pPr>
    </w:p>
    <w:p w14:paraId="57C32A1E" w14:textId="12D00E14" w:rsidR="0055291C" w:rsidRPr="00F23AE0" w:rsidRDefault="00880595" w:rsidP="00880595">
      <w:pPr>
        <w:pStyle w:val="a3"/>
        <w:tabs>
          <w:tab w:val="left" w:pos="1418"/>
        </w:tabs>
        <w:spacing w:before="115" w:line="312" w:lineRule="auto"/>
        <w:ind w:left="1418" w:right="900"/>
        <w:rPr>
          <w:rFonts w:ascii="ＭＳ ゴシック" w:eastAsia="ＭＳ ゴシック" w:hAnsi="ＭＳ ゴシック"/>
          <w:bCs/>
          <w:lang w:eastAsia="ja-JP"/>
        </w:rPr>
      </w:pPr>
      <w:r w:rsidRPr="00C134B9">
        <w:rPr>
          <w:rFonts w:ascii="ＭＳ ゴシック" w:eastAsia="ＭＳ ゴシック" w:hAnsi="ＭＳ ゴシック" w:cs="ＭＳ ゴシック" w:hint="eastAsia"/>
          <w:b/>
          <w:color w:val="00ACA1"/>
          <w:lang w:eastAsia="ja-JP"/>
        </w:rPr>
        <w:t>重要な虚偽記載/</w:t>
      </w:r>
      <w:r w:rsidRPr="00C134B9">
        <w:rPr>
          <w:rFonts w:ascii="ＭＳ ゴシック" w:eastAsia="ＭＳ ゴシック" w:hAnsi="ＭＳ ゴシック" w:cs="ＭＳ ゴシック"/>
          <w:b/>
          <w:color w:val="00ACA1"/>
          <w:lang w:eastAsia="ja-JP"/>
        </w:rPr>
        <w:tab/>
      </w:r>
      <w:r w:rsidRPr="00F23AE0">
        <w:rPr>
          <w:rFonts w:ascii="ＭＳ ゴシック" w:eastAsia="ＭＳ ゴシック" w:hAnsi="ＭＳ ゴシック" w:cs="ＭＳ ゴシック"/>
          <w:bCs/>
          <w:color w:val="00ACA1"/>
          <w:lang w:eastAsia="ja-JP"/>
        </w:rPr>
        <w:tab/>
      </w:r>
      <w:r w:rsidR="00F620BB" w:rsidRPr="00F23AE0">
        <w:rPr>
          <w:rFonts w:ascii="ＭＳ ゴシック" w:eastAsia="ＭＳ ゴシック" w:hAnsi="ＭＳ ゴシック" w:cs="ＭＳ ゴシック" w:hint="eastAsia"/>
          <w:bCs/>
          <w:color w:val="000000" w:themeColor="text1"/>
          <w:lang w:eastAsia="ja-JP"/>
        </w:rPr>
        <w:t>算出結果に大きな影響を与え、報告書の利用者の意思決定に影響を与える可能性のある、</w:t>
      </w:r>
      <w:r w:rsidRPr="00F23AE0">
        <w:rPr>
          <w:rFonts w:ascii="ＭＳ ゴシック" w:eastAsia="ＭＳ ゴシック" w:hAnsi="ＭＳ ゴシック" w:cs="ＭＳ ゴシック"/>
          <w:bCs/>
          <w:color w:val="00ACA1"/>
          <w:lang w:eastAsia="ja-JP"/>
        </w:rPr>
        <w:br/>
      </w:r>
      <w:r w:rsidR="00F23C61" w:rsidRPr="00C134B9">
        <w:rPr>
          <w:rFonts w:ascii="ＭＳ ゴシック" w:eastAsia="ＭＳ ゴシック" w:hAnsi="ＭＳ ゴシック"/>
          <w:b/>
          <w:color w:val="00ACA1"/>
          <w:lang w:eastAsia="ja-JP"/>
        </w:rPr>
        <w:t>Material</w:t>
      </w:r>
      <w:r w:rsidR="00F23C61" w:rsidRPr="00C134B9">
        <w:rPr>
          <w:rFonts w:ascii="ＭＳ ゴシック" w:eastAsia="ＭＳ ゴシック" w:hAnsi="ＭＳ ゴシック"/>
          <w:b/>
          <w:color w:val="00ACA1"/>
          <w:spacing w:val="-6"/>
          <w:lang w:eastAsia="ja-JP"/>
        </w:rPr>
        <w:t xml:space="preserve"> </w:t>
      </w:r>
      <w:r w:rsidR="00F23C61" w:rsidRPr="00C134B9">
        <w:rPr>
          <w:rFonts w:ascii="ＭＳ ゴシック" w:eastAsia="ＭＳ ゴシック" w:hAnsi="ＭＳ ゴシック"/>
          <w:b/>
          <w:color w:val="00ACA1"/>
          <w:lang w:eastAsia="ja-JP"/>
        </w:rPr>
        <w:t>misstatement</w:t>
      </w:r>
      <w:r w:rsidR="00F23C61" w:rsidRPr="00F23AE0">
        <w:rPr>
          <w:rFonts w:ascii="ＭＳ ゴシック" w:eastAsia="ＭＳ ゴシック" w:hAnsi="ＭＳ ゴシック"/>
          <w:bCs/>
          <w:color w:val="00ACA1"/>
          <w:spacing w:val="16"/>
          <w:lang w:eastAsia="ja-JP"/>
        </w:rPr>
        <w:t xml:space="preserve"> </w:t>
      </w:r>
      <w:r w:rsidR="00F620BB" w:rsidRPr="00F23AE0">
        <w:rPr>
          <w:rFonts w:ascii="ＭＳ ゴシック" w:eastAsia="ＭＳ ゴシック" w:hAnsi="ＭＳ ゴシック"/>
          <w:bCs/>
          <w:color w:val="000000" w:themeColor="text1"/>
          <w:spacing w:val="16"/>
          <w:lang w:eastAsia="ja-JP"/>
        </w:rPr>
        <w:tab/>
      </w:r>
      <w:r w:rsidR="00F620BB" w:rsidRPr="00F23AE0">
        <w:rPr>
          <w:rFonts w:ascii="ＭＳ ゴシック" w:eastAsia="ＭＳ ゴシック" w:hAnsi="ＭＳ ゴシック" w:cs="ＭＳ ゴシック" w:hint="eastAsia"/>
          <w:bCs/>
          <w:color w:val="000000" w:themeColor="text1"/>
          <w:spacing w:val="16"/>
          <w:lang w:eastAsia="ja-JP"/>
        </w:rPr>
        <w:t>単一もしくは集合的な誤り、脱落、虚偽表示。</w:t>
      </w:r>
    </w:p>
    <w:p w14:paraId="75339377" w14:textId="77777777" w:rsidR="0055291C" w:rsidRPr="00F23AE0" w:rsidRDefault="0055291C" w:rsidP="00DE1B8E">
      <w:pPr>
        <w:pStyle w:val="a3"/>
        <w:tabs>
          <w:tab w:val="left" w:pos="1418"/>
        </w:tabs>
        <w:spacing w:before="5"/>
        <w:ind w:left="1418" w:right="900"/>
        <w:rPr>
          <w:rFonts w:ascii="ＭＳ ゴシック" w:eastAsia="ＭＳ ゴシック" w:hAnsi="ＭＳ ゴシック"/>
          <w:bCs/>
          <w:lang w:eastAsia="ja-JP"/>
        </w:rPr>
      </w:pPr>
    </w:p>
    <w:p w14:paraId="0B17D53F" w14:textId="600D6ED2" w:rsidR="00F620BB" w:rsidRPr="00F23AE0" w:rsidRDefault="00F620BB" w:rsidP="00F620BB">
      <w:pPr>
        <w:pStyle w:val="a3"/>
        <w:tabs>
          <w:tab w:val="left" w:pos="1418"/>
        </w:tabs>
        <w:spacing w:line="312" w:lineRule="auto"/>
        <w:ind w:left="1418" w:right="900"/>
        <w:rPr>
          <w:rFonts w:ascii="ＭＳ ゴシック" w:eastAsia="ＭＳ ゴシック" w:hAnsi="ＭＳ ゴシック" w:cs="ＭＳ ゴシック"/>
          <w:bCs/>
          <w:color w:val="00ACA1"/>
          <w:spacing w:val="-1"/>
          <w:lang w:eastAsia="ja-JP"/>
        </w:rPr>
      </w:pPr>
      <w:r w:rsidRPr="00C134B9">
        <w:rPr>
          <w:rFonts w:ascii="ＭＳ ゴシック" w:eastAsia="ＭＳ ゴシック" w:hAnsi="ＭＳ ゴシック" w:cs="ＭＳ ゴシック" w:hint="eastAsia"/>
          <w:b/>
          <w:color w:val="00ACA1"/>
          <w:spacing w:val="-1"/>
          <w:lang w:eastAsia="ja-JP"/>
        </w:rPr>
        <w:t>非帰属プロセス/</w:t>
      </w:r>
      <w:r w:rsidRPr="00C134B9">
        <w:rPr>
          <w:rFonts w:ascii="ＭＳ ゴシック" w:eastAsia="ＭＳ ゴシック" w:hAnsi="ＭＳ ゴシック" w:cs="ＭＳ ゴシック"/>
          <w:b/>
          <w:color w:val="00ACA1"/>
          <w:spacing w:val="-1"/>
          <w:lang w:eastAsia="ja-JP"/>
        </w:rPr>
        <w:tab/>
      </w:r>
      <w:r w:rsidRPr="00C134B9">
        <w:rPr>
          <w:rFonts w:ascii="ＭＳ ゴシック" w:eastAsia="ＭＳ ゴシック" w:hAnsi="ＭＳ ゴシック"/>
          <w:b/>
          <w:color w:val="00ACA1"/>
          <w:spacing w:val="-1"/>
          <w:lang w:eastAsia="ja-JP"/>
        </w:rPr>
        <w:t>Non-</w:t>
      </w:r>
      <w:r w:rsidRPr="00F23AE0">
        <w:rPr>
          <w:rFonts w:ascii="ＭＳ ゴシック" w:eastAsia="ＭＳ ゴシック" w:hAnsi="ＭＳ ゴシック" w:cs="ＭＳ ゴシック"/>
          <w:bCs/>
          <w:color w:val="00ACA1"/>
          <w:spacing w:val="-1"/>
          <w:lang w:eastAsia="ja-JP"/>
        </w:rPr>
        <w:tab/>
      </w:r>
      <w:r w:rsidRPr="00F23AE0">
        <w:rPr>
          <w:rFonts w:ascii="ＭＳ ゴシック" w:eastAsia="ＭＳ ゴシック" w:hAnsi="ＭＳ ゴシック" w:cs="ＭＳ ゴシック" w:hint="eastAsia"/>
          <w:bCs/>
          <w:color w:val="000000" w:themeColor="text1"/>
          <w:spacing w:val="-1"/>
          <w:lang w:eastAsia="ja-JP"/>
        </w:rPr>
        <w:t>製品</w:t>
      </w:r>
      <w:r w:rsidR="00D37A73" w:rsidRPr="00F23AE0">
        <w:rPr>
          <w:rFonts w:ascii="ＭＳ ゴシック" w:eastAsia="ＭＳ ゴシック" w:hAnsi="ＭＳ ゴシック" w:cs="ＭＳ ゴシック" w:hint="eastAsia"/>
          <w:bCs/>
          <w:color w:val="000000" w:themeColor="text1"/>
          <w:spacing w:val="-1"/>
          <w:lang w:eastAsia="ja-JP"/>
        </w:rPr>
        <w:t>を構成したり</w:t>
      </w:r>
      <w:r w:rsidRPr="00F23AE0">
        <w:rPr>
          <w:rFonts w:ascii="ＭＳ ゴシック" w:eastAsia="ＭＳ ゴシック" w:hAnsi="ＭＳ ゴシック" w:cs="ＭＳ ゴシック" w:hint="eastAsia"/>
          <w:bCs/>
          <w:color w:val="000000" w:themeColor="text1"/>
          <w:spacing w:val="-1"/>
          <w:lang w:eastAsia="ja-JP"/>
        </w:rPr>
        <w:t>、製品を作ったり、製品を直</w:t>
      </w:r>
      <w:r w:rsidR="00D37A73" w:rsidRPr="00F23AE0">
        <w:rPr>
          <w:rFonts w:ascii="ＭＳ ゴシック" w:eastAsia="ＭＳ ゴシック" w:hAnsi="ＭＳ ゴシック" w:cs="ＭＳ ゴシック" w:hint="eastAsia"/>
          <w:bCs/>
          <w:lang w:eastAsia="ja-JP"/>
        </w:rPr>
        <w:t>接運んだりしない</w:t>
      </w:r>
      <w:r w:rsidR="00D37A73" w:rsidRPr="00F23AE0">
        <w:rPr>
          <w:rFonts w:ascii="ＭＳ ゴシック" w:eastAsia="ＭＳ ゴシック" w:hAnsi="ＭＳ ゴシック" w:cs="ＭＳ ゴシック" w:hint="eastAsia"/>
          <w:bCs/>
          <w:lang w:eastAsia="ja-JP"/>
        </w:rPr>
        <w:t>ため、</w:t>
      </w:r>
      <w:r w:rsidR="00D37A73" w:rsidRPr="00F23AE0">
        <w:rPr>
          <w:rFonts w:ascii="ＭＳ ゴシック" w:eastAsia="ＭＳ ゴシック" w:hAnsi="ＭＳ ゴシック" w:cs="ＭＳ ゴシック" w:hint="eastAsia"/>
          <w:bCs/>
          <w:lang w:eastAsia="ja-JP"/>
        </w:rPr>
        <w:t>調査対象製品に</w:t>
      </w:r>
      <w:r w:rsidR="00D37A73" w:rsidRPr="00F23AE0">
        <w:rPr>
          <w:rFonts w:ascii="ＭＳ ゴシック" w:eastAsia="ＭＳ ゴシック" w:hAnsi="ＭＳ ゴシック" w:cs="ＭＳ ゴシック" w:hint="eastAsia"/>
          <w:bCs/>
          <w:lang w:eastAsia="ja-JP"/>
        </w:rPr>
        <w:t>直</w:t>
      </w:r>
    </w:p>
    <w:p w14:paraId="4FEB74F3" w14:textId="29C0DA21" w:rsidR="0055291C" w:rsidRPr="00F23AE0" w:rsidRDefault="00F23C61" w:rsidP="00F620BB">
      <w:pPr>
        <w:pStyle w:val="a3"/>
        <w:tabs>
          <w:tab w:val="left" w:pos="1418"/>
        </w:tabs>
        <w:spacing w:line="312" w:lineRule="auto"/>
        <w:ind w:left="1418" w:right="900"/>
        <w:rPr>
          <w:rFonts w:ascii="ＭＳ ゴシック" w:eastAsia="ＭＳ ゴシック" w:hAnsi="ＭＳ ゴシック"/>
          <w:bCs/>
          <w:lang w:eastAsia="ja-JP"/>
        </w:rPr>
        <w:sectPr w:rsidR="0055291C" w:rsidRPr="00F23AE0">
          <w:footerReference w:type="even" r:id="rId391"/>
          <w:footerReference w:type="default" r:id="rId392"/>
          <w:pgSz w:w="12240" w:h="15840"/>
          <w:pgMar w:top="1160" w:right="0" w:bottom="1040" w:left="0" w:header="957" w:footer="859" w:gutter="0"/>
          <w:pgNumType w:start="135"/>
          <w:cols w:space="720"/>
        </w:sectPr>
      </w:pPr>
      <w:r w:rsidRPr="00C134B9">
        <w:rPr>
          <w:rFonts w:ascii="ＭＳ ゴシック" w:eastAsia="ＭＳ ゴシック" w:hAnsi="ＭＳ ゴシック"/>
          <w:b/>
          <w:color w:val="00ACA1"/>
          <w:spacing w:val="-1"/>
          <w:lang w:eastAsia="ja-JP"/>
        </w:rPr>
        <w:t>attributable processes</w:t>
      </w:r>
      <w:r w:rsidR="00D37A73" w:rsidRPr="00F23AE0">
        <w:rPr>
          <w:rFonts w:ascii="ＭＳ ゴシック" w:eastAsia="ＭＳ ゴシック" w:hAnsi="ＭＳ ゴシック" w:cs="ＭＳ ゴシック"/>
          <w:bCs/>
          <w:lang w:eastAsia="ja-JP"/>
        </w:rPr>
        <w:tab/>
      </w:r>
      <w:r w:rsidR="00F620BB" w:rsidRPr="00F23AE0">
        <w:rPr>
          <w:rFonts w:ascii="ＭＳ ゴシック" w:eastAsia="ＭＳ ゴシック" w:hAnsi="ＭＳ ゴシック" w:cs="ＭＳ ゴシック" w:hint="eastAsia"/>
          <w:bCs/>
          <w:lang w:eastAsia="ja-JP"/>
        </w:rPr>
        <w:t>接的には関係しない</w:t>
      </w:r>
      <w:r w:rsidR="00D37A73" w:rsidRPr="00F23AE0">
        <w:rPr>
          <w:rFonts w:ascii="ＭＳ ゴシック" w:eastAsia="ＭＳ ゴシック" w:hAnsi="ＭＳ ゴシック" w:cs="ＭＳ ゴシック" w:hint="eastAsia"/>
          <w:bCs/>
          <w:color w:val="000000" w:themeColor="text1"/>
          <w:spacing w:val="-1"/>
          <w:lang w:eastAsia="ja-JP"/>
        </w:rPr>
        <w:t>工程やサービス、材料やエネルギーの流れ</w:t>
      </w:r>
      <w:r w:rsidR="00F620BB" w:rsidRPr="00F23AE0">
        <w:rPr>
          <w:rFonts w:ascii="ＭＳ ゴシック" w:eastAsia="ＭＳ ゴシック" w:hAnsi="ＭＳ ゴシック" w:cs="ＭＳ ゴシック" w:hint="eastAsia"/>
          <w:bCs/>
          <w:lang w:eastAsia="ja-JP"/>
        </w:rPr>
        <w:t>。</w:t>
      </w:r>
      <w:r w:rsidR="00D37A73" w:rsidRPr="00F23AE0">
        <w:rPr>
          <w:rFonts w:ascii="ＭＳ ゴシック" w:eastAsia="ＭＳ ゴシック" w:hAnsi="ＭＳ ゴシック" w:cs="ＭＳ ゴシック" w:hint="eastAsia"/>
          <w:bCs/>
          <w:lang w:eastAsia="ja-JP"/>
        </w:rPr>
        <w:t>（c</w:t>
      </w:r>
      <w:r w:rsidR="00D37A73" w:rsidRPr="00F23AE0">
        <w:rPr>
          <w:rFonts w:ascii="ＭＳ ゴシック" w:eastAsia="ＭＳ ゴシック" w:hAnsi="ＭＳ ゴシック" w:cs="ＭＳ ゴシック"/>
          <w:bCs/>
          <w:lang w:eastAsia="ja-JP"/>
        </w:rPr>
        <w:t>f.</w:t>
      </w:r>
      <w:r w:rsidR="00D37A73" w:rsidRPr="00F23AE0">
        <w:rPr>
          <w:rFonts w:ascii="ＭＳ ゴシック" w:eastAsia="ＭＳ ゴシック" w:hAnsi="ＭＳ ゴシック" w:cs="ＭＳ ゴシック" w:hint="eastAsia"/>
          <w:bCs/>
          <w:lang w:eastAsia="ja-JP"/>
        </w:rPr>
        <w:t>帰属プロセス</w:t>
      </w:r>
      <w:r w:rsidR="00C134B9">
        <w:rPr>
          <w:rFonts w:ascii="ＭＳ ゴシック" w:eastAsia="ＭＳ ゴシック" w:hAnsi="ＭＳ ゴシック" w:cs="ＭＳ ゴシック"/>
          <w:bCs/>
          <w:lang w:eastAsia="ja-JP"/>
        </w:rPr>
        <w:t>）</w:t>
      </w:r>
    </w:p>
    <w:p w14:paraId="16F2657F" w14:textId="77777777" w:rsidR="0055291C" w:rsidRPr="00F23AE0" w:rsidRDefault="0055291C" w:rsidP="00C80874">
      <w:pPr>
        <w:pStyle w:val="a3"/>
        <w:tabs>
          <w:tab w:val="left" w:pos="1418"/>
        </w:tabs>
        <w:ind w:right="900"/>
        <w:rPr>
          <w:rFonts w:ascii="ＭＳ ゴシック" w:eastAsia="ＭＳ ゴシック" w:hAnsi="ＭＳ ゴシック" w:hint="eastAsia"/>
          <w:bCs/>
          <w:lang w:eastAsia="ja-JP"/>
        </w:rPr>
      </w:pPr>
    </w:p>
    <w:p w14:paraId="793225E9" w14:textId="63A18D1F" w:rsidR="0055291C" w:rsidRPr="00F23AE0" w:rsidRDefault="00D37A73" w:rsidP="00DE1B8E">
      <w:pPr>
        <w:pStyle w:val="a3"/>
        <w:tabs>
          <w:tab w:val="left" w:pos="1418"/>
        </w:tabs>
        <w:ind w:left="1418" w:right="900"/>
        <w:rPr>
          <w:rFonts w:ascii="ＭＳ ゴシック" w:eastAsia="ＭＳ ゴシック" w:hAnsi="ＭＳ ゴシック"/>
          <w:bCs/>
          <w:lang w:eastAsia="ja-JP"/>
        </w:rPr>
      </w:pPr>
      <w:r w:rsidRPr="00C134B9">
        <w:rPr>
          <w:rFonts w:ascii="ＭＳ ゴシック" w:eastAsia="ＭＳ ゴシック" w:hAnsi="ＭＳ ゴシック" w:cs="ＭＳ ゴシック" w:hint="eastAsia"/>
          <w:b/>
          <w:color w:val="00ACA1"/>
          <w:lang w:eastAsia="ja-JP"/>
        </w:rPr>
        <w:t>一次データ/</w:t>
      </w:r>
      <w:r w:rsidR="00F23C61" w:rsidRPr="00C134B9">
        <w:rPr>
          <w:rFonts w:ascii="ＭＳ ゴシック" w:eastAsia="ＭＳ ゴシック" w:hAnsi="ＭＳ ゴシック"/>
          <w:b/>
          <w:color w:val="00ACA1"/>
          <w:lang w:eastAsia="ja-JP"/>
        </w:rPr>
        <w:t>Primary</w:t>
      </w:r>
      <w:r w:rsidR="00F23C61" w:rsidRPr="00C134B9">
        <w:rPr>
          <w:rFonts w:ascii="ＭＳ ゴシック" w:eastAsia="ＭＳ ゴシック" w:hAnsi="ＭＳ ゴシック"/>
          <w:b/>
          <w:color w:val="00ACA1"/>
          <w:spacing w:val="-7"/>
          <w:lang w:eastAsia="ja-JP"/>
        </w:rPr>
        <w:t xml:space="preserve"> </w:t>
      </w:r>
      <w:r w:rsidR="00F23C61" w:rsidRPr="00C134B9">
        <w:rPr>
          <w:rFonts w:ascii="ＭＳ ゴシック" w:eastAsia="ＭＳ ゴシック" w:hAnsi="ＭＳ ゴシック"/>
          <w:b/>
          <w:color w:val="00ACA1"/>
          <w:lang w:eastAsia="ja-JP"/>
        </w:rPr>
        <w:t>data</w:t>
      </w:r>
      <w:r w:rsidRPr="00F23AE0">
        <w:rPr>
          <w:rFonts w:ascii="ＭＳ ゴシック" w:eastAsia="ＭＳ ゴシック" w:hAnsi="ＭＳ ゴシック"/>
          <w:bCs/>
          <w:color w:val="00ACA1"/>
          <w:lang w:eastAsia="ja-JP"/>
        </w:rPr>
        <w:t xml:space="preserve"> </w:t>
      </w:r>
      <w:r w:rsidRPr="00F23AE0">
        <w:rPr>
          <w:rFonts w:ascii="ＭＳ ゴシック" w:eastAsia="ＭＳ ゴシック" w:hAnsi="ＭＳ ゴシック" w:cs="ＭＳ ゴシック" w:hint="eastAsia"/>
          <w:bCs/>
          <w:color w:val="545456"/>
          <w:lang w:eastAsia="ja-JP"/>
        </w:rPr>
        <w:t>調査対象製品のライフサイクルにおける特定のプロセスから得られるデータ。</w:t>
      </w:r>
    </w:p>
    <w:p w14:paraId="13E54658" w14:textId="77777777" w:rsidR="0055291C" w:rsidRPr="00F23AE0" w:rsidRDefault="0055291C" w:rsidP="00DE1B8E">
      <w:pPr>
        <w:pStyle w:val="a3"/>
        <w:tabs>
          <w:tab w:val="left" w:pos="1418"/>
        </w:tabs>
        <w:ind w:left="1418" w:right="900"/>
        <w:rPr>
          <w:rFonts w:ascii="ＭＳ ゴシック" w:eastAsia="ＭＳ ゴシック" w:hAnsi="ＭＳ ゴシック"/>
          <w:bCs/>
          <w:lang w:eastAsia="ja-JP"/>
        </w:rPr>
      </w:pPr>
    </w:p>
    <w:p w14:paraId="5DC86A9E" w14:textId="18BE26FC" w:rsidR="0055291C" w:rsidRPr="00C134B9" w:rsidRDefault="00D37A73" w:rsidP="00DE1B8E">
      <w:pPr>
        <w:tabs>
          <w:tab w:val="left" w:pos="1418"/>
        </w:tabs>
        <w:spacing w:before="115"/>
        <w:ind w:left="1418" w:right="900"/>
        <w:rPr>
          <w:rFonts w:ascii="ＭＳ ゴシック" w:eastAsia="ＭＳ ゴシック" w:hAnsi="ＭＳ ゴシック"/>
          <w:b/>
          <w:sz w:val="19"/>
          <w:szCs w:val="19"/>
        </w:rPr>
      </w:pPr>
      <w:r w:rsidRPr="00C134B9">
        <w:rPr>
          <w:rFonts w:ascii="ＭＳ ゴシック" w:eastAsia="ＭＳ ゴシック" w:hAnsi="ＭＳ ゴシック" w:cs="ＭＳ ゴシック" w:hint="eastAsia"/>
          <w:b/>
          <w:color w:val="00ACA1"/>
          <w:sz w:val="19"/>
          <w:szCs w:val="19"/>
          <w:lang w:eastAsia="ja-JP"/>
        </w:rPr>
        <w:t>工程活動データ/</w:t>
      </w:r>
      <w:r w:rsidRPr="00C134B9">
        <w:rPr>
          <w:rFonts w:ascii="ＭＳ ゴシック" w:eastAsia="ＭＳ ゴシック" w:hAnsi="ＭＳ ゴシック" w:cs="ＭＳ ゴシック"/>
          <w:b/>
          <w:color w:val="00ACA1"/>
          <w:sz w:val="19"/>
          <w:szCs w:val="19"/>
          <w:lang w:eastAsia="ja-JP"/>
        </w:rPr>
        <w:tab/>
      </w:r>
      <w:r w:rsidRPr="00F23AE0">
        <w:rPr>
          <w:rFonts w:ascii="ＭＳ ゴシック" w:eastAsia="ＭＳ ゴシック" w:hAnsi="ＭＳ ゴシック" w:cs="ＭＳ ゴシック"/>
          <w:bCs/>
          <w:color w:val="00ACA1"/>
          <w:sz w:val="19"/>
          <w:szCs w:val="19"/>
          <w:lang w:eastAsia="ja-JP"/>
        </w:rPr>
        <w:tab/>
      </w:r>
      <w:r w:rsidRPr="00F23AE0">
        <w:rPr>
          <w:rFonts w:ascii="ＭＳ ゴシック" w:eastAsia="ＭＳ ゴシック" w:hAnsi="ＭＳ ゴシック" w:cs="ＭＳ ゴシック"/>
          <w:bCs/>
          <w:color w:val="000000" w:themeColor="text1"/>
          <w:sz w:val="19"/>
          <w:szCs w:val="19"/>
          <w:lang w:eastAsia="ja-JP"/>
        </w:rPr>
        <w:t>GHG</w:t>
      </w:r>
      <w:r w:rsidRPr="00F23AE0">
        <w:rPr>
          <w:rFonts w:ascii="ＭＳ ゴシック" w:eastAsia="ＭＳ ゴシック" w:hAnsi="ＭＳ ゴシック" w:cs="ＭＳ ゴシック" w:hint="eastAsia"/>
          <w:bCs/>
          <w:color w:val="000000" w:themeColor="text1"/>
          <w:sz w:val="19"/>
          <w:szCs w:val="19"/>
          <w:lang w:eastAsia="ja-JP"/>
        </w:rPr>
        <w:t>の排出または除去をもたらすプロセスの物理的な測定値。</w:t>
      </w:r>
      <w:r w:rsidRPr="00F23AE0">
        <w:rPr>
          <w:rFonts w:ascii="ＭＳ ゴシック" w:eastAsia="ＭＳ ゴシック" w:hAnsi="ＭＳ ゴシック" w:cs="ＭＳ ゴシック"/>
          <w:bCs/>
          <w:color w:val="00ACA1"/>
          <w:sz w:val="19"/>
          <w:szCs w:val="19"/>
          <w:lang w:eastAsia="ja-JP"/>
        </w:rPr>
        <w:br/>
      </w:r>
      <w:r w:rsidR="00F23C61" w:rsidRPr="00C134B9">
        <w:rPr>
          <w:rFonts w:ascii="ＭＳ ゴシック" w:eastAsia="ＭＳ ゴシック" w:hAnsi="ＭＳ ゴシック"/>
          <w:b/>
          <w:color w:val="00ACA1"/>
          <w:sz w:val="19"/>
          <w:szCs w:val="19"/>
        </w:rPr>
        <w:t>Process</w:t>
      </w:r>
      <w:r w:rsidR="00F23C61" w:rsidRPr="00C134B9">
        <w:rPr>
          <w:rFonts w:ascii="ＭＳ ゴシック" w:eastAsia="ＭＳ ゴシック" w:hAnsi="ＭＳ ゴシック"/>
          <w:b/>
          <w:color w:val="00ACA1"/>
          <w:spacing w:val="-13"/>
          <w:sz w:val="19"/>
          <w:szCs w:val="19"/>
        </w:rPr>
        <w:t xml:space="preserve"> </w:t>
      </w:r>
      <w:r w:rsidR="00F23C61" w:rsidRPr="00C134B9">
        <w:rPr>
          <w:rFonts w:ascii="ＭＳ ゴシック" w:eastAsia="ＭＳ ゴシック" w:hAnsi="ＭＳ ゴシック"/>
          <w:b/>
          <w:color w:val="00ACA1"/>
          <w:sz w:val="19"/>
          <w:szCs w:val="19"/>
        </w:rPr>
        <w:t>activity</w:t>
      </w:r>
      <w:r w:rsidR="00F23C61" w:rsidRPr="00C134B9">
        <w:rPr>
          <w:rFonts w:ascii="ＭＳ ゴシック" w:eastAsia="ＭＳ ゴシック" w:hAnsi="ＭＳ ゴシック"/>
          <w:b/>
          <w:color w:val="00ACA1"/>
          <w:spacing w:val="-12"/>
          <w:sz w:val="19"/>
          <w:szCs w:val="19"/>
        </w:rPr>
        <w:t xml:space="preserve"> </w:t>
      </w:r>
      <w:r w:rsidR="00F23C61" w:rsidRPr="00C134B9">
        <w:rPr>
          <w:rFonts w:ascii="ＭＳ ゴシック" w:eastAsia="ＭＳ ゴシック" w:hAnsi="ＭＳ ゴシック"/>
          <w:b/>
          <w:color w:val="00ACA1"/>
          <w:sz w:val="19"/>
          <w:szCs w:val="19"/>
        </w:rPr>
        <w:t>data</w:t>
      </w:r>
      <w:r w:rsidR="00F23C61" w:rsidRPr="00C134B9">
        <w:rPr>
          <w:rFonts w:ascii="ＭＳ ゴシック" w:eastAsia="ＭＳ ゴシック" w:hAnsi="ＭＳ ゴシック"/>
          <w:b/>
          <w:color w:val="00ACA1"/>
          <w:sz w:val="19"/>
          <w:szCs w:val="19"/>
        </w:rPr>
        <w:tab/>
      </w:r>
    </w:p>
    <w:p w14:paraId="6CAF28A1" w14:textId="77777777" w:rsidR="0055291C" w:rsidRPr="00C134B9" w:rsidRDefault="0055291C" w:rsidP="00DE1B8E">
      <w:pPr>
        <w:pStyle w:val="a3"/>
        <w:tabs>
          <w:tab w:val="left" w:pos="1418"/>
        </w:tabs>
        <w:ind w:left="1418" w:right="900"/>
        <w:rPr>
          <w:rFonts w:ascii="ＭＳ ゴシック" w:eastAsia="ＭＳ ゴシック" w:hAnsi="ＭＳ ゴシック"/>
          <w:b/>
        </w:rPr>
      </w:pPr>
    </w:p>
    <w:p w14:paraId="16B6A4A6" w14:textId="48F7493E" w:rsidR="0055291C" w:rsidRPr="00F23AE0" w:rsidRDefault="00D37A73" w:rsidP="00DE1B8E">
      <w:pPr>
        <w:tabs>
          <w:tab w:val="left" w:pos="1418"/>
        </w:tabs>
        <w:spacing w:before="115"/>
        <w:ind w:left="1418" w:right="900"/>
        <w:rPr>
          <w:rFonts w:ascii="ＭＳ ゴシック" w:eastAsia="ＭＳ ゴシック" w:hAnsi="ＭＳ ゴシック"/>
          <w:bCs/>
          <w:sz w:val="19"/>
          <w:szCs w:val="19"/>
        </w:rPr>
      </w:pPr>
      <w:r w:rsidRPr="00C134B9">
        <w:rPr>
          <w:rFonts w:ascii="ＭＳ ゴシック" w:eastAsia="ＭＳ ゴシック" w:hAnsi="ＭＳ ゴシック" w:cs="ＭＳ ゴシック" w:hint="eastAsia"/>
          <w:b/>
          <w:color w:val="00ACA1"/>
          <w:sz w:val="19"/>
          <w:szCs w:val="19"/>
          <w:lang w:eastAsia="ja-JP"/>
        </w:rPr>
        <w:t>製品/</w:t>
      </w:r>
      <w:r w:rsidR="00F23C61" w:rsidRPr="00C134B9">
        <w:rPr>
          <w:rFonts w:ascii="ＭＳ ゴシック" w:eastAsia="ＭＳ ゴシック" w:hAnsi="ＭＳ ゴシック"/>
          <w:b/>
          <w:color w:val="00ACA1"/>
          <w:sz w:val="19"/>
          <w:szCs w:val="19"/>
        </w:rPr>
        <w:t>Product</w:t>
      </w:r>
      <w:r w:rsidRPr="00F23AE0">
        <w:rPr>
          <w:rFonts w:ascii="ＭＳ ゴシック" w:eastAsia="ＭＳ ゴシック" w:hAnsi="ＭＳ ゴシック"/>
          <w:bCs/>
          <w:color w:val="00ACA1"/>
          <w:sz w:val="19"/>
          <w:szCs w:val="19"/>
        </w:rPr>
        <w:tab/>
      </w:r>
      <w:r w:rsidR="00F23C61" w:rsidRPr="00F23AE0">
        <w:rPr>
          <w:rFonts w:ascii="ＭＳ ゴシック" w:eastAsia="ＭＳ ゴシック" w:hAnsi="ＭＳ ゴシック"/>
          <w:bCs/>
          <w:color w:val="00ACA1"/>
          <w:sz w:val="19"/>
          <w:szCs w:val="19"/>
        </w:rPr>
        <w:tab/>
      </w:r>
      <w:r w:rsidRPr="00F23AE0">
        <w:rPr>
          <w:rFonts w:ascii="ＭＳ ゴシック" w:eastAsia="ＭＳ ゴシック" w:hAnsi="ＭＳ ゴシック" w:cs="ＭＳ ゴシック" w:hint="eastAsia"/>
          <w:bCs/>
          <w:color w:val="545456"/>
          <w:spacing w:val="-1"/>
          <w:sz w:val="19"/>
          <w:szCs w:val="19"/>
          <w:lang w:eastAsia="ja-JP"/>
        </w:rPr>
        <w:t>あらゆる商品、サービス。</w:t>
      </w:r>
    </w:p>
    <w:p w14:paraId="77D72707" w14:textId="77777777" w:rsidR="0055291C" w:rsidRPr="00F23AE0" w:rsidRDefault="0055291C" w:rsidP="00DE1B8E">
      <w:pPr>
        <w:pStyle w:val="a3"/>
        <w:tabs>
          <w:tab w:val="left" w:pos="1418"/>
        </w:tabs>
        <w:ind w:left="1418" w:right="900"/>
        <w:rPr>
          <w:rFonts w:ascii="ＭＳ ゴシック" w:eastAsia="ＭＳ ゴシック" w:hAnsi="ＭＳ ゴシック"/>
          <w:bCs/>
        </w:rPr>
      </w:pPr>
    </w:p>
    <w:p w14:paraId="140136A0" w14:textId="0597F2F7" w:rsidR="0055291C" w:rsidRPr="00C134B9" w:rsidRDefault="00D37A73" w:rsidP="00DE1B8E">
      <w:pPr>
        <w:tabs>
          <w:tab w:val="left" w:pos="1418"/>
        </w:tabs>
        <w:spacing w:before="115"/>
        <w:ind w:left="1418" w:right="900"/>
        <w:rPr>
          <w:rFonts w:ascii="ＭＳ ゴシック" w:eastAsia="ＭＳ ゴシック" w:hAnsi="ＭＳ ゴシック"/>
          <w:b/>
          <w:sz w:val="19"/>
          <w:szCs w:val="19"/>
        </w:rPr>
      </w:pPr>
      <w:r w:rsidRPr="00C134B9">
        <w:rPr>
          <w:rFonts w:ascii="ＭＳ ゴシック" w:eastAsia="ＭＳ ゴシック" w:hAnsi="ＭＳ ゴシック" w:cs="ＭＳ ゴシック" w:hint="eastAsia"/>
          <w:b/>
          <w:color w:val="00ACA1"/>
          <w:sz w:val="19"/>
          <w:szCs w:val="19"/>
          <w:lang w:eastAsia="ja-JP"/>
        </w:rPr>
        <w:t>製品カテゴリ</w:t>
      </w:r>
      <w:r w:rsidR="00553A4F" w:rsidRPr="00C134B9">
        <w:rPr>
          <w:rFonts w:ascii="ＭＳ ゴシック" w:eastAsia="ＭＳ ゴシック" w:hAnsi="ＭＳ ゴシック" w:cs="ＭＳ ゴシック" w:hint="eastAsia"/>
          <w:b/>
          <w:color w:val="00ACA1"/>
          <w:sz w:val="19"/>
          <w:szCs w:val="19"/>
          <w:lang w:eastAsia="ja-JP"/>
        </w:rPr>
        <w:t>ー</w:t>
      </w:r>
      <w:r w:rsidRPr="00C134B9">
        <w:rPr>
          <w:rFonts w:ascii="ＭＳ ゴシック" w:eastAsia="ＭＳ ゴシック" w:hAnsi="ＭＳ ゴシック" w:cs="ＭＳ ゴシック" w:hint="eastAsia"/>
          <w:b/>
          <w:color w:val="00ACA1"/>
          <w:sz w:val="19"/>
          <w:szCs w:val="19"/>
          <w:lang w:eastAsia="ja-JP"/>
        </w:rPr>
        <w:t>/</w:t>
      </w:r>
      <w:r w:rsidRPr="00F23AE0">
        <w:rPr>
          <w:rFonts w:ascii="ＭＳ ゴシック" w:eastAsia="ＭＳ ゴシック" w:hAnsi="ＭＳ ゴシック" w:cs="ＭＳ ゴシック"/>
          <w:bCs/>
          <w:color w:val="00ACA1"/>
          <w:sz w:val="19"/>
          <w:szCs w:val="19"/>
          <w:lang w:eastAsia="ja-JP"/>
        </w:rPr>
        <w:tab/>
      </w:r>
      <w:r w:rsidRPr="00F23AE0">
        <w:rPr>
          <w:rFonts w:ascii="ＭＳ ゴシック" w:eastAsia="ＭＳ ゴシック" w:hAnsi="ＭＳ ゴシック" w:cs="ＭＳ ゴシック"/>
          <w:bCs/>
          <w:color w:val="00ACA1"/>
          <w:sz w:val="19"/>
          <w:szCs w:val="19"/>
          <w:lang w:eastAsia="ja-JP"/>
        </w:rPr>
        <w:tab/>
      </w:r>
      <w:r w:rsidRPr="00F23AE0">
        <w:rPr>
          <w:rFonts w:ascii="ＭＳ ゴシック" w:eastAsia="ＭＳ ゴシック" w:hAnsi="ＭＳ ゴシック" w:cs="ＭＳ ゴシック" w:hint="eastAsia"/>
          <w:bCs/>
          <w:color w:val="000000" w:themeColor="text1"/>
          <w:sz w:val="19"/>
          <w:szCs w:val="19"/>
          <w:lang w:eastAsia="ja-JP"/>
        </w:rPr>
        <w:t>同等の機能を持つ製品のグループ。</w:t>
      </w:r>
      <w:r w:rsidRPr="00F23AE0">
        <w:rPr>
          <w:rFonts w:ascii="ＭＳ ゴシック" w:eastAsia="ＭＳ ゴシック" w:hAnsi="ＭＳ ゴシック" w:cs="ＭＳ ゴシック" w:hint="eastAsia"/>
          <w:bCs/>
          <w:color w:val="000000" w:themeColor="text1"/>
          <w:sz w:val="19"/>
          <w:szCs w:val="19"/>
          <w:vertAlign w:val="superscript"/>
          <w:lang w:eastAsia="ja-JP"/>
        </w:rPr>
        <w:t>13</w:t>
      </w:r>
      <w:r w:rsidRPr="00F23AE0">
        <w:rPr>
          <w:rFonts w:ascii="ＭＳ ゴシック" w:eastAsia="ＭＳ ゴシック" w:hAnsi="ＭＳ ゴシック" w:cs="ＭＳ ゴシック"/>
          <w:bCs/>
          <w:color w:val="00ACA1"/>
          <w:sz w:val="19"/>
          <w:szCs w:val="19"/>
        </w:rPr>
        <w:br/>
      </w:r>
      <w:r w:rsidR="00F23C61" w:rsidRPr="00C134B9">
        <w:rPr>
          <w:rFonts w:ascii="ＭＳ ゴシック" w:eastAsia="ＭＳ ゴシック" w:hAnsi="ＭＳ ゴシック"/>
          <w:b/>
          <w:color w:val="00ACA1"/>
          <w:sz w:val="19"/>
          <w:szCs w:val="19"/>
        </w:rPr>
        <w:t>Product</w:t>
      </w:r>
      <w:r w:rsidR="00F23C61" w:rsidRPr="00C134B9">
        <w:rPr>
          <w:rFonts w:ascii="ＭＳ ゴシック" w:eastAsia="ＭＳ ゴシック" w:hAnsi="ＭＳ ゴシック"/>
          <w:b/>
          <w:color w:val="00ACA1"/>
          <w:spacing w:val="-10"/>
          <w:sz w:val="19"/>
          <w:szCs w:val="19"/>
        </w:rPr>
        <w:t xml:space="preserve"> </w:t>
      </w:r>
      <w:r w:rsidR="00F23C61" w:rsidRPr="00C134B9">
        <w:rPr>
          <w:rFonts w:ascii="ＭＳ ゴシック" w:eastAsia="ＭＳ ゴシック" w:hAnsi="ＭＳ ゴシック"/>
          <w:b/>
          <w:color w:val="00ACA1"/>
          <w:sz w:val="19"/>
          <w:szCs w:val="19"/>
        </w:rPr>
        <w:t>category</w:t>
      </w:r>
      <w:r w:rsidR="00F23C61" w:rsidRPr="00C134B9">
        <w:rPr>
          <w:rFonts w:ascii="ＭＳ ゴシック" w:eastAsia="ＭＳ ゴシック" w:hAnsi="ＭＳ ゴシック"/>
          <w:b/>
          <w:color w:val="00ACA1"/>
          <w:sz w:val="19"/>
          <w:szCs w:val="19"/>
        </w:rPr>
        <w:tab/>
      </w:r>
    </w:p>
    <w:p w14:paraId="0D994E00" w14:textId="77777777" w:rsidR="0055291C" w:rsidRPr="00C134B9" w:rsidRDefault="0055291C" w:rsidP="00DE1B8E">
      <w:pPr>
        <w:pStyle w:val="a3"/>
        <w:tabs>
          <w:tab w:val="left" w:pos="1418"/>
        </w:tabs>
        <w:ind w:left="1418" w:right="900"/>
        <w:rPr>
          <w:rFonts w:ascii="ＭＳ ゴシック" w:eastAsia="ＭＳ ゴシック" w:hAnsi="ＭＳ ゴシック"/>
          <w:b/>
        </w:rPr>
      </w:pPr>
    </w:p>
    <w:p w14:paraId="4D52207A" w14:textId="2EF194B4" w:rsidR="0055291C" w:rsidRPr="00F23AE0" w:rsidRDefault="00553A4F" w:rsidP="00DE1B8E">
      <w:pPr>
        <w:pStyle w:val="a3"/>
        <w:tabs>
          <w:tab w:val="left" w:pos="1418"/>
        </w:tabs>
        <w:spacing w:before="115"/>
        <w:ind w:left="1418" w:right="900"/>
        <w:rPr>
          <w:rFonts w:ascii="ＭＳ ゴシック" w:eastAsia="ＭＳ ゴシック" w:hAnsi="ＭＳ ゴシック"/>
          <w:bCs/>
          <w:lang w:eastAsia="ja-JP"/>
        </w:rPr>
      </w:pPr>
      <w:r w:rsidRPr="00C134B9">
        <w:rPr>
          <w:rFonts w:ascii="ＭＳ ゴシック" w:eastAsia="ＭＳ ゴシック" w:hAnsi="ＭＳ ゴシック" w:cs="ＭＳ ゴシック" w:hint="eastAsia"/>
          <w:b/>
          <w:color w:val="00ACA1"/>
          <w:lang w:eastAsia="ja-JP"/>
        </w:rPr>
        <w:t>製品流通と保管段階/</w:t>
      </w: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hint="eastAsia"/>
          <w:bCs/>
          <w:color w:val="000000" w:themeColor="text1"/>
          <w:lang w:eastAsia="ja-JP"/>
        </w:rPr>
        <w:t>ライフサイクルステージにおいて、完成した調査対象製品が工場を出てから、消費者が製</w:t>
      </w:r>
      <w:r w:rsidRPr="00F23AE0">
        <w:rPr>
          <w:rFonts w:ascii="ＭＳ ゴシック" w:eastAsia="ＭＳ ゴシック" w:hAnsi="ＭＳ ゴシック" w:cs="ＭＳ ゴシック"/>
          <w:bCs/>
          <w:color w:val="00ACA1"/>
          <w:lang w:eastAsia="ja-JP"/>
        </w:rPr>
        <w:br/>
      </w:r>
      <w:r w:rsidR="00F23C61" w:rsidRPr="00C134B9">
        <w:rPr>
          <w:rFonts w:ascii="ＭＳ ゴシック" w:eastAsia="ＭＳ ゴシック" w:hAnsi="ＭＳ ゴシック"/>
          <w:b/>
          <w:color w:val="00ACA1"/>
          <w:lang w:eastAsia="ja-JP"/>
        </w:rPr>
        <w:t>Product</w:t>
      </w:r>
      <w:r w:rsidR="00F23C61" w:rsidRPr="00C134B9">
        <w:rPr>
          <w:rFonts w:ascii="ＭＳ ゴシック" w:eastAsia="ＭＳ ゴシック" w:hAnsi="ＭＳ ゴシック"/>
          <w:b/>
          <w:color w:val="00ACA1"/>
          <w:spacing w:val="-6"/>
          <w:lang w:eastAsia="ja-JP"/>
        </w:rPr>
        <w:t xml:space="preserve"> </w:t>
      </w:r>
      <w:r w:rsidR="00F23C61" w:rsidRPr="00C134B9">
        <w:rPr>
          <w:rFonts w:ascii="ＭＳ ゴシック" w:eastAsia="ＭＳ ゴシック" w:hAnsi="ＭＳ ゴシック"/>
          <w:b/>
          <w:color w:val="00ACA1"/>
          <w:lang w:eastAsia="ja-JP"/>
        </w:rPr>
        <w:t>distribution</w:t>
      </w:r>
      <w:r w:rsidR="00F23C61" w:rsidRPr="00F23AE0">
        <w:rPr>
          <w:rFonts w:ascii="ＭＳ ゴシック" w:eastAsia="ＭＳ ゴシック" w:hAnsi="ＭＳ ゴシック"/>
          <w:bCs/>
          <w:color w:val="00ACA1"/>
          <w:lang w:eastAsia="ja-JP"/>
        </w:rPr>
        <w:tab/>
      </w:r>
      <w:r w:rsidRPr="00F23AE0">
        <w:rPr>
          <w:rFonts w:ascii="ＭＳ ゴシック" w:eastAsia="ＭＳ ゴシック" w:hAnsi="ＭＳ ゴシック" w:cs="ＭＳ ゴシック" w:hint="eastAsia"/>
          <w:bCs/>
          <w:color w:val="000000" w:themeColor="text1"/>
          <w:lang w:eastAsia="ja-JP"/>
        </w:rPr>
        <w:t>品を手に</w:t>
      </w:r>
      <w:r w:rsidRPr="00F23AE0">
        <w:rPr>
          <w:rFonts w:ascii="ＭＳ ゴシック" w:eastAsia="ＭＳ ゴシック" w:hAnsi="ＭＳ ゴシック" w:cs="ＭＳ ゴシック" w:hint="eastAsia"/>
          <w:bCs/>
          <w:color w:val="000000" w:themeColor="text1"/>
          <w:lang w:eastAsia="ja-JP"/>
        </w:rPr>
        <w:t>する</w:t>
      </w:r>
      <w:r w:rsidRPr="00F23AE0">
        <w:rPr>
          <w:rFonts w:ascii="ＭＳ ゴシック" w:eastAsia="ＭＳ ゴシック" w:hAnsi="ＭＳ ゴシック" w:cs="ＭＳ ゴシック" w:hint="eastAsia"/>
          <w:bCs/>
          <w:color w:val="000000" w:themeColor="text1"/>
          <w:lang w:eastAsia="ja-JP"/>
        </w:rPr>
        <w:t>までの段階。</w:t>
      </w:r>
    </w:p>
    <w:p w14:paraId="62B4D74A" w14:textId="3B3360CA" w:rsidR="0055291C" w:rsidRPr="00C134B9" w:rsidRDefault="00F23C61" w:rsidP="00DE1B8E">
      <w:pPr>
        <w:pStyle w:val="a3"/>
        <w:tabs>
          <w:tab w:val="left" w:pos="1418"/>
        </w:tabs>
        <w:spacing w:before="62"/>
        <w:ind w:left="1418" w:right="900"/>
        <w:rPr>
          <w:rFonts w:ascii="ＭＳ ゴシック" w:eastAsia="ＭＳ ゴシック" w:hAnsi="ＭＳ ゴシック"/>
          <w:b/>
        </w:rPr>
      </w:pPr>
      <w:r w:rsidRPr="00C134B9">
        <w:rPr>
          <w:rFonts w:ascii="ＭＳ ゴシック" w:eastAsia="ＭＳ ゴシック" w:hAnsi="ＭＳ ゴシック"/>
          <w:b/>
          <w:color w:val="00ACA1"/>
        </w:rPr>
        <w:t>and</w:t>
      </w:r>
      <w:r w:rsidRPr="00C134B9">
        <w:rPr>
          <w:rFonts w:ascii="ＭＳ ゴシック" w:eastAsia="ＭＳ ゴシック" w:hAnsi="ＭＳ ゴシック"/>
          <w:b/>
          <w:color w:val="00ACA1"/>
          <w:spacing w:val="-11"/>
        </w:rPr>
        <w:t xml:space="preserve"> </w:t>
      </w:r>
      <w:r w:rsidRPr="00C134B9">
        <w:rPr>
          <w:rFonts w:ascii="ＭＳ ゴシック" w:eastAsia="ＭＳ ゴシック" w:hAnsi="ＭＳ ゴシック"/>
          <w:b/>
          <w:color w:val="00ACA1"/>
        </w:rPr>
        <w:t>storage</w:t>
      </w:r>
      <w:r w:rsidRPr="00C134B9">
        <w:rPr>
          <w:rFonts w:ascii="ＭＳ ゴシック" w:eastAsia="ＭＳ ゴシック" w:hAnsi="ＭＳ ゴシック"/>
          <w:b/>
          <w:color w:val="00ACA1"/>
          <w:spacing w:val="-11"/>
        </w:rPr>
        <w:t xml:space="preserve"> </w:t>
      </w:r>
      <w:r w:rsidRPr="00C134B9">
        <w:rPr>
          <w:rFonts w:ascii="ＭＳ ゴシック" w:eastAsia="ＭＳ ゴシック" w:hAnsi="ＭＳ ゴシック"/>
          <w:b/>
          <w:color w:val="00ACA1"/>
        </w:rPr>
        <w:t>stage</w:t>
      </w:r>
      <w:r w:rsidRPr="00C134B9">
        <w:rPr>
          <w:rFonts w:ascii="ＭＳ ゴシック" w:eastAsia="ＭＳ ゴシック" w:hAnsi="ＭＳ ゴシック"/>
          <w:b/>
          <w:color w:val="00ACA1"/>
        </w:rPr>
        <w:tab/>
      </w:r>
    </w:p>
    <w:p w14:paraId="4EB40C19" w14:textId="77777777" w:rsidR="0055291C" w:rsidRPr="00C134B9" w:rsidRDefault="0055291C" w:rsidP="00DE1B8E">
      <w:pPr>
        <w:pStyle w:val="a3"/>
        <w:tabs>
          <w:tab w:val="left" w:pos="1418"/>
        </w:tabs>
        <w:ind w:left="1418" w:right="900"/>
        <w:rPr>
          <w:rFonts w:ascii="ＭＳ ゴシック" w:eastAsia="ＭＳ ゴシック" w:hAnsi="ＭＳ ゴシック"/>
          <w:b/>
        </w:rPr>
      </w:pPr>
    </w:p>
    <w:p w14:paraId="6C40E93B" w14:textId="357D63A1" w:rsidR="0055291C" w:rsidRPr="00F23AE0" w:rsidRDefault="00553A4F" w:rsidP="00DE1B8E">
      <w:pPr>
        <w:pStyle w:val="a3"/>
        <w:tabs>
          <w:tab w:val="left" w:pos="1418"/>
        </w:tabs>
        <w:spacing w:before="115" w:line="312" w:lineRule="auto"/>
        <w:ind w:left="1418" w:right="900"/>
        <w:rPr>
          <w:rFonts w:ascii="ＭＳ ゴシック" w:eastAsia="ＭＳ ゴシック" w:hAnsi="ＭＳ ゴシック"/>
          <w:bCs/>
          <w:lang w:eastAsia="ja-JP"/>
        </w:rPr>
      </w:pPr>
      <w:r w:rsidRPr="00C134B9">
        <w:rPr>
          <w:rFonts w:ascii="ＭＳ ゴシック" w:eastAsia="ＭＳ ゴシック" w:hAnsi="ＭＳ ゴシック" w:cs="ＭＳ ゴシック" w:hint="eastAsia"/>
          <w:b/>
          <w:color w:val="00ACA1"/>
          <w:spacing w:val="-1"/>
          <w:lang w:eastAsia="ja-JP"/>
        </w:rPr>
        <w:t>製品GHG</w:t>
      </w:r>
      <w:r w:rsidR="00325026" w:rsidRPr="00C134B9">
        <w:rPr>
          <w:rFonts w:ascii="ＭＳ ゴシック" w:eastAsia="ＭＳ ゴシック" w:hAnsi="ＭＳ ゴシック" w:cs="ＭＳ ゴシック" w:hint="eastAsia"/>
          <w:b/>
          <w:color w:val="00ACA1"/>
          <w:spacing w:val="-1"/>
          <w:lang w:eastAsia="ja-JP"/>
        </w:rPr>
        <w:t>算出/</w:t>
      </w:r>
      <w:r w:rsidR="00325026" w:rsidRPr="00F23AE0">
        <w:rPr>
          <w:rFonts w:ascii="ＭＳ ゴシック" w:eastAsia="ＭＳ ゴシック" w:hAnsi="ＭＳ ゴシック" w:cs="ＭＳ ゴシック"/>
          <w:bCs/>
          <w:color w:val="00ACA1"/>
          <w:spacing w:val="-1"/>
          <w:lang w:eastAsia="ja-JP"/>
        </w:rPr>
        <w:tab/>
      </w:r>
      <w:r w:rsidR="00325026" w:rsidRPr="00F23AE0">
        <w:rPr>
          <w:rFonts w:ascii="ＭＳ ゴシック" w:eastAsia="ＭＳ ゴシック" w:hAnsi="ＭＳ ゴシック" w:cs="ＭＳ ゴシック"/>
          <w:bCs/>
          <w:color w:val="00ACA1"/>
          <w:spacing w:val="-1"/>
          <w:lang w:eastAsia="ja-JP"/>
        </w:rPr>
        <w:tab/>
      </w:r>
      <w:r w:rsidR="00325026" w:rsidRPr="00F23AE0">
        <w:rPr>
          <w:rFonts w:ascii="ＭＳ ゴシック" w:eastAsia="ＭＳ ゴシック" w:hAnsi="ＭＳ ゴシック" w:cs="ＭＳ ゴシック" w:hint="eastAsia"/>
          <w:bCs/>
          <w:color w:val="000000" w:themeColor="text1"/>
          <w:spacing w:val="-1"/>
          <w:lang w:eastAsia="ja-JP"/>
        </w:rPr>
        <w:t>ライフサイクルを通しての、製品システムのGHG排出・除去量と潜在的なGHGの影響を、集</w:t>
      </w:r>
      <w:r w:rsidR="00325026" w:rsidRPr="00F23AE0">
        <w:rPr>
          <w:rFonts w:ascii="ＭＳ ゴシック" w:eastAsia="ＭＳ ゴシック" w:hAnsi="ＭＳ ゴシック" w:cs="ＭＳ ゴシック"/>
          <w:bCs/>
          <w:color w:val="000000" w:themeColor="text1"/>
          <w:spacing w:val="-1"/>
          <w:lang w:eastAsia="ja-JP"/>
        </w:rPr>
        <w:br/>
      </w:r>
      <w:r w:rsidR="00F23C61" w:rsidRPr="00C134B9">
        <w:rPr>
          <w:rFonts w:ascii="ＭＳ ゴシック" w:eastAsia="ＭＳ ゴシック" w:hAnsi="ＭＳ ゴシック"/>
          <w:b/>
          <w:color w:val="00ACA1"/>
          <w:spacing w:val="-1"/>
          <w:lang w:eastAsia="ja-JP"/>
        </w:rPr>
        <w:t>Product</w:t>
      </w:r>
      <w:r w:rsidR="00F23C61" w:rsidRPr="00C134B9">
        <w:rPr>
          <w:rFonts w:ascii="ＭＳ ゴシック" w:eastAsia="ＭＳ ゴシック" w:hAnsi="ＭＳ ゴシック"/>
          <w:b/>
          <w:color w:val="00ACA1"/>
          <w:spacing w:val="-11"/>
          <w:lang w:eastAsia="ja-JP"/>
        </w:rPr>
        <w:t xml:space="preserve"> </w:t>
      </w:r>
      <w:r w:rsidR="00F23C61" w:rsidRPr="00C134B9">
        <w:rPr>
          <w:rFonts w:ascii="ＭＳ ゴシック" w:eastAsia="ＭＳ ゴシック" w:hAnsi="ＭＳ ゴシック"/>
          <w:b/>
          <w:color w:val="00ACA1"/>
          <w:spacing w:val="-1"/>
          <w:lang w:eastAsia="ja-JP"/>
        </w:rPr>
        <w:t>GHG</w:t>
      </w:r>
      <w:r w:rsidR="00F23C61" w:rsidRPr="00C134B9">
        <w:rPr>
          <w:rFonts w:ascii="ＭＳ ゴシック" w:eastAsia="ＭＳ ゴシック" w:hAnsi="ＭＳ ゴシック"/>
          <w:b/>
          <w:color w:val="00ACA1"/>
          <w:spacing w:val="-10"/>
          <w:lang w:eastAsia="ja-JP"/>
        </w:rPr>
        <w:t xml:space="preserve"> </w:t>
      </w:r>
      <w:r w:rsidR="00F23C61" w:rsidRPr="00C134B9">
        <w:rPr>
          <w:rFonts w:ascii="ＭＳ ゴシック" w:eastAsia="ＭＳ ゴシック" w:hAnsi="ＭＳ ゴシック"/>
          <w:b/>
          <w:color w:val="00ACA1"/>
          <w:spacing w:val="-1"/>
          <w:lang w:eastAsia="ja-JP"/>
        </w:rPr>
        <w:t>inventory</w:t>
      </w:r>
      <w:r w:rsidR="00F23C61" w:rsidRPr="00F23AE0">
        <w:rPr>
          <w:rFonts w:ascii="ＭＳ ゴシック" w:eastAsia="ＭＳ ゴシック" w:hAnsi="ＭＳ ゴシック"/>
          <w:bCs/>
          <w:color w:val="00ACA1"/>
          <w:spacing w:val="-1"/>
          <w:lang w:eastAsia="ja-JP"/>
        </w:rPr>
        <w:tab/>
      </w:r>
      <w:r w:rsidR="00325026" w:rsidRPr="00F23AE0">
        <w:rPr>
          <w:rFonts w:ascii="ＭＳ ゴシック" w:eastAsia="ＭＳ ゴシック" w:hAnsi="ＭＳ ゴシック" w:cs="ＭＳ ゴシック" w:hint="eastAsia"/>
          <w:bCs/>
          <w:color w:val="000000" w:themeColor="text1"/>
          <w:spacing w:val="-1"/>
          <w:lang w:eastAsia="ja-JP"/>
        </w:rPr>
        <w:t>計、評価したもの。</w:t>
      </w:r>
    </w:p>
    <w:p w14:paraId="11406796" w14:textId="77777777" w:rsidR="0055291C" w:rsidRPr="00F23AE0" w:rsidRDefault="0055291C" w:rsidP="00DE1B8E">
      <w:pPr>
        <w:pStyle w:val="a3"/>
        <w:tabs>
          <w:tab w:val="left" w:pos="1418"/>
        </w:tabs>
        <w:spacing w:before="5"/>
        <w:ind w:left="1418" w:right="900"/>
        <w:rPr>
          <w:rFonts w:ascii="ＭＳ ゴシック" w:eastAsia="ＭＳ ゴシック" w:hAnsi="ＭＳ ゴシック"/>
          <w:bCs/>
          <w:lang w:eastAsia="ja-JP"/>
        </w:rPr>
      </w:pPr>
    </w:p>
    <w:p w14:paraId="6ED28F60" w14:textId="7EB9EBE6" w:rsidR="0055291C" w:rsidRPr="00F23AE0" w:rsidRDefault="00325026" w:rsidP="00325026">
      <w:pPr>
        <w:pStyle w:val="a3"/>
        <w:tabs>
          <w:tab w:val="left" w:pos="1418"/>
        </w:tabs>
        <w:spacing w:line="312" w:lineRule="auto"/>
        <w:ind w:left="3594" w:right="900" w:hanging="2176"/>
        <w:rPr>
          <w:rFonts w:ascii="ＭＳ ゴシック" w:eastAsia="ＭＳ ゴシック" w:hAnsi="ＭＳ ゴシック"/>
          <w:bCs/>
          <w:lang w:eastAsia="ja-JP"/>
        </w:rPr>
      </w:pPr>
      <w:r w:rsidRPr="00C134B9">
        <w:rPr>
          <w:rFonts w:ascii="ＭＳ ゴシック" w:eastAsia="ＭＳ ゴシック" w:hAnsi="ＭＳ ゴシック" w:cs="ＭＳ ゴシック" w:hint="eastAsia"/>
          <w:b/>
          <w:color w:val="00ACA1"/>
          <w:lang w:eastAsia="ja-JP"/>
        </w:rPr>
        <w:t>製品規則/</w:t>
      </w:r>
      <w:r w:rsidR="00F23C61" w:rsidRPr="00C134B9">
        <w:rPr>
          <w:rFonts w:ascii="ＭＳ ゴシック" w:eastAsia="ＭＳ ゴシック" w:hAnsi="ＭＳ ゴシック"/>
          <w:b/>
          <w:color w:val="00ACA1"/>
          <w:lang w:eastAsia="ja-JP"/>
        </w:rPr>
        <w:t>Product</w:t>
      </w:r>
      <w:r w:rsidR="00F23C61" w:rsidRPr="00C134B9">
        <w:rPr>
          <w:rFonts w:ascii="ＭＳ ゴシック" w:eastAsia="ＭＳ ゴシック" w:hAnsi="ＭＳ ゴシック"/>
          <w:b/>
          <w:color w:val="00ACA1"/>
          <w:spacing w:val="-8"/>
          <w:lang w:eastAsia="ja-JP"/>
        </w:rPr>
        <w:t xml:space="preserve"> </w:t>
      </w:r>
      <w:r w:rsidR="00F23C61" w:rsidRPr="00C134B9">
        <w:rPr>
          <w:rFonts w:ascii="ＭＳ ゴシック" w:eastAsia="ＭＳ ゴシック" w:hAnsi="ＭＳ ゴシック"/>
          <w:b/>
          <w:color w:val="00ACA1"/>
          <w:lang w:eastAsia="ja-JP"/>
        </w:rPr>
        <w:t>rule</w:t>
      </w:r>
      <w:r w:rsidR="00F23C61" w:rsidRPr="00F23AE0">
        <w:rPr>
          <w:rFonts w:ascii="ＭＳ ゴシック" w:eastAsia="ＭＳ ゴシック" w:hAnsi="ＭＳ ゴシック"/>
          <w:bCs/>
          <w:color w:val="00ACA1"/>
          <w:lang w:eastAsia="ja-JP"/>
        </w:rPr>
        <w:tab/>
      </w:r>
      <w:r w:rsidRPr="00F23AE0">
        <w:rPr>
          <w:rFonts w:ascii="ＭＳ ゴシック" w:eastAsia="ＭＳ ゴシック" w:hAnsi="ＭＳ ゴシック" w:cs="ＭＳ ゴシック" w:hint="eastAsia"/>
          <w:bCs/>
          <w:color w:val="545456"/>
          <w:lang w:eastAsia="ja-JP"/>
        </w:rPr>
        <w:t>商品または商品カテゴリ</w:t>
      </w:r>
      <w:r w:rsidRPr="00F23AE0">
        <w:rPr>
          <w:rFonts w:ascii="ＭＳ ゴシック" w:eastAsia="ＭＳ ゴシック" w:hAnsi="ＭＳ ゴシック" w:cs="ＭＳ ゴシック" w:hint="eastAsia"/>
          <w:bCs/>
          <w:color w:val="545456"/>
          <w:lang w:eastAsia="ja-JP"/>
        </w:rPr>
        <w:t>ー</w:t>
      </w:r>
      <w:r w:rsidRPr="00F23AE0">
        <w:rPr>
          <w:rFonts w:ascii="ＭＳ ゴシック" w:eastAsia="ＭＳ ゴシック" w:hAnsi="ＭＳ ゴシック" w:cs="ＭＳ ゴシック" w:hint="eastAsia"/>
          <w:bCs/>
          <w:color w:val="545456"/>
          <w:lang w:eastAsia="ja-JP"/>
        </w:rPr>
        <w:t>に関する比較や宣言を可能にするために必要な追加仕様が記載</w:t>
      </w:r>
      <w:r w:rsidRPr="00F23AE0">
        <w:rPr>
          <w:rFonts w:ascii="ＭＳ ゴシック" w:eastAsia="ＭＳ ゴシック" w:hAnsi="ＭＳ ゴシック" w:cs="ＭＳ ゴシック"/>
          <w:bCs/>
          <w:color w:val="545456"/>
          <w:lang w:eastAsia="ja-JP"/>
        </w:rPr>
        <w:br/>
      </w:r>
      <w:r w:rsidRPr="00F23AE0">
        <w:rPr>
          <w:rFonts w:ascii="ＭＳ ゴシック" w:eastAsia="ＭＳ ゴシック" w:hAnsi="ＭＳ ゴシック" w:cs="ＭＳ ゴシック" w:hint="eastAsia"/>
          <w:bCs/>
          <w:color w:val="545456"/>
          <w:lang w:eastAsia="ja-JP"/>
        </w:rPr>
        <w:t>された文書</w:t>
      </w:r>
      <w:r w:rsidRPr="00F23AE0">
        <w:rPr>
          <w:rFonts w:ascii="ＭＳ ゴシック" w:eastAsia="ＭＳ ゴシック" w:hAnsi="ＭＳ ゴシック" w:cs="ＭＳ ゴシック" w:hint="eastAsia"/>
          <w:bCs/>
          <w:color w:val="545456"/>
          <w:lang w:eastAsia="ja-JP"/>
        </w:rPr>
        <w:t>。</w:t>
      </w:r>
    </w:p>
    <w:p w14:paraId="1ED34452" w14:textId="77777777" w:rsidR="0055291C" w:rsidRPr="00F23AE0" w:rsidRDefault="0055291C" w:rsidP="00DE1B8E">
      <w:pPr>
        <w:pStyle w:val="a3"/>
        <w:tabs>
          <w:tab w:val="left" w:pos="1418"/>
        </w:tabs>
        <w:spacing w:before="4"/>
        <w:ind w:left="1418" w:right="900"/>
        <w:rPr>
          <w:rFonts w:ascii="ＭＳ ゴシック" w:eastAsia="ＭＳ ゴシック" w:hAnsi="ＭＳ ゴシック"/>
          <w:bCs/>
          <w:lang w:eastAsia="ja-JP"/>
        </w:rPr>
      </w:pPr>
    </w:p>
    <w:p w14:paraId="29F0CDBD" w14:textId="11A60764" w:rsidR="0055291C" w:rsidRPr="00F23AE0" w:rsidRDefault="00325026" w:rsidP="00A66C8E">
      <w:pPr>
        <w:pStyle w:val="a3"/>
        <w:tabs>
          <w:tab w:val="left" w:pos="1418"/>
        </w:tabs>
        <w:spacing w:before="1" w:line="312" w:lineRule="auto"/>
        <w:ind w:left="1440" w:right="900"/>
        <w:rPr>
          <w:rFonts w:ascii="ＭＳ ゴシック" w:eastAsia="ＭＳ ゴシック" w:hAnsi="ＭＳ ゴシック"/>
          <w:bCs/>
          <w:lang w:eastAsia="ja-JP"/>
        </w:rPr>
      </w:pPr>
      <w:r w:rsidRPr="00C134B9">
        <w:rPr>
          <w:rFonts w:ascii="ＭＳ ゴシック" w:eastAsia="ＭＳ ゴシック" w:hAnsi="ＭＳ ゴシック" w:cs="ＭＳ ゴシック" w:hint="eastAsia"/>
          <w:b/>
          <w:color w:val="00ACA1"/>
          <w:lang w:eastAsia="ja-JP"/>
        </w:rPr>
        <w:t>生産</w:t>
      </w:r>
      <w:r w:rsidR="00A66C8E" w:rsidRPr="00C134B9">
        <w:rPr>
          <w:rFonts w:ascii="ＭＳ ゴシック" w:eastAsia="ＭＳ ゴシック" w:hAnsi="ＭＳ ゴシック" w:cs="ＭＳ ゴシック" w:hint="eastAsia"/>
          <w:b/>
          <w:color w:val="00ACA1"/>
          <w:lang w:eastAsia="ja-JP"/>
        </w:rPr>
        <w:t>段階</w:t>
      </w:r>
      <w:r w:rsidRPr="00C134B9">
        <w:rPr>
          <w:rFonts w:ascii="ＭＳ ゴシック" w:eastAsia="ＭＳ ゴシック" w:hAnsi="ＭＳ ゴシック" w:cs="ＭＳ ゴシック" w:hint="eastAsia"/>
          <w:b/>
          <w:color w:val="00ACA1"/>
          <w:lang w:eastAsia="ja-JP"/>
        </w:rPr>
        <w:t>/</w:t>
      </w:r>
      <w:r w:rsidR="00A66C8E" w:rsidRPr="00F23AE0">
        <w:rPr>
          <w:rFonts w:ascii="ＭＳ ゴシック" w:eastAsia="ＭＳ ゴシック" w:hAnsi="ＭＳ ゴシック" w:cs="ＭＳ ゴシック"/>
          <w:bCs/>
          <w:color w:val="00ACA1"/>
          <w:lang w:eastAsia="ja-JP"/>
        </w:rPr>
        <w:tab/>
      </w:r>
      <w:r w:rsidR="00A66C8E" w:rsidRPr="00F23AE0">
        <w:rPr>
          <w:rFonts w:ascii="ＭＳ ゴシック" w:eastAsia="ＭＳ ゴシック" w:hAnsi="ＭＳ ゴシック" w:cs="ＭＳ ゴシック"/>
          <w:bCs/>
          <w:color w:val="00ACA1"/>
          <w:lang w:eastAsia="ja-JP"/>
        </w:rPr>
        <w:tab/>
      </w:r>
      <w:r w:rsidR="00A66C8E" w:rsidRPr="00F23AE0">
        <w:rPr>
          <w:rFonts w:ascii="ＭＳ ゴシック" w:eastAsia="ＭＳ ゴシック" w:hAnsi="ＭＳ ゴシック" w:cs="ＭＳ ゴシック" w:hint="eastAsia"/>
          <w:bCs/>
          <w:color w:val="000000" w:themeColor="text1"/>
          <w:lang w:eastAsia="ja-JP"/>
        </w:rPr>
        <w:t>ライフサイクルステージにおいて、</w:t>
      </w:r>
      <w:r w:rsidR="00A66C8E" w:rsidRPr="00F23AE0">
        <w:rPr>
          <w:rFonts w:ascii="ＭＳ ゴシック" w:eastAsia="ＭＳ ゴシック" w:hAnsi="ＭＳ ゴシック" w:cs="ＭＳ ゴシック" w:hint="eastAsia"/>
          <w:bCs/>
          <w:lang w:eastAsia="ja-JP"/>
        </w:rPr>
        <w:t>調査対象製品の工場に部品が搬入されるときから、</w:t>
      </w:r>
      <w:r w:rsidR="00A66C8E" w:rsidRPr="00F23AE0">
        <w:rPr>
          <w:rFonts w:ascii="ＭＳ ゴシック" w:eastAsia="ＭＳ ゴシック" w:hAnsi="ＭＳ ゴシック" w:cs="ＭＳ ゴシック"/>
          <w:bCs/>
          <w:color w:val="00ACA1"/>
          <w:lang w:eastAsia="ja-JP"/>
        </w:rPr>
        <w:br/>
      </w:r>
      <w:r w:rsidR="00A66C8E" w:rsidRPr="00C134B9">
        <w:rPr>
          <w:rFonts w:ascii="ＭＳ ゴシック" w:eastAsia="ＭＳ ゴシック" w:hAnsi="ＭＳ ゴシック"/>
          <w:b/>
          <w:color w:val="00ACA1"/>
          <w:lang w:eastAsia="ja-JP"/>
        </w:rPr>
        <w:t>Production</w:t>
      </w:r>
      <w:r w:rsidR="00A66C8E" w:rsidRPr="00C134B9">
        <w:rPr>
          <w:rFonts w:ascii="ＭＳ ゴシック" w:eastAsia="ＭＳ ゴシック" w:hAnsi="ＭＳ ゴシック"/>
          <w:b/>
          <w:color w:val="00ACA1"/>
          <w:spacing w:val="-12"/>
          <w:lang w:eastAsia="ja-JP"/>
        </w:rPr>
        <w:t xml:space="preserve"> </w:t>
      </w:r>
      <w:r w:rsidR="00A66C8E" w:rsidRPr="00C134B9">
        <w:rPr>
          <w:rFonts w:ascii="ＭＳ ゴシック" w:eastAsia="ＭＳ ゴシック" w:hAnsi="ＭＳ ゴシック"/>
          <w:b/>
          <w:color w:val="00ACA1"/>
          <w:lang w:eastAsia="ja-JP"/>
        </w:rPr>
        <w:t>stage</w:t>
      </w:r>
      <w:r w:rsidR="00A66C8E" w:rsidRPr="00F23AE0">
        <w:rPr>
          <w:rFonts w:ascii="ＭＳ ゴシック" w:eastAsia="ＭＳ ゴシック" w:hAnsi="ＭＳ ゴシック"/>
          <w:bCs/>
          <w:color w:val="00ACA1"/>
          <w:lang w:eastAsia="ja-JP"/>
        </w:rPr>
        <w:tab/>
      </w:r>
      <w:r w:rsidR="00A66C8E" w:rsidRPr="00F23AE0">
        <w:rPr>
          <w:rFonts w:ascii="ＭＳ ゴシック" w:eastAsia="ＭＳ ゴシック" w:hAnsi="ＭＳ ゴシック" w:cs="ＭＳ ゴシック" w:hint="eastAsia"/>
          <w:bCs/>
          <w:lang w:eastAsia="ja-JP"/>
        </w:rPr>
        <w:t>完成した調査対象製品が工場を出るまでの段階</w:t>
      </w:r>
      <w:r w:rsidR="00A66C8E" w:rsidRPr="00F23AE0">
        <w:rPr>
          <w:rFonts w:ascii="ＭＳ ゴシック" w:eastAsia="ＭＳ ゴシック" w:hAnsi="ＭＳ ゴシック" w:cs="ＭＳ ゴシック" w:hint="eastAsia"/>
          <w:bCs/>
          <w:lang w:eastAsia="ja-JP"/>
        </w:rPr>
        <w:t>。</w:t>
      </w:r>
    </w:p>
    <w:p w14:paraId="16119E3C" w14:textId="77777777" w:rsidR="0055291C" w:rsidRPr="00F23AE0" w:rsidRDefault="0055291C" w:rsidP="00DE1B8E">
      <w:pPr>
        <w:pStyle w:val="a3"/>
        <w:tabs>
          <w:tab w:val="left" w:pos="1418"/>
        </w:tabs>
        <w:spacing w:before="5"/>
        <w:ind w:left="1418" w:right="900"/>
        <w:rPr>
          <w:rFonts w:ascii="ＭＳ ゴシック" w:eastAsia="ＭＳ ゴシック" w:hAnsi="ＭＳ ゴシック"/>
          <w:bCs/>
          <w:lang w:eastAsia="ja-JP"/>
        </w:rPr>
      </w:pPr>
    </w:p>
    <w:p w14:paraId="342EAE2C" w14:textId="7EE6905B" w:rsidR="00A66C8E" w:rsidRPr="00F23AE0" w:rsidRDefault="00A66C8E" w:rsidP="00DE1B8E">
      <w:pPr>
        <w:pStyle w:val="a3"/>
        <w:tabs>
          <w:tab w:val="left" w:pos="1418"/>
        </w:tabs>
        <w:spacing w:line="312" w:lineRule="auto"/>
        <w:ind w:left="1418" w:right="900"/>
        <w:rPr>
          <w:rFonts w:ascii="ＭＳ ゴシック" w:eastAsia="ＭＳ ゴシック" w:hAnsi="ＭＳ ゴシック" w:cs="ＭＳ ゴシック"/>
          <w:bCs/>
          <w:lang w:eastAsia="ja-JP"/>
        </w:rPr>
      </w:pPr>
      <w:r w:rsidRPr="00C134B9">
        <w:rPr>
          <w:rFonts w:ascii="ＭＳ ゴシック" w:eastAsia="ＭＳ ゴシック" w:hAnsi="ＭＳ ゴシック" w:cs="ＭＳ ゴシック" w:hint="eastAsia"/>
          <w:b/>
          <w:color w:val="00ACA1"/>
          <w:lang w:eastAsia="ja-JP"/>
        </w:rPr>
        <w:t>代替データ/</w:t>
      </w:r>
      <w:r w:rsidR="00F23C61" w:rsidRPr="00C134B9">
        <w:rPr>
          <w:rFonts w:ascii="ＭＳ ゴシック" w:eastAsia="ＭＳ ゴシック" w:hAnsi="ＭＳ ゴシック"/>
          <w:b/>
          <w:color w:val="00ACA1"/>
          <w:lang w:eastAsia="ja-JP"/>
        </w:rPr>
        <w:t>Proxy</w:t>
      </w:r>
      <w:r w:rsidR="00F23C61" w:rsidRPr="00C134B9">
        <w:rPr>
          <w:rFonts w:ascii="ＭＳ ゴシック" w:eastAsia="ＭＳ ゴシック" w:hAnsi="ＭＳ ゴシック"/>
          <w:b/>
          <w:color w:val="00ACA1"/>
          <w:spacing w:val="-9"/>
          <w:lang w:eastAsia="ja-JP"/>
        </w:rPr>
        <w:t xml:space="preserve"> </w:t>
      </w:r>
      <w:r w:rsidR="00F23C61" w:rsidRPr="00C134B9">
        <w:rPr>
          <w:rFonts w:ascii="ＭＳ ゴシック" w:eastAsia="ＭＳ ゴシック" w:hAnsi="ＭＳ ゴシック"/>
          <w:b/>
          <w:color w:val="00ACA1"/>
          <w:lang w:eastAsia="ja-JP"/>
        </w:rPr>
        <w:t>data</w:t>
      </w:r>
      <w:r w:rsidR="00F23C61" w:rsidRPr="00F23AE0">
        <w:rPr>
          <w:rFonts w:ascii="ＭＳ ゴシック" w:eastAsia="ＭＳ ゴシック" w:hAnsi="ＭＳ ゴシック"/>
          <w:bCs/>
          <w:color w:val="00ACA1"/>
          <w:lang w:eastAsia="ja-JP"/>
        </w:rPr>
        <w:tab/>
      </w:r>
      <w:r w:rsidRPr="00F23AE0">
        <w:rPr>
          <w:rFonts w:ascii="ＭＳ ゴシック" w:eastAsia="ＭＳ ゴシック" w:hAnsi="ＭＳ ゴシック" w:cs="ＭＳ ゴシック" w:hint="eastAsia"/>
          <w:bCs/>
          <w:lang w:eastAsia="ja-JP"/>
        </w:rPr>
        <w:t>ある</w:t>
      </w:r>
      <w:r w:rsidRPr="00F23AE0">
        <w:rPr>
          <w:rFonts w:ascii="ＭＳ ゴシック" w:eastAsia="ＭＳ ゴシック" w:hAnsi="ＭＳ ゴシック" w:cs="ＭＳ ゴシック" w:hint="eastAsia"/>
          <w:bCs/>
          <w:lang w:eastAsia="ja-JP"/>
        </w:rPr>
        <w:t>工程</w:t>
      </w:r>
      <w:r w:rsidRPr="00F23AE0">
        <w:rPr>
          <w:rFonts w:ascii="ＭＳ ゴシック" w:eastAsia="ＭＳ ゴシック" w:hAnsi="ＭＳ ゴシック" w:cs="ＭＳ ゴシック" w:hint="eastAsia"/>
          <w:bCs/>
          <w:lang w:eastAsia="ja-JP"/>
        </w:rPr>
        <w:t>の代用として使用される、類似の活動からのデータ。</w:t>
      </w:r>
      <w:r w:rsidRPr="00F23AE0">
        <w:rPr>
          <w:rFonts w:ascii="ＭＳ ゴシック" w:eastAsia="ＭＳ ゴシック" w:hAnsi="ＭＳ ゴシック" w:cs="ＭＳ ゴシック" w:hint="eastAsia"/>
          <w:bCs/>
          <w:lang w:eastAsia="ja-JP"/>
        </w:rPr>
        <w:t>代理</w:t>
      </w:r>
      <w:r w:rsidRPr="00F23AE0">
        <w:rPr>
          <w:rFonts w:ascii="ＭＳ ゴシック" w:eastAsia="ＭＳ ゴシック" w:hAnsi="ＭＳ ゴシック" w:cs="ＭＳ ゴシック" w:hint="eastAsia"/>
          <w:bCs/>
          <w:lang w:eastAsia="ja-JP"/>
        </w:rPr>
        <w:t>データは、外挿、スケ</w:t>
      </w:r>
    </w:p>
    <w:p w14:paraId="3CF01DB8" w14:textId="56EB312C" w:rsidR="0055291C" w:rsidRPr="00F23AE0" w:rsidRDefault="00A66C8E" w:rsidP="00DE1B8E">
      <w:pPr>
        <w:pStyle w:val="a3"/>
        <w:tabs>
          <w:tab w:val="left" w:pos="1418"/>
        </w:tabs>
        <w:spacing w:line="312" w:lineRule="auto"/>
        <w:ind w:left="1418" w:right="900"/>
        <w:rPr>
          <w:rFonts w:ascii="ＭＳ ゴシック" w:eastAsia="ＭＳ ゴシック" w:hAnsi="ＭＳ ゴシック"/>
          <w:bCs/>
          <w:lang w:eastAsia="ja-JP"/>
        </w:rPr>
      </w:pP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hint="eastAsia"/>
          <w:bCs/>
          <w:lang w:eastAsia="ja-JP"/>
        </w:rPr>
        <w:t>ールアップ、またはカスタマイズして、所定の活動を表すことができる。</w:t>
      </w:r>
    </w:p>
    <w:p w14:paraId="62B0DEFA" w14:textId="77777777" w:rsidR="0055291C" w:rsidRPr="00F23AE0" w:rsidRDefault="0055291C" w:rsidP="00DE1B8E">
      <w:pPr>
        <w:pStyle w:val="a3"/>
        <w:tabs>
          <w:tab w:val="left" w:pos="1418"/>
        </w:tabs>
        <w:spacing w:before="4"/>
        <w:ind w:left="1418" w:right="900"/>
        <w:rPr>
          <w:rFonts w:ascii="ＭＳ ゴシック" w:eastAsia="ＭＳ ゴシック" w:hAnsi="ＭＳ ゴシック"/>
          <w:bCs/>
          <w:lang w:eastAsia="ja-JP"/>
        </w:rPr>
      </w:pPr>
    </w:p>
    <w:p w14:paraId="3667136F" w14:textId="09353BE3" w:rsidR="0055291C" w:rsidRPr="00F23AE0" w:rsidRDefault="00A66C8E" w:rsidP="00DE1B8E">
      <w:pPr>
        <w:pStyle w:val="a3"/>
        <w:tabs>
          <w:tab w:val="left" w:pos="1418"/>
        </w:tabs>
        <w:spacing w:line="312" w:lineRule="auto"/>
        <w:ind w:left="1418" w:right="900"/>
        <w:rPr>
          <w:rFonts w:ascii="ＭＳ ゴシック" w:eastAsia="ＭＳ ゴシック" w:hAnsi="ＭＳ ゴシック"/>
          <w:bCs/>
          <w:lang w:eastAsia="ja-JP"/>
        </w:rPr>
      </w:pPr>
      <w:r w:rsidRPr="00C134B9">
        <w:rPr>
          <w:rFonts w:ascii="ＭＳ ゴシック" w:eastAsia="ＭＳ ゴシック" w:hAnsi="ＭＳ ゴシック" w:cs="ＭＳ ゴシック" w:hint="eastAsia"/>
          <w:b/>
          <w:color w:val="00ACA1"/>
          <w:w w:val="95"/>
          <w:lang w:eastAsia="ja-JP"/>
        </w:rPr>
        <w:t>リサイクル段階/</w:t>
      </w:r>
      <w:r w:rsidRPr="00F23AE0">
        <w:rPr>
          <w:rFonts w:ascii="ＭＳ ゴシック" w:eastAsia="ＭＳ ゴシック" w:hAnsi="ＭＳ ゴシック" w:cs="ＭＳ ゴシック"/>
          <w:bCs/>
          <w:color w:val="00ACA1"/>
          <w:w w:val="95"/>
          <w:lang w:eastAsia="ja-JP"/>
        </w:rPr>
        <w:tab/>
      </w:r>
      <w:r w:rsidRPr="00F23AE0">
        <w:rPr>
          <w:rFonts w:ascii="ＭＳ ゴシック" w:eastAsia="ＭＳ ゴシック" w:hAnsi="ＭＳ ゴシック" w:cs="ＭＳ ゴシック"/>
          <w:bCs/>
          <w:color w:val="00ACA1"/>
          <w:w w:val="95"/>
          <w:lang w:eastAsia="ja-JP"/>
        </w:rPr>
        <w:tab/>
      </w:r>
      <w:r w:rsidRPr="00F23AE0">
        <w:rPr>
          <w:rFonts w:ascii="ＭＳ ゴシック" w:eastAsia="ＭＳ ゴシック" w:hAnsi="ＭＳ ゴシック" w:cs="ＭＳ ゴシック" w:hint="eastAsia"/>
          <w:bCs/>
          <w:lang w:eastAsia="ja-JP"/>
        </w:rPr>
        <w:t>製品または材料が、別の製品のライフサイクルに再使用またはリサイクルされた結果、発</w:t>
      </w:r>
      <w:r w:rsidRPr="00F23AE0">
        <w:rPr>
          <w:rFonts w:ascii="ＭＳ ゴシック" w:eastAsia="ＭＳ ゴシック" w:hAnsi="ＭＳ ゴシック" w:cs="ＭＳ ゴシック"/>
          <w:bCs/>
          <w:color w:val="00ACA1"/>
          <w:w w:val="95"/>
          <w:lang w:eastAsia="ja-JP"/>
        </w:rPr>
        <w:br/>
      </w:r>
      <w:r w:rsidR="00F23C61" w:rsidRPr="00C134B9">
        <w:rPr>
          <w:rFonts w:ascii="ＭＳ ゴシック" w:eastAsia="ＭＳ ゴシック" w:hAnsi="ＭＳ ゴシック"/>
          <w:b/>
          <w:color w:val="00ACA1"/>
          <w:w w:val="95"/>
          <w:lang w:eastAsia="ja-JP"/>
        </w:rPr>
        <w:t>Recycling</w:t>
      </w:r>
      <w:r w:rsidR="00F23C61" w:rsidRPr="00C134B9">
        <w:rPr>
          <w:rFonts w:ascii="ＭＳ ゴシック" w:eastAsia="ＭＳ ゴシック" w:hAnsi="ＭＳ ゴシック"/>
          <w:b/>
          <w:color w:val="00ACA1"/>
          <w:spacing w:val="-8"/>
          <w:w w:val="95"/>
          <w:lang w:eastAsia="ja-JP"/>
        </w:rPr>
        <w:t xml:space="preserve"> </w:t>
      </w:r>
      <w:r w:rsidR="00F23C61" w:rsidRPr="00C134B9">
        <w:rPr>
          <w:rFonts w:ascii="ＭＳ ゴシック" w:eastAsia="ＭＳ ゴシック" w:hAnsi="ＭＳ ゴシック"/>
          <w:b/>
          <w:color w:val="00ACA1"/>
          <w:w w:val="95"/>
          <w:lang w:eastAsia="ja-JP"/>
        </w:rPr>
        <w:t>processes</w:t>
      </w:r>
      <w:r w:rsidR="00F23C61" w:rsidRPr="00F23AE0">
        <w:rPr>
          <w:rFonts w:ascii="ＭＳ ゴシック" w:eastAsia="ＭＳ ゴシック" w:hAnsi="ＭＳ ゴシック"/>
          <w:bCs/>
          <w:color w:val="00ACA1"/>
          <w:w w:val="95"/>
          <w:lang w:eastAsia="ja-JP"/>
        </w:rPr>
        <w:tab/>
      </w:r>
      <w:r w:rsidRPr="00F23AE0">
        <w:rPr>
          <w:rFonts w:ascii="ＭＳ ゴシック" w:eastAsia="ＭＳ ゴシック" w:hAnsi="ＭＳ ゴシック" w:cs="ＭＳ ゴシック" w:hint="eastAsia"/>
          <w:bCs/>
          <w:lang w:eastAsia="ja-JP"/>
        </w:rPr>
        <w:t>生する工程</w:t>
      </w:r>
    </w:p>
    <w:p w14:paraId="2B615168" w14:textId="77777777" w:rsidR="0055291C" w:rsidRPr="00F23AE0" w:rsidRDefault="0055291C" w:rsidP="00DE1B8E">
      <w:pPr>
        <w:pStyle w:val="a3"/>
        <w:tabs>
          <w:tab w:val="left" w:pos="1418"/>
        </w:tabs>
        <w:spacing w:before="5"/>
        <w:ind w:left="1418" w:right="900"/>
        <w:rPr>
          <w:rFonts w:ascii="ＭＳ ゴシック" w:eastAsia="ＭＳ ゴシック" w:hAnsi="ＭＳ ゴシック"/>
          <w:bCs/>
          <w:lang w:eastAsia="ja-JP"/>
        </w:rPr>
      </w:pPr>
    </w:p>
    <w:p w14:paraId="4F7CD294" w14:textId="14065F6A" w:rsidR="0055291C" w:rsidRPr="00C134B9" w:rsidRDefault="00A66C8E" w:rsidP="00DE1B8E">
      <w:pPr>
        <w:pStyle w:val="a3"/>
        <w:tabs>
          <w:tab w:val="left" w:pos="1418"/>
        </w:tabs>
        <w:ind w:left="1418" w:right="900"/>
        <w:rPr>
          <w:rFonts w:ascii="ＭＳ ゴシック" w:eastAsia="ＭＳ ゴシック" w:hAnsi="ＭＳ ゴシック"/>
          <w:b/>
        </w:rPr>
      </w:pPr>
      <w:r w:rsidRPr="00C134B9">
        <w:rPr>
          <w:rFonts w:ascii="ＭＳ ゴシック" w:eastAsia="ＭＳ ゴシック" w:hAnsi="ＭＳ ゴシック" w:cs="ＭＳ ゴシック" w:hint="eastAsia"/>
          <w:b/>
          <w:color w:val="00ACA1"/>
          <w:lang w:eastAsia="ja-JP"/>
        </w:rPr>
        <w:t>リファレンスフロー/</w:t>
      </w: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hint="eastAsia"/>
          <w:bCs/>
          <w:lang w:eastAsia="ja-JP"/>
        </w:rPr>
        <w:t>分析単位で定義された機能を満たすために必要な調査対象製品の量。</w:t>
      </w:r>
      <w:r w:rsidRPr="00F23AE0">
        <w:rPr>
          <w:rFonts w:ascii="ＭＳ ゴシック" w:eastAsia="ＭＳ ゴシック" w:hAnsi="ＭＳ ゴシック"/>
          <w:bCs/>
          <w:vertAlign w:val="superscript"/>
        </w:rPr>
        <w:t>14</w:t>
      </w:r>
      <w:r w:rsidRPr="00F23AE0">
        <w:rPr>
          <w:rFonts w:ascii="ＭＳ ゴシック" w:eastAsia="ＭＳ ゴシック" w:hAnsi="ＭＳ ゴシック" w:cs="ＭＳ ゴシック"/>
          <w:bCs/>
          <w:color w:val="00ACA1"/>
        </w:rPr>
        <w:br/>
      </w:r>
      <w:r w:rsidR="00F23C61" w:rsidRPr="00C134B9">
        <w:rPr>
          <w:rFonts w:ascii="ＭＳ ゴシック" w:eastAsia="ＭＳ ゴシック" w:hAnsi="ＭＳ ゴシック"/>
          <w:b/>
          <w:color w:val="00ACA1"/>
        </w:rPr>
        <w:t>Reference</w:t>
      </w:r>
      <w:r w:rsidR="00F23C61" w:rsidRPr="00C134B9">
        <w:rPr>
          <w:rFonts w:ascii="ＭＳ ゴシック" w:eastAsia="ＭＳ ゴシック" w:hAnsi="ＭＳ ゴシック"/>
          <w:b/>
          <w:color w:val="00ACA1"/>
          <w:spacing w:val="-6"/>
        </w:rPr>
        <w:t xml:space="preserve"> </w:t>
      </w:r>
      <w:r w:rsidR="00F23C61" w:rsidRPr="00C134B9">
        <w:rPr>
          <w:rFonts w:ascii="ＭＳ ゴシック" w:eastAsia="ＭＳ ゴシック" w:hAnsi="ＭＳ ゴシック"/>
          <w:b/>
          <w:color w:val="00ACA1"/>
        </w:rPr>
        <w:t>flow</w:t>
      </w:r>
      <w:r w:rsidR="00F23C61" w:rsidRPr="00C134B9">
        <w:rPr>
          <w:rFonts w:ascii="ＭＳ ゴシック" w:eastAsia="ＭＳ ゴシック" w:hAnsi="ＭＳ ゴシック"/>
          <w:b/>
          <w:color w:val="00ACA1"/>
        </w:rPr>
        <w:tab/>
      </w:r>
    </w:p>
    <w:p w14:paraId="02A762C4" w14:textId="77777777" w:rsidR="0055291C" w:rsidRPr="00C134B9" w:rsidRDefault="0055291C" w:rsidP="00DE1B8E">
      <w:pPr>
        <w:pStyle w:val="a3"/>
        <w:tabs>
          <w:tab w:val="left" w:pos="1418"/>
        </w:tabs>
        <w:ind w:left="1418" w:right="900"/>
        <w:rPr>
          <w:rFonts w:ascii="ＭＳ ゴシック" w:eastAsia="ＭＳ ゴシック" w:hAnsi="ＭＳ ゴシック"/>
          <w:b/>
        </w:rPr>
      </w:pPr>
    </w:p>
    <w:p w14:paraId="6A84BB5D" w14:textId="7BC56B2F" w:rsidR="0055291C" w:rsidRPr="00F23AE0" w:rsidRDefault="00296FB1" w:rsidP="00296FB1">
      <w:pPr>
        <w:pStyle w:val="a3"/>
        <w:tabs>
          <w:tab w:val="left" w:pos="1418"/>
        </w:tabs>
        <w:spacing w:before="115" w:line="312" w:lineRule="auto"/>
        <w:ind w:left="3598" w:right="900" w:hanging="2180"/>
        <w:rPr>
          <w:rFonts w:ascii="ＭＳ ゴシック" w:eastAsia="ＭＳ ゴシック" w:hAnsi="ＭＳ ゴシック" w:cs="ＭＳ ゴシック"/>
          <w:bCs/>
          <w:lang w:eastAsia="ja-JP"/>
        </w:rPr>
      </w:pPr>
      <w:r w:rsidRPr="00C134B9">
        <w:rPr>
          <w:rFonts w:ascii="ＭＳ ゴシック" w:eastAsia="ＭＳ ゴシック" w:hAnsi="ＭＳ ゴシック" w:cs="ＭＳ ゴシック" w:hint="eastAsia"/>
          <w:b/>
          <w:color w:val="00ACA1"/>
          <w:lang w:eastAsia="ja-JP"/>
        </w:rPr>
        <w:t>除去/</w:t>
      </w:r>
      <w:r w:rsidR="00F23C61" w:rsidRPr="00C134B9">
        <w:rPr>
          <w:rFonts w:ascii="ＭＳ ゴシック" w:eastAsia="ＭＳ ゴシック" w:hAnsi="ＭＳ ゴシック"/>
          <w:b/>
          <w:color w:val="00ACA1"/>
          <w:lang w:eastAsia="ja-JP"/>
        </w:rPr>
        <w:t>Removal</w:t>
      </w:r>
      <w:r w:rsidR="00F23C61" w:rsidRPr="00F23AE0">
        <w:rPr>
          <w:rFonts w:ascii="ＭＳ ゴシック" w:eastAsia="ＭＳ ゴシック" w:hAnsi="ＭＳ ゴシック"/>
          <w:bCs/>
          <w:color w:val="00ACA1"/>
          <w:lang w:eastAsia="ja-JP"/>
        </w:rPr>
        <w:tab/>
      </w:r>
      <w:r w:rsidRPr="00F23AE0">
        <w:rPr>
          <w:rFonts w:ascii="ＭＳ ゴシック" w:eastAsia="ＭＳ ゴシック" w:hAnsi="ＭＳ ゴシック"/>
          <w:bCs/>
          <w:color w:val="00ACA1"/>
          <w:lang w:eastAsia="ja-JP"/>
        </w:rPr>
        <w:tab/>
      </w:r>
      <w:r w:rsidRPr="00F23AE0">
        <w:rPr>
          <w:rFonts w:ascii="ＭＳ ゴシック" w:eastAsia="ＭＳ ゴシック" w:hAnsi="ＭＳ ゴシック" w:cs="ＭＳ ゴシック" w:hint="eastAsia"/>
          <w:bCs/>
          <w:lang w:eastAsia="ja-JP"/>
        </w:rPr>
        <w:t>大気中から排出された温室効果ガスを隔離または吸収すること。一般に、光合成の際に</w:t>
      </w:r>
      <w:r w:rsidRPr="00F23AE0">
        <w:rPr>
          <w:rFonts w:ascii="ＭＳ ゴシック" w:eastAsia="ＭＳ ゴシック" w:hAnsi="ＭＳ ゴシック" w:cs="ＭＳ ゴシック"/>
          <w:bCs/>
          <w:lang w:eastAsia="ja-JP"/>
        </w:rPr>
        <w:br/>
      </w:r>
      <w:r w:rsidRPr="00F23AE0">
        <w:rPr>
          <w:rFonts w:ascii="ＭＳ ゴシック" w:eastAsia="ＭＳ ゴシック" w:hAnsi="ＭＳ ゴシック"/>
          <w:bCs/>
          <w:lang w:eastAsia="ja-JP"/>
        </w:rPr>
        <w:t>CO</w:t>
      </w:r>
      <w:r w:rsidRPr="00F23AE0">
        <w:rPr>
          <w:rFonts w:ascii="ＭＳ ゴシック" w:eastAsia="ＭＳ ゴシック" w:hAnsi="ＭＳ ゴシック"/>
          <w:bCs/>
          <w:vertAlign w:val="subscript"/>
          <w:lang w:eastAsia="ja-JP"/>
        </w:rPr>
        <w:t>2</w:t>
      </w:r>
      <w:r w:rsidRPr="00F23AE0">
        <w:rPr>
          <w:rFonts w:ascii="ＭＳ ゴシック" w:eastAsia="ＭＳ ゴシック" w:hAnsi="ＭＳ ゴシック" w:cs="ＭＳ ゴシック" w:hint="eastAsia"/>
          <w:bCs/>
          <w:lang w:eastAsia="ja-JP"/>
        </w:rPr>
        <w:t>が</w:t>
      </w:r>
      <w:r w:rsidRPr="00F23AE0">
        <w:rPr>
          <w:rFonts w:ascii="ＭＳ ゴシック" w:eastAsia="ＭＳ ゴシック" w:hAnsi="ＭＳ ゴシック" w:cs="ＭＳ ゴシック" w:hint="eastAsia"/>
          <w:bCs/>
          <w:lang w:eastAsia="ja-JP"/>
        </w:rPr>
        <w:t>生物起源物質に吸収されることによって起こる。</w:t>
      </w:r>
    </w:p>
    <w:p w14:paraId="0114C78B" w14:textId="77777777" w:rsidR="0055291C" w:rsidRPr="00F23AE0" w:rsidRDefault="0055291C" w:rsidP="00DE1B8E">
      <w:pPr>
        <w:pStyle w:val="a3"/>
        <w:tabs>
          <w:tab w:val="left" w:pos="1418"/>
        </w:tabs>
        <w:spacing w:before="5"/>
        <w:ind w:left="1418" w:right="900"/>
        <w:rPr>
          <w:rFonts w:ascii="ＭＳ ゴシック" w:eastAsia="ＭＳ ゴシック" w:hAnsi="ＭＳ ゴシック"/>
          <w:bCs/>
          <w:lang w:eastAsia="ja-JP"/>
        </w:rPr>
      </w:pPr>
    </w:p>
    <w:p w14:paraId="16F66B0B" w14:textId="5B6AD388" w:rsidR="0055291C" w:rsidRPr="00F23AE0" w:rsidRDefault="00296FB1" w:rsidP="00296FB1">
      <w:pPr>
        <w:pStyle w:val="a3"/>
        <w:tabs>
          <w:tab w:val="left" w:pos="1418"/>
        </w:tabs>
        <w:ind w:left="1418" w:right="900"/>
        <w:rPr>
          <w:rFonts w:ascii="ＭＳ ゴシック" w:eastAsia="ＭＳ ゴシック" w:hAnsi="ＭＳ ゴシック"/>
          <w:bCs/>
        </w:rPr>
      </w:pPr>
      <w:r w:rsidRPr="00C134B9">
        <w:rPr>
          <w:rFonts w:ascii="ＭＳ ゴシック" w:eastAsia="ＭＳ ゴシック" w:hAnsi="ＭＳ ゴシック" w:cs="ＭＳ ゴシック" w:hint="eastAsia"/>
          <w:b/>
          <w:color w:val="00ACA1"/>
          <w:w w:val="95"/>
          <w:lang w:eastAsia="ja-JP"/>
        </w:rPr>
        <w:t>報告企業/</w:t>
      </w:r>
      <w:r w:rsidRPr="00F23AE0">
        <w:rPr>
          <w:rFonts w:ascii="ＭＳ ゴシック" w:eastAsia="ＭＳ ゴシック" w:hAnsi="ＭＳ ゴシック" w:cs="ＭＳ ゴシック"/>
          <w:bCs/>
          <w:color w:val="00ACA1"/>
          <w:w w:val="95"/>
          <w:lang w:eastAsia="ja-JP"/>
        </w:rPr>
        <w:tab/>
      </w:r>
      <w:r w:rsidRPr="00F23AE0">
        <w:rPr>
          <w:rFonts w:ascii="ＭＳ ゴシック" w:eastAsia="ＭＳ ゴシック" w:hAnsi="ＭＳ ゴシック" w:cs="ＭＳ ゴシック"/>
          <w:bCs/>
          <w:color w:val="00ACA1"/>
          <w:w w:val="95"/>
          <w:lang w:eastAsia="ja-JP"/>
        </w:rPr>
        <w:tab/>
      </w:r>
      <w:r w:rsidRPr="00F23AE0">
        <w:rPr>
          <w:rFonts w:ascii="ＭＳ ゴシック" w:eastAsia="ＭＳ ゴシック" w:hAnsi="ＭＳ ゴシック" w:cs="ＭＳ ゴシック" w:hint="eastAsia"/>
          <w:bCs/>
          <w:color w:val="000000" w:themeColor="text1"/>
          <w:w w:val="95"/>
          <w:lang w:eastAsia="ja-JP"/>
        </w:rPr>
        <w:t>製品規格に準拠してGHG算出を実施する企業。</w:t>
      </w:r>
      <w:r w:rsidRPr="00F23AE0">
        <w:rPr>
          <w:rFonts w:ascii="ＭＳ ゴシック" w:eastAsia="ＭＳ ゴシック" w:hAnsi="ＭＳ ゴシック" w:cs="ＭＳ ゴシック"/>
          <w:bCs/>
          <w:color w:val="00ACA1"/>
          <w:w w:val="95"/>
        </w:rPr>
        <w:br/>
      </w:r>
      <w:r w:rsidR="00F23C61" w:rsidRPr="00C134B9">
        <w:rPr>
          <w:rFonts w:ascii="ＭＳ ゴシック" w:eastAsia="ＭＳ ゴシック" w:hAnsi="ＭＳ ゴシック"/>
          <w:b/>
          <w:color w:val="00ACA1"/>
          <w:w w:val="95"/>
        </w:rPr>
        <w:t>Reporting</w:t>
      </w:r>
      <w:r w:rsidR="00F23C61" w:rsidRPr="00C134B9">
        <w:rPr>
          <w:rFonts w:ascii="ＭＳ ゴシック" w:eastAsia="ＭＳ ゴシック" w:hAnsi="ＭＳ ゴシック"/>
          <w:b/>
          <w:color w:val="00ACA1"/>
          <w:spacing w:val="6"/>
          <w:w w:val="95"/>
        </w:rPr>
        <w:t xml:space="preserve"> </w:t>
      </w:r>
      <w:r w:rsidR="00F23C61" w:rsidRPr="00C134B9">
        <w:rPr>
          <w:rFonts w:ascii="ＭＳ ゴシック" w:eastAsia="ＭＳ ゴシック" w:hAnsi="ＭＳ ゴシック"/>
          <w:b/>
          <w:color w:val="00ACA1"/>
          <w:w w:val="95"/>
        </w:rPr>
        <w:t>company</w:t>
      </w:r>
      <w:r w:rsidR="00F23C61" w:rsidRPr="00F23AE0">
        <w:rPr>
          <w:rFonts w:ascii="ＭＳ ゴシック" w:eastAsia="ＭＳ ゴシック" w:hAnsi="ＭＳ ゴシック"/>
          <w:bCs/>
          <w:color w:val="00ACA1"/>
          <w:w w:val="95"/>
        </w:rPr>
        <w:tab/>
      </w:r>
    </w:p>
    <w:p w14:paraId="06753704" w14:textId="77777777" w:rsidR="0055291C" w:rsidRPr="00F23AE0" w:rsidRDefault="0055291C" w:rsidP="00DE1B8E">
      <w:pPr>
        <w:pStyle w:val="a3"/>
        <w:tabs>
          <w:tab w:val="left" w:pos="1418"/>
        </w:tabs>
        <w:spacing w:before="8"/>
        <w:ind w:left="1418" w:right="900"/>
        <w:rPr>
          <w:rFonts w:ascii="ＭＳ ゴシック" w:eastAsia="ＭＳ ゴシック" w:hAnsi="ＭＳ ゴシック"/>
          <w:bCs/>
        </w:rPr>
      </w:pPr>
    </w:p>
    <w:p w14:paraId="59CC3E26" w14:textId="160AF4A4" w:rsidR="0055291C" w:rsidRPr="00F23AE0" w:rsidRDefault="0022499A" w:rsidP="00DE1B8E">
      <w:pPr>
        <w:tabs>
          <w:tab w:val="left" w:pos="1418"/>
        </w:tabs>
        <w:ind w:left="1418" w:right="900"/>
        <w:rPr>
          <w:rFonts w:ascii="ＭＳ ゴシック" w:eastAsia="ＭＳ ゴシック" w:hAnsi="ＭＳ ゴシック"/>
          <w:bCs/>
          <w:sz w:val="19"/>
          <w:szCs w:val="19"/>
          <w:lang w:eastAsia="ja-JP"/>
        </w:rPr>
      </w:pPr>
      <w:r w:rsidRPr="00C134B9">
        <w:rPr>
          <w:rFonts w:ascii="ＭＳ ゴシック" w:eastAsia="ＭＳ ゴシック" w:hAnsi="ＭＳ ゴシック" w:cs="ＭＳ ゴシック" w:hint="eastAsia"/>
          <w:b/>
          <w:color w:val="00ACA1"/>
          <w:sz w:val="19"/>
          <w:szCs w:val="19"/>
          <w:lang w:eastAsia="ja-JP"/>
        </w:rPr>
        <w:t>同じ固有の特性/</w:t>
      </w:r>
      <w:r w:rsidRPr="00C134B9">
        <w:rPr>
          <w:rFonts w:ascii="ＭＳ ゴシック" w:eastAsia="ＭＳ ゴシック" w:hAnsi="ＭＳ ゴシック" w:cs="ＭＳ ゴシック"/>
          <w:b/>
          <w:color w:val="00ACA1"/>
          <w:sz w:val="19"/>
          <w:szCs w:val="19"/>
          <w:lang w:eastAsia="ja-JP"/>
        </w:rPr>
        <w:tab/>
      </w:r>
      <w:r w:rsidR="00C80874" w:rsidRPr="00C134B9">
        <w:rPr>
          <w:rFonts w:ascii="ＭＳ ゴシック" w:eastAsia="ＭＳ ゴシック" w:hAnsi="ＭＳ ゴシック"/>
          <w:b/>
          <w:color w:val="00ACA1"/>
          <w:sz w:val="19"/>
          <w:szCs w:val="19"/>
          <w:lang w:eastAsia="ja-JP"/>
        </w:rPr>
        <w:t>Same</w:t>
      </w:r>
      <w:r w:rsidRPr="00F23AE0">
        <w:rPr>
          <w:rFonts w:ascii="ＭＳ ゴシック" w:eastAsia="ＭＳ ゴシック" w:hAnsi="ＭＳ ゴシック" w:cs="ＭＳ ゴシック"/>
          <w:bCs/>
          <w:color w:val="00ACA1"/>
          <w:sz w:val="19"/>
          <w:szCs w:val="19"/>
          <w:lang w:eastAsia="ja-JP"/>
        </w:rPr>
        <w:tab/>
      </w:r>
      <w:r w:rsidRPr="00F23AE0">
        <w:rPr>
          <w:rFonts w:ascii="ＭＳ ゴシック" w:eastAsia="ＭＳ ゴシック" w:hAnsi="ＭＳ ゴシック" w:cs="ＭＳ ゴシック" w:hint="eastAsia"/>
          <w:bCs/>
          <w:sz w:val="19"/>
          <w:szCs w:val="19"/>
          <w:lang w:eastAsia="ja-JP"/>
        </w:rPr>
        <w:t>リサイクル</w:t>
      </w:r>
      <w:r w:rsidR="00C80874" w:rsidRPr="00F23AE0">
        <w:rPr>
          <w:rFonts w:ascii="ＭＳ ゴシック" w:eastAsia="ＭＳ ゴシック" w:hAnsi="ＭＳ ゴシック" w:cs="ＭＳ ゴシック" w:hint="eastAsia"/>
          <w:bCs/>
          <w:sz w:val="19"/>
          <w:szCs w:val="19"/>
          <w:lang w:eastAsia="ja-JP"/>
        </w:rPr>
        <w:t>した</w:t>
      </w:r>
      <w:r w:rsidRPr="00F23AE0">
        <w:rPr>
          <w:rFonts w:ascii="ＭＳ ゴシック" w:eastAsia="ＭＳ ゴシック" w:hAnsi="ＭＳ ゴシック" w:cs="ＭＳ ゴシック" w:hint="eastAsia"/>
          <w:bCs/>
          <w:sz w:val="19"/>
          <w:szCs w:val="19"/>
          <w:lang w:eastAsia="ja-JP"/>
        </w:rPr>
        <w:t>材が</w:t>
      </w:r>
      <w:r w:rsidRPr="00F23AE0">
        <w:rPr>
          <w:rFonts w:ascii="ＭＳ ゴシック" w:eastAsia="ＭＳ ゴシック" w:hAnsi="ＭＳ ゴシック" w:cs="ＭＳ ゴシック" w:hint="eastAsia"/>
          <w:bCs/>
          <w:sz w:val="19"/>
          <w:szCs w:val="19"/>
          <w:lang w:eastAsia="ja-JP"/>
        </w:rPr>
        <w:t>元の</w:t>
      </w:r>
      <w:r w:rsidRPr="00F23AE0">
        <w:rPr>
          <w:rFonts w:ascii="ＭＳ ゴシック" w:eastAsia="ＭＳ ゴシック" w:hAnsi="ＭＳ ゴシック" w:cs="ＭＳ ゴシック" w:hint="eastAsia"/>
          <w:bCs/>
          <w:sz w:val="19"/>
          <w:szCs w:val="19"/>
          <w:lang w:eastAsia="ja-JP"/>
        </w:rPr>
        <w:t>特性（化学的、物理的など）を維持している場合</w:t>
      </w:r>
      <w:r w:rsidRPr="00F23AE0">
        <w:rPr>
          <w:rFonts w:ascii="ＭＳ ゴシック" w:eastAsia="ＭＳ ゴシック" w:hAnsi="ＭＳ ゴシック" w:cs="ＭＳ ゴシック" w:hint="eastAsia"/>
          <w:bCs/>
          <w:sz w:val="19"/>
          <w:szCs w:val="19"/>
          <w:lang w:eastAsia="ja-JP"/>
        </w:rPr>
        <w:t>、</w:t>
      </w:r>
      <w:r w:rsidRPr="00F23AE0">
        <w:rPr>
          <w:rFonts w:ascii="ＭＳ ゴシック" w:eastAsia="ＭＳ ゴシック" w:hAnsi="ＭＳ ゴシック" w:cs="ＭＳ ゴシック" w:hint="eastAsia"/>
          <w:bCs/>
          <w:sz w:val="19"/>
          <w:szCs w:val="19"/>
          <w:lang w:eastAsia="ja-JP"/>
        </w:rPr>
        <w:t>バージン材</w:t>
      </w:r>
      <w:r w:rsidR="00C80874" w:rsidRPr="00F23AE0">
        <w:rPr>
          <w:rFonts w:ascii="ＭＳ ゴシック" w:eastAsia="ＭＳ ゴシック" w:hAnsi="ＭＳ ゴシック" w:cs="ＭＳ ゴシック" w:hint="eastAsia"/>
          <w:bCs/>
          <w:sz w:val="19"/>
          <w:szCs w:val="19"/>
          <w:lang w:eastAsia="ja-JP"/>
        </w:rPr>
        <w:t>と</w:t>
      </w:r>
      <w:r w:rsidRPr="00F23AE0">
        <w:rPr>
          <w:rFonts w:ascii="ＭＳ ゴシック" w:eastAsia="ＭＳ ゴシック" w:hAnsi="ＭＳ ゴシック" w:cs="ＭＳ ゴシック"/>
          <w:bCs/>
          <w:color w:val="00ACA1"/>
          <w:sz w:val="19"/>
          <w:szCs w:val="19"/>
          <w:lang w:eastAsia="ja-JP"/>
        </w:rPr>
        <w:br/>
      </w:r>
      <w:r w:rsidR="00F23C61" w:rsidRPr="00C134B9">
        <w:rPr>
          <w:rFonts w:ascii="ＭＳ ゴシック" w:eastAsia="ＭＳ ゴシック" w:hAnsi="ＭＳ ゴシック"/>
          <w:b/>
          <w:color w:val="00ACA1"/>
          <w:sz w:val="19"/>
          <w:szCs w:val="19"/>
          <w:lang w:eastAsia="ja-JP"/>
        </w:rPr>
        <w:t>inherent</w:t>
      </w:r>
      <w:r w:rsidR="00F23C61" w:rsidRPr="00C134B9">
        <w:rPr>
          <w:rFonts w:ascii="ＭＳ ゴシック" w:eastAsia="ＭＳ ゴシック" w:hAnsi="ＭＳ ゴシック"/>
          <w:b/>
          <w:color w:val="00ACA1"/>
          <w:spacing w:val="-6"/>
          <w:sz w:val="19"/>
          <w:szCs w:val="19"/>
          <w:lang w:eastAsia="ja-JP"/>
        </w:rPr>
        <w:t xml:space="preserve"> </w:t>
      </w:r>
      <w:r w:rsidR="00F23C61" w:rsidRPr="00C134B9">
        <w:rPr>
          <w:rFonts w:ascii="ＭＳ ゴシック" w:eastAsia="ＭＳ ゴシック" w:hAnsi="ＭＳ ゴシック"/>
          <w:b/>
          <w:color w:val="00ACA1"/>
          <w:sz w:val="19"/>
          <w:szCs w:val="19"/>
          <w:lang w:eastAsia="ja-JP"/>
        </w:rPr>
        <w:t>properties</w:t>
      </w:r>
      <w:r w:rsidR="00C80874" w:rsidRPr="00F23AE0">
        <w:rPr>
          <w:rFonts w:ascii="ＭＳ ゴシック" w:eastAsia="ＭＳ ゴシック" w:hAnsi="ＭＳ ゴシック"/>
          <w:bCs/>
          <w:color w:val="00ACA1"/>
          <w:sz w:val="19"/>
          <w:szCs w:val="19"/>
          <w:lang w:eastAsia="ja-JP"/>
        </w:rPr>
        <w:tab/>
      </w:r>
      <w:r w:rsidR="00C80874" w:rsidRPr="00F23AE0">
        <w:rPr>
          <w:rFonts w:ascii="ＭＳ ゴシック" w:eastAsia="ＭＳ ゴシック" w:hAnsi="ＭＳ ゴシック" w:cs="ＭＳ ゴシック" w:hint="eastAsia"/>
          <w:bCs/>
          <w:sz w:val="19"/>
          <w:szCs w:val="19"/>
          <w:lang w:eastAsia="ja-JP"/>
        </w:rPr>
        <w:t>直接置き換えることができる。</w:t>
      </w:r>
    </w:p>
    <w:p w14:paraId="4200C1F9" w14:textId="77777777" w:rsidR="0055291C" w:rsidRPr="00F23AE0" w:rsidRDefault="0055291C" w:rsidP="00DE1B8E">
      <w:pPr>
        <w:pStyle w:val="a3"/>
        <w:tabs>
          <w:tab w:val="left" w:pos="1418"/>
        </w:tabs>
        <w:ind w:left="1418" w:right="900"/>
        <w:rPr>
          <w:rFonts w:ascii="ＭＳ ゴシック" w:eastAsia="ＭＳ ゴシック" w:hAnsi="ＭＳ ゴシック"/>
          <w:bCs/>
        </w:rPr>
      </w:pPr>
    </w:p>
    <w:p w14:paraId="4DAACB67" w14:textId="35034D66" w:rsidR="0055291C" w:rsidRPr="00F23AE0" w:rsidRDefault="00C80874" w:rsidP="00C80874">
      <w:pPr>
        <w:pStyle w:val="a3"/>
        <w:tabs>
          <w:tab w:val="left" w:pos="1418"/>
        </w:tabs>
        <w:spacing w:before="115"/>
        <w:ind w:left="1418" w:right="900"/>
        <w:rPr>
          <w:rFonts w:ascii="ＭＳ ゴシック" w:eastAsia="ＭＳ ゴシック" w:hAnsi="ＭＳ ゴシック"/>
          <w:bCs/>
          <w:lang w:eastAsia="ja-JP"/>
        </w:rPr>
      </w:pPr>
      <w:r w:rsidRPr="00C134B9">
        <w:rPr>
          <w:rFonts w:ascii="ＭＳ ゴシック" w:eastAsia="ＭＳ ゴシック" w:hAnsi="ＭＳ ゴシック" w:cs="ＭＳ ゴシック" w:hint="eastAsia"/>
          <w:b/>
          <w:color w:val="00ACA1"/>
          <w:spacing w:val="-1"/>
          <w:lang w:eastAsia="ja-JP"/>
        </w:rPr>
        <w:t>スコープ３/</w:t>
      </w:r>
      <w:r w:rsidRPr="00F23AE0">
        <w:rPr>
          <w:rFonts w:ascii="ＭＳ ゴシック" w:eastAsia="ＭＳ ゴシック" w:hAnsi="ＭＳ ゴシック" w:cs="ＭＳ ゴシック"/>
          <w:bCs/>
          <w:color w:val="00ACA1"/>
          <w:spacing w:val="-1"/>
          <w:lang w:eastAsia="ja-JP"/>
        </w:rPr>
        <w:tab/>
      </w:r>
      <w:r w:rsidRPr="00F23AE0">
        <w:rPr>
          <w:rFonts w:ascii="ＭＳ ゴシック" w:eastAsia="ＭＳ ゴシック" w:hAnsi="ＭＳ ゴシック" w:cs="ＭＳ ゴシック"/>
          <w:bCs/>
          <w:color w:val="00ACA1"/>
          <w:spacing w:val="-1"/>
          <w:lang w:eastAsia="ja-JP"/>
        </w:rPr>
        <w:tab/>
      </w:r>
      <w:r w:rsidRPr="00F23AE0">
        <w:rPr>
          <w:rFonts w:ascii="ＭＳ ゴシック" w:eastAsia="ＭＳ ゴシック" w:hAnsi="ＭＳ ゴシック" w:cs="ＭＳ ゴシック" w:hint="eastAsia"/>
          <w:bCs/>
          <w:lang w:eastAsia="ja-JP"/>
        </w:rPr>
        <w:t>報告</w:t>
      </w:r>
      <w:r w:rsidRPr="00F23AE0">
        <w:rPr>
          <w:rFonts w:ascii="ＭＳ ゴシック" w:eastAsia="ＭＳ ゴシック" w:hAnsi="ＭＳ ゴシック" w:cs="ＭＳ ゴシック" w:hint="eastAsia"/>
          <w:bCs/>
          <w:lang w:eastAsia="ja-JP"/>
        </w:rPr>
        <w:t>企業</w:t>
      </w:r>
      <w:r w:rsidRPr="00F23AE0">
        <w:rPr>
          <w:rFonts w:ascii="ＭＳ ゴシック" w:eastAsia="ＭＳ ゴシック" w:hAnsi="ＭＳ ゴシック" w:cs="ＭＳ ゴシック" w:hint="eastAsia"/>
          <w:bCs/>
          <w:lang w:eastAsia="ja-JP"/>
        </w:rPr>
        <w:t>のスコープ</w:t>
      </w:r>
      <w:r w:rsidRPr="00F23AE0">
        <w:rPr>
          <w:rFonts w:ascii="ＭＳ ゴシック" w:eastAsia="ＭＳ ゴシック" w:hAnsi="ＭＳ ゴシック"/>
          <w:bCs/>
          <w:lang w:eastAsia="ja-JP"/>
        </w:rPr>
        <w:t>2</w:t>
      </w:r>
      <w:r w:rsidRPr="00F23AE0">
        <w:rPr>
          <w:rFonts w:ascii="ＭＳ ゴシック" w:eastAsia="ＭＳ ゴシック" w:hAnsi="ＭＳ ゴシック" w:cs="ＭＳ ゴシック" w:hint="eastAsia"/>
          <w:bCs/>
          <w:lang w:eastAsia="ja-JP"/>
        </w:rPr>
        <w:t>以外の間接排出量。</w:t>
      </w:r>
      <w:r w:rsidRPr="00F23AE0">
        <w:rPr>
          <w:rFonts w:ascii="ＭＳ ゴシック" w:eastAsia="ＭＳ ゴシック" w:hAnsi="ＭＳ ゴシック"/>
          <w:bCs/>
          <w:lang w:eastAsia="ja-JP"/>
        </w:rPr>
        <w:t xml:space="preserve"> </w:t>
      </w:r>
      <w:r w:rsidRPr="00F23AE0">
        <w:rPr>
          <w:rFonts w:ascii="ＭＳ ゴシック" w:eastAsia="ＭＳ ゴシック" w:hAnsi="ＭＳ ゴシック" w:cs="ＭＳ ゴシック" w:hint="eastAsia"/>
          <w:bCs/>
          <w:lang w:eastAsia="ja-JP"/>
        </w:rPr>
        <w:t>企業のスコープ</w:t>
      </w:r>
      <w:r w:rsidRPr="00F23AE0">
        <w:rPr>
          <w:rFonts w:ascii="ＭＳ ゴシック" w:eastAsia="ＭＳ ゴシック" w:hAnsi="ＭＳ ゴシック"/>
          <w:bCs/>
          <w:lang w:eastAsia="ja-JP"/>
        </w:rPr>
        <w:t>3</w:t>
      </w:r>
      <w:r w:rsidRPr="00F23AE0">
        <w:rPr>
          <w:rFonts w:ascii="ＭＳ ゴシック" w:eastAsia="ＭＳ ゴシック" w:hAnsi="ＭＳ ゴシック" w:cs="ＭＳ ゴシック" w:hint="eastAsia"/>
          <w:bCs/>
          <w:lang w:eastAsia="ja-JP"/>
        </w:rPr>
        <w:t>の排出量</w:t>
      </w:r>
      <w:r w:rsidRPr="00F23AE0">
        <w:rPr>
          <w:rFonts w:ascii="ＭＳ ゴシック" w:eastAsia="ＭＳ ゴシック" w:hAnsi="ＭＳ ゴシック" w:cs="ＭＳ ゴシック" w:hint="eastAsia"/>
          <w:bCs/>
          <w:lang w:eastAsia="ja-JP"/>
        </w:rPr>
        <w:t>には、報告企業</w:t>
      </w:r>
      <w:r w:rsidRPr="00F23AE0">
        <w:rPr>
          <w:rFonts w:ascii="ＭＳ ゴシック" w:eastAsia="ＭＳ ゴシック" w:hAnsi="ＭＳ ゴシック" w:cs="ＭＳ ゴシック" w:hint="eastAsia"/>
          <w:bCs/>
          <w:lang w:eastAsia="ja-JP"/>
        </w:rPr>
        <w:t>の上流</w:t>
      </w:r>
      <w:r w:rsidRPr="00F23AE0">
        <w:rPr>
          <w:rFonts w:ascii="ＭＳ ゴシック" w:eastAsia="ＭＳ ゴシック" w:hAnsi="ＭＳ ゴシック" w:cs="ＭＳ ゴシック"/>
          <w:bCs/>
          <w:color w:val="00ACA1"/>
          <w:spacing w:val="-1"/>
          <w:lang w:eastAsia="ja-JP"/>
        </w:rPr>
        <w:br/>
      </w:r>
      <w:r w:rsidR="00F23C61" w:rsidRPr="00C134B9">
        <w:rPr>
          <w:rFonts w:ascii="ＭＳ ゴシック" w:eastAsia="ＭＳ ゴシック" w:hAnsi="ＭＳ ゴシック"/>
          <w:b/>
          <w:color w:val="00ACA1"/>
          <w:spacing w:val="-1"/>
          <w:lang w:eastAsia="ja-JP"/>
        </w:rPr>
        <w:t>Scope</w:t>
      </w:r>
      <w:r w:rsidR="00F23C61" w:rsidRPr="00C134B9">
        <w:rPr>
          <w:rFonts w:ascii="ＭＳ ゴシック" w:eastAsia="ＭＳ ゴシック" w:hAnsi="ＭＳ ゴシック"/>
          <w:b/>
          <w:color w:val="00ACA1"/>
          <w:spacing w:val="-12"/>
          <w:lang w:eastAsia="ja-JP"/>
        </w:rPr>
        <w:t xml:space="preserve"> </w:t>
      </w:r>
      <w:r w:rsidR="00F23C61" w:rsidRPr="00C134B9">
        <w:rPr>
          <w:rFonts w:ascii="ＭＳ ゴシック" w:eastAsia="ＭＳ ゴシック" w:hAnsi="ＭＳ ゴシック"/>
          <w:b/>
          <w:color w:val="00ACA1"/>
          <w:spacing w:val="-1"/>
          <w:lang w:eastAsia="ja-JP"/>
        </w:rPr>
        <w:t>3</w:t>
      </w:r>
      <w:r w:rsidR="00F23C61" w:rsidRPr="00C134B9">
        <w:rPr>
          <w:rFonts w:ascii="ＭＳ ゴシック" w:eastAsia="ＭＳ ゴシック" w:hAnsi="ＭＳ ゴシック"/>
          <w:b/>
          <w:color w:val="00ACA1"/>
          <w:spacing w:val="-11"/>
          <w:lang w:eastAsia="ja-JP"/>
        </w:rPr>
        <w:t xml:space="preserve"> </w:t>
      </w:r>
      <w:r w:rsidR="00F23C61" w:rsidRPr="00C134B9">
        <w:rPr>
          <w:rFonts w:ascii="ＭＳ ゴシック" w:eastAsia="ＭＳ ゴシック" w:hAnsi="ＭＳ ゴシック"/>
          <w:b/>
          <w:color w:val="00ACA1"/>
          <w:spacing w:val="-1"/>
          <w:lang w:eastAsia="ja-JP"/>
        </w:rPr>
        <w:t>inventory</w:t>
      </w:r>
      <w:r w:rsidR="00F23C61" w:rsidRPr="00F23AE0">
        <w:rPr>
          <w:rFonts w:ascii="ＭＳ ゴシック" w:eastAsia="ＭＳ ゴシック" w:hAnsi="ＭＳ ゴシック"/>
          <w:bCs/>
          <w:color w:val="00ACA1"/>
          <w:spacing w:val="-1"/>
          <w:lang w:eastAsia="ja-JP"/>
        </w:rPr>
        <w:tab/>
      </w:r>
      <w:r w:rsidRPr="00F23AE0">
        <w:rPr>
          <w:rFonts w:ascii="ＭＳ ゴシック" w:eastAsia="ＭＳ ゴシック" w:hAnsi="ＭＳ ゴシック" w:cs="ＭＳ ゴシック" w:hint="eastAsia"/>
          <w:bCs/>
          <w:lang w:eastAsia="ja-JP"/>
        </w:rPr>
        <w:t>と下流の排出量も含まれ</w:t>
      </w:r>
      <w:r w:rsidRPr="00F23AE0">
        <w:rPr>
          <w:rFonts w:ascii="ＭＳ ゴシック" w:eastAsia="ＭＳ ゴシック" w:hAnsi="ＭＳ ゴシック" w:cs="ＭＳ ゴシック" w:hint="eastAsia"/>
          <w:bCs/>
          <w:lang w:eastAsia="ja-JP"/>
        </w:rPr>
        <w:t>る</w:t>
      </w:r>
      <w:r w:rsidRPr="00F23AE0">
        <w:rPr>
          <w:rFonts w:ascii="ＭＳ ゴシック" w:eastAsia="ＭＳ ゴシック" w:hAnsi="ＭＳ ゴシック" w:cs="ＭＳ ゴシック" w:hint="eastAsia"/>
          <w:bCs/>
          <w:lang w:eastAsia="ja-JP"/>
        </w:rPr>
        <w:t>。</w:t>
      </w:r>
    </w:p>
    <w:p w14:paraId="2C4A10F3" w14:textId="77777777" w:rsidR="0055291C" w:rsidRPr="00F23AE0" w:rsidRDefault="0055291C" w:rsidP="00DE1B8E">
      <w:pPr>
        <w:pStyle w:val="a3"/>
        <w:tabs>
          <w:tab w:val="left" w:pos="1418"/>
        </w:tabs>
        <w:spacing w:before="6"/>
        <w:ind w:left="1418" w:right="900"/>
        <w:rPr>
          <w:rFonts w:ascii="ＭＳ ゴシック" w:eastAsia="ＭＳ ゴシック" w:hAnsi="ＭＳ ゴシック"/>
          <w:bCs/>
          <w:lang w:eastAsia="ja-JP"/>
        </w:rPr>
      </w:pPr>
    </w:p>
    <w:p w14:paraId="30790EA6" w14:textId="4B109133" w:rsidR="0055291C" w:rsidRPr="00F23AE0" w:rsidRDefault="00C80874" w:rsidP="00DE1B8E">
      <w:pPr>
        <w:pStyle w:val="a3"/>
        <w:tabs>
          <w:tab w:val="left" w:pos="1418"/>
        </w:tabs>
        <w:ind w:left="1418" w:right="900"/>
        <w:rPr>
          <w:rFonts w:ascii="ＭＳ ゴシック" w:eastAsia="ＭＳ ゴシック" w:hAnsi="ＭＳ ゴシック"/>
          <w:bCs/>
          <w:lang w:eastAsia="ja-JP"/>
        </w:rPr>
      </w:pPr>
      <w:r w:rsidRPr="00C134B9">
        <w:rPr>
          <w:rFonts w:ascii="ＭＳ ゴシック" w:eastAsia="ＭＳ ゴシック" w:hAnsi="ＭＳ ゴシック" w:cs="ＭＳ ゴシック" w:hint="eastAsia"/>
          <w:b/>
          <w:color w:val="00ACA1"/>
          <w:spacing w:val="-1"/>
          <w:lang w:eastAsia="ja-JP"/>
        </w:rPr>
        <w:t>二次データ/</w:t>
      </w:r>
      <w:r w:rsidRPr="00C134B9">
        <w:rPr>
          <w:rFonts w:ascii="ＭＳ ゴシック" w:eastAsia="ＭＳ ゴシック" w:hAnsi="ＭＳ ゴシック"/>
          <w:b/>
          <w:color w:val="00ACA1"/>
          <w:spacing w:val="-1"/>
          <w:lang w:eastAsia="ja-JP"/>
        </w:rPr>
        <w:t>Secondary</w:t>
      </w:r>
      <w:r w:rsidRPr="00C134B9">
        <w:rPr>
          <w:rFonts w:ascii="ＭＳ ゴシック" w:eastAsia="ＭＳ ゴシック" w:hAnsi="ＭＳ ゴシック"/>
          <w:b/>
          <w:color w:val="00ACA1"/>
          <w:spacing w:val="-12"/>
          <w:lang w:eastAsia="ja-JP"/>
        </w:rPr>
        <w:t xml:space="preserve"> </w:t>
      </w:r>
      <w:r w:rsidRPr="00C134B9">
        <w:rPr>
          <w:rFonts w:ascii="ＭＳ ゴシック" w:eastAsia="ＭＳ ゴシック" w:hAnsi="ＭＳ ゴシック"/>
          <w:b/>
          <w:color w:val="00ACA1"/>
          <w:spacing w:val="-1"/>
          <w:lang w:eastAsia="ja-JP"/>
        </w:rPr>
        <w:t>data</w:t>
      </w:r>
      <w:r w:rsidRPr="00F23AE0">
        <w:rPr>
          <w:rFonts w:ascii="ＭＳ ゴシック" w:eastAsia="ＭＳ ゴシック" w:hAnsi="ＭＳ ゴシック" w:cs="ＭＳ ゴシック"/>
          <w:bCs/>
          <w:color w:val="00ACA1"/>
          <w:spacing w:val="-1"/>
          <w:lang w:eastAsia="ja-JP"/>
        </w:rPr>
        <w:t xml:space="preserve"> </w:t>
      </w:r>
      <w:r w:rsidRPr="00F23AE0">
        <w:rPr>
          <w:rFonts w:ascii="ＭＳ ゴシック" w:eastAsia="ＭＳ ゴシック" w:hAnsi="ＭＳ ゴシック" w:cs="ＭＳ ゴシック" w:hint="eastAsia"/>
          <w:bCs/>
          <w:lang w:eastAsia="ja-JP"/>
        </w:rPr>
        <w:t>調査対象製品のライフサイクルの特定</w:t>
      </w:r>
      <w:r w:rsidRPr="00F23AE0">
        <w:rPr>
          <w:rFonts w:ascii="ＭＳ ゴシック" w:eastAsia="ＭＳ ゴシック" w:hAnsi="ＭＳ ゴシック" w:cs="ＭＳ ゴシック" w:hint="eastAsia"/>
          <w:bCs/>
          <w:lang w:eastAsia="ja-JP"/>
        </w:rPr>
        <w:t>の</w:t>
      </w:r>
      <w:r w:rsidRPr="00F23AE0">
        <w:rPr>
          <w:rFonts w:ascii="ＭＳ ゴシック" w:eastAsia="ＭＳ ゴシック" w:hAnsi="ＭＳ ゴシック" w:cs="ＭＳ ゴシック" w:hint="eastAsia"/>
          <w:bCs/>
          <w:lang w:eastAsia="ja-JP"/>
        </w:rPr>
        <w:t>工程以外の</w:t>
      </w:r>
      <w:r w:rsidRPr="00F23AE0">
        <w:rPr>
          <w:rFonts w:ascii="ＭＳ ゴシック" w:eastAsia="ＭＳ ゴシック" w:hAnsi="ＭＳ ゴシック" w:cs="ＭＳ ゴシック" w:hint="eastAsia"/>
          <w:bCs/>
          <w:lang w:eastAsia="ja-JP"/>
        </w:rPr>
        <w:t>工程</w:t>
      </w:r>
      <w:r w:rsidRPr="00F23AE0">
        <w:rPr>
          <w:rFonts w:ascii="ＭＳ ゴシック" w:eastAsia="ＭＳ ゴシック" w:hAnsi="ＭＳ ゴシック" w:cs="ＭＳ ゴシック" w:hint="eastAsia"/>
          <w:bCs/>
          <w:lang w:eastAsia="ja-JP"/>
        </w:rPr>
        <w:t>データ。</w:t>
      </w:r>
      <w:r w:rsidR="00F23C61" w:rsidRPr="00F23AE0">
        <w:rPr>
          <w:rFonts w:ascii="ＭＳ ゴシック" w:eastAsia="ＭＳ ゴシック" w:hAnsi="ＭＳ ゴシック"/>
          <w:bCs/>
          <w:color w:val="00ACA1"/>
          <w:spacing w:val="-1"/>
          <w:lang w:eastAsia="ja-JP"/>
        </w:rPr>
        <w:tab/>
      </w:r>
    </w:p>
    <w:p w14:paraId="2F33BE03" w14:textId="77777777" w:rsidR="0055291C" w:rsidRPr="00F23AE0" w:rsidRDefault="0055291C" w:rsidP="00DE1B8E">
      <w:pPr>
        <w:pStyle w:val="a3"/>
        <w:tabs>
          <w:tab w:val="left" w:pos="1418"/>
        </w:tabs>
        <w:ind w:left="1418" w:right="900"/>
        <w:rPr>
          <w:rFonts w:ascii="ＭＳ ゴシック" w:eastAsia="ＭＳ ゴシック" w:hAnsi="ＭＳ ゴシック"/>
          <w:bCs/>
          <w:lang w:eastAsia="ja-JP"/>
        </w:rPr>
      </w:pPr>
    </w:p>
    <w:p w14:paraId="6F0D4C68" w14:textId="254B72E1" w:rsidR="0055291C" w:rsidRPr="00F23AE0" w:rsidRDefault="00C80874" w:rsidP="008A5E41">
      <w:pPr>
        <w:pStyle w:val="a3"/>
        <w:tabs>
          <w:tab w:val="left" w:pos="1418"/>
        </w:tabs>
        <w:spacing w:before="115" w:line="312" w:lineRule="auto"/>
        <w:ind w:left="1418" w:right="900"/>
        <w:rPr>
          <w:rFonts w:ascii="ＭＳ ゴシック" w:eastAsia="ＭＳ ゴシック" w:hAnsi="ＭＳ ゴシック" w:cs="ＭＳ ゴシック"/>
          <w:bCs/>
          <w:color w:val="00ACA1"/>
          <w:w w:val="95"/>
          <w:lang w:eastAsia="ja-JP"/>
        </w:rPr>
      </w:pPr>
      <w:r w:rsidRPr="00C134B9">
        <w:rPr>
          <w:rFonts w:ascii="ＭＳ ゴシック" w:eastAsia="ＭＳ ゴシック" w:hAnsi="ＭＳ ゴシック" w:cs="ＭＳ ゴシック" w:hint="eastAsia"/>
          <w:b/>
          <w:color w:val="00ACA1"/>
          <w:w w:val="95"/>
          <w:lang w:eastAsia="ja-JP"/>
        </w:rPr>
        <w:t>セクターガイダンス/</w:t>
      </w:r>
      <w:r w:rsidR="008A5E41" w:rsidRPr="00F23AE0">
        <w:rPr>
          <w:rFonts w:ascii="ＭＳ ゴシック" w:eastAsia="ＭＳ ゴシック" w:hAnsi="ＭＳ ゴシック" w:cs="ＭＳ ゴシック"/>
          <w:bCs/>
          <w:color w:val="00ACA1"/>
          <w:w w:val="95"/>
          <w:lang w:eastAsia="ja-JP"/>
        </w:rPr>
        <w:tab/>
      </w:r>
      <w:r w:rsidR="008A5E41" w:rsidRPr="00F23AE0">
        <w:rPr>
          <w:rFonts w:ascii="ＭＳ ゴシック" w:eastAsia="ＭＳ ゴシック" w:hAnsi="ＭＳ ゴシック" w:cs="ＭＳ ゴシック" w:hint="eastAsia"/>
          <w:bCs/>
          <w:lang w:eastAsia="ja-JP"/>
        </w:rPr>
        <w:t>特定のセクター内で製品</w:t>
      </w:r>
      <w:r w:rsidR="008A5E41" w:rsidRPr="00F23AE0">
        <w:rPr>
          <w:rFonts w:ascii="ＭＳ ゴシック" w:eastAsia="ＭＳ ゴシック" w:hAnsi="ＭＳ ゴシック"/>
          <w:bCs/>
          <w:lang w:eastAsia="ja-JP"/>
        </w:rPr>
        <w:t>GHG</w:t>
      </w:r>
      <w:r w:rsidR="008A5E41" w:rsidRPr="00F23AE0">
        <w:rPr>
          <w:rFonts w:ascii="ＭＳ ゴシック" w:eastAsia="ＭＳ ゴシック" w:hAnsi="ＭＳ ゴシック" w:cs="ＭＳ ゴシック" w:hint="eastAsia"/>
          <w:bCs/>
          <w:lang w:eastAsia="ja-JP"/>
        </w:rPr>
        <w:t>算出を実行するためのガイダンスを提供する文書またはツー</w:t>
      </w:r>
      <w:r w:rsidR="008A5E41" w:rsidRPr="00F23AE0">
        <w:rPr>
          <w:rFonts w:ascii="ＭＳ ゴシック" w:eastAsia="ＭＳ ゴシック" w:hAnsi="ＭＳ ゴシック" w:cs="ＭＳ ゴシック"/>
          <w:bCs/>
          <w:color w:val="00ACA1"/>
          <w:w w:val="95"/>
          <w:lang w:eastAsia="ja-JP"/>
        </w:rPr>
        <w:br/>
      </w:r>
      <w:r w:rsidR="00F23C61" w:rsidRPr="00C134B9">
        <w:rPr>
          <w:rFonts w:ascii="ＭＳ ゴシック" w:eastAsia="ＭＳ ゴシック" w:hAnsi="ＭＳ ゴシック"/>
          <w:b/>
          <w:color w:val="00ACA1"/>
          <w:w w:val="95"/>
          <w:lang w:eastAsia="ja-JP"/>
        </w:rPr>
        <w:t>Sector</w:t>
      </w:r>
      <w:r w:rsidR="00F23C61" w:rsidRPr="00C134B9">
        <w:rPr>
          <w:rFonts w:ascii="ＭＳ ゴシック" w:eastAsia="ＭＳ ゴシック" w:hAnsi="ＭＳ ゴシック"/>
          <w:b/>
          <w:color w:val="00ACA1"/>
          <w:spacing w:val="3"/>
          <w:w w:val="95"/>
          <w:lang w:eastAsia="ja-JP"/>
        </w:rPr>
        <w:t xml:space="preserve"> </w:t>
      </w:r>
      <w:r w:rsidR="00F23C61" w:rsidRPr="00C134B9">
        <w:rPr>
          <w:rFonts w:ascii="ＭＳ ゴシック" w:eastAsia="ＭＳ ゴシック" w:hAnsi="ＭＳ ゴシック"/>
          <w:b/>
          <w:color w:val="00ACA1"/>
          <w:w w:val="95"/>
          <w:lang w:eastAsia="ja-JP"/>
        </w:rPr>
        <w:t>guidance</w:t>
      </w:r>
      <w:r w:rsidR="00F23C61" w:rsidRPr="00C134B9">
        <w:rPr>
          <w:rFonts w:ascii="ＭＳ ゴシック" w:eastAsia="ＭＳ ゴシック" w:hAnsi="ＭＳ ゴシック"/>
          <w:b/>
          <w:color w:val="00ACA1"/>
          <w:w w:val="95"/>
          <w:lang w:eastAsia="ja-JP"/>
        </w:rPr>
        <w:tab/>
      </w:r>
      <w:r w:rsidR="008A5E41" w:rsidRPr="00F23AE0">
        <w:rPr>
          <w:rFonts w:ascii="ＭＳ ゴシック" w:eastAsia="ＭＳ ゴシック" w:hAnsi="ＭＳ ゴシック"/>
          <w:bCs/>
          <w:color w:val="00ACA1"/>
          <w:w w:val="95"/>
          <w:lang w:eastAsia="ja-JP"/>
        </w:rPr>
        <w:tab/>
      </w:r>
      <w:r w:rsidR="008A5E41" w:rsidRPr="00F23AE0">
        <w:rPr>
          <w:rFonts w:ascii="ＭＳ ゴシック" w:eastAsia="ＭＳ ゴシック" w:hAnsi="ＭＳ ゴシック" w:cs="ＭＳ ゴシック" w:hint="eastAsia"/>
          <w:bCs/>
          <w:color w:val="000000" w:themeColor="text1"/>
          <w:w w:val="95"/>
          <w:lang w:eastAsia="ja-JP"/>
        </w:rPr>
        <w:t>ル。</w:t>
      </w:r>
    </w:p>
    <w:p w14:paraId="6C393162" w14:textId="6784AD82" w:rsidR="0055291C" w:rsidRPr="00F23AE0" w:rsidRDefault="0055291C" w:rsidP="008A5E41">
      <w:pPr>
        <w:tabs>
          <w:tab w:val="left" w:pos="1418"/>
        </w:tabs>
        <w:spacing w:line="312" w:lineRule="auto"/>
        <w:ind w:right="900"/>
        <w:rPr>
          <w:rFonts w:ascii="ＭＳ ゴシック" w:eastAsia="ＭＳ ゴシック" w:hAnsi="ＭＳ ゴシック" w:hint="eastAsia"/>
          <w:bCs/>
          <w:sz w:val="19"/>
          <w:szCs w:val="19"/>
          <w:lang w:eastAsia="ja-JP"/>
        </w:rPr>
        <w:sectPr w:rsidR="0055291C" w:rsidRPr="00F23AE0" w:rsidSect="00C80874">
          <w:pgSz w:w="12240" w:h="15840"/>
          <w:pgMar w:top="620" w:right="0" w:bottom="851" w:left="0" w:header="0" w:footer="859" w:gutter="0"/>
          <w:cols w:space="720"/>
        </w:sectPr>
      </w:pPr>
    </w:p>
    <w:p w14:paraId="69286353" w14:textId="77777777" w:rsidR="0055291C" w:rsidRPr="00F23AE0" w:rsidRDefault="00000000" w:rsidP="00DE1B8E">
      <w:pPr>
        <w:pStyle w:val="a3"/>
        <w:tabs>
          <w:tab w:val="left" w:pos="1418"/>
        </w:tabs>
        <w:ind w:left="1418" w:right="900"/>
        <w:rPr>
          <w:rFonts w:ascii="ＭＳ ゴシック" w:eastAsia="ＭＳ ゴシック" w:hAnsi="ＭＳ ゴシック"/>
          <w:bCs/>
          <w:lang w:eastAsia="ja-JP"/>
        </w:rPr>
      </w:pPr>
      <w:r w:rsidRPr="00F23AE0">
        <w:rPr>
          <w:rFonts w:ascii="ＭＳ ゴシック" w:eastAsia="ＭＳ ゴシック" w:hAnsi="ＭＳ ゴシック"/>
          <w:bCs/>
        </w:rPr>
        <w:lastRenderedPageBreak/>
        <w:pict w14:anchorId="262BA477">
          <v:shape id="docshape1717" o:spid="_x0000_s2104" style="position:absolute;left:0;text-align:left;margin-left:580.75pt;margin-top:0;width:31.3pt;height:285.85pt;z-index:251686400;mso-position-horizontal-relative:page;mso-position-vertical-relative:page" coordorigin="11615" coordsize="626,5717" path="m12240,r-625,l11615,5489r3,131l11643,5688r67,25l11842,5716r398,l12240,xe" fillcolor="#00aca1" stroked="f">
            <v:path arrowok="t"/>
            <w10:wrap anchorx="page" anchory="page"/>
          </v:shape>
        </w:pict>
      </w:r>
    </w:p>
    <w:p w14:paraId="4D77688E" w14:textId="77777777" w:rsidR="0055291C" w:rsidRPr="00F23AE0" w:rsidRDefault="0055291C" w:rsidP="00DE1B8E">
      <w:pPr>
        <w:pStyle w:val="a3"/>
        <w:tabs>
          <w:tab w:val="left" w:pos="1418"/>
        </w:tabs>
        <w:spacing w:before="6"/>
        <w:ind w:left="1418" w:right="900"/>
        <w:rPr>
          <w:rFonts w:ascii="ＭＳ ゴシック" w:eastAsia="ＭＳ ゴシック" w:hAnsi="ＭＳ ゴシック"/>
          <w:bCs/>
          <w:lang w:eastAsia="ja-JP"/>
        </w:rPr>
      </w:pPr>
    </w:p>
    <w:p w14:paraId="010805C8" w14:textId="4498D8B7" w:rsidR="008A5E41" w:rsidRPr="00F23AE0" w:rsidRDefault="008A5E41" w:rsidP="008A5E41">
      <w:pPr>
        <w:pStyle w:val="a3"/>
        <w:tabs>
          <w:tab w:val="left" w:pos="1418"/>
        </w:tabs>
        <w:spacing w:before="99" w:line="312" w:lineRule="auto"/>
        <w:ind w:left="1418" w:right="900"/>
        <w:rPr>
          <w:rFonts w:ascii="ＭＳ ゴシック" w:eastAsia="ＭＳ ゴシック" w:hAnsi="ＭＳ ゴシック" w:cs="ＭＳ ゴシック"/>
          <w:bCs/>
        </w:rPr>
      </w:pPr>
      <w:r w:rsidRPr="00C134B9">
        <w:rPr>
          <w:rFonts w:ascii="ＭＳ ゴシック" w:eastAsia="ＭＳ ゴシック" w:hAnsi="ＭＳ ゴシック" w:cs="ＭＳ ゴシック" w:hint="eastAsia"/>
          <w:b/>
          <w:color w:val="00ACA1"/>
          <w:lang w:eastAsia="ja-JP"/>
        </w:rPr>
        <w:t>耐用年数/</w:t>
      </w:r>
      <w:r w:rsidR="00F23C61" w:rsidRPr="00C134B9">
        <w:rPr>
          <w:rFonts w:ascii="ＭＳ ゴシック" w:eastAsia="ＭＳ ゴシック" w:hAnsi="ＭＳ ゴシック"/>
          <w:b/>
          <w:color w:val="00ACA1"/>
        </w:rPr>
        <w:t>Service</w:t>
      </w:r>
      <w:r w:rsidR="00F23C61" w:rsidRPr="00C134B9">
        <w:rPr>
          <w:rFonts w:ascii="ＭＳ ゴシック" w:eastAsia="ＭＳ ゴシック" w:hAnsi="ＭＳ ゴシック"/>
          <w:b/>
          <w:color w:val="00ACA1"/>
          <w:spacing w:val="-7"/>
        </w:rPr>
        <w:t xml:space="preserve"> </w:t>
      </w:r>
      <w:r w:rsidR="00F23C61" w:rsidRPr="00C134B9">
        <w:rPr>
          <w:rFonts w:ascii="ＭＳ ゴシック" w:eastAsia="ＭＳ ゴシック" w:hAnsi="ＭＳ ゴシック"/>
          <w:b/>
          <w:color w:val="00ACA1"/>
        </w:rPr>
        <w:t>life</w:t>
      </w:r>
      <w:r w:rsidR="00F23C61" w:rsidRPr="00F23AE0">
        <w:rPr>
          <w:rFonts w:ascii="ＭＳ ゴシック" w:eastAsia="ＭＳ ゴシック" w:hAnsi="ＭＳ ゴシック"/>
          <w:bCs/>
          <w:color w:val="00ACA1"/>
        </w:rPr>
        <w:tab/>
      </w:r>
      <w:proofErr w:type="spellStart"/>
      <w:r w:rsidRPr="00F23AE0">
        <w:rPr>
          <w:rFonts w:ascii="ＭＳ ゴシック" w:eastAsia="ＭＳ ゴシック" w:hAnsi="ＭＳ ゴシック" w:cs="ＭＳ ゴシック" w:hint="eastAsia"/>
          <w:bCs/>
        </w:rPr>
        <w:t>製品が分析単位で定義された機能を果たすために必要な時間</w:t>
      </w:r>
      <w:proofErr w:type="spellEnd"/>
      <w:r w:rsidRPr="00F23AE0">
        <w:rPr>
          <w:rFonts w:ascii="ＭＳ ゴシック" w:eastAsia="ＭＳ ゴシック" w:hAnsi="ＭＳ ゴシック" w:cs="ＭＳ ゴシック" w:hint="eastAsia"/>
          <w:bCs/>
        </w:rPr>
        <w:t>。</w:t>
      </w:r>
    </w:p>
    <w:p w14:paraId="36BEBEE2" w14:textId="77777777" w:rsidR="008A5E41" w:rsidRPr="00F23AE0" w:rsidRDefault="008A5E41" w:rsidP="008A5E41">
      <w:pPr>
        <w:pStyle w:val="a3"/>
        <w:tabs>
          <w:tab w:val="left" w:pos="1418"/>
        </w:tabs>
        <w:spacing w:before="99" w:line="312" w:lineRule="auto"/>
        <w:ind w:left="1418" w:right="900"/>
        <w:rPr>
          <w:rFonts w:ascii="ＭＳ ゴシック" w:eastAsia="ＭＳ ゴシック" w:hAnsi="ＭＳ ゴシック" w:cs="ＭＳ ゴシック"/>
          <w:bCs/>
        </w:rPr>
      </w:pPr>
    </w:p>
    <w:p w14:paraId="4B075BB2" w14:textId="0A718720" w:rsidR="0055291C" w:rsidRPr="00C134B9" w:rsidRDefault="008A5E41" w:rsidP="00DE1B8E">
      <w:pPr>
        <w:tabs>
          <w:tab w:val="left" w:pos="1418"/>
        </w:tabs>
        <w:ind w:left="1418" w:right="900"/>
        <w:rPr>
          <w:rFonts w:ascii="ＭＳ ゴシック" w:eastAsia="ＭＳ ゴシック" w:hAnsi="ＭＳ ゴシック"/>
          <w:b/>
          <w:sz w:val="19"/>
          <w:szCs w:val="19"/>
        </w:rPr>
      </w:pPr>
      <w:r w:rsidRPr="00C134B9">
        <w:rPr>
          <w:rFonts w:ascii="ＭＳ ゴシック" w:eastAsia="ＭＳ ゴシック" w:hAnsi="ＭＳ ゴシック" w:cs="ＭＳ ゴシック" w:hint="eastAsia"/>
          <w:b/>
          <w:color w:val="00ACA1"/>
          <w:sz w:val="19"/>
          <w:szCs w:val="19"/>
          <w:lang w:eastAsia="ja-JP"/>
        </w:rPr>
        <w:t>調査対象製品/</w:t>
      </w:r>
      <w:r w:rsidRPr="00F23AE0">
        <w:rPr>
          <w:rFonts w:ascii="ＭＳ ゴシック" w:eastAsia="ＭＳ ゴシック" w:hAnsi="ＭＳ ゴシック" w:cs="ＭＳ ゴシック"/>
          <w:bCs/>
          <w:color w:val="00ACA1"/>
          <w:sz w:val="19"/>
          <w:szCs w:val="19"/>
          <w:lang w:eastAsia="ja-JP"/>
        </w:rPr>
        <w:tab/>
      </w:r>
      <w:r w:rsidRPr="00F23AE0">
        <w:rPr>
          <w:rFonts w:ascii="ＭＳ ゴシック" w:eastAsia="ＭＳ ゴシック" w:hAnsi="ＭＳ ゴシック" w:cs="ＭＳ ゴシック"/>
          <w:bCs/>
          <w:color w:val="00ACA1"/>
          <w:sz w:val="19"/>
          <w:szCs w:val="19"/>
          <w:lang w:eastAsia="ja-JP"/>
        </w:rPr>
        <w:tab/>
      </w:r>
      <w:r w:rsidRPr="00F23AE0">
        <w:rPr>
          <w:rFonts w:ascii="ＭＳ ゴシック" w:eastAsia="ＭＳ ゴシック" w:hAnsi="ＭＳ ゴシック" w:cs="ＭＳ ゴシック" w:hint="eastAsia"/>
          <w:bCs/>
          <w:color w:val="000000" w:themeColor="text1"/>
          <w:sz w:val="19"/>
          <w:szCs w:val="19"/>
          <w:lang w:eastAsia="ja-JP"/>
        </w:rPr>
        <w:t>GHG排出量の算出を行う製品。</w:t>
      </w:r>
      <w:r w:rsidRPr="00F23AE0">
        <w:rPr>
          <w:rFonts w:ascii="ＭＳ ゴシック" w:eastAsia="ＭＳ ゴシック" w:hAnsi="ＭＳ ゴシック" w:cs="ＭＳ ゴシック"/>
          <w:bCs/>
          <w:color w:val="00ACA1"/>
          <w:sz w:val="19"/>
          <w:szCs w:val="19"/>
        </w:rPr>
        <w:br/>
      </w:r>
      <w:r w:rsidR="00F23C61" w:rsidRPr="00C134B9">
        <w:rPr>
          <w:rFonts w:ascii="ＭＳ ゴシック" w:eastAsia="ＭＳ ゴシック" w:hAnsi="ＭＳ ゴシック"/>
          <w:b/>
          <w:color w:val="00ACA1"/>
          <w:sz w:val="19"/>
          <w:szCs w:val="19"/>
        </w:rPr>
        <w:t>Studied</w:t>
      </w:r>
      <w:r w:rsidR="00F23C61" w:rsidRPr="00C134B9">
        <w:rPr>
          <w:rFonts w:ascii="ＭＳ ゴシック" w:eastAsia="ＭＳ ゴシック" w:hAnsi="ＭＳ ゴシック"/>
          <w:b/>
          <w:color w:val="00ACA1"/>
          <w:spacing w:val="-10"/>
          <w:sz w:val="19"/>
          <w:szCs w:val="19"/>
        </w:rPr>
        <w:t xml:space="preserve"> </w:t>
      </w:r>
      <w:r w:rsidR="00F23C61" w:rsidRPr="00C134B9">
        <w:rPr>
          <w:rFonts w:ascii="ＭＳ ゴシック" w:eastAsia="ＭＳ ゴシック" w:hAnsi="ＭＳ ゴシック"/>
          <w:b/>
          <w:color w:val="00ACA1"/>
          <w:sz w:val="19"/>
          <w:szCs w:val="19"/>
        </w:rPr>
        <w:t>product</w:t>
      </w:r>
      <w:r w:rsidR="00F23C61" w:rsidRPr="00C134B9">
        <w:rPr>
          <w:rFonts w:ascii="ＭＳ ゴシック" w:eastAsia="ＭＳ ゴシック" w:hAnsi="ＭＳ ゴシック"/>
          <w:b/>
          <w:color w:val="00ACA1"/>
          <w:sz w:val="19"/>
          <w:szCs w:val="19"/>
        </w:rPr>
        <w:tab/>
      </w:r>
    </w:p>
    <w:p w14:paraId="7455A2C3" w14:textId="77777777" w:rsidR="0055291C" w:rsidRPr="00C134B9" w:rsidRDefault="0055291C" w:rsidP="00DE1B8E">
      <w:pPr>
        <w:pStyle w:val="a3"/>
        <w:tabs>
          <w:tab w:val="left" w:pos="1418"/>
        </w:tabs>
        <w:ind w:left="1418" w:right="900"/>
        <w:rPr>
          <w:rFonts w:ascii="ＭＳ ゴシック" w:eastAsia="ＭＳ ゴシック" w:hAnsi="ＭＳ ゴシック"/>
          <w:b/>
        </w:rPr>
      </w:pPr>
    </w:p>
    <w:p w14:paraId="145210A6" w14:textId="76E2CFA0" w:rsidR="0055291C" w:rsidRPr="00C134B9" w:rsidRDefault="008A5E41" w:rsidP="00DE1B8E">
      <w:pPr>
        <w:tabs>
          <w:tab w:val="left" w:pos="1418"/>
        </w:tabs>
        <w:spacing w:before="115"/>
        <w:ind w:left="1418" w:right="900"/>
        <w:rPr>
          <w:rFonts w:ascii="ＭＳ ゴシック" w:eastAsia="ＭＳ ゴシック" w:hAnsi="ＭＳ ゴシック"/>
          <w:b/>
          <w:sz w:val="19"/>
          <w:szCs w:val="19"/>
        </w:rPr>
      </w:pPr>
      <w:r w:rsidRPr="00C134B9">
        <w:rPr>
          <w:rFonts w:ascii="ＭＳ ゴシック" w:eastAsia="ＭＳ ゴシック" w:hAnsi="ＭＳ ゴシック" w:cs="ＭＳ ゴシック" w:hint="eastAsia"/>
          <w:b/>
          <w:color w:val="00ACA1"/>
          <w:sz w:val="19"/>
          <w:szCs w:val="19"/>
          <w:lang w:eastAsia="ja-JP"/>
        </w:rPr>
        <w:t>第三者認証/</w:t>
      </w:r>
      <w:r w:rsidRPr="00F23AE0">
        <w:rPr>
          <w:rFonts w:ascii="ＭＳ ゴシック" w:eastAsia="ＭＳ ゴシック" w:hAnsi="ＭＳ ゴシック" w:cs="ＭＳ ゴシック"/>
          <w:bCs/>
          <w:color w:val="00ACA1"/>
          <w:sz w:val="19"/>
          <w:szCs w:val="19"/>
          <w:lang w:eastAsia="ja-JP"/>
        </w:rPr>
        <w:tab/>
      </w:r>
      <w:r w:rsidRPr="00F23AE0">
        <w:rPr>
          <w:rFonts w:ascii="ＭＳ ゴシック" w:eastAsia="ＭＳ ゴシック" w:hAnsi="ＭＳ ゴシック" w:cs="ＭＳ ゴシック"/>
          <w:bCs/>
          <w:color w:val="00ACA1"/>
          <w:sz w:val="19"/>
          <w:szCs w:val="19"/>
          <w:lang w:eastAsia="ja-JP"/>
        </w:rPr>
        <w:tab/>
      </w:r>
      <w:r w:rsidRPr="00F23AE0">
        <w:rPr>
          <w:rFonts w:ascii="ＭＳ ゴシック" w:eastAsia="ＭＳ ゴシック" w:hAnsi="ＭＳ ゴシック" w:cs="ＭＳ ゴシック" w:hint="eastAsia"/>
          <w:bCs/>
          <w:color w:val="000000" w:themeColor="text1"/>
          <w:sz w:val="19"/>
          <w:szCs w:val="19"/>
          <w:lang w:eastAsia="ja-JP"/>
        </w:rPr>
        <w:t>報告書作成プロセスから独立した組織の人が行う保証プロセス。</w:t>
      </w:r>
      <w:r w:rsidRPr="00F23AE0">
        <w:rPr>
          <w:rFonts w:ascii="ＭＳ ゴシック" w:eastAsia="ＭＳ ゴシック" w:hAnsi="ＭＳ ゴシック" w:cs="ＭＳ ゴシック"/>
          <w:bCs/>
          <w:color w:val="00ACA1"/>
          <w:sz w:val="19"/>
          <w:szCs w:val="19"/>
        </w:rPr>
        <w:br/>
      </w:r>
      <w:r w:rsidR="00F23C61" w:rsidRPr="00C134B9">
        <w:rPr>
          <w:rFonts w:ascii="ＭＳ ゴシック" w:eastAsia="ＭＳ ゴシック" w:hAnsi="ＭＳ ゴシック"/>
          <w:b/>
          <w:color w:val="00ACA1"/>
          <w:sz w:val="19"/>
          <w:szCs w:val="19"/>
        </w:rPr>
        <w:t>Third</w:t>
      </w:r>
      <w:r w:rsidR="00F23C61" w:rsidRPr="00C134B9">
        <w:rPr>
          <w:rFonts w:ascii="ＭＳ ゴシック" w:eastAsia="ＭＳ ゴシック" w:hAnsi="ＭＳ ゴシック"/>
          <w:b/>
          <w:color w:val="00ACA1"/>
          <w:spacing w:val="-1"/>
          <w:sz w:val="19"/>
          <w:szCs w:val="19"/>
        </w:rPr>
        <w:t xml:space="preserve"> </w:t>
      </w:r>
      <w:r w:rsidR="00F23C61" w:rsidRPr="00C134B9">
        <w:rPr>
          <w:rFonts w:ascii="ＭＳ ゴシック" w:eastAsia="ＭＳ ゴシック" w:hAnsi="ＭＳ ゴシック"/>
          <w:b/>
          <w:color w:val="00ACA1"/>
          <w:sz w:val="19"/>
          <w:szCs w:val="19"/>
        </w:rPr>
        <w:t>party</w:t>
      </w:r>
      <w:r w:rsidR="00F23C61" w:rsidRPr="00C134B9">
        <w:rPr>
          <w:rFonts w:ascii="ＭＳ ゴシック" w:eastAsia="ＭＳ ゴシック" w:hAnsi="ＭＳ ゴシック"/>
          <w:b/>
          <w:color w:val="00ACA1"/>
          <w:spacing w:val="-1"/>
          <w:sz w:val="19"/>
          <w:szCs w:val="19"/>
        </w:rPr>
        <w:t xml:space="preserve"> </w:t>
      </w:r>
      <w:r w:rsidR="00F23C61" w:rsidRPr="00C134B9">
        <w:rPr>
          <w:rFonts w:ascii="ＭＳ ゴシック" w:eastAsia="ＭＳ ゴシック" w:hAnsi="ＭＳ ゴシック"/>
          <w:b/>
          <w:color w:val="00ACA1"/>
          <w:sz w:val="19"/>
          <w:szCs w:val="19"/>
        </w:rPr>
        <w:t>(external)</w:t>
      </w:r>
      <w:r w:rsidR="00F23C61" w:rsidRPr="00C134B9">
        <w:rPr>
          <w:rFonts w:ascii="ＭＳ ゴシック" w:eastAsia="ＭＳ ゴシック" w:hAnsi="ＭＳ ゴシック"/>
          <w:b/>
          <w:color w:val="00ACA1"/>
          <w:sz w:val="19"/>
          <w:szCs w:val="19"/>
        </w:rPr>
        <w:tab/>
      </w:r>
    </w:p>
    <w:p w14:paraId="2B5562E2" w14:textId="76442ED3" w:rsidR="0055291C" w:rsidRPr="00C134B9" w:rsidRDefault="00F23C61" w:rsidP="00DE1B8E">
      <w:pPr>
        <w:tabs>
          <w:tab w:val="left" w:pos="1418"/>
        </w:tabs>
        <w:spacing w:before="61"/>
        <w:ind w:left="1418" w:right="900"/>
        <w:rPr>
          <w:rFonts w:ascii="ＭＳ ゴシック" w:eastAsia="ＭＳ ゴシック" w:hAnsi="ＭＳ ゴシック"/>
          <w:b/>
          <w:sz w:val="19"/>
          <w:szCs w:val="19"/>
        </w:rPr>
      </w:pPr>
      <w:r w:rsidRPr="00C134B9">
        <w:rPr>
          <w:rFonts w:ascii="ＭＳ ゴシック" w:eastAsia="ＭＳ ゴシック" w:hAnsi="ＭＳ ゴシック"/>
          <w:b/>
          <w:color w:val="00ACA1"/>
          <w:sz w:val="19"/>
          <w:szCs w:val="19"/>
        </w:rPr>
        <w:t>assurance</w:t>
      </w:r>
      <w:r w:rsidRPr="00C134B9">
        <w:rPr>
          <w:rFonts w:ascii="ＭＳ ゴシック" w:eastAsia="ＭＳ ゴシック" w:hAnsi="ＭＳ ゴシック"/>
          <w:b/>
          <w:color w:val="00ACA1"/>
          <w:sz w:val="19"/>
          <w:szCs w:val="19"/>
        </w:rPr>
        <w:tab/>
      </w:r>
    </w:p>
    <w:p w14:paraId="05BF42E2" w14:textId="77777777" w:rsidR="0055291C" w:rsidRPr="00C134B9" w:rsidRDefault="0055291C" w:rsidP="00DE1B8E">
      <w:pPr>
        <w:pStyle w:val="a3"/>
        <w:tabs>
          <w:tab w:val="left" w:pos="1418"/>
        </w:tabs>
        <w:ind w:left="1418" w:right="900"/>
        <w:rPr>
          <w:rFonts w:ascii="ＭＳ ゴシック" w:eastAsia="ＭＳ ゴシック" w:hAnsi="ＭＳ ゴシック"/>
          <w:b/>
        </w:rPr>
      </w:pPr>
    </w:p>
    <w:p w14:paraId="15759638" w14:textId="753437F7" w:rsidR="0055291C" w:rsidRPr="00F23AE0" w:rsidRDefault="008A5E41" w:rsidP="00F56D24">
      <w:pPr>
        <w:pStyle w:val="a3"/>
        <w:tabs>
          <w:tab w:val="left" w:pos="1418"/>
        </w:tabs>
        <w:spacing w:before="116" w:line="312" w:lineRule="auto"/>
        <w:ind w:left="3594" w:right="900" w:hanging="2176"/>
        <w:rPr>
          <w:rFonts w:ascii="ＭＳ ゴシック" w:eastAsia="ＭＳ ゴシック" w:hAnsi="ＭＳ ゴシック" w:cs="ＭＳ ゴシック"/>
          <w:bCs/>
          <w:lang w:eastAsia="ja-JP"/>
        </w:rPr>
      </w:pPr>
      <w:r w:rsidRPr="00C134B9">
        <w:rPr>
          <w:rFonts w:ascii="ＭＳ ゴシック" w:eastAsia="ＭＳ ゴシック" w:hAnsi="ＭＳ ゴシック" w:cs="ＭＳ ゴシック" w:hint="eastAsia"/>
          <w:b/>
          <w:color w:val="00ACA1"/>
          <w:lang w:eastAsia="ja-JP"/>
        </w:rPr>
        <w:t>期間/</w:t>
      </w:r>
      <w:r w:rsidR="00F23C61" w:rsidRPr="00C134B9">
        <w:rPr>
          <w:rFonts w:ascii="ＭＳ ゴシック" w:eastAsia="ＭＳ ゴシック" w:hAnsi="ＭＳ ゴシック"/>
          <w:b/>
          <w:color w:val="00ACA1"/>
          <w:lang w:eastAsia="ja-JP"/>
        </w:rPr>
        <w:t>Time</w:t>
      </w:r>
      <w:r w:rsidR="00F23C61" w:rsidRPr="00C134B9">
        <w:rPr>
          <w:rFonts w:ascii="ＭＳ ゴシック" w:eastAsia="ＭＳ ゴシック" w:hAnsi="ＭＳ ゴシック"/>
          <w:b/>
          <w:color w:val="00ACA1"/>
          <w:spacing w:val="-9"/>
          <w:lang w:eastAsia="ja-JP"/>
        </w:rPr>
        <w:t xml:space="preserve"> </w:t>
      </w:r>
      <w:r w:rsidR="00F23C61" w:rsidRPr="00C134B9">
        <w:rPr>
          <w:rFonts w:ascii="ＭＳ ゴシック" w:eastAsia="ＭＳ ゴシック" w:hAnsi="ＭＳ ゴシック"/>
          <w:b/>
          <w:color w:val="00ACA1"/>
          <w:lang w:eastAsia="ja-JP"/>
        </w:rPr>
        <w:t>period</w:t>
      </w:r>
      <w:r w:rsidR="00F23C61" w:rsidRPr="00F23AE0">
        <w:rPr>
          <w:rFonts w:ascii="ＭＳ ゴシック" w:eastAsia="ＭＳ ゴシック" w:hAnsi="ＭＳ ゴシック"/>
          <w:bCs/>
          <w:color w:val="00ACA1"/>
          <w:lang w:eastAsia="ja-JP"/>
        </w:rPr>
        <w:tab/>
      </w:r>
      <w:r w:rsidRPr="00F23AE0">
        <w:rPr>
          <w:rFonts w:ascii="ＭＳ ゴシック" w:eastAsia="ＭＳ ゴシック" w:hAnsi="ＭＳ ゴシック" w:cs="ＭＳ ゴシック" w:hint="eastAsia"/>
          <w:bCs/>
          <w:lang w:eastAsia="ja-JP"/>
        </w:rPr>
        <w:t>調査対象製品のライフサイクルにおいて、材料が自然から採取されてから、使用終了時に</w:t>
      </w:r>
      <w:r w:rsidR="00F56D24" w:rsidRPr="00F23AE0">
        <w:rPr>
          <w:rFonts w:ascii="ＭＳ ゴシック" w:eastAsia="ＭＳ ゴシック" w:hAnsi="ＭＳ ゴシック" w:cs="ＭＳ ゴシック"/>
          <w:bCs/>
          <w:lang w:eastAsia="ja-JP"/>
        </w:rPr>
        <w:br/>
      </w:r>
      <w:r w:rsidRPr="00F23AE0">
        <w:rPr>
          <w:rFonts w:ascii="ＭＳ ゴシック" w:eastAsia="ＭＳ ゴシック" w:hAnsi="ＭＳ ゴシック" w:cs="ＭＳ ゴシック" w:hint="eastAsia"/>
          <w:bCs/>
          <w:lang w:eastAsia="ja-JP"/>
        </w:rPr>
        <w:t>自然に還る（例：焼却）、または調査対象製品のライフサイクルから外れる（例：リサイクルされる）までの、帰属プロセスが発生する期間。</w:t>
      </w:r>
    </w:p>
    <w:p w14:paraId="5B10AC12" w14:textId="77777777" w:rsidR="0055291C" w:rsidRPr="00F23AE0" w:rsidRDefault="0055291C" w:rsidP="00DE1B8E">
      <w:pPr>
        <w:pStyle w:val="a3"/>
        <w:tabs>
          <w:tab w:val="left" w:pos="1418"/>
        </w:tabs>
        <w:spacing w:before="5"/>
        <w:ind w:left="1418" w:right="900"/>
        <w:rPr>
          <w:rFonts w:ascii="ＭＳ ゴシック" w:eastAsia="ＭＳ ゴシック" w:hAnsi="ＭＳ ゴシック"/>
          <w:bCs/>
          <w:lang w:eastAsia="ja-JP"/>
        </w:rPr>
      </w:pPr>
    </w:p>
    <w:p w14:paraId="29A6248E" w14:textId="1803757A" w:rsidR="0055291C" w:rsidRPr="00F23AE0" w:rsidRDefault="00F56D24" w:rsidP="00F56D24">
      <w:pPr>
        <w:pStyle w:val="a3"/>
        <w:tabs>
          <w:tab w:val="left" w:pos="1418"/>
          <w:tab w:val="left" w:pos="3529"/>
        </w:tabs>
        <w:spacing w:line="312" w:lineRule="auto"/>
        <w:ind w:left="1418" w:right="900"/>
        <w:rPr>
          <w:rFonts w:ascii="ＭＳ ゴシック" w:eastAsia="ＭＳ ゴシック" w:hAnsi="ＭＳ ゴシック"/>
          <w:bCs/>
          <w:lang w:eastAsia="ja-JP"/>
        </w:rPr>
      </w:pPr>
      <w:r w:rsidRPr="00C134B9">
        <w:rPr>
          <w:rFonts w:ascii="ＭＳ ゴシック" w:eastAsia="ＭＳ ゴシック" w:hAnsi="ＭＳ ゴシック" w:cs="ＭＳ ゴシック" w:hint="eastAsia"/>
          <w:b/>
          <w:color w:val="00ACA1"/>
          <w:lang w:eastAsia="ja-JP"/>
        </w:rPr>
        <w:t>定性的不確実性/</w:t>
      </w: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hint="eastAsia"/>
          <w:bCs/>
          <w:lang w:eastAsia="ja-JP"/>
        </w:rPr>
        <w:t>代表的でない要因や方法の適用、排出源と吸収源に関する不完全なデータ、透明性の欠如</w:t>
      </w:r>
      <w:r w:rsidRPr="00F23AE0">
        <w:rPr>
          <w:rFonts w:ascii="ＭＳ ゴシック" w:eastAsia="ＭＳ ゴシック" w:hAnsi="ＭＳ ゴシック" w:cs="ＭＳ ゴシック"/>
          <w:bCs/>
          <w:color w:val="00ACA1"/>
          <w:lang w:eastAsia="ja-JP"/>
        </w:rPr>
        <w:br/>
      </w:r>
      <w:r w:rsidR="00F23C61" w:rsidRPr="00C134B9">
        <w:rPr>
          <w:rFonts w:ascii="ＭＳ ゴシック" w:eastAsia="ＭＳ ゴシック" w:hAnsi="ＭＳ ゴシック"/>
          <w:b/>
          <w:color w:val="00ACA1"/>
          <w:lang w:eastAsia="ja-JP"/>
        </w:rPr>
        <w:t>Qualitative</w:t>
      </w:r>
      <w:r w:rsidR="00F23C61" w:rsidRPr="00C134B9">
        <w:rPr>
          <w:rFonts w:ascii="ＭＳ ゴシック" w:eastAsia="ＭＳ ゴシック" w:hAnsi="ＭＳ ゴシック"/>
          <w:b/>
          <w:color w:val="00ACA1"/>
          <w:spacing w:val="2"/>
          <w:lang w:eastAsia="ja-JP"/>
        </w:rPr>
        <w:t xml:space="preserve"> </w:t>
      </w:r>
      <w:r w:rsidR="00F23C61" w:rsidRPr="00C134B9">
        <w:rPr>
          <w:rFonts w:ascii="ＭＳ ゴシック" w:eastAsia="ＭＳ ゴシック" w:hAnsi="ＭＳ ゴシック"/>
          <w:b/>
          <w:color w:val="00ACA1"/>
          <w:lang w:eastAsia="ja-JP"/>
        </w:rPr>
        <w:t>uncertainty</w:t>
      </w:r>
      <w:r w:rsidR="00F23C61" w:rsidRPr="00F23AE0">
        <w:rPr>
          <w:rFonts w:ascii="ＭＳ ゴシック" w:eastAsia="ＭＳ ゴシック" w:hAnsi="ＭＳ ゴシック"/>
          <w:bCs/>
          <w:color w:val="00ACA1"/>
          <w:lang w:eastAsia="ja-JP"/>
        </w:rPr>
        <w:tab/>
      </w:r>
      <w:r w:rsidRPr="00F23AE0">
        <w:rPr>
          <w:rFonts w:ascii="ＭＳ ゴシック" w:eastAsia="ＭＳ ゴシック" w:hAnsi="ＭＳ ゴシック" w:cs="ＭＳ ゴシック" w:hint="eastAsia"/>
          <w:bCs/>
          <w:lang w:eastAsia="ja-JP"/>
        </w:rPr>
        <w:t>など、データや方法論の選択における確実性の欠如を指す一般的で不正確な用語。</w:t>
      </w:r>
    </w:p>
    <w:p w14:paraId="65D51248" w14:textId="77777777" w:rsidR="0055291C" w:rsidRPr="00F23AE0" w:rsidRDefault="0055291C" w:rsidP="00DE1B8E">
      <w:pPr>
        <w:pStyle w:val="a3"/>
        <w:tabs>
          <w:tab w:val="left" w:pos="1418"/>
        </w:tabs>
        <w:spacing w:before="5"/>
        <w:ind w:left="1418" w:right="900"/>
        <w:rPr>
          <w:rFonts w:ascii="ＭＳ ゴシック" w:eastAsia="ＭＳ ゴシック" w:hAnsi="ＭＳ ゴシック"/>
          <w:bCs/>
          <w:lang w:eastAsia="ja-JP"/>
        </w:rPr>
      </w:pPr>
    </w:p>
    <w:p w14:paraId="3A2B44ED" w14:textId="4D5EB579" w:rsidR="0055291C" w:rsidRPr="00F23AE0" w:rsidRDefault="00F56D24" w:rsidP="00F56D24">
      <w:pPr>
        <w:pStyle w:val="a3"/>
        <w:tabs>
          <w:tab w:val="left" w:pos="1418"/>
        </w:tabs>
        <w:spacing w:line="312" w:lineRule="auto"/>
        <w:ind w:left="1418" w:right="616"/>
        <w:rPr>
          <w:rFonts w:ascii="ＭＳ ゴシック" w:eastAsia="ＭＳ ゴシック" w:hAnsi="ＭＳ ゴシック"/>
          <w:bCs/>
        </w:rPr>
      </w:pPr>
      <w:r w:rsidRPr="00C134B9">
        <w:rPr>
          <w:rFonts w:ascii="ＭＳ ゴシック" w:eastAsia="ＭＳ ゴシック" w:hAnsi="ＭＳ ゴシック" w:cs="ＭＳ ゴシック" w:hint="eastAsia"/>
          <w:b/>
          <w:color w:val="00ACA1"/>
          <w:lang w:eastAsia="ja-JP"/>
        </w:rPr>
        <w:t>定量的不確実性/</w:t>
      </w:r>
      <w:r w:rsidRPr="00C134B9">
        <w:rPr>
          <w:rFonts w:ascii="ＭＳ ゴシック" w:eastAsia="ＭＳ ゴシック" w:hAnsi="ＭＳ ゴシック" w:cs="ＭＳ ゴシック"/>
          <w:b/>
          <w:color w:val="00ACA1"/>
          <w:lang w:eastAsia="ja-JP"/>
        </w:rPr>
        <w:tab/>
      </w: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hint="eastAsia"/>
          <w:bCs/>
          <w:lang w:eastAsia="ja-JP"/>
        </w:rPr>
        <w:t>あるパラメータに合理的に帰属し得る値の分散を特徴付ける測定法（</w:t>
      </w:r>
      <w:r w:rsidRPr="00F23AE0">
        <w:rPr>
          <w:rFonts w:ascii="ＭＳ ゴシック" w:eastAsia="ＭＳ ゴシック" w:hAnsi="ＭＳ ゴシック"/>
          <w:bCs/>
          <w:lang w:eastAsia="ja-JP"/>
        </w:rPr>
        <w:t>ISO1995</w:t>
      </w:r>
      <w:r w:rsidRPr="00F23AE0">
        <w:rPr>
          <w:rFonts w:ascii="ＭＳ ゴシック" w:eastAsia="ＭＳ ゴシック" w:hAnsi="ＭＳ ゴシック" w:cs="ＭＳ ゴシック" w:hint="eastAsia"/>
          <w:bCs/>
          <w:lang w:eastAsia="ja-JP"/>
        </w:rPr>
        <w:t>より引用）。</w:t>
      </w:r>
      <w:r w:rsidRPr="00F23AE0">
        <w:rPr>
          <w:rFonts w:ascii="ＭＳ ゴシック" w:eastAsia="ＭＳ ゴシック" w:hAnsi="ＭＳ ゴシック"/>
          <w:bCs/>
          <w:vertAlign w:val="superscript"/>
        </w:rPr>
        <w:t>15</w:t>
      </w:r>
      <w:r w:rsidRPr="00F23AE0">
        <w:rPr>
          <w:rFonts w:ascii="ＭＳ ゴシック" w:eastAsia="ＭＳ ゴシック" w:hAnsi="ＭＳ ゴシック" w:cs="ＭＳ ゴシック"/>
          <w:bCs/>
          <w:color w:val="00ACA1"/>
        </w:rPr>
        <w:br/>
      </w:r>
      <w:r w:rsidR="00F23C61" w:rsidRPr="00C134B9">
        <w:rPr>
          <w:rFonts w:ascii="ＭＳ ゴシック" w:eastAsia="ＭＳ ゴシック" w:hAnsi="ＭＳ ゴシック"/>
          <w:b/>
          <w:color w:val="00ACA1"/>
        </w:rPr>
        <w:t>Quantitative</w:t>
      </w:r>
      <w:r w:rsidR="00F23C61" w:rsidRPr="00C134B9">
        <w:rPr>
          <w:rFonts w:ascii="ＭＳ ゴシック" w:eastAsia="ＭＳ ゴシック" w:hAnsi="ＭＳ ゴシック"/>
          <w:b/>
          <w:color w:val="00ACA1"/>
          <w:spacing w:val="5"/>
        </w:rPr>
        <w:t xml:space="preserve"> </w:t>
      </w:r>
      <w:r w:rsidR="00F23C61" w:rsidRPr="00C134B9">
        <w:rPr>
          <w:rFonts w:ascii="ＭＳ ゴシック" w:eastAsia="ＭＳ ゴシック" w:hAnsi="ＭＳ ゴシック"/>
          <w:b/>
          <w:color w:val="00ACA1"/>
        </w:rPr>
        <w:t>uncertainty</w:t>
      </w:r>
      <w:r w:rsidR="00F23C61" w:rsidRPr="00F23AE0">
        <w:rPr>
          <w:rFonts w:ascii="ＭＳ ゴシック" w:eastAsia="ＭＳ ゴシック" w:hAnsi="ＭＳ ゴシック"/>
          <w:bCs/>
          <w:color w:val="00ACA1"/>
        </w:rPr>
        <w:tab/>
      </w:r>
    </w:p>
    <w:p w14:paraId="28FFF9BD" w14:textId="77777777" w:rsidR="0055291C" w:rsidRPr="00F23AE0" w:rsidRDefault="0055291C" w:rsidP="00DE1B8E">
      <w:pPr>
        <w:pStyle w:val="a3"/>
        <w:tabs>
          <w:tab w:val="left" w:pos="1418"/>
        </w:tabs>
        <w:spacing w:before="5"/>
        <w:ind w:left="1418" w:right="900"/>
        <w:rPr>
          <w:rFonts w:ascii="ＭＳ ゴシック" w:eastAsia="ＭＳ ゴシック" w:hAnsi="ＭＳ ゴシック"/>
          <w:bCs/>
        </w:rPr>
      </w:pPr>
    </w:p>
    <w:p w14:paraId="7F1C7FA1" w14:textId="150A31F1" w:rsidR="0055291C" w:rsidRPr="00F23AE0" w:rsidRDefault="00F56D24" w:rsidP="00DE1B8E">
      <w:pPr>
        <w:pStyle w:val="a3"/>
        <w:tabs>
          <w:tab w:val="left" w:pos="1418"/>
        </w:tabs>
        <w:spacing w:line="312" w:lineRule="auto"/>
        <w:ind w:left="1418" w:right="900"/>
        <w:rPr>
          <w:rFonts w:ascii="ＭＳ ゴシック" w:eastAsia="ＭＳ ゴシック" w:hAnsi="ＭＳ ゴシック"/>
          <w:bCs/>
          <w:lang w:eastAsia="ja-JP"/>
        </w:rPr>
      </w:pPr>
      <w:r w:rsidRPr="00C134B9">
        <w:rPr>
          <w:rFonts w:ascii="ＭＳ ゴシック" w:eastAsia="ＭＳ ゴシック" w:hAnsi="ＭＳ ゴシック" w:cs="ＭＳ ゴシック" w:hint="eastAsia"/>
          <w:b/>
          <w:color w:val="00ACA1"/>
          <w:lang w:eastAsia="ja-JP"/>
        </w:rPr>
        <w:t>分析単位/</w:t>
      </w: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bCs/>
          <w:color w:val="00ACA1"/>
          <w:lang w:eastAsia="ja-JP"/>
        </w:rPr>
        <w:tab/>
      </w:r>
      <w:r w:rsidRPr="00F23AE0">
        <w:rPr>
          <w:rFonts w:ascii="ＭＳ ゴシック" w:eastAsia="ＭＳ ゴシック" w:hAnsi="ＭＳ ゴシック" w:cs="ＭＳ ゴシック" w:hint="eastAsia"/>
          <w:bCs/>
          <w:lang w:eastAsia="ja-JP"/>
        </w:rPr>
        <w:t>算出結果が計算される根拠。分析単位は、最終製品については機能単位</w:t>
      </w:r>
      <w:r w:rsidRPr="00F23AE0">
        <w:rPr>
          <w:rFonts w:ascii="ＭＳ ゴシック" w:eastAsia="ＭＳ ゴシック" w:hAnsi="ＭＳ ゴシック"/>
          <w:bCs/>
          <w:lang w:eastAsia="ja-JP"/>
        </w:rPr>
        <w:t xml:space="preserve"> </w:t>
      </w:r>
      <w:r w:rsidRPr="00F23AE0">
        <w:rPr>
          <w:rFonts w:ascii="ＭＳ ゴシック" w:eastAsia="ＭＳ ゴシック" w:hAnsi="ＭＳ ゴシック" w:cs="ＭＳ ゴシック" w:hint="eastAsia"/>
          <w:bCs/>
          <w:lang w:eastAsia="ja-JP"/>
        </w:rPr>
        <w:t>、中間製品につい</w:t>
      </w:r>
      <w:r w:rsidRPr="00F23AE0">
        <w:rPr>
          <w:rFonts w:ascii="ＭＳ ゴシック" w:eastAsia="ＭＳ ゴシック" w:hAnsi="ＭＳ ゴシック" w:cs="ＭＳ ゴシック"/>
          <w:bCs/>
          <w:color w:val="00ACA1"/>
          <w:lang w:eastAsia="ja-JP"/>
        </w:rPr>
        <w:br/>
      </w:r>
      <w:r w:rsidR="00F23C61" w:rsidRPr="00C134B9">
        <w:rPr>
          <w:rFonts w:ascii="ＭＳ ゴシック" w:eastAsia="ＭＳ ゴシック" w:hAnsi="ＭＳ ゴシック"/>
          <w:b/>
          <w:color w:val="00ACA1"/>
          <w:lang w:eastAsia="ja-JP"/>
        </w:rPr>
        <w:t>Unit</w:t>
      </w:r>
      <w:r w:rsidR="00F23C61" w:rsidRPr="00C134B9">
        <w:rPr>
          <w:rFonts w:ascii="ＭＳ ゴシック" w:eastAsia="ＭＳ ゴシック" w:hAnsi="ＭＳ ゴシック"/>
          <w:b/>
          <w:color w:val="00ACA1"/>
          <w:spacing w:val="-12"/>
          <w:lang w:eastAsia="ja-JP"/>
        </w:rPr>
        <w:t xml:space="preserve"> </w:t>
      </w:r>
      <w:r w:rsidR="00F23C61" w:rsidRPr="00C134B9">
        <w:rPr>
          <w:rFonts w:ascii="ＭＳ ゴシック" w:eastAsia="ＭＳ ゴシック" w:hAnsi="ＭＳ ゴシック"/>
          <w:b/>
          <w:color w:val="00ACA1"/>
          <w:lang w:eastAsia="ja-JP"/>
        </w:rPr>
        <w:t>of</w:t>
      </w:r>
      <w:r w:rsidR="00F23C61" w:rsidRPr="00C134B9">
        <w:rPr>
          <w:rFonts w:ascii="ＭＳ ゴシック" w:eastAsia="ＭＳ ゴシック" w:hAnsi="ＭＳ ゴシック"/>
          <w:b/>
          <w:color w:val="00ACA1"/>
          <w:spacing w:val="-11"/>
          <w:lang w:eastAsia="ja-JP"/>
        </w:rPr>
        <w:t xml:space="preserve"> </w:t>
      </w:r>
      <w:r w:rsidR="00F23C61" w:rsidRPr="00C134B9">
        <w:rPr>
          <w:rFonts w:ascii="ＭＳ ゴシック" w:eastAsia="ＭＳ ゴシック" w:hAnsi="ＭＳ ゴシック"/>
          <w:b/>
          <w:color w:val="00ACA1"/>
          <w:lang w:eastAsia="ja-JP"/>
        </w:rPr>
        <w:t>analysis</w:t>
      </w:r>
      <w:r w:rsidR="00F23C61" w:rsidRPr="00F23AE0">
        <w:rPr>
          <w:rFonts w:ascii="ＭＳ ゴシック" w:eastAsia="ＭＳ ゴシック" w:hAnsi="ＭＳ ゴシック"/>
          <w:bCs/>
          <w:color w:val="00ACA1"/>
          <w:lang w:eastAsia="ja-JP"/>
        </w:rPr>
        <w:tab/>
      </w:r>
      <w:r w:rsidRPr="00F23AE0">
        <w:rPr>
          <w:rFonts w:ascii="ＭＳ ゴシック" w:eastAsia="ＭＳ ゴシック" w:hAnsi="ＭＳ ゴシック"/>
          <w:bCs/>
          <w:color w:val="00ACA1"/>
          <w:lang w:eastAsia="ja-JP"/>
        </w:rPr>
        <w:tab/>
      </w:r>
      <w:r w:rsidRPr="00F23AE0">
        <w:rPr>
          <w:rFonts w:ascii="ＭＳ ゴシック" w:eastAsia="ＭＳ ゴシック" w:hAnsi="ＭＳ ゴシック" w:cs="ＭＳ ゴシック" w:hint="eastAsia"/>
          <w:bCs/>
          <w:lang w:eastAsia="ja-JP"/>
        </w:rPr>
        <w:t>ては参照フローとして定義される。</w:t>
      </w:r>
    </w:p>
    <w:p w14:paraId="035937A2" w14:textId="77777777" w:rsidR="0055291C" w:rsidRPr="00F23AE0" w:rsidRDefault="0055291C" w:rsidP="00DE1B8E">
      <w:pPr>
        <w:pStyle w:val="a3"/>
        <w:tabs>
          <w:tab w:val="left" w:pos="1418"/>
        </w:tabs>
        <w:spacing w:before="4"/>
        <w:ind w:left="1418" w:right="900"/>
        <w:rPr>
          <w:rFonts w:ascii="ＭＳ ゴシック" w:eastAsia="ＭＳ ゴシック" w:hAnsi="ＭＳ ゴシック"/>
          <w:bCs/>
          <w:lang w:eastAsia="ja-JP"/>
        </w:rPr>
      </w:pPr>
    </w:p>
    <w:p w14:paraId="10B7E3F2" w14:textId="1461E75A" w:rsidR="0055291C" w:rsidRPr="00F23AE0" w:rsidRDefault="00657717" w:rsidP="00657717">
      <w:pPr>
        <w:pStyle w:val="a3"/>
        <w:tabs>
          <w:tab w:val="left" w:pos="1418"/>
        </w:tabs>
        <w:spacing w:line="312" w:lineRule="auto"/>
        <w:ind w:left="3594" w:right="900" w:hanging="2176"/>
        <w:rPr>
          <w:rFonts w:ascii="ＭＳ ゴシック" w:eastAsia="ＭＳ ゴシック" w:hAnsi="ＭＳ ゴシック"/>
          <w:bCs/>
          <w:lang w:eastAsia="ja-JP"/>
        </w:rPr>
      </w:pPr>
      <w:r w:rsidRPr="00C134B9">
        <w:rPr>
          <w:rFonts w:ascii="ＭＳ ゴシック" w:eastAsia="ＭＳ ゴシック" w:hAnsi="ＭＳ ゴシック" w:cs="ＭＳ ゴシック" w:hint="eastAsia"/>
          <w:b/>
          <w:color w:val="00ACA1"/>
          <w:w w:val="105"/>
          <w:lang w:eastAsia="ja-JP"/>
        </w:rPr>
        <w:t>上流/</w:t>
      </w:r>
      <w:r w:rsidR="00F23C61" w:rsidRPr="00C134B9">
        <w:rPr>
          <w:rFonts w:ascii="ＭＳ ゴシック" w:eastAsia="ＭＳ ゴシック" w:hAnsi="ＭＳ ゴシック"/>
          <w:b/>
          <w:color w:val="00ACA1"/>
          <w:w w:val="105"/>
          <w:lang w:eastAsia="ja-JP"/>
        </w:rPr>
        <w:t>Upstream</w:t>
      </w:r>
      <w:r w:rsidR="00F23C61" w:rsidRPr="00F23AE0">
        <w:rPr>
          <w:rFonts w:ascii="ＭＳ ゴシック" w:eastAsia="ＭＳ ゴシック" w:hAnsi="ＭＳ ゴシック"/>
          <w:bCs/>
          <w:color w:val="00ACA1"/>
          <w:w w:val="105"/>
          <w:lang w:eastAsia="ja-JP"/>
        </w:rPr>
        <w:tab/>
      </w:r>
      <w:r w:rsidRPr="00F23AE0">
        <w:rPr>
          <w:rFonts w:ascii="ＭＳ ゴシック" w:eastAsia="ＭＳ ゴシック" w:hAnsi="ＭＳ ゴシック"/>
          <w:bCs/>
          <w:color w:val="00ACA1"/>
          <w:w w:val="105"/>
          <w:lang w:eastAsia="ja-JP"/>
        </w:rPr>
        <w:tab/>
      </w:r>
      <w:r w:rsidRPr="00F23AE0">
        <w:rPr>
          <w:rFonts w:ascii="ＭＳ ゴシック" w:eastAsia="ＭＳ ゴシック" w:hAnsi="ＭＳ ゴシック" w:cs="ＭＳ ゴシック" w:hint="eastAsia"/>
          <w:bCs/>
          <w:lang w:eastAsia="ja-JP"/>
        </w:rPr>
        <w:t>報告企業が所有または管理する工程より前の、製品のライフサイクルで発生する工程に関</w:t>
      </w:r>
      <w:r w:rsidRPr="00F23AE0">
        <w:rPr>
          <w:rFonts w:ascii="ＭＳ ゴシック" w:eastAsia="ＭＳ ゴシック" w:hAnsi="ＭＳ ゴシック" w:cs="ＭＳ ゴシック"/>
          <w:bCs/>
          <w:lang w:eastAsia="ja-JP"/>
        </w:rPr>
        <w:br/>
      </w:r>
      <w:r w:rsidRPr="00F23AE0">
        <w:rPr>
          <w:rFonts w:ascii="ＭＳ ゴシック" w:eastAsia="ＭＳ ゴシック" w:hAnsi="ＭＳ ゴシック" w:cs="ＭＳ ゴシック" w:hint="eastAsia"/>
          <w:bCs/>
          <w:lang w:eastAsia="ja-JP"/>
        </w:rPr>
        <w:t>連する</w:t>
      </w:r>
      <w:r w:rsidRPr="00F23AE0">
        <w:rPr>
          <w:rFonts w:ascii="ＭＳ ゴシック" w:eastAsia="ＭＳ ゴシック" w:hAnsi="ＭＳ ゴシック"/>
          <w:bCs/>
          <w:lang w:eastAsia="ja-JP"/>
        </w:rPr>
        <w:t>GHG</w:t>
      </w:r>
      <w:r w:rsidRPr="00F23AE0">
        <w:rPr>
          <w:rFonts w:ascii="ＭＳ ゴシック" w:eastAsia="ＭＳ ゴシック" w:hAnsi="ＭＳ ゴシック" w:cs="ＭＳ ゴシック" w:hint="eastAsia"/>
          <w:bCs/>
          <w:lang w:eastAsia="ja-JP"/>
        </w:rPr>
        <w:t>排出量または除去量。</w:t>
      </w:r>
      <w:r w:rsidR="00F23C61" w:rsidRPr="00F23AE0">
        <w:rPr>
          <w:rFonts w:ascii="ＭＳ ゴシック" w:eastAsia="ＭＳ ゴシック" w:hAnsi="ＭＳ ゴシック"/>
          <w:bCs/>
          <w:color w:val="545456"/>
          <w:position w:val="6"/>
          <w:lang w:eastAsia="ja-JP"/>
        </w:rPr>
        <w:t>16</w:t>
      </w:r>
    </w:p>
    <w:p w14:paraId="79B08730" w14:textId="7A39C078" w:rsidR="0055291C" w:rsidRPr="00F23AE0" w:rsidRDefault="0055291C" w:rsidP="00DE1B8E">
      <w:pPr>
        <w:pStyle w:val="a3"/>
        <w:tabs>
          <w:tab w:val="left" w:pos="1418"/>
        </w:tabs>
        <w:spacing w:before="5"/>
        <w:ind w:left="1418" w:right="900"/>
        <w:rPr>
          <w:rFonts w:ascii="ＭＳ ゴシック" w:eastAsia="ＭＳ ゴシック" w:hAnsi="ＭＳ ゴシック"/>
          <w:bCs/>
          <w:lang w:eastAsia="ja-JP"/>
        </w:rPr>
      </w:pPr>
    </w:p>
    <w:p w14:paraId="043F3932" w14:textId="6455960F" w:rsidR="0055291C" w:rsidRPr="00F23AE0" w:rsidRDefault="00657717" w:rsidP="00657717">
      <w:pPr>
        <w:pStyle w:val="a3"/>
        <w:tabs>
          <w:tab w:val="left" w:pos="1418"/>
        </w:tabs>
        <w:spacing w:line="312" w:lineRule="auto"/>
        <w:ind w:left="3594" w:right="900" w:hanging="2176"/>
        <w:rPr>
          <w:rFonts w:ascii="ＭＳ ゴシック" w:eastAsia="ＭＳ ゴシック" w:hAnsi="ＭＳ ゴシック"/>
          <w:bCs/>
          <w:lang w:eastAsia="ja-JP"/>
        </w:rPr>
      </w:pPr>
      <w:r w:rsidRPr="00C134B9">
        <w:rPr>
          <w:rFonts w:ascii="ＭＳ ゴシック" w:eastAsia="ＭＳ ゴシック" w:hAnsi="ＭＳ ゴシック" w:cs="ＭＳ ゴシック" w:hint="eastAsia"/>
          <w:b/>
          <w:color w:val="00ACA1"/>
          <w:spacing w:val="-1"/>
          <w:lang w:eastAsia="ja-JP"/>
        </w:rPr>
        <w:t>使用段階/</w:t>
      </w:r>
      <w:r w:rsidR="00F23C61" w:rsidRPr="00C134B9">
        <w:rPr>
          <w:rFonts w:ascii="ＭＳ ゴシック" w:eastAsia="ＭＳ ゴシック" w:hAnsi="ＭＳ ゴシック"/>
          <w:b/>
          <w:color w:val="00ACA1"/>
          <w:spacing w:val="-1"/>
          <w:lang w:eastAsia="ja-JP"/>
        </w:rPr>
        <w:t>Use</w:t>
      </w:r>
      <w:r w:rsidR="00F23C61" w:rsidRPr="00C134B9">
        <w:rPr>
          <w:rFonts w:ascii="ＭＳ ゴシック" w:eastAsia="ＭＳ ゴシック" w:hAnsi="ＭＳ ゴシック"/>
          <w:b/>
          <w:color w:val="00ACA1"/>
          <w:spacing w:val="-12"/>
          <w:lang w:eastAsia="ja-JP"/>
        </w:rPr>
        <w:t xml:space="preserve"> </w:t>
      </w:r>
      <w:r w:rsidR="00F23C61" w:rsidRPr="00C134B9">
        <w:rPr>
          <w:rFonts w:ascii="ＭＳ ゴシック" w:eastAsia="ＭＳ ゴシック" w:hAnsi="ＭＳ ゴシック"/>
          <w:b/>
          <w:color w:val="00ACA1"/>
          <w:spacing w:val="-1"/>
          <w:lang w:eastAsia="ja-JP"/>
        </w:rPr>
        <w:t>stage</w:t>
      </w:r>
      <w:r w:rsidR="00F23C61" w:rsidRPr="00F23AE0">
        <w:rPr>
          <w:rFonts w:ascii="ＭＳ ゴシック" w:eastAsia="ＭＳ ゴシック" w:hAnsi="ＭＳ ゴシック"/>
          <w:bCs/>
          <w:color w:val="00ACA1"/>
          <w:spacing w:val="-1"/>
          <w:lang w:eastAsia="ja-JP"/>
        </w:rPr>
        <w:tab/>
      </w:r>
      <w:r w:rsidRPr="00F23AE0">
        <w:rPr>
          <w:rFonts w:ascii="ＭＳ ゴシック" w:eastAsia="ＭＳ ゴシック" w:hAnsi="ＭＳ ゴシック" w:cs="ＭＳ ゴシック" w:hint="eastAsia"/>
          <w:bCs/>
          <w:lang w:eastAsia="ja-JP"/>
        </w:rPr>
        <w:t>消費者が製品を手にした</w:t>
      </w:r>
      <w:r w:rsidRPr="00F23AE0">
        <w:rPr>
          <w:rFonts w:ascii="ＭＳ ゴシック" w:eastAsia="ＭＳ ゴシック" w:hAnsi="ＭＳ ゴシック" w:cs="ＭＳ ゴシック" w:hint="eastAsia"/>
          <w:bCs/>
          <w:lang w:eastAsia="ja-JP"/>
        </w:rPr>
        <w:t>とき</w:t>
      </w:r>
      <w:r w:rsidRPr="00F23AE0">
        <w:rPr>
          <w:rFonts w:ascii="ＭＳ ゴシック" w:eastAsia="ＭＳ ゴシック" w:hAnsi="ＭＳ ゴシック" w:cs="ＭＳ ゴシック" w:hint="eastAsia"/>
          <w:bCs/>
          <w:lang w:eastAsia="ja-JP"/>
        </w:rPr>
        <w:t>から、使用済みの製品が廃棄物処理場へ運ばれるか、別の製</w:t>
      </w:r>
      <w:r w:rsidRPr="00F23AE0">
        <w:rPr>
          <w:rFonts w:ascii="ＭＳ ゴシック" w:eastAsia="ＭＳ ゴシック" w:hAnsi="ＭＳ ゴシック" w:cs="ＭＳ ゴシック"/>
          <w:bCs/>
          <w:lang w:eastAsia="ja-JP"/>
        </w:rPr>
        <w:br/>
      </w:r>
      <w:r w:rsidRPr="00F23AE0">
        <w:rPr>
          <w:rFonts w:ascii="ＭＳ ゴシック" w:eastAsia="ＭＳ ゴシック" w:hAnsi="ＭＳ ゴシック" w:cs="ＭＳ ゴシック" w:hint="eastAsia"/>
          <w:bCs/>
          <w:lang w:eastAsia="ja-JP"/>
        </w:rPr>
        <w:t>品のライフサイクルにリサイクルされる</w:t>
      </w:r>
      <w:r w:rsidRPr="00F23AE0">
        <w:rPr>
          <w:rFonts w:ascii="ＭＳ ゴシック" w:eastAsia="ＭＳ ゴシック" w:hAnsi="ＭＳ ゴシック" w:cs="ＭＳ ゴシック" w:hint="eastAsia"/>
          <w:bCs/>
          <w:lang w:eastAsia="ja-JP"/>
        </w:rPr>
        <w:t>までの段階</w:t>
      </w:r>
      <w:r w:rsidRPr="00F23AE0">
        <w:rPr>
          <w:rFonts w:ascii="ＭＳ ゴシック" w:eastAsia="ＭＳ ゴシック" w:hAnsi="ＭＳ ゴシック" w:cs="ＭＳ ゴシック" w:hint="eastAsia"/>
          <w:bCs/>
          <w:lang w:eastAsia="ja-JP"/>
        </w:rPr>
        <w:t>。</w:t>
      </w:r>
    </w:p>
    <w:p w14:paraId="0881F747" w14:textId="77777777" w:rsidR="0055291C" w:rsidRPr="00F23AE0" w:rsidRDefault="0055291C" w:rsidP="00DE1B8E">
      <w:pPr>
        <w:pStyle w:val="a3"/>
        <w:tabs>
          <w:tab w:val="left" w:pos="1418"/>
        </w:tabs>
        <w:spacing w:before="5"/>
        <w:ind w:left="1418" w:right="900"/>
        <w:rPr>
          <w:rFonts w:ascii="ＭＳ ゴシック" w:eastAsia="ＭＳ ゴシック" w:hAnsi="ＭＳ ゴシック"/>
          <w:bCs/>
          <w:lang w:eastAsia="ja-JP"/>
        </w:rPr>
      </w:pPr>
    </w:p>
    <w:p w14:paraId="7CF81689" w14:textId="043776D5" w:rsidR="0055291C" w:rsidRPr="00F23AE0" w:rsidRDefault="007F5149" w:rsidP="00DE1B8E">
      <w:pPr>
        <w:pStyle w:val="a3"/>
        <w:tabs>
          <w:tab w:val="left" w:pos="1418"/>
        </w:tabs>
        <w:ind w:left="1418" w:right="900"/>
        <w:rPr>
          <w:rFonts w:ascii="ＭＳ ゴシック" w:eastAsia="ＭＳ ゴシック" w:hAnsi="ＭＳ ゴシック"/>
          <w:bCs/>
          <w:lang w:eastAsia="ja-JP"/>
        </w:rPr>
      </w:pPr>
      <w:r w:rsidRPr="00C134B9">
        <w:rPr>
          <w:rFonts w:ascii="ＭＳ ゴシック" w:eastAsia="ＭＳ ゴシック" w:hAnsi="ＭＳ ゴシック"/>
          <w:b/>
        </w:rPr>
        <w:pict w14:anchorId="735134FB">
          <v:group id="docshapegroup1718" o:spid="_x0000_s2101" style="position:absolute;left:0;text-align:left;margin-left:56.7pt;margin-top:18.6pt;width:498.65pt;height:261.65pt;z-index:251687424;mso-position-horizontal-relative:page" coordorigin="1134,692" coordsize="9973,5233">
            <v:shape id="docshape1719" o:spid="_x0000_s2103" type="#_x0000_t75" style="position:absolute;left:1133;top:691;width:9973;height:5233">
              <v:imagedata r:id="rId393" o:title=""/>
            </v:shape>
            <v:shape id="docshape1720" o:spid="_x0000_s2102" type="#_x0000_t202" style="position:absolute;left:10713;top:5069;width:390;height:180" filled="f" stroked="f">
              <v:textbox style="mso-next-textbox:#docshape1720" inset="0,0,0,0">
                <w:txbxContent>
                  <w:p w14:paraId="075C17DC" w14:textId="77777777" w:rsidR="0055291C" w:rsidRDefault="00F23C61">
                    <w:pPr>
                      <w:spacing w:before="1" w:line="178" w:lineRule="exact"/>
                      <w:rPr>
                        <w:sz w:val="16"/>
                      </w:rPr>
                    </w:pPr>
                    <w:r>
                      <w:rPr>
                        <w:color w:val="FFFFFF"/>
                        <w:w w:val="105"/>
                        <w:sz w:val="16"/>
                      </w:rPr>
                      <w:t>[137]</w:t>
                    </w:r>
                  </w:p>
                </w:txbxContent>
              </v:textbox>
            </v:shape>
            <w10:wrap anchorx="page"/>
          </v:group>
        </w:pict>
      </w:r>
      <w:r w:rsidR="00657717" w:rsidRPr="00C134B9">
        <w:rPr>
          <w:rFonts w:ascii="ＭＳ ゴシック" w:eastAsia="ＭＳ ゴシック" w:hAnsi="ＭＳ ゴシック" w:cs="ＭＳ ゴシック" w:hint="eastAsia"/>
          <w:b/>
          <w:color w:val="00ACA1"/>
          <w:w w:val="105"/>
          <w:lang w:eastAsia="ja-JP"/>
        </w:rPr>
        <w:t>廃棄物/</w:t>
      </w:r>
      <w:r w:rsidR="00F23C61" w:rsidRPr="00C134B9">
        <w:rPr>
          <w:rFonts w:ascii="ＭＳ ゴシック" w:eastAsia="ＭＳ ゴシック" w:hAnsi="ＭＳ ゴシック"/>
          <w:b/>
          <w:color w:val="00ACA1"/>
          <w:w w:val="105"/>
          <w:lang w:eastAsia="ja-JP"/>
        </w:rPr>
        <w:t>Waste</w:t>
      </w:r>
      <w:r w:rsidR="00F23C61" w:rsidRPr="00F23AE0">
        <w:rPr>
          <w:rFonts w:ascii="ＭＳ ゴシック" w:eastAsia="ＭＳ ゴシック" w:hAnsi="ＭＳ ゴシック"/>
          <w:bCs/>
          <w:color w:val="00ACA1"/>
          <w:w w:val="105"/>
          <w:lang w:eastAsia="ja-JP"/>
        </w:rPr>
        <w:tab/>
      </w:r>
      <w:r w:rsidR="00657717" w:rsidRPr="00F23AE0">
        <w:rPr>
          <w:rFonts w:ascii="ＭＳ ゴシック" w:eastAsia="ＭＳ ゴシック" w:hAnsi="ＭＳ ゴシック"/>
          <w:bCs/>
          <w:color w:val="00ACA1"/>
          <w:w w:val="105"/>
          <w:lang w:eastAsia="ja-JP"/>
        </w:rPr>
        <w:tab/>
      </w:r>
      <w:r w:rsidR="00657717" w:rsidRPr="00F23AE0">
        <w:rPr>
          <w:rFonts w:ascii="ＭＳ ゴシック" w:eastAsia="ＭＳ ゴシック" w:hAnsi="ＭＳ ゴシック" w:cs="ＭＳ ゴシック" w:hint="eastAsia"/>
          <w:bCs/>
          <w:color w:val="000000" w:themeColor="text1"/>
          <w:w w:val="105"/>
          <w:lang w:eastAsia="ja-JP"/>
        </w:rPr>
        <w:t>工程から排出される、市場価値のないもの。</w:t>
      </w:r>
    </w:p>
    <w:p w14:paraId="54858B5E" w14:textId="77777777" w:rsidR="0055291C" w:rsidRDefault="0055291C">
      <w:pPr>
        <w:rPr>
          <w:lang w:eastAsia="ja-JP"/>
        </w:rPr>
        <w:sectPr w:rsidR="0055291C">
          <w:headerReference w:type="default" r:id="rId394"/>
          <w:footerReference w:type="default" r:id="rId395"/>
          <w:pgSz w:w="12240" w:h="15840"/>
          <w:pgMar w:top="1160" w:right="0" w:bottom="0" w:left="0" w:header="957" w:footer="0" w:gutter="0"/>
          <w:cols w:space="720"/>
        </w:sectPr>
      </w:pPr>
    </w:p>
    <w:p w14:paraId="224069E5" w14:textId="77777777" w:rsidR="0055291C" w:rsidRDefault="00000000">
      <w:pPr>
        <w:pStyle w:val="a3"/>
        <w:rPr>
          <w:sz w:val="20"/>
        </w:rPr>
      </w:pPr>
      <w:r>
        <w:rPr>
          <w:sz w:val="20"/>
        </w:rPr>
      </w:r>
      <w:r>
        <w:rPr>
          <w:sz w:val="20"/>
        </w:rPr>
        <w:pict w14:anchorId="47DEBCB6">
          <v:group id="docshapegroup1723" o:spid="_x0000_s2098" style="width:555.35pt;height:5in;mso-position-horizontal-relative:char;mso-position-vertical-relative:line" coordsize="11107,7200">
            <v:shape id="docshape1724" o:spid="_x0000_s2100" type="#_x0000_t75" style="position:absolute;width:11107;height:7200">
              <v:imagedata r:id="rId396" o:title=""/>
            </v:shape>
            <v:shape id="docshape1725" o:spid="_x0000_s2099" style="position:absolute;width:5940;height:636" coordsize="5940,636" path="m5940,l,,,635r5713,l5844,632r68,-25l5936,539r4,-131l5940,xe" fillcolor="#00aca1" stroked="f">
              <v:path arrowok="t"/>
            </v:shape>
            <w10:anchorlock/>
          </v:group>
        </w:pict>
      </w:r>
    </w:p>
    <w:p w14:paraId="1C2B3A61" w14:textId="77777777" w:rsidR="0055291C" w:rsidRDefault="0055291C">
      <w:pPr>
        <w:pStyle w:val="a3"/>
        <w:spacing w:before="10"/>
        <w:rPr>
          <w:sz w:val="26"/>
        </w:rPr>
      </w:pPr>
    </w:p>
    <w:p w14:paraId="5F8234F8" w14:textId="413EAC48" w:rsidR="0055291C" w:rsidRDefault="0055291C" w:rsidP="00F14576">
      <w:pPr>
        <w:spacing w:line="345" w:lineRule="auto"/>
        <w:ind w:leftChars="580" w:left="1276"/>
        <w:rPr>
          <w:sz w:val="16"/>
        </w:rPr>
      </w:pPr>
    </w:p>
    <w:p w14:paraId="7AF35AA1" w14:textId="1EF46D7B" w:rsidR="00C134B9" w:rsidRPr="00E00935" w:rsidRDefault="00F14576" w:rsidP="00F14576">
      <w:pPr>
        <w:spacing w:line="345" w:lineRule="auto"/>
        <w:ind w:leftChars="452" w:left="1148" w:rightChars="537" w:right="1181" w:hangingChars="73" w:hanging="154"/>
        <w:rPr>
          <w:b/>
          <w:bCs/>
          <w:color w:val="00ACA1"/>
          <w:sz w:val="21"/>
          <w:szCs w:val="21"/>
        </w:rPr>
      </w:pPr>
      <w:r w:rsidRPr="00E00935">
        <w:rPr>
          <w:rFonts w:ascii="ＭＳ ゴシック" w:eastAsia="ＭＳ ゴシック" w:hAnsi="ＭＳ ゴシック" w:cs="ＭＳ ゴシック" w:hint="eastAsia"/>
          <w:b/>
          <w:bCs/>
          <w:color w:val="00ACA1"/>
          <w:sz w:val="21"/>
          <w:szCs w:val="21"/>
          <w:lang w:eastAsia="ja-JP"/>
        </w:rPr>
        <w:t>脚注</w:t>
      </w:r>
    </w:p>
    <w:p w14:paraId="52AB44D6" w14:textId="4EE5A4A2" w:rsidR="00C134B9" w:rsidRPr="00F14576" w:rsidRDefault="00C134B9" w:rsidP="00F14576">
      <w:pPr>
        <w:pStyle w:val="a5"/>
        <w:numPr>
          <w:ilvl w:val="0"/>
          <w:numId w:val="98"/>
        </w:numPr>
        <w:spacing w:line="345" w:lineRule="auto"/>
        <w:ind w:leftChars="387" w:left="1125" w:rightChars="537" w:right="1181" w:hangingChars="152" w:hanging="274"/>
        <w:rPr>
          <w:sz w:val="18"/>
          <w:szCs w:val="18"/>
        </w:rPr>
      </w:pPr>
      <w:r w:rsidRPr="00F14576">
        <w:rPr>
          <w:sz w:val="18"/>
          <w:szCs w:val="18"/>
        </w:rPr>
        <w:t xml:space="preserve">Adapted from ISO 14044:2006. </w:t>
      </w:r>
    </w:p>
    <w:p w14:paraId="5128D878" w14:textId="265F1C26" w:rsidR="00F14576" w:rsidRPr="00F14576" w:rsidRDefault="00C134B9" w:rsidP="00F14576">
      <w:pPr>
        <w:pStyle w:val="a5"/>
        <w:numPr>
          <w:ilvl w:val="0"/>
          <w:numId w:val="98"/>
        </w:numPr>
        <w:spacing w:line="345" w:lineRule="auto"/>
        <w:ind w:leftChars="387" w:left="1125" w:rightChars="537" w:right="1181" w:hangingChars="152" w:hanging="274"/>
        <w:rPr>
          <w:sz w:val="18"/>
          <w:szCs w:val="18"/>
        </w:rPr>
      </w:pPr>
      <w:r w:rsidRPr="00F14576">
        <w:rPr>
          <w:sz w:val="18"/>
          <w:szCs w:val="18"/>
        </w:rPr>
        <w:t xml:space="preserve">Adapted from UNEP and SETAC, Global Guidance Principles for Life Cycle Assessment Databases. 2011. </w:t>
      </w:r>
    </w:p>
    <w:p w14:paraId="1241A3F2" w14:textId="61BD84AE" w:rsidR="00F14576" w:rsidRPr="00F14576" w:rsidRDefault="00C134B9" w:rsidP="00F14576">
      <w:pPr>
        <w:pStyle w:val="a5"/>
        <w:numPr>
          <w:ilvl w:val="0"/>
          <w:numId w:val="98"/>
        </w:numPr>
        <w:spacing w:line="345" w:lineRule="auto"/>
        <w:ind w:leftChars="387" w:left="1125" w:rightChars="537" w:right="1181" w:hangingChars="152" w:hanging="274"/>
        <w:rPr>
          <w:sz w:val="18"/>
          <w:szCs w:val="18"/>
        </w:rPr>
      </w:pPr>
      <w:r w:rsidRPr="00F14576">
        <w:rPr>
          <w:sz w:val="18"/>
          <w:szCs w:val="18"/>
        </w:rPr>
        <w:t xml:space="preserve">Adapted from British Standards Institution et al. PAS 2050:2008: Specification for the assessment of life cycle greenhouse gas emissions of goods and services. </w:t>
      </w:r>
    </w:p>
    <w:p w14:paraId="2B2164F7" w14:textId="01DC6FCF" w:rsidR="00F14576" w:rsidRPr="00F14576" w:rsidRDefault="00C134B9" w:rsidP="00F14576">
      <w:pPr>
        <w:pStyle w:val="a5"/>
        <w:numPr>
          <w:ilvl w:val="0"/>
          <w:numId w:val="98"/>
        </w:numPr>
        <w:spacing w:line="345" w:lineRule="auto"/>
        <w:ind w:leftChars="387" w:left="1125" w:rightChars="537" w:right="1181" w:hangingChars="152" w:hanging="274"/>
        <w:rPr>
          <w:sz w:val="18"/>
          <w:szCs w:val="18"/>
        </w:rPr>
      </w:pPr>
      <w:r w:rsidRPr="00F14576">
        <w:rPr>
          <w:sz w:val="18"/>
          <w:szCs w:val="18"/>
        </w:rPr>
        <w:t xml:space="preserve">IPCC, 2006 IPCC Guidelines for National GHG Inventories, Volume 4: Agriculture, Forestry, and Other Land Use. </w:t>
      </w:r>
    </w:p>
    <w:p w14:paraId="069E8658" w14:textId="0A949040" w:rsidR="00F14576" w:rsidRPr="00F14576" w:rsidRDefault="00C134B9" w:rsidP="00F14576">
      <w:pPr>
        <w:pStyle w:val="a5"/>
        <w:numPr>
          <w:ilvl w:val="0"/>
          <w:numId w:val="23"/>
        </w:numPr>
        <w:spacing w:line="345" w:lineRule="auto"/>
        <w:ind w:leftChars="387" w:left="1125" w:rightChars="537" w:right="1181" w:hangingChars="152" w:hanging="274"/>
        <w:rPr>
          <w:sz w:val="18"/>
          <w:szCs w:val="18"/>
        </w:rPr>
      </w:pPr>
      <w:r w:rsidRPr="00F14576">
        <w:rPr>
          <w:sz w:val="18"/>
          <w:szCs w:val="18"/>
        </w:rPr>
        <w:t>International Organization of Standardization, ISO 14044:2006, Life Cycle Assessment: Requirements and Guidelines.</w:t>
      </w:r>
    </w:p>
    <w:p w14:paraId="0C4F7913" w14:textId="77777777" w:rsidR="00F14576" w:rsidRPr="00F14576" w:rsidRDefault="00C134B9" w:rsidP="00F14576">
      <w:pPr>
        <w:pStyle w:val="a5"/>
        <w:numPr>
          <w:ilvl w:val="0"/>
          <w:numId w:val="23"/>
        </w:numPr>
        <w:spacing w:line="345" w:lineRule="auto"/>
        <w:ind w:leftChars="387" w:left="1125" w:rightChars="537" w:right="1181" w:hangingChars="152" w:hanging="274"/>
        <w:rPr>
          <w:sz w:val="18"/>
          <w:szCs w:val="18"/>
        </w:rPr>
      </w:pPr>
      <w:r w:rsidRPr="00F14576">
        <w:rPr>
          <w:sz w:val="18"/>
          <w:szCs w:val="18"/>
        </w:rPr>
        <w:t>Adapted from UNEP and SETAC, Global Guidance Principles for Life Cycle Assessment Databases. 2011.</w:t>
      </w:r>
    </w:p>
    <w:p w14:paraId="2C3D53DC" w14:textId="77777777" w:rsidR="00F14576" w:rsidRPr="00F14576" w:rsidRDefault="00C134B9" w:rsidP="00F14576">
      <w:pPr>
        <w:pStyle w:val="a5"/>
        <w:numPr>
          <w:ilvl w:val="0"/>
          <w:numId w:val="23"/>
        </w:numPr>
        <w:spacing w:line="345" w:lineRule="auto"/>
        <w:ind w:leftChars="387" w:left="1125" w:rightChars="537" w:right="1181" w:hangingChars="152" w:hanging="274"/>
        <w:rPr>
          <w:sz w:val="18"/>
          <w:szCs w:val="18"/>
        </w:rPr>
      </w:pPr>
      <w:r w:rsidRPr="00F14576">
        <w:rPr>
          <w:sz w:val="18"/>
          <w:szCs w:val="18"/>
        </w:rPr>
        <w:t>Adapted from British Standards Institution et al. PAS 2050:2008: Specification for the assessment of life cycle greenhouse gas emissions of goods and services.</w:t>
      </w:r>
    </w:p>
    <w:p w14:paraId="140BEED8" w14:textId="77777777" w:rsidR="00F14576" w:rsidRPr="00F14576" w:rsidRDefault="00C134B9" w:rsidP="00F14576">
      <w:pPr>
        <w:pStyle w:val="a5"/>
        <w:numPr>
          <w:ilvl w:val="0"/>
          <w:numId w:val="23"/>
        </w:numPr>
        <w:spacing w:line="345" w:lineRule="auto"/>
        <w:ind w:leftChars="387" w:left="1125" w:rightChars="537" w:right="1181" w:hangingChars="152" w:hanging="274"/>
        <w:rPr>
          <w:sz w:val="18"/>
          <w:szCs w:val="18"/>
        </w:rPr>
      </w:pPr>
      <w:r w:rsidRPr="00F14576">
        <w:rPr>
          <w:sz w:val="18"/>
          <w:szCs w:val="18"/>
        </w:rPr>
        <w:t>Adapted from British Standards Institution et al. PAS 2050:2008: Specification for the assessment of life cycle greenhouse gas emissions of goods and services.</w:t>
      </w:r>
    </w:p>
    <w:p w14:paraId="381A643D" w14:textId="77777777" w:rsidR="00F14576" w:rsidRPr="00F14576" w:rsidRDefault="00C134B9" w:rsidP="00F14576">
      <w:pPr>
        <w:pStyle w:val="a5"/>
        <w:numPr>
          <w:ilvl w:val="0"/>
          <w:numId w:val="23"/>
        </w:numPr>
        <w:spacing w:line="345" w:lineRule="auto"/>
        <w:ind w:leftChars="387" w:left="1125" w:rightChars="537" w:right="1181" w:hangingChars="152" w:hanging="274"/>
        <w:rPr>
          <w:sz w:val="18"/>
          <w:szCs w:val="18"/>
        </w:rPr>
      </w:pPr>
      <w:r w:rsidRPr="00F14576">
        <w:rPr>
          <w:sz w:val="18"/>
          <w:szCs w:val="18"/>
        </w:rPr>
        <w:t>Adapted from ISO 14044:2006.</w:t>
      </w:r>
    </w:p>
    <w:p w14:paraId="053F8B7B" w14:textId="77777777" w:rsidR="00F14576" w:rsidRPr="00F14576" w:rsidRDefault="00C134B9" w:rsidP="00F14576">
      <w:pPr>
        <w:pStyle w:val="a5"/>
        <w:numPr>
          <w:ilvl w:val="0"/>
          <w:numId w:val="23"/>
        </w:numPr>
        <w:spacing w:line="345" w:lineRule="auto"/>
        <w:ind w:leftChars="387" w:left="1125" w:rightChars="537" w:right="1181" w:hangingChars="152" w:hanging="274"/>
        <w:rPr>
          <w:sz w:val="18"/>
          <w:szCs w:val="18"/>
        </w:rPr>
      </w:pPr>
      <w:r w:rsidRPr="00F14576">
        <w:rPr>
          <w:sz w:val="18"/>
          <w:szCs w:val="18"/>
        </w:rPr>
        <w:t>Adapted from IPCC, IPCC Fourth Assessment Report, 2007.</w:t>
      </w:r>
    </w:p>
    <w:p w14:paraId="10EDC1BA" w14:textId="77777777" w:rsidR="00F14576" w:rsidRPr="00F14576" w:rsidRDefault="00C134B9" w:rsidP="00F14576">
      <w:pPr>
        <w:pStyle w:val="a5"/>
        <w:numPr>
          <w:ilvl w:val="0"/>
          <w:numId w:val="23"/>
        </w:numPr>
        <w:spacing w:line="345" w:lineRule="auto"/>
        <w:ind w:leftChars="387" w:left="1125" w:rightChars="537" w:right="1181" w:hangingChars="152" w:hanging="274"/>
        <w:rPr>
          <w:sz w:val="18"/>
          <w:szCs w:val="18"/>
        </w:rPr>
      </w:pPr>
      <w:r w:rsidRPr="00F14576">
        <w:rPr>
          <w:sz w:val="18"/>
          <w:szCs w:val="18"/>
        </w:rPr>
        <w:t>IPCC, 2006, Guidelines for National GHG Inventories, Volume 4: Agriculture, Forestry, and Other Land Use.</w:t>
      </w:r>
    </w:p>
    <w:p w14:paraId="5D106E80" w14:textId="77777777" w:rsidR="00F14576" w:rsidRPr="00F14576" w:rsidRDefault="00C134B9" w:rsidP="00F14576">
      <w:pPr>
        <w:pStyle w:val="a5"/>
        <w:numPr>
          <w:ilvl w:val="0"/>
          <w:numId w:val="23"/>
        </w:numPr>
        <w:spacing w:line="345" w:lineRule="auto"/>
        <w:ind w:leftChars="387" w:left="1125" w:rightChars="537" w:right="1181" w:hangingChars="152" w:hanging="274"/>
        <w:rPr>
          <w:sz w:val="18"/>
          <w:szCs w:val="18"/>
        </w:rPr>
      </w:pPr>
      <w:r w:rsidRPr="00F14576">
        <w:rPr>
          <w:sz w:val="18"/>
          <w:szCs w:val="18"/>
        </w:rPr>
        <w:t>International Organization of Standardization, ISO 14044:2006, Life Cycle Assessment: Requirements and Guidelines.</w:t>
      </w:r>
    </w:p>
    <w:p w14:paraId="014277D8" w14:textId="77777777" w:rsidR="00F14576" w:rsidRPr="00F14576" w:rsidRDefault="00C134B9" w:rsidP="00F14576">
      <w:pPr>
        <w:pStyle w:val="a5"/>
        <w:numPr>
          <w:ilvl w:val="0"/>
          <w:numId w:val="23"/>
        </w:numPr>
        <w:spacing w:line="345" w:lineRule="auto"/>
        <w:ind w:leftChars="387" w:left="1125" w:rightChars="537" w:right="1181" w:hangingChars="152" w:hanging="274"/>
        <w:rPr>
          <w:sz w:val="18"/>
          <w:szCs w:val="18"/>
        </w:rPr>
      </w:pPr>
      <w:r w:rsidRPr="00F14576">
        <w:rPr>
          <w:sz w:val="18"/>
          <w:szCs w:val="18"/>
        </w:rPr>
        <w:t>International Organization for Standardization, ISO 14025:2006, Environmental labels and declarations-- Type III environmental declarations -- Principles and procedures.</w:t>
      </w:r>
    </w:p>
    <w:p w14:paraId="2DB1ED8D" w14:textId="77777777" w:rsidR="00F14576" w:rsidRPr="00F14576" w:rsidRDefault="00C134B9" w:rsidP="00F14576">
      <w:pPr>
        <w:pStyle w:val="a5"/>
        <w:numPr>
          <w:ilvl w:val="0"/>
          <w:numId w:val="23"/>
        </w:numPr>
        <w:spacing w:line="345" w:lineRule="auto"/>
        <w:ind w:leftChars="387" w:left="1125" w:rightChars="537" w:right="1181" w:hangingChars="152" w:hanging="274"/>
        <w:rPr>
          <w:sz w:val="18"/>
          <w:szCs w:val="18"/>
        </w:rPr>
      </w:pPr>
      <w:r w:rsidRPr="00F14576">
        <w:rPr>
          <w:sz w:val="18"/>
          <w:szCs w:val="18"/>
        </w:rPr>
        <w:t xml:space="preserve"> Adapted from ISO 14044:2006.</w:t>
      </w:r>
    </w:p>
    <w:p w14:paraId="2928B38C" w14:textId="77777777" w:rsidR="00F14576" w:rsidRPr="00F14576" w:rsidRDefault="00C134B9" w:rsidP="00F14576">
      <w:pPr>
        <w:pStyle w:val="a5"/>
        <w:numPr>
          <w:ilvl w:val="0"/>
          <w:numId w:val="23"/>
        </w:numPr>
        <w:spacing w:line="345" w:lineRule="auto"/>
        <w:ind w:leftChars="387" w:left="1125" w:rightChars="537" w:right="1181" w:hangingChars="152" w:hanging="274"/>
        <w:rPr>
          <w:sz w:val="18"/>
          <w:szCs w:val="18"/>
        </w:rPr>
      </w:pPr>
      <w:r w:rsidRPr="00F14576">
        <w:rPr>
          <w:sz w:val="18"/>
          <w:szCs w:val="18"/>
        </w:rPr>
        <w:t xml:space="preserve"> International Organization for Standardization, 1995, ISO/IEC Guide 98:1995. Guide to the expression of uncertainty in measurement (GUM). </w:t>
      </w:r>
    </w:p>
    <w:p w14:paraId="7EB40AAF" w14:textId="11529B9E" w:rsidR="00C134B9" w:rsidRPr="00F14576" w:rsidRDefault="00C134B9" w:rsidP="00F14576">
      <w:pPr>
        <w:pStyle w:val="a5"/>
        <w:numPr>
          <w:ilvl w:val="0"/>
          <w:numId w:val="23"/>
        </w:numPr>
        <w:spacing w:line="345" w:lineRule="auto"/>
        <w:ind w:leftChars="387" w:left="1125" w:rightChars="537" w:right="1181" w:hangingChars="152" w:hanging="274"/>
        <w:rPr>
          <w:sz w:val="18"/>
          <w:szCs w:val="18"/>
        </w:rPr>
        <w:sectPr w:rsidR="00C134B9" w:rsidRPr="00F14576">
          <w:headerReference w:type="even" r:id="rId397"/>
          <w:footerReference w:type="even" r:id="rId398"/>
          <w:footerReference w:type="default" r:id="rId399"/>
          <w:pgSz w:w="12240" w:h="15840"/>
          <w:pgMar w:top="0" w:right="0" w:bottom="1040" w:left="0" w:header="0" w:footer="859" w:gutter="0"/>
          <w:pgNumType w:start="138"/>
          <w:cols w:space="720"/>
        </w:sectPr>
      </w:pPr>
      <w:r w:rsidRPr="00F14576">
        <w:rPr>
          <w:sz w:val="18"/>
          <w:szCs w:val="18"/>
        </w:rPr>
        <w:t>Adapted from British Standards Institution et al. PAS 2050:2008: Specification for the assessment of life cycle greenhouse gas emissions of goods and services.</w:t>
      </w:r>
    </w:p>
    <w:p w14:paraId="5C0AEAC3" w14:textId="77777777" w:rsidR="0055291C" w:rsidRDefault="00000000">
      <w:pPr>
        <w:pStyle w:val="a3"/>
        <w:rPr>
          <w:sz w:val="20"/>
        </w:rPr>
      </w:pPr>
      <w:r>
        <w:rPr>
          <w:sz w:val="20"/>
        </w:rPr>
      </w:r>
      <w:r>
        <w:rPr>
          <w:sz w:val="20"/>
        </w:rPr>
        <w:pict w14:anchorId="1156F8CE">
          <v:group id="docshapegroup1726" o:spid="_x0000_s2095" style="width:553.25pt;height:100.65pt;mso-position-horizontal-relative:char;mso-position-vertical-relative:line" coordsize="11065,2013">
            <v:shape id="docshape1727" o:spid="_x0000_s2097" style="position:absolute;width:11065;height:2009" coordsize="11065,2009" path="m11063,l,,,2008r10824,l10963,2005r71,-27l11060,1907r4,-139l11064,42,11063,xe" fillcolor="#d8eeec" stroked="f">
              <v:path arrowok="t"/>
            </v:shape>
            <v:shape id="docshape1728" o:spid="_x0000_s2096" type="#_x0000_t202" style="position:absolute;width:11065;height:2013" filled="f" stroked="f">
              <v:textbox inset="0,0,0,0">
                <w:txbxContent>
                  <w:p w14:paraId="2D30A1D1" w14:textId="77777777" w:rsidR="0055291C" w:rsidRDefault="0055291C">
                    <w:pPr>
                      <w:rPr>
                        <w:sz w:val="54"/>
                      </w:rPr>
                    </w:pPr>
                  </w:p>
                  <w:p w14:paraId="3DBCA22C" w14:textId="77777777" w:rsidR="0055291C" w:rsidRDefault="0055291C">
                    <w:pPr>
                      <w:spacing w:before="11"/>
                      <w:rPr>
                        <w:sz w:val="75"/>
                      </w:rPr>
                    </w:pPr>
                  </w:p>
                  <w:p w14:paraId="08A64442" w14:textId="77777777" w:rsidR="0055291C" w:rsidRDefault="00F23C61">
                    <w:pPr>
                      <w:spacing w:line="541" w:lineRule="exact"/>
                      <w:ind w:left="1109"/>
                      <w:rPr>
                        <w:rFonts w:ascii="Arial"/>
                        <w:b/>
                        <w:i/>
                        <w:sz w:val="48"/>
                      </w:rPr>
                    </w:pPr>
                    <w:r>
                      <w:rPr>
                        <w:rFonts w:ascii="Arial"/>
                        <w:b/>
                        <w:i/>
                        <w:color w:val="545456"/>
                        <w:sz w:val="48"/>
                      </w:rPr>
                      <w:t>References</w:t>
                    </w:r>
                  </w:p>
                </w:txbxContent>
              </v:textbox>
            </v:shape>
            <w10:anchorlock/>
          </v:group>
        </w:pict>
      </w:r>
    </w:p>
    <w:p w14:paraId="29DD192D" w14:textId="77777777" w:rsidR="0055291C" w:rsidRDefault="0055291C">
      <w:pPr>
        <w:pStyle w:val="a3"/>
        <w:spacing w:before="3"/>
        <w:rPr>
          <w:sz w:val="18"/>
        </w:rPr>
      </w:pPr>
    </w:p>
    <w:p w14:paraId="221BA120" w14:textId="77777777" w:rsidR="0055291C" w:rsidRDefault="0055291C">
      <w:pPr>
        <w:rPr>
          <w:sz w:val="18"/>
        </w:rPr>
        <w:sectPr w:rsidR="0055291C">
          <w:headerReference w:type="default" r:id="rId400"/>
          <w:pgSz w:w="12240" w:h="15840"/>
          <w:pgMar w:top="0" w:right="0" w:bottom="1040" w:left="0" w:header="0" w:footer="859" w:gutter="0"/>
          <w:cols w:space="720"/>
        </w:sectPr>
      </w:pPr>
    </w:p>
    <w:p w14:paraId="190110EF" w14:textId="77777777" w:rsidR="0055291C" w:rsidRDefault="00F23C61">
      <w:pPr>
        <w:spacing w:before="102" w:line="307" w:lineRule="auto"/>
        <w:ind w:left="1138" w:right="258"/>
        <w:rPr>
          <w:sz w:val="19"/>
        </w:rPr>
      </w:pPr>
      <w:r>
        <w:rPr>
          <w:color w:val="545456"/>
          <w:sz w:val="19"/>
        </w:rPr>
        <w:t>Atherton,</w:t>
      </w:r>
      <w:r>
        <w:rPr>
          <w:color w:val="545456"/>
          <w:spacing w:val="1"/>
          <w:sz w:val="19"/>
        </w:rPr>
        <w:t xml:space="preserve"> </w:t>
      </w:r>
      <w:r>
        <w:rPr>
          <w:color w:val="545456"/>
          <w:sz w:val="19"/>
        </w:rPr>
        <w:t>John.</w:t>
      </w:r>
      <w:r>
        <w:rPr>
          <w:color w:val="545456"/>
          <w:spacing w:val="2"/>
          <w:sz w:val="19"/>
        </w:rPr>
        <w:t xml:space="preserve"> </w:t>
      </w:r>
      <w:r>
        <w:rPr>
          <w:color w:val="545456"/>
          <w:sz w:val="19"/>
        </w:rPr>
        <w:t>“Declaration</w:t>
      </w:r>
      <w:r>
        <w:rPr>
          <w:color w:val="545456"/>
          <w:spacing w:val="2"/>
          <w:sz w:val="19"/>
        </w:rPr>
        <w:t xml:space="preserve"> </w:t>
      </w:r>
      <w:r>
        <w:rPr>
          <w:color w:val="545456"/>
          <w:sz w:val="19"/>
        </w:rPr>
        <w:t>by</w:t>
      </w:r>
      <w:r>
        <w:rPr>
          <w:color w:val="545456"/>
          <w:spacing w:val="2"/>
          <w:sz w:val="19"/>
        </w:rPr>
        <w:t xml:space="preserve"> </w:t>
      </w:r>
      <w:r>
        <w:rPr>
          <w:color w:val="545456"/>
          <w:sz w:val="19"/>
        </w:rPr>
        <w:t>the</w:t>
      </w:r>
      <w:r>
        <w:rPr>
          <w:color w:val="545456"/>
          <w:spacing w:val="1"/>
          <w:sz w:val="19"/>
        </w:rPr>
        <w:t xml:space="preserve"> </w:t>
      </w:r>
      <w:r>
        <w:rPr>
          <w:color w:val="545456"/>
          <w:sz w:val="19"/>
        </w:rPr>
        <w:t>Metals</w:t>
      </w:r>
      <w:r>
        <w:rPr>
          <w:color w:val="545456"/>
          <w:spacing w:val="2"/>
          <w:sz w:val="19"/>
        </w:rPr>
        <w:t xml:space="preserve"> </w:t>
      </w:r>
      <w:r>
        <w:rPr>
          <w:color w:val="545456"/>
          <w:sz w:val="19"/>
        </w:rPr>
        <w:t>Industry</w:t>
      </w:r>
      <w:r>
        <w:rPr>
          <w:color w:val="545456"/>
          <w:spacing w:val="2"/>
          <w:sz w:val="19"/>
        </w:rPr>
        <w:t xml:space="preserve"> </w:t>
      </w:r>
      <w:r>
        <w:rPr>
          <w:color w:val="545456"/>
          <w:sz w:val="19"/>
        </w:rPr>
        <w:t>on</w:t>
      </w:r>
      <w:r>
        <w:rPr>
          <w:color w:val="545456"/>
          <w:spacing w:val="-47"/>
          <w:sz w:val="19"/>
        </w:rPr>
        <w:t xml:space="preserve"> </w:t>
      </w:r>
      <w:r>
        <w:rPr>
          <w:color w:val="545456"/>
          <w:w w:val="95"/>
          <w:sz w:val="19"/>
        </w:rPr>
        <w:t>Recycling</w:t>
      </w:r>
      <w:r>
        <w:rPr>
          <w:color w:val="545456"/>
          <w:spacing w:val="3"/>
          <w:w w:val="95"/>
          <w:sz w:val="19"/>
        </w:rPr>
        <w:t xml:space="preserve"> </w:t>
      </w:r>
      <w:r>
        <w:rPr>
          <w:color w:val="545456"/>
          <w:w w:val="95"/>
          <w:sz w:val="19"/>
        </w:rPr>
        <w:t>Principles.”</w:t>
      </w:r>
      <w:r>
        <w:rPr>
          <w:color w:val="545456"/>
          <w:spacing w:val="3"/>
          <w:w w:val="95"/>
          <w:sz w:val="19"/>
        </w:rPr>
        <w:t xml:space="preserve"> </w:t>
      </w:r>
      <w:r>
        <w:rPr>
          <w:rFonts w:ascii="Arial" w:hAnsi="Arial"/>
          <w:i/>
          <w:color w:val="545456"/>
          <w:w w:val="95"/>
          <w:sz w:val="19"/>
        </w:rPr>
        <w:t>International</w:t>
      </w:r>
      <w:r>
        <w:rPr>
          <w:rFonts w:ascii="Arial" w:hAnsi="Arial"/>
          <w:i/>
          <w:color w:val="545456"/>
          <w:spacing w:val="3"/>
          <w:w w:val="95"/>
          <w:sz w:val="19"/>
        </w:rPr>
        <w:t xml:space="preserve"> </w:t>
      </w:r>
      <w:r>
        <w:rPr>
          <w:rFonts w:ascii="Arial" w:hAnsi="Arial"/>
          <w:i/>
          <w:color w:val="545456"/>
          <w:w w:val="95"/>
          <w:sz w:val="19"/>
        </w:rPr>
        <w:t>Journal</w:t>
      </w:r>
      <w:r>
        <w:rPr>
          <w:rFonts w:ascii="Arial" w:hAnsi="Arial"/>
          <w:i/>
          <w:color w:val="545456"/>
          <w:spacing w:val="3"/>
          <w:w w:val="95"/>
          <w:sz w:val="19"/>
        </w:rPr>
        <w:t xml:space="preserve"> </w:t>
      </w:r>
      <w:r>
        <w:rPr>
          <w:rFonts w:ascii="Arial" w:hAnsi="Arial"/>
          <w:i/>
          <w:color w:val="545456"/>
          <w:w w:val="95"/>
          <w:sz w:val="19"/>
        </w:rPr>
        <w:t>of</w:t>
      </w:r>
      <w:r>
        <w:rPr>
          <w:rFonts w:ascii="Arial" w:hAnsi="Arial"/>
          <w:i/>
          <w:color w:val="545456"/>
          <w:spacing w:val="2"/>
          <w:w w:val="95"/>
          <w:sz w:val="19"/>
        </w:rPr>
        <w:t xml:space="preserve"> </w:t>
      </w:r>
      <w:r>
        <w:rPr>
          <w:rFonts w:ascii="Arial" w:hAnsi="Arial"/>
          <w:i/>
          <w:color w:val="545456"/>
          <w:w w:val="95"/>
          <w:sz w:val="19"/>
        </w:rPr>
        <w:t>Life</w:t>
      </w:r>
      <w:r>
        <w:rPr>
          <w:rFonts w:ascii="Arial" w:hAnsi="Arial"/>
          <w:i/>
          <w:color w:val="545456"/>
          <w:spacing w:val="3"/>
          <w:w w:val="95"/>
          <w:sz w:val="19"/>
        </w:rPr>
        <w:t xml:space="preserve"> </w:t>
      </w:r>
      <w:r>
        <w:rPr>
          <w:rFonts w:ascii="Arial" w:hAnsi="Arial"/>
          <w:i/>
          <w:color w:val="545456"/>
          <w:w w:val="95"/>
          <w:sz w:val="19"/>
        </w:rPr>
        <w:t>Cycle</w:t>
      </w:r>
      <w:r>
        <w:rPr>
          <w:rFonts w:ascii="Arial" w:hAnsi="Arial"/>
          <w:i/>
          <w:color w:val="545456"/>
          <w:spacing w:val="1"/>
          <w:w w:val="95"/>
          <w:sz w:val="19"/>
        </w:rPr>
        <w:t xml:space="preserve"> </w:t>
      </w:r>
      <w:r>
        <w:rPr>
          <w:rFonts w:ascii="Arial" w:hAnsi="Arial"/>
          <w:i/>
          <w:color w:val="545456"/>
          <w:w w:val="95"/>
          <w:sz w:val="19"/>
        </w:rPr>
        <w:t>Assessment,</w:t>
      </w:r>
      <w:r>
        <w:rPr>
          <w:rFonts w:ascii="Arial" w:hAnsi="Arial"/>
          <w:i/>
          <w:color w:val="545456"/>
          <w:spacing w:val="-10"/>
          <w:w w:val="95"/>
          <w:sz w:val="19"/>
        </w:rPr>
        <w:t xml:space="preserve"> </w:t>
      </w:r>
      <w:r>
        <w:rPr>
          <w:color w:val="545456"/>
          <w:w w:val="95"/>
          <w:sz w:val="19"/>
        </w:rPr>
        <w:t>12</w:t>
      </w:r>
      <w:r>
        <w:rPr>
          <w:color w:val="545456"/>
          <w:spacing w:val="-7"/>
          <w:w w:val="95"/>
          <w:sz w:val="19"/>
        </w:rPr>
        <w:t xml:space="preserve"> </w:t>
      </w:r>
      <w:r>
        <w:rPr>
          <w:color w:val="545456"/>
          <w:w w:val="95"/>
          <w:sz w:val="19"/>
        </w:rPr>
        <w:t>no.</w:t>
      </w:r>
      <w:r>
        <w:rPr>
          <w:color w:val="545456"/>
          <w:spacing w:val="-8"/>
          <w:w w:val="95"/>
          <w:sz w:val="19"/>
        </w:rPr>
        <w:t xml:space="preserve"> </w:t>
      </w:r>
      <w:r>
        <w:rPr>
          <w:color w:val="545456"/>
          <w:w w:val="95"/>
          <w:sz w:val="19"/>
        </w:rPr>
        <w:t>1</w:t>
      </w:r>
      <w:r>
        <w:rPr>
          <w:color w:val="545456"/>
          <w:spacing w:val="-7"/>
          <w:w w:val="95"/>
          <w:sz w:val="19"/>
        </w:rPr>
        <w:t xml:space="preserve"> </w:t>
      </w:r>
      <w:r>
        <w:rPr>
          <w:color w:val="545456"/>
          <w:w w:val="95"/>
          <w:sz w:val="19"/>
        </w:rPr>
        <w:t>(2007):59-60.</w:t>
      </w:r>
    </w:p>
    <w:p w14:paraId="58F35F2A" w14:textId="77777777" w:rsidR="0055291C" w:rsidRDefault="00F23C61">
      <w:pPr>
        <w:pStyle w:val="a3"/>
        <w:spacing w:before="145" w:line="312" w:lineRule="auto"/>
        <w:ind w:left="1138" w:right="82"/>
      </w:pPr>
      <w:r>
        <w:rPr>
          <w:color w:val="545456"/>
        </w:rPr>
        <w:t>British Standards Institution et al. PAS 2050:2008:</w:t>
      </w:r>
      <w:r>
        <w:rPr>
          <w:color w:val="545456"/>
          <w:spacing w:val="1"/>
        </w:rPr>
        <w:t xml:space="preserve"> </w:t>
      </w:r>
      <w:r>
        <w:rPr>
          <w:color w:val="545456"/>
        </w:rPr>
        <w:t>Specification</w:t>
      </w:r>
      <w:r>
        <w:rPr>
          <w:color w:val="545456"/>
          <w:spacing w:val="-9"/>
        </w:rPr>
        <w:t xml:space="preserve"> </w:t>
      </w:r>
      <w:r>
        <w:rPr>
          <w:color w:val="545456"/>
        </w:rPr>
        <w:t>for</w:t>
      </w:r>
      <w:r>
        <w:rPr>
          <w:color w:val="545456"/>
          <w:spacing w:val="-8"/>
        </w:rPr>
        <w:t xml:space="preserve"> </w:t>
      </w:r>
      <w:r>
        <w:rPr>
          <w:color w:val="545456"/>
        </w:rPr>
        <w:t>the</w:t>
      </w:r>
      <w:r>
        <w:rPr>
          <w:color w:val="545456"/>
          <w:spacing w:val="-8"/>
        </w:rPr>
        <w:t xml:space="preserve"> </w:t>
      </w:r>
      <w:r>
        <w:rPr>
          <w:color w:val="545456"/>
        </w:rPr>
        <w:t>assessment</w:t>
      </w:r>
      <w:r>
        <w:rPr>
          <w:color w:val="545456"/>
          <w:spacing w:val="-9"/>
        </w:rPr>
        <w:t xml:space="preserve"> </w:t>
      </w:r>
      <w:r>
        <w:rPr>
          <w:color w:val="545456"/>
        </w:rPr>
        <w:t>of</w:t>
      </w:r>
      <w:r>
        <w:rPr>
          <w:color w:val="545456"/>
          <w:spacing w:val="-8"/>
        </w:rPr>
        <w:t xml:space="preserve"> </w:t>
      </w:r>
      <w:r>
        <w:rPr>
          <w:color w:val="545456"/>
        </w:rPr>
        <w:t>life</w:t>
      </w:r>
      <w:r>
        <w:rPr>
          <w:color w:val="545456"/>
          <w:spacing w:val="-8"/>
        </w:rPr>
        <w:t xml:space="preserve"> </w:t>
      </w:r>
      <w:r>
        <w:rPr>
          <w:color w:val="545456"/>
        </w:rPr>
        <w:t>cycle</w:t>
      </w:r>
      <w:r>
        <w:rPr>
          <w:color w:val="545456"/>
          <w:spacing w:val="-8"/>
        </w:rPr>
        <w:t xml:space="preserve"> </w:t>
      </w:r>
      <w:r>
        <w:rPr>
          <w:color w:val="545456"/>
        </w:rPr>
        <w:t>greenhouse</w:t>
      </w:r>
      <w:r>
        <w:rPr>
          <w:color w:val="545456"/>
          <w:spacing w:val="-48"/>
        </w:rPr>
        <w:t xml:space="preserve"> </w:t>
      </w:r>
      <w:r>
        <w:rPr>
          <w:color w:val="545456"/>
        </w:rPr>
        <w:t>gas</w:t>
      </w:r>
      <w:r>
        <w:rPr>
          <w:color w:val="545456"/>
          <w:spacing w:val="-12"/>
        </w:rPr>
        <w:t xml:space="preserve"> </w:t>
      </w:r>
      <w:r>
        <w:rPr>
          <w:color w:val="545456"/>
        </w:rPr>
        <w:t>emissions</w:t>
      </w:r>
      <w:r>
        <w:rPr>
          <w:color w:val="545456"/>
          <w:spacing w:val="-12"/>
        </w:rPr>
        <w:t xml:space="preserve"> </w:t>
      </w:r>
      <w:r>
        <w:rPr>
          <w:color w:val="545456"/>
        </w:rPr>
        <w:t>of</w:t>
      </w:r>
      <w:r>
        <w:rPr>
          <w:color w:val="545456"/>
          <w:spacing w:val="-12"/>
        </w:rPr>
        <w:t xml:space="preserve"> </w:t>
      </w:r>
      <w:r>
        <w:rPr>
          <w:color w:val="545456"/>
        </w:rPr>
        <w:t>goods</w:t>
      </w:r>
      <w:r>
        <w:rPr>
          <w:color w:val="545456"/>
          <w:spacing w:val="-11"/>
        </w:rPr>
        <w:t xml:space="preserve"> </w:t>
      </w:r>
      <w:r>
        <w:rPr>
          <w:color w:val="545456"/>
        </w:rPr>
        <w:t>and</w:t>
      </w:r>
      <w:r>
        <w:rPr>
          <w:color w:val="545456"/>
          <w:spacing w:val="-12"/>
        </w:rPr>
        <w:t xml:space="preserve"> </w:t>
      </w:r>
      <w:r>
        <w:rPr>
          <w:color w:val="545456"/>
        </w:rPr>
        <w:t>services.</w:t>
      </w:r>
    </w:p>
    <w:p w14:paraId="0B96ACE5" w14:textId="77777777" w:rsidR="0055291C" w:rsidRDefault="00F23C61">
      <w:pPr>
        <w:pStyle w:val="a3"/>
        <w:spacing w:before="141" w:line="312" w:lineRule="auto"/>
        <w:ind w:left="1138" w:right="120"/>
      </w:pPr>
      <w:r>
        <w:rPr>
          <w:color w:val="545456"/>
          <w:spacing w:val="-1"/>
        </w:rPr>
        <w:t>European</w:t>
      </w:r>
      <w:r>
        <w:rPr>
          <w:color w:val="545456"/>
          <w:spacing w:val="-11"/>
        </w:rPr>
        <w:t xml:space="preserve"> </w:t>
      </w:r>
      <w:r>
        <w:rPr>
          <w:color w:val="545456"/>
          <w:spacing w:val="-1"/>
        </w:rPr>
        <w:t>Commission</w:t>
      </w:r>
      <w:r>
        <w:rPr>
          <w:color w:val="545456"/>
          <w:spacing w:val="-11"/>
        </w:rPr>
        <w:t xml:space="preserve"> </w:t>
      </w:r>
      <w:r>
        <w:rPr>
          <w:color w:val="545456"/>
          <w:spacing w:val="-1"/>
        </w:rPr>
        <w:t>-</w:t>
      </w:r>
      <w:r>
        <w:rPr>
          <w:color w:val="545456"/>
          <w:spacing w:val="-11"/>
        </w:rPr>
        <w:t xml:space="preserve"> </w:t>
      </w:r>
      <w:r>
        <w:rPr>
          <w:color w:val="545456"/>
          <w:spacing w:val="-1"/>
        </w:rPr>
        <w:t>Joint</w:t>
      </w:r>
      <w:r>
        <w:rPr>
          <w:color w:val="545456"/>
          <w:spacing w:val="-11"/>
        </w:rPr>
        <w:t xml:space="preserve"> </w:t>
      </w:r>
      <w:r>
        <w:rPr>
          <w:color w:val="545456"/>
          <w:spacing w:val="-1"/>
        </w:rPr>
        <w:t>Research</w:t>
      </w:r>
      <w:r>
        <w:rPr>
          <w:color w:val="545456"/>
          <w:spacing w:val="-11"/>
        </w:rPr>
        <w:t xml:space="preserve"> </w:t>
      </w:r>
      <w:r>
        <w:rPr>
          <w:color w:val="545456"/>
          <w:spacing w:val="-1"/>
        </w:rPr>
        <w:t>Centre</w:t>
      </w:r>
      <w:r>
        <w:rPr>
          <w:color w:val="545456"/>
          <w:spacing w:val="-11"/>
        </w:rPr>
        <w:t xml:space="preserve"> </w:t>
      </w:r>
      <w:r>
        <w:rPr>
          <w:color w:val="545456"/>
          <w:spacing w:val="-1"/>
        </w:rPr>
        <w:t>-</w:t>
      </w:r>
      <w:r>
        <w:rPr>
          <w:color w:val="545456"/>
          <w:spacing w:val="-11"/>
        </w:rPr>
        <w:t xml:space="preserve"> </w:t>
      </w:r>
      <w:r>
        <w:rPr>
          <w:color w:val="545456"/>
          <w:spacing w:val="-1"/>
        </w:rPr>
        <w:t>Institute</w:t>
      </w:r>
      <w:r>
        <w:rPr>
          <w:color w:val="545456"/>
          <w:spacing w:val="-47"/>
        </w:rPr>
        <w:t xml:space="preserve"> </w:t>
      </w:r>
      <w:r>
        <w:rPr>
          <w:color w:val="545456"/>
        </w:rPr>
        <w:t>for Environment and Sustainability. “International</w:t>
      </w:r>
      <w:r>
        <w:rPr>
          <w:color w:val="545456"/>
          <w:spacing w:val="1"/>
        </w:rPr>
        <w:t xml:space="preserve"> </w:t>
      </w:r>
      <w:r>
        <w:rPr>
          <w:color w:val="545456"/>
          <w:w w:val="95"/>
        </w:rPr>
        <w:t>Reference</w:t>
      </w:r>
      <w:r>
        <w:rPr>
          <w:color w:val="545456"/>
          <w:spacing w:val="-4"/>
          <w:w w:val="95"/>
        </w:rPr>
        <w:t xml:space="preserve"> </w:t>
      </w:r>
      <w:r>
        <w:rPr>
          <w:color w:val="545456"/>
          <w:w w:val="95"/>
        </w:rPr>
        <w:t>Life</w:t>
      </w:r>
      <w:r>
        <w:rPr>
          <w:color w:val="545456"/>
          <w:spacing w:val="-4"/>
          <w:w w:val="95"/>
        </w:rPr>
        <w:t xml:space="preserve"> </w:t>
      </w:r>
      <w:r>
        <w:rPr>
          <w:color w:val="545456"/>
          <w:w w:val="95"/>
        </w:rPr>
        <w:t>Cycle</w:t>
      </w:r>
      <w:r>
        <w:rPr>
          <w:color w:val="545456"/>
          <w:spacing w:val="-4"/>
          <w:w w:val="95"/>
        </w:rPr>
        <w:t xml:space="preserve"> </w:t>
      </w:r>
      <w:r>
        <w:rPr>
          <w:color w:val="545456"/>
          <w:w w:val="95"/>
        </w:rPr>
        <w:t>Data</w:t>
      </w:r>
      <w:r>
        <w:rPr>
          <w:color w:val="545456"/>
          <w:spacing w:val="-4"/>
          <w:w w:val="95"/>
        </w:rPr>
        <w:t xml:space="preserve"> </w:t>
      </w:r>
      <w:r>
        <w:rPr>
          <w:color w:val="545456"/>
          <w:w w:val="95"/>
        </w:rPr>
        <w:t>System</w:t>
      </w:r>
      <w:r>
        <w:rPr>
          <w:color w:val="545456"/>
          <w:spacing w:val="-4"/>
          <w:w w:val="95"/>
        </w:rPr>
        <w:t xml:space="preserve"> </w:t>
      </w:r>
      <w:r>
        <w:rPr>
          <w:color w:val="545456"/>
          <w:w w:val="95"/>
        </w:rPr>
        <w:t>(ILCD)</w:t>
      </w:r>
      <w:r>
        <w:rPr>
          <w:color w:val="545456"/>
          <w:spacing w:val="-4"/>
          <w:w w:val="95"/>
        </w:rPr>
        <w:t xml:space="preserve"> </w:t>
      </w:r>
      <w:r>
        <w:rPr>
          <w:color w:val="545456"/>
          <w:w w:val="95"/>
        </w:rPr>
        <w:t>Handbook</w:t>
      </w:r>
    </w:p>
    <w:p w14:paraId="2E73907A" w14:textId="77777777" w:rsidR="0055291C" w:rsidRDefault="00F23C61">
      <w:pPr>
        <w:pStyle w:val="a3"/>
        <w:spacing w:before="2" w:line="312" w:lineRule="auto"/>
        <w:ind w:left="1138"/>
      </w:pPr>
      <w:r>
        <w:rPr>
          <w:color w:val="545456"/>
          <w:w w:val="95"/>
        </w:rPr>
        <w:t>-</w:t>
      </w:r>
      <w:r>
        <w:rPr>
          <w:color w:val="545456"/>
          <w:spacing w:val="6"/>
          <w:w w:val="95"/>
        </w:rPr>
        <w:t xml:space="preserve"> </w:t>
      </w:r>
      <w:r>
        <w:rPr>
          <w:color w:val="545456"/>
          <w:w w:val="95"/>
        </w:rPr>
        <w:t>General</w:t>
      </w:r>
      <w:r>
        <w:rPr>
          <w:color w:val="545456"/>
          <w:spacing w:val="6"/>
          <w:w w:val="95"/>
        </w:rPr>
        <w:t xml:space="preserve"> </w:t>
      </w:r>
      <w:r>
        <w:rPr>
          <w:color w:val="545456"/>
          <w:w w:val="95"/>
        </w:rPr>
        <w:t>guide</w:t>
      </w:r>
      <w:r>
        <w:rPr>
          <w:color w:val="545456"/>
          <w:spacing w:val="7"/>
          <w:w w:val="95"/>
        </w:rPr>
        <w:t xml:space="preserve"> </w:t>
      </w:r>
      <w:r>
        <w:rPr>
          <w:color w:val="545456"/>
          <w:w w:val="95"/>
        </w:rPr>
        <w:t>for</w:t>
      </w:r>
      <w:r>
        <w:rPr>
          <w:color w:val="545456"/>
          <w:spacing w:val="6"/>
          <w:w w:val="95"/>
        </w:rPr>
        <w:t xml:space="preserve"> </w:t>
      </w:r>
      <w:r>
        <w:rPr>
          <w:color w:val="545456"/>
          <w:w w:val="95"/>
        </w:rPr>
        <w:t>Life</w:t>
      </w:r>
      <w:r>
        <w:rPr>
          <w:color w:val="545456"/>
          <w:spacing w:val="7"/>
          <w:w w:val="95"/>
        </w:rPr>
        <w:t xml:space="preserve"> </w:t>
      </w:r>
      <w:r>
        <w:rPr>
          <w:color w:val="545456"/>
          <w:w w:val="95"/>
        </w:rPr>
        <w:t>Cycle</w:t>
      </w:r>
      <w:r>
        <w:rPr>
          <w:color w:val="545456"/>
          <w:spacing w:val="6"/>
          <w:w w:val="95"/>
        </w:rPr>
        <w:t xml:space="preserve"> </w:t>
      </w:r>
      <w:r>
        <w:rPr>
          <w:color w:val="545456"/>
          <w:w w:val="95"/>
        </w:rPr>
        <w:t>Assessment</w:t>
      </w:r>
      <w:r>
        <w:rPr>
          <w:color w:val="545456"/>
          <w:spacing w:val="16"/>
          <w:w w:val="95"/>
        </w:rPr>
        <w:t xml:space="preserve"> </w:t>
      </w:r>
      <w:r>
        <w:rPr>
          <w:color w:val="545456"/>
          <w:w w:val="95"/>
        </w:rPr>
        <w:t>-</w:t>
      </w:r>
      <w:r>
        <w:rPr>
          <w:color w:val="545456"/>
          <w:spacing w:val="7"/>
          <w:w w:val="95"/>
        </w:rPr>
        <w:t xml:space="preserve"> </w:t>
      </w:r>
      <w:r>
        <w:rPr>
          <w:color w:val="545456"/>
          <w:w w:val="95"/>
        </w:rPr>
        <w:t>Detailed</w:t>
      </w:r>
      <w:r>
        <w:rPr>
          <w:color w:val="545456"/>
          <w:spacing w:val="-45"/>
          <w:w w:val="95"/>
        </w:rPr>
        <w:t xml:space="preserve"> </w:t>
      </w:r>
      <w:r>
        <w:rPr>
          <w:color w:val="545456"/>
        </w:rPr>
        <w:t>guidance.” First edition, March 2010. Luxembourg:</w:t>
      </w:r>
      <w:r>
        <w:rPr>
          <w:color w:val="545456"/>
          <w:spacing w:val="1"/>
        </w:rPr>
        <w:t xml:space="preserve"> </w:t>
      </w:r>
      <w:r>
        <w:rPr>
          <w:color w:val="545456"/>
        </w:rPr>
        <w:t>Publications</w:t>
      </w:r>
      <w:r>
        <w:rPr>
          <w:color w:val="545456"/>
          <w:spacing w:val="-9"/>
        </w:rPr>
        <w:t xml:space="preserve"> </w:t>
      </w:r>
      <w:r>
        <w:rPr>
          <w:color w:val="545456"/>
        </w:rPr>
        <w:t>Office</w:t>
      </w:r>
      <w:r>
        <w:rPr>
          <w:color w:val="545456"/>
          <w:spacing w:val="-8"/>
        </w:rPr>
        <w:t xml:space="preserve"> </w:t>
      </w:r>
      <w:r>
        <w:rPr>
          <w:color w:val="545456"/>
        </w:rPr>
        <w:t>of</w:t>
      </w:r>
      <w:r>
        <w:rPr>
          <w:color w:val="545456"/>
          <w:spacing w:val="-8"/>
        </w:rPr>
        <w:t xml:space="preserve"> </w:t>
      </w:r>
      <w:r>
        <w:rPr>
          <w:color w:val="545456"/>
        </w:rPr>
        <w:t>the</w:t>
      </w:r>
      <w:r>
        <w:rPr>
          <w:color w:val="545456"/>
          <w:spacing w:val="-8"/>
        </w:rPr>
        <w:t xml:space="preserve"> </w:t>
      </w:r>
      <w:r>
        <w:rPr>
          <w:color w:val="545456"/>
        </w:rPr>
        <w:t>European</w:t>
      </w:r>
      <w:r>
        <w:rPr>
          <w:color w:val="545456"/>
          <w:spacing w:val="-8"/>
        </w:rPr>
        <w:t xml:space="preserve"> </w:t>
      </w:r>
      <w:r>
        <w:rPr>
          <w:color w:val="545456"/>
        </w:rPr>
        <w:t>Union,</w:t>
      </w:r>
      <w:r>
        <w:rPr>
          <w:color w:val="545456"/>
          <w:spacing w:val="-8"/>
        </w:rPr>
        <w:t xml:space="preserve"> </w:t>
      </w:r>
      <w:r>
        <w:rPr>
          <w:color w:val="545456"/>
        </w:rPr>
        <w:t>2010.</w:t>
      </w:r>
    </w:p>
    <w:p w14:paraId="227A7682" w14:textId="77777777" w:rsidR="0055291C" w:rsidRDefault="00F23C61">
      <w:pPr>
        <w:pStyle w:val="a3"/>
        <w:spacing w:before="141" w:line="312" w:lineRule="auto"/>
        <w:ind w:left="1138" w:right="415"/>
      </w:pPr>
      <w:r>
        <w:rPr>
          <w:color w:val="545456"/>
          <w:spacing w:val="-1"/>
        </w:rPr>
        <w:t>FAO.</w:t>
      </w:r>
      <w:r>
        <w:rPr>
          <w:color w:val="545456"/>
          <w:spacing w:val="-10"/>
        </w:rPr>
        <w:t xml:space="preserve"> </w:t>
      </w:r>
      <w:r>
        <w:rPr>
          <w:color w:val="545456"/>
          <w:spacing w:val="-1"/>
        </w:rPr>
        <w:t>FAOSTAT.</w:t>
      </w:r>
      <w:r>
        <w:rPr>
          <w:color w:val="545456"/>
          <w:spacing w:val="-10"/>
        </w:rPr>
        <w:t xml:space="preserve"> </w:t>
      </w:r>
      <w:r>
        <w:rPr>
          <w:color w:val="545456"/>
          <w:spacing w:val="-1"/>
        </w:rPr>
        <w:t>Available</w:t>
      </w:r>
      <w:r>
        <w:rPr>
          <w:color w:val="545456"/>
          <w:spacing w:val="-10"/>
        </w:rPr>
        <w:t xml:space="preserve"> </w:t>
      </w:r>
      <w:r>
        <w:rPr>
          <w:color w:val="545456"/>
          <w:spacing w:val="-1"/>
        </w:rPr>
        <w:t>from</w:t>
      </w:r>
      <w:r>
        <w:rPr>
          <w:color w:val="545456"/>
          <w:spacing w:val="-10"/>
        </w:rPr>
        <w:t xml:space="preserve"> </w:t>
      </w:r>
      <w:hyperlink r:id="rId401">
        <w:r>
          <w:rPr>
            <w:color w:val="545456"/>
            <w:spacing w:val="-1"/>
          </w:rPr>
          <w:t>http://faostat.fao.org/</w:t>
        </w:r>
      </w:hyperlink>
      <w:r>
        <w:rPr>
          <w:color w:val="545456"/>
          <w:spacing w:val="-47"/>
        </w:rPr>
        <w:t xml:space="preserve"> </w:t>
      </w:r>
      <w:r>
        <w:rPr>
          <w:color w:val="545456"/>
        </w:rPr>
        <w:t>site/567/</w:t>
      </w:r>
      <w:proofErr w:type="spellStart"/>
      <w:r>
        <w:rPr>
          <w:color w:val="545456"/>
        </w:rPr>
        <w:t>default.aspx#ancor</w:t>
      </w:r>
      <w:proofErr w:type="spellEnd"/>
      <w:r>
        <w:rPr>
          <w:color w:val="545456"/>
        </w:rPr>
        <w:t>,</w:t>
      </w:r>
      <w:r>
        <w:rPr>
          <w:color w:val="545456"/>
          <w:spacing w:val="-10"/>
        </w:rPr>
        <w:t xml:space="preserve"> </w:t>
      </w:r>
      <w:r>
        <w:rPr>
          <w:color w:val="545456"/>
        </w:rPr>
        <w:t>2011.</w:t>
      </w:r>
    </w:p>
    <w:p w14:paraId="4F211911" w14:textId="77777777" w:rsidR="0055291C" w:rsidRDefault="00F23C61">
      <w:pPr>
        <w:pStyle w:val="a3"/>
        <w:spacing w:before="141" w:line="312" w:lineRule="auto"/>
        <w:ind w:left="1138"/>
      </w:pPr>
      <w:r>
        <w:rPr>
          <w:color w:val="545456"/>
          <w:spacing w:val="-2"/>
        </w:rPr>
        <w:t>Greenhouse</w:t>
      </w:r>
      <w:r>
        <w:rPr>
          <w:color w:val="545456"/>
          <w:spacing w:val="-11"/>
        </w:rPr>
        <w:t xml:space="preserve"> </w:t>
      </w:r>
      <w:r>
        <w:rPr>
          <w:color w:val="545456"/>
          <w:spacing w:val="-2"/>
        </w:rPr>
        <w:t>Gas</w:t>
      </w:r>
      <w:r>
        <w:rPr>
          <w:color w:val="545456"/>
          <w:spacing w:val="-11"/>
        </w:rPr>
        <w:t xml:space="preserve"> </w:t>
      </w:r>
      <w:r>
        <w:rPr>
          <w:color w:val="545456"/>
          <w:spacing w:val="-1"/>
        </w:rPr>
        <w:t>Protocol.</w:t>
      </w:r>
      <w:r>
        <w:rPr>
          <w:color w:val="545456"/>
          <w:spacing w:val="-10"/>
        </w:rPr>
        <w:t xml:space="preserve"> </w:t>
      </w:r>
      <w:r>
        <w:rPr>
          <w:color w:val="545456"/>
          <w:spacing w:val="-1"/>
        </w:rPr>
        <w:t>Corporate</w:t>
      </w:r>
      <w:r>
        <w:rPr>
          <w:color w:val="545456"/>
          <w:spacing w:val="-11"/>
        </w:rPr>
        <w:t xml:space="preserve"> </w:t>
      </w:r>
      <w:r>
        <w:rPr>
          <w:color w:val="545456"/>
          <w:spacing w:val="-1"/>
        </w:rPr>
        <w:t>Accounting</w:t>
      </w:r>
      <w:r>
        <w:rPr>
          <w:color w:val="545456"/>
          <w:spacing w:val="-10"/>
        </w:rPr>
        <w:t xml:space="preserve"> </w:t>
      </w:r>
      <w:r>
        <w:rPr>
          <w:color w:val="545456"/>
          <w:spacing w:val="-1"/>
        </w:rPr>
        <w:t>and</w:t>
      </w:r>
      <w:r>
        <w:rPr>
          <w:color w:val="545456"/>
          <w:spacing w:val="-48"/>
        </w:rPr>
        <w:t xml:space="preserve"> </w:t>
      </w:r>
      <w:r>
        <w:rPr>
          <w:color w:val="545456"/>
        </w:rPr>
        <w:t>Reporting</w:t>
      </w:r>
      <w:r>
        <w:rPr>
          <w:color w:val="545456"/>
          <w:spacing w:val="-11"/>
        </w:rPr>
        <w:t xml:space="preserve"> </w:t>
      </w:r>
      <w:r>
        <w:rPr>
          <w:color w:val="545456"/>
        </w:rPr>
        <w:t>Standard.</w:t>
      </w:r>
      <w:r>
        <w:rPr>
          <w:color w:val="545456"/>
          <w:spacing w:val="-10"/>
        </w:rPr>
        <w:t xml:space="preserve"> </w:t>
      </w:r>
      <w:r>
        <w:rPr>
          <w:color w:val="545456"/>
        </w:rPr>
        <w:t>2004.</w:t>
      </w:r>
    </w:p>
    <w:p w14:paraId="43CB71B9" w14:textId="77777777" w:rsidR="0055291C" w:rsidRDefault="00F23C61">
      <w:pPr>
        <w:pStyle w:val="a3"/>
        <w:spacing w:before="141" w:line="309" w:lineRule="auto"/>
        <w:ind w:left="1138" w:right="513"/>
      </w:pPr>
      <w:proofErr w:type="spellStart"/>
      <w:r>
        <w:rPr>
          <w:color w:val="545456"/>
        </w:rPr>
        <w:t>Huijbregts</w:t>
      </w:r>
      <w:proofErr w:type="spellEnd"/>
      <w:r>
        <w:rPr>
          <w:color w:val="545456"/>
        </w:rPr>
        <w:t>, Mark A. J. “Application of uncertainty</w:t>
      </w:r>
      <w:r>
        <w:rPr>
          <w:color w:val="545456"/>
          <w:spacing w:val="1"/>
        </w:rPr>
        <w:t xml:space="preserve"> </w:t>
      </w:r>
      <w:r>
        <w:rPr>
          <w:color w:val="545456"/>
          <w:w w:val="95"/>
        </w:rPr>
        <w:t>and</w:t>
      </w:r>
      <w:r>
        <w:rPr>
          <w:color w:val="545456"/>
          <w:spacing w:val="1"/>
          <w:w w:val="95"/>
        </w:rPr>
        <w:t xml:space="preserve"> </w:t>
      </w:r>
      <w:r>
        <w:rPr>
          <w:color w:val="545456"/>
          <w:w w:val="95"/>
        </w:rPr>
        <w:t>variability</w:t>
      </w:r>
      <w:r>
        <w:rPr>
          <w:color w:val="545456"/>
          <w:spacing w:val="1"/>
          <w:w w:val="95"/>
        </w:rPr>
        <w:t xml:space="preserve"> </w:t>
      </w:r>
      <w:r>
        <w:rPr>
          <w:color w:val="545456"/>
          <w:w w:val="95"/>
        </w:rPr>
        <w:t>in</w:t>
      </w:r>
      <w:r>
        <w:rPr>
          <w:color w:val="545456"/>
          <w:spacing w:val="2"/>
          <w:w w:val="95"/>
        </w:rPr>
        <w:t xml:space="preserve"> </w:t>
      </w:r>
      <w:r>
        <w:rPr>
          <w:color w:val="545456"/>
          <w:w w:val="95"/>
        </w:rPr>
        <w:t>LCA.</w:t>
      </w:r>
      <w:r>
        <w:rPr>
          <w:color w:val="545456"/>
          <w:spacing w:val="1"/>
          <w:w w:val="95"/>
        </w:rPr>
        <w:t xml:space="preserve"> </w:t>
      </w:r>
      <w:r>
        <w:rPr>
          <w:color w:val="545456"/>
          <w:w w:val="95"/>
        </w:rPr>
        <w:t>Part</w:t>
      </w:r>
      <w:r>
        <w:rPr>
          <w:color w:val="545456"/>
          <w:spacing w:val="2"/>
          <w:w w:val="95"/>
        </w:rPr>
        <w:t xml:space="preserve"> </w:t>
      </w:r>
      <w:r>
        <w:rPr>
          <w:color w:val="545456"/>
          <w:w w:val="95"/>
        </w:rPr>
        <w:t>I:</w:t>
      </w:r>
      <w:r>
        <w:rPr>
          <w:color w:val="545456"/>
          <w:spacing w:val="1"/>
          <w:w w:val="95"/>
        </w:rPr>
        <w:t xml:space="preserve"> </w:t>
      </w:r>
      <w:r>
        <w:rPr>
          <w:color w:val="545456"/>
          <w:w w:val="95"/>
        </w:rPr>
        <w:t>A</w:t>
      </w:r>
      <w:r>
        <w:rPr>
          <w:color w:val="545456"/>
          <w:spacing w:val="1"/>
          <w:w w:val="95"/>
        </w:rPr>
        <w:t xml:space="preserve"> </w:t>
      </w:r>
      <w:r>
        <w:rPr>
          <w:color w:val="545456"/>
          <w:w w:val="95"/>
        </w:rPr>
        <w:t>General</w:t>
      </w:r>
      <w:r>
        <w:rPr>
          <w:color w:val="545456"/>
          <w:spacing w:val="2"/>
          <w:w w:val="95"/>
        </w:rPr>
        <w:t xml:space="preserve"> </w:t>
      </w:r>
      <w:r>
        <w:rPr>
          <w:color w:val="545456"/>
          <w:w w:val="95"/>
        </w:rPr>
        <w:t>Framework</w:t>
      </w:r>
      <w:r>
        <w:rPr>
          <w:color w:val="545456"/>
          <w:spacing w:val="1"/>
          <w:w w:val="95"/>
        </w:rPr>
        <w:t xml:space="preserve"> </w:t>
      </w:r>
      <w:r>
        <w:rPr>
          <w:color w:val="545456"/>
        </w:rPr>
        <w:t>for</w:t>
      </w:r>
      <w:r>
        <w:rPr>
          <w:color w:val="545456"/>
          <w:spacing w:val="-5"/>
        </w:rPr>
        <w:t xml:space="preserve"> </w:t>
      </w:r>
      <w:r>
        <w:rPr>
          <w:color w:val="545456"/>
        </w:rPr>
        <w:t>the</w:t>
      </w:r>
      <w:r>
        <w:rPr>
          <w:color w:val="545456"/>
          <w:spacing w:val="-4"/>
        </w:rPr>
        <w:t xml:space="preserve"> </w:t>
      </w:r>
      <w:r>
        <w:rPr>
          <w:color w:val="545456"/>
        </w:rPr>
        <w:t>Analysis</w:t>
      </w:r>
      <w:r>
        <w:rPr>
          <w:color w:val="545456"/>
          <w:spacing w:val="-5"/>
        </w:rPr>
        <w:t xml:space="preserve"> </w:t>
      </w:r>
      <w:r>
        <w:rPr>
          <w:color w:val="545456"/>
        </w:rPr>
        <w:t>of</w:t>
      </w:r>
      <w:r>
        <w:rPr>
          <w:color w:val="545456"/>
          <w:spacing w:val="-4"/>
        </w:rPr>
        <w:t xml:space="preserve"> </w:t>
      </w:r>
      <w:r>
        <w:rPr>
          <w:color w:val="545456"/>
        </w:rPr>
        <w:t>Uncertainty</w:t>
      </w:r>
      <w:r>
        <w:rPr>
          <w:color w:val="545456"/>
          <w:spacing w:val="-5"/>
        </w:rPr>
        <w:t xml:space="preserve"> </w:t>
      </w:r>
      <w:r>
        <w:rPr>
          <w:color w:val="545456"/>
        </w:rPr>
        <w:t>and</w:t>
      </w:r>
      <w:r>
        <w:rPr>
          <w:color w:val="545456"/>
          <w:spacing w:val="-4"/>
        </w:rPr>
        <w:t xml:space="preserve"> </w:t>
      </w:r>
      <w:r>
        <w:rPr>
          <w:color w:val="545456"/>
        </w:rPr>
        <w:t>Variability</w:t>
      </w:r>
      <w:r>
        <w:rPr>
          <w:color w:val="545456"/>
          <w:spacing w:val="-4"/>
        </w:rPr>
        <w:t xml:space="preserve"> </w:t>
      </w:r>
      <w:r>
        <w:rPr>
          <w:color w:val="545456"/>
        </w:rPr>
        <w:t>in</w:t>
      </w:r>
      <w:r>
        <w:rPr>
          <w:color w:val="545456"/>
          <w:spacing w:val="-5"/>
        </w:rPr>
        <w:t xml:space="preserve"> </w:t>
      </w:r>
      <w:r>
        <w:rPr>
          <w:color w:val="545456"/>
        </w:rPr>
        <w:t>Life</w:t>
      </w:r>
      <w:r>
        <w:rPr>
          <w:color w:val="545456"/>
          <w:spacing w:val="-47"/>
        </w:rPr>
        <w:t xml:space="preserve"> </w:t>
      </w:r>
      <w:r>
        <w:rPr>
          <w:color w:val="545456"/>
          <w:w w:val="95"/>
        </w:rPr>
        <w:t>Cycle</w:t>
      </w:r>
      <w:r>
        <w:rPr>
          <w:color w:val="545456"/>
          <w:spacing w:val="1"/>
          <w:w w:val="95"/>
        </w:rPr>
        <w:t xml:space="preserve"> </w:t>
      </w:r>
      <w:proofErr w:type="spellStart"/>
      <w:r>
        <w:rPr>
          <w:color w:val="545456"/>
          <w:w w:val="95"/>
        </w:rPr>
        <w:t>Assessment.”</w:t>
      </w:r>
      <w:r>
        <w:rPr>
          <w:rFonts w:ascii="Arial" w:hAnsi="Arial"/>
          <w:i/>
          <w:color w:val="545456"/>
          <w:w w:val="95"/>
        </w:rPr>
        <w:t>International</w:t>
      </w:r>
      <w:proofErr w:type="spellEnd"/>
      <w:r>
        <w:rPr>
          <w:rFonts w:ascii="Arial" w:hAnsi="Arial"/>
          <w:i/>
          <w:color w:val="545456"/>
          <w:w w:val="95"/>
        </w:rPr>
        <w:t xml:space="preserve"> Journal</w:t>
      </w:r>
      <w:r>
        <w:rPr>
          <w:rFonts w:ascii="Arial" w:hAnsi="Arial"/>
          <w:i/>
          <w:color w:val="545456"/>
          <w:spacing w:val="1"/>
          <w:w w:val="95"/>
        </w:rPr>
        <w:t xml:space="preserve"> </w:t>
      </w:r>
      <w:r>
        <w:rPr>
          <w:rFonts w:ascii="Arial" w:hAnsi="Arial"/>
          <w:i/>
          <w:color w:val="545456"/>
          <w:w w:val="95"/>
        </w:rPr>
        <w:t>of Life</w:t>
      </w:r>
      <w:r>
        <w:rPr>
          <w:rFonts w:ascii="Arial" w:hAnsi="Arial"/>
          <w:i/>
          <w:color w:val="545456"/>
          <w:spacing w:val="1"/>
          <w:w w:val="95"/>
        </w:rPr>
        <w:t xml:space="preserve"> </w:t>
      </w:r>
      <w:r>
        <w:rPr>
          <w:rFonts w:ascii="Arial" w:hAnsi="Arial"/>
          <w:i/>
          <w:color w:val="545456"/>
          <w:w w:val="95"/>
        </w:rPr>
        <w:t>Cycle</w:t>
      </w:r>
      <w:r>
        <w:rPr>
          <w:rFonts w:ascii="Arial" w:hAnsi="Arial"/>
          <w:i/>
          <w:color w:val="545456"/>
          <w:spacing w:val="-47"/>
          <w:w w:val="95"/>
        </w:rPr>
        <w:t xml:space="preserve"> </w:t>
      </w:r>
      <w:r>
        <w:rPr>
          <w:rFonts w:ascii="Arial" w:hAnsi="Arial"/>
          <w:i/>
          <w:color w:val="545456"/>
          <w:w w:val="95"/>
        </w:rPr>
        <w:t>Assessment,</w:t>
      </w:r>
      <w:r>
        <w:rPr>
          <w:rFonts w:ascii="Arial" w:hAnsi="Arial"/>
          <w:i/>
          <w:color w:val="545456"/>
          <w:spacing w:val="-8"/>
          <w:w w:val="95"/>
        </w:rPr>
        <w:t xml:space="preserve"> </w:t>
      </w:r>
      <w:r>
        <w:rPr>
          <w:color w:val="545456"/>
          <w:w w:val="95"/>
        </w:rPr>
        <w:t>3</w:t>
      </w:r>
      <w:r>
        <w:rPr>
          <w:color w:val="545456"/>
          <w:spacing w:val="-6"/>
          <w:w w:val="95"/>
        </w:rPr>
        <w:t xml:space="preserve"> </w:t>
      </w:r>
      <w:r>
        <w:rPr>
          <w:color w:val="545456"/>
          <w:w w:val="95"/>
        </w:rPr>
        <w:t>no.</w:t>
      </w:r>
      <w:r>
        <w:rPr>
          <w:color w:val="545456"/>
          <w:spacing w:val="-6"/>
          <w:w w:val="95"/>
        </w:rPr>
        <w:t xml:space="preserve"> </w:t>
      </w:r>
      <w:r>
        <w:rPr>
          <w:color w:val="545456"/>
          <w:w w:val="95"/>
        </w:rPr>
        <w:t>5</w:t>
      </w:r>
      <w:r>
        <w:rPr>
          <w:color w:val="545456"/>
          <w:spacing w:val="-6"/>
          <w:w w:val="95"/>
        </w:rPr>
        <w:t xml:space="preserve"> </w:t>
      </w:r>
      <w:r>
        <w:rPr>
          <w:color w:val="545456"/>
          <w:w w:val="95"/>
        </w:rPr>
        <w:t>(1998):273</w:t>
      </w:r>
      <w:r>
        <w:rPr>
          <w:color w:val="545456"/>
          <w:spacing w:val="-6"/>
          <w:w w:val="95"/>
        </w:rPr>
        <w:t xml:space="preserve"> </w:t>
      </w:r>
      <w:r>
        <w:rPr>
          <w:color w:val="545456"/>
          <w:w w:val="95"/>
        </w:rPr>
        <w:t>–</w:t>
      </w:r>
      <w:r>
        <w:rPr>
          <w:color w:val="545456"/>
          <w:spacing w:val="-6"/>
          <w:w w:val="95"/>
        </w:rPr>
        <w:t xml:space="preserve"> </w:t>
      </w:r>
      <w:r>
        <w:rPr>
          <w:color w:val="545456"/>
          <w:w w:val="95"/>
        </w:rPr>
        <w:t>280.</w:t>
      </w:r>
    </w:p>
    <w:p w14:paraId="6ED6AA29" w14:textId="77777777" w:rsidR="0055291C" w:rsidRDefault="00F23C61">
      <w:pPr>
        <w:spacing w:before="141"/>
        <w:ind w:left="1138"/>
        <w:rPr>
          <w:rFonts w:ascii="Arial"/>
          <w:i/>
          <w:sz w:val="19"/>
        </w:rPr>
      </w:pPr>
      <w:r>
        <w:rPr>
          <w:color w:val="545456"/>
          <w:w w:val="95"/>
          <w:sz w:val="19"/>
        </w:rPr>
        <w:t>International</w:t>
      </w:r>
      <w:r>
        <w:rPr>
          <w:color w:val="545456"/>
          <w:spacing w:val="3"/>
          <w:w w:val="95"/>
          <w:sz w:val="19"/>
        </w:rPr>
        <w:t xml:space="preserve"> </w:t>
      </w:r>
      <w:r>
        <w:rPr>
          <w:color w:val="545456"/>
          <w:w w:val="95"/>
          <w:sz w:val="19"/>
        </w:rPr>
        <w:t>Working</w:t>
      </w:r>
      <w:r>
        <w:rPr>
          <w:color w:val="545456"/>
          <w:spacing w:val="4"/>
          <w:w w:val="95"/>
          <w:sz w:val="19"/>
        </w:rPr>
        <w:t xml:space="preserve"> </w:t>
      </w:r>
      <w:r>
        <w:rPr>
          <w:color w:val="545456"/>
          <w:w w:val="95"/>
          <w:sz w:val="19"/>
        </w:rPr>
        <w:t>Group.</w:t>
      </w:r>
      <w:r>
        <w:rPr>
          <w:color w:val="545456"/>
          <w:spacing w:val="4"/>
          <w:w w:val="95"/>
          <w:sz w:val="19"/>
        </w:rPr>
        <w:t xml:space="preserve"> </w:t>
      </w:r>
      <w:r>
        <w:rPr>
          <w:rFonts w:ascii="Arial"/>
          <w:i/>
          <w:color w:val="545456"/>
          <w:w w:val="95"/>
          <w:sz w:val="19"/>
        </w:rPr>
        <w:t>Life</w:t>
      </w:r>
      <w:r>
        <w:rPr>
          <w:rFonts w:ascii="Arial"/>
          <w:i/>
          <w:color w:val="545456"/>
          <w:spacing w:val="3"/>
          <w:w w:val="95"/>
          <w:sz w:val="19"/>
        </w:rPr>
        <w:t xml:space="preserve"> </w:t>
      </w:r>
      <w:r>
        <w:rPr>
          <w:rFonts w:ascii="Arial"/>
          <w:i/>
          <w:color w:val="545456"/>
          <w:w w:val="95"/>
          <w:sz w:val="19"/>
        </w:rPr>
        <w:t>Cycle</w:t>
      </w:r>
      <w:r>
        <w:rPr>
          <w:rFonts w:ascii="Arial"/>
          <w:i/>
          <w:color w:val="545456"/>
          <w:spacing w:val="3"/>
          <w:w w:val="95"/>
          <w:sz w:val="19"/>
        </w:rPr>
        <w:t xml:space="preserve"> </w:t>
      </w:r>
      <w:r>
        <w:rPr>
          <w:rFonts w:ascii="Arial"/>
          <w:i/>
          <w:color w:val="545456"/>
          <w:w w:val="95"/>
          <w:sz w:val="19"/>
        </w:rPr>
        <w:t>Inventory</w:t>
      </w:r>
      <w:r>
        <w:rPr>
          <w:rFonts w:ascii="Arial"/>
          <w:i/>
          <w:color w:val="545456"/>
          <w:spacing w:val="3"/>
          <w:w w:val="95"/>
          <w:sz w:val="19"/>
        </w:rPr>
        <w:t xml:space="preserve"> </w:t>
      </w:r>
      <w:r>
        <w:rPr>
          <w:rFonts w:ascii="Arial"/>
          <w:i/>
          <w:color w:val="545456"/>
          <w:w w:val="95"/>
          <w:sz w:val="19"/>
        </w:rPr>
        <w:t>Analysis:</w:t>
      </w:r>
    </w:p>
    <w:p w14:paraId="3C4ACC93" w14:textId="77777777" w:rsidR="0055291C" w:rsidRDefault="00F23C61">
      <w:pPr>
        <w:spacing w:before="61" w:line="309" w:lineRule="auto"/>
        <w:ind w:left="1138" w:right="132"/>
        <w:rPr>
          <w:sz w:val="19"/>
        </w:rPr>
      </w:pPr>
      <w:r>
        <w:rPr>
          <w:rFonts w:ascii="Arial"/>
          <w:i/>
          <w:color w:val="545456"/>
          <w:w w:val="95"/>
          <w:sz w:val="19"/>
        </w:rPr>
        <w:t>Enhanced Methods and Applications for the Products of</w:t>
      </w:r>
      <w:r>
        <w:rPr>
          <w:rFonts w:ascii="Arial"/>
          <w:i/>
          <w:color w:val="545456"/>
          <w:spacing w:val="1"/>
          <w:w w:val="95"/>
          <w:sz w:val="19"/>
        </w:rPr>
        <w:t xml:space="preserve"> </w:t>
      </w:r>
      <w:r>
        <w:rPr>
          <w:rFonts w:ascii="Arial"/>
          <w:i/>
          <w:color w:val="545456"/>
          <w:w w:val="95"/>
          <w:sz w:val="19"/>
        </w:rPr>
        <w:t>the</w:t>
      </w:r>
      <w:r>
        <w:rPr>
          <w:rFonts w:ascii="Arial"/>
          <w:i/>
          <w:color w:val="545456"/>
          <w:spacing w:val="4"/>
          <w:w w:val="95"/>
          <w:sz w:val="19"/>
        </w:rPr>
        <w:t xml:space="preserve"> </w:t>
      </w:r>
      <w:r>
        <w:rPr>
          <w:rFonts w:ascii="Arial"/>
          <w:i/>
          <w:color w:val="545456"/>
          <w:w w:val="95"/>
          <w:sz w:val="19"/>
        </w:rPr>
        <w:t>Forest</w:t>
      </w:r>
      <w:r>
        <w:rPr>
          <w:rFonts w:ascii="Arial"/>
          <w:i/>
          <w:color w:val="545456"/>
          <w:spacing w:val="4"/>
          <w:w w:val="95"/>
          <w:sz w:val="19"/>
        </w:rPr>
        <w:t xml:space="preserve"> </w:t>
      </w:r>
      <w:r>
        <w:rPr>
          <w:rFonts w:ascii="Arial"/>
          <w:i/>
          <w:color w:val="545456"/>
          <w:w w:val="95"/>
          <w:sz w:val="19"/>
        </w:rPr>
        <w:t>Industry.</w:t>
      </w:r>
      <w:r>
        <w:rPr>
          <w:rFonts w:ascii="Arial"/>
          <w:i/>
          <w:color w:val="545456"/>
          <w:spacing w:val="2"/>
          <w:w w:val="95"/>
          <w:sz w:val="19"/>
        </w:rPr>
        <w:t xml:space="preserve"> </w:t>
      </w:r>
      <w:r>
        <w:rPr>
          <w:color w:val="545456"/>
          <w:w w:val="95"/>
          <w:sz w:val="19"/>
        </w:rPr>
        <w:t>Washington</w:t>
      </w:r>
      <w:r>
        <w:rPr>
          <w:color w:val="545456"/>
          <w:spacing w:val="5"/>
          <w:w w:val="95"/>
          <w:sz w:val="19"/>
        </w:rPr>
        <w:t xml:space="preserve"> </w:t>
      </w:r>
      <w:r>
        <w:rPr>
          <w:color w:val="545456"/>
          <w:w w:val="95"/>
          <w:sz w:val="19"/>
        </w:rPr>
        <w:t>DC:</w:t>
      </w:r>
      <w:r>
        <w:rPr>
          <w:color w:val="545456"/>
          <w:spacing w:val="4"/>
          <w:w w:val="95"/>
          <w:sz w:val="19"/>
        </w:rPr>
        <w:t xml:space="preserve"> </w:t>
      </w:r>
      <w:r>
        <w:rPr>
          <w:color w:val="545456"/>
          <w:w w:val="95"/>
          <w:sz w:val="19"/>
        </w:rPr>
        <w:t>American</w:t>
      </w:r>
      <w:r>
        <w:rPr>
          <w:color w:val="545456"/>
          <w:spacing w:val="5"/>
          <w:w w:val="95"/>
          <w:sz w:val="19"/>
        </w:rPr>
        <w:t xml:space="preserve"> </w:t>
      </w:r>
      <w:r>
        <w:rPr>
          <w:color w:val="545456"/>
          <w:w w:val="95"/>
          <w:sz w:val="19"/>
        </w:rPr>
        <w:t>Forest</w:t>
      </w:r>
      <w:r>
        <w:rPr>
          <w:color w:val="545456"/>
          <w:spacing w:val="4"/>
          <w:w w:val="95"/>
          <w:sz w:val="19"/>
        </w:rPr>
        <w:t xml:space="preserve"> </w:t>
      </w:r>
      <w:r>
        <w:rPr>
          <w:color w:val="545456"/>
          <w:w w:val="95"/>
          <w:sz w:val="19"/>
        </w:rPr>
        <w:t>and</w:t>
      </w:r>
      <w:r>
        <w:rPr>
          <w:color w:val="545456"/>
          <w:spacing w:val="-45"/>
          <w:w w:val="95"/>
          <w:sz w:val="19"/>
        </w:rPr>
        <w:t xml:space="preserve"> </w:t>
      </w:r>
      <w:r>
        <w:rPr>
          <w:color w:val="545456"/>
          <w:sz w:val="19"/>
        </w:rPr>
        <w:t>Paper</w:t>
      </w:r>
      <w:r>
        <w:rPr>
          <w:color w:val="545456"/>
          <w:spacing w:val="-11"/>
          <w:sz w:val="19"/>
        </w:rPr>
        <w:t xml:space="preserve"> </w:t>
      </w:r>
      <w:r>
        <w:rPr>
          <w:color w:val="545456"/>
          <w:sz w:val="19"/>
        </w:rPr>
        <w:t>Association,</w:t>
      </w:r>
      <w:r>
        <w:rPr>
          <w:color w:val="545456"/>
          <w:spacing w:val="-11"/>
          <w:sz w:val="19"/>
        </w:rPr>
        <w:t xml:space="preserve"> </w:t>
      </w:r>
      <w:r>
        <w:rPr>
          <w:color w:val="545456"/>
          <w:sz w:val="19"/>
        </w:rPr>
        <w:t>1996.</w:t>
      </w:r>
    </w:p>
    <w:p w14:paraId="1C96E99D" w14:textId="77777777" w:rsidR="0055291C" w:rsidRDefault="00F23C61">
      <w:pPr>
        <w:pStyle w:val="a3"/>
        <w:spacing w:before="142" w:line="312" w:lineRule="auto"/>
        <w:ind w:left="1138"/>
      </w:pPr>
      <w:r>
        <w:rPr>
          <w:color w:val="545456"/>
        </w:rPr>
        <w:t>International Organization for Standardization. ISO</w:t>
      </w:r>
      <w:r>
        <w:rPr>
          <w:color w:val="545456"/>
          <w:spacing w:val="1"/>
        </w:rPr>
        <w:t xml:space="preserve"> </w:t>
      </w:r>
      <w:r>
        <w:rPr>
          <w:color w:val="545456"/>
          <w:spacing w:val="-2"/>
        </w:rPr>
        <w:t>14021:1999,</w:t>
      </w:r>
      <w:r>
        <w:rPr>
          <w:color w:val="545456"/>
          <w:spacing w:val="-10"/>
        </w:rPr>
        <w:t xml:space="preserve"> </w:t>
      </w:r>
      <w:r>
        <w:rPr>
          <w:color w:val="545456"/>
          <w:spacing w:val="-1"/>
        </w:rPr>
        <w:t>Environmental</w:t>
      </w:r>
      <w:r>
        <w:rPr>
          <w:color w:val="545456"/>
          <w:spacing w:val="-10"/>
        </w:rPr>
        <w:t xml:space="preserve"> </w:t>
      </w:r>
      <w:r>
        <w:rPr>
          <w:color w:val="545456"/>
          <w:spacing w:val="-1"/>
        </w:rPr>
        <w:t>labels</w:t>
      </w:r>
      <w:r>
        <w:rPr>
          <w:color w:val="545456"/>
          <w:spacing w:val="-9"/>
        </w:rPr>
        <w:t xml:space="preserve"> </w:t>
      </w:r>
      <w:r>
        <w:rPr>
          <w:color w:val="545456"/>
          <w:spacing w:val="-1"/>
        </w:rPr>
        <w:t>and</w:t>
      </w:r>
      <w:r>
        <w:rPr>
          <w:color w:val="545456"/>
          <w:spacing w:val="-10"/>
        </w:rPr>
        <w:t xml:space="preserve"> </w:t>
      </w:r>
      <w:r>
        <w:rPr>
          <w:color w:val="545456"/>
          <w:spacing w:val="-1"/>
        </w:rPr>
        <w:t>declarations</w:t>
      </w:r>
      <w:r>
        <w:rPr>
          <w:color w:val="545456"/>
          <w:spacing w:val="-10"/>
        </w:rPr>
        <w:t xml:space="preserve"> </w:t>
      </w:r>
      <w:r>
        <w:rPr>
          <w:color w:val="545456"/>
          <w:spacing w:val="-1"/>
        </w:rPr>
        <w:t>--</w:t>
      </w:r>
    </w:p>
    <w:p w14:paraId="648CE714" w14:textId="77777777" w:rsidR="0055291C" w:rsidRDefault="00F23C61">
      <w:pPr>
        <w:pStyle w:val="a3"/>
        <w:spacing w:before="1" w:line="312" w:lineRule="auto"/>
        <w:ind w:left="1138"/>
      </w:pPr>
      <w:r>
        <w:rPr>
          <w:color w:val="545456"/>
          <w:spacing w:val="-1"/>
        </w:rPr>
        <w:t>Self-declared</w:t>
      </w:r>
      <w:r>
        <w:rPr>
          <w:color w:val="545456"/>
          <w:spacing w:val="-10"/>
        </w:rPr>
        <w:t xml:space="preserve"> </w:t>
      </w:r>
      <w:r>
        <w:rPr>
          <w:color w:val="545456"/>
          <w:spacing w:val="-1"/>
        </w:rPr>
        <w:t>environmental</w:t>
      </w:r>
      <w:r>
        <w:rPr>
          <w:color w:val="545456"/>
          <w:spacing w:val="-9"/>
        </w:rPr>
        <w:t xml:space="preserve"> </w:t>
      </w:r>
      <w:r>
        <w:rPr>
          <w:color w:val="545456"/>
          <w:spacing w:val="-1"/>
        </w:rPr>
        <w:t>claims</w:t>
      </w:r>
      <w:r>
        <w:rPr>
          <w:color w:val="545456"/>
          <w:spacing w:val="-10"/>
        </w:rPr>
        <w:t xml:space="preserve"> </w:t>
      </w:r>
      <w:r>
        <w:rPr>
          <w:color w:val="545456"/>
          <w:spacing w:val="-1"/>
        </w:rPr>
        <w:t>(Type</w:t>
      </w:r>
      <w:r>
        <w:rPr>
          <w:color w:val="545456"/>
          <w:spacing w:val="-9"/>
        </w:rPr>
        <w:t xml:space="preserve"> </w:t>
      </w:r>
      <w:r>
        <w:rPr>
          <w:color w:val="545456"/>
          <w:spacing w:val="-1"/>
        </w:rPr>
        <w:t>II</w:t>
      </w:r>
      <w:r>
        <w:rPr>
          <w:color w:val="545456"/>
          <w:spacing w:val="-10"/>
        </w:rPr>
        <w:t xml:space="preserve"> </w:t>
      </w:r>
      <w:r>
        <w:rPr>
          <w:color w:val="545456"/>
          <w:spacing w:val="-1"/>
        </w:rPr>
        <w:t>environmental</w:t>
      </w:r>
      <w:r>
        <w:rPr>
          <w:color w:val="545456"/>
          <w:spacing w:val="-47"/>
        </w:rPr>
        <w:t xml:space="preserve"> </w:t>
      </w:r>
      <w:r>
        <w:rPr>
          <w:color w:val="545456"/>
        </w:rPr>
        <w:t>labeling).</w:t>
      </w:r>
      <w:r>
        <w:rPr>
          <w:color w:val="545456"/>
          <w:spacing w:val="-11"/>
        </w:rPr>
        <w:t xml:space="preserve"> </w:t>
      </w:r>
      <w:r>
        <w:rPr>
          <w:color w:val="545456"/>
        </w:rPr>
        <w:t>Geneva.</w:t>
      </w:r>
    </w:p>
    <w:p w14:paraId="0C89C934" w14:textId="77777777" w:rsidR="0055291C" w:rsidRDefault="00F23C61">
      <w:pPr>
        <w:pStyle w:val="a3"/>
        <w:spacing w:before="141" w:line="312" w:lineRule="auto"/>
        <w:ind w:left="1138" w:right="319"/>
      </w:pPr>
      <w:r>
        <w:rPr>
          <w:color w:val="545456"/>
        </w:rPr>
        <w:t>International Organization for Standardization. ISO</w:t>
      </w:r>
      <w:r>
        <w:rPr>
          <w:color w:val="545456"/>
          <w:spacing w:val="1"/>
        </w:rPr>
        <w:t xml:space="preserve"> </w:t>
      </w:r>
      <w:r>
        <w:rPr>
          <w:color w:val="545456"/>
        </w:rPr>
        <w:t>14024:1999, Environmental labels and declarations —</w:t>
      </w:r>
      <w:r>
        <w:rPr>
          <w:color w:val="545456"/>
          <w:spacing w:val="-48"/>
        </w:rPr>
        <w:t xml:space="preserve"> </w:t>
      </w:r>
      <w:r>
        <w:rPr>
          <w:color w:val="545456"/>
        </w:rPr>
        <w:t>Type I environmental labeling — Principles and</w:t>
      </w:r>
      <w:r>
        <w:rPr>
          <w:color w:val="545456"/>
          <w:spacing w:val="1"/>
        </w:rPr>
        <w:t xml:space="preserve"> </w:t>
      </w:r>
      <w:r>
        <w:rPr>
          <w:color w:val="545456"/>
        </w:rPr>
        <w:t>procedures.</w:t>
      </w:r>
      <w:r>
        <w:rPr>
          <w:color w:val="545456"/>
          <w:spacing w:val="-11"/>
        </w:rPr>
        <w:t xml:space="preserve"> </w:t>
      </w:r>
      <w:r>
        <w:rPr>
          <w:color w:val="545456"/>
        </w:rPr>
        <w:t>Geneva.</w:t>
      </w:r>
    </w:p>
    <w:p w14:paraId="1CF888B0" w14:textId="77777777" w:rsidR="0055291C" w:rsidRDefault="00F23C61">
      <w:pPr>
        <w:pStyle w:val="a3"/>
        <w:spacing w:before="142" w:line="312" w:lineRule="auto"/>
        <w:ind w:left="1138" w:right="319"/>
      </w:pPr>
      <w:r>
        <w:rPr>
          <w:color w:val="545456"/>
        </w:rPr>
        <w:t>International Organization for Standardization. ISO</w:t>
      </w:r>
      <w:r>
        <w:rPr>
          <w:color w:val="545456"/>
          <w:spacing w:val="1"/>
        </w:rPr>
        <w:t xml:space="preserve"> </w:t>
      </w:r>
      <w:r>
        <w:rPr>
          <w:color w:val="545456"/>
        </w:rPr>
        <w:t>14025:2006, Environmental labels and declarations —</w:t>
      </w:r>
      <w:r>
        <w:rPr>
          <w:color w:val="545456"/>
          <w:spacing w:val="-48"/>
        </w:rPr>
        <w:t xml:space="preserve"> </w:t>
      </w:r>
      <w:r>
        <w:rPr>
          <w:color w:val="545456"/>
        </w:rPr>
        <w:t>Type III environmental declarations — Principles and</w:t>
      </w:r>
      <w:r>
        <w:rPr>
          <w:color w:val="545456"/>
          <w:spacing w:val="1"/>
        </w:rPr>
        <w:t xml:space="preserve"> </w:t>
      </w:r>
      <w:r>
        <w:rPr>
          <w:color w:val="545456"/>
        </w:rPr>
        <w:t>procedures.</w:t>
      </w:r>
      <w:r>
        <w:rPr>
          <w:color w:val="545456"/>
          <w:spacing w:val="-11"/>
        </w:rPr>
        <w:t xml:space="preserve"> </w:t>
      </w:r>
      <w:r>
        <w:rPr>
          <w:color w:val="545456"/>
        </w:rPr>
        <w:t>Geneva.</w:t>
      </w:r>
    </w:p>
    <w:p w14:paraId="05A095A4" w14:textId="77777777" w:rsidR="0055291C" w:rsidRDefault="00F23C61">
      <w:pPr>
        <w:pStyle w:val="a3"/>
        <w:spacing w:before="102" w:line="312" w:lineRule="auto"/>
        <w:ind w:left="245" w:right="1412"/>
      </w:pPr>
      <w:r>
        <w:br w:type="column"/>
      </w:r>
      <w:r>
        <w:rPr>
          <w:color w:val="545456"/>
        </w:rPr>
        <w:t>International Organization for Standardization. ISO</w:t>
      </w:r>
      <w:r>
        <w:rPr>
          <w:color w:val="545456"/>
          <w:spacing w:val="1"/>
        </w:rPr>
        <w:t xml:space="preserve"> </w:t>
      </w:r>
      <w:r>
        <w:rPr>
          <w:color w:val="545456"/>
          <w:w w:val="95"/>
        </w:rPr>
        <w:t>14044:2006,</w:t>
      </w:r>
      <w:r>
        <w:rPr>
          <w:color w:val="545456"/>
          <w:spacing w:val="14"/>
          <w:w w:val="95"/>
        </w:rPr>
        <w:t xml:space="preserve"> </w:t>
      </w:r>
      <w:r>
        <w:rPr>
          <w:color w:val="545456"/>
          <w:w w:val="95"/>
        </w:rPr>
        <w:t>Life</w:t>
      </w:r>
      <w:r>
        <w:rPr>
          <w:color w:val="545456"/>
          <w:spacing w:val="14"/>
          <w:w w:val="95"/>
        </w:rPr>
        <w:t xml:space="preserve"> </w:t>
      </w:r>
      <w:r>
        <w:rPr>
          <w:color w:val="545456"/>
          <w:w w:val="95"/>
        </w:rPr>
        <w:t>Cycle</w:t>
      </w:r>
      <w:r>
        <w:rPr>
          <w:color w:val="545456"/>
          <w:spacing w:val="14"/>
          <w:w w:val="95"/>
        </w:rPr>
        <w:t xml:space="preserve"> </w:t>
      </w:r>
      <w:r>
        <w:rPr>
          <w:color w:val="545456"/>
          <w:w w:val="95"/>
        </w:rPr>
        <w:t>Assessment:</w:t>
      </w:r>
      <w:r>
        <w:rPr>
          <w:color w:val="545456"/>
          <w:spacing w:val="14"/>
          <w:w w:val="95"/>
        </w:rPr>
        <w:t xml:space="preserve"> </w:t>
      </w:r>
      <w:r>
        <w:rPr>
          <w:color w:val="545456"/>
          <w:w w:val="95"/>
        </w:rPr>
        <w:t>Requirements</w:t>
      </w:r>
      <w:r>
        <w:rPr>
          <w:color w:val="545456"/>
          <w:spacing w:val="14"/>
          <w:w w:val="95"/>
        </w:rPr>
        <w:t xml:space="preserve"> </w:t>
      </w:r>
      <w:r>
        <w:rPr>
          <w:color w:val="545456"/>
          <w:w w:val="95"/>
        </w:rPr>
        <w:t>and</w:t>
      </w:r>
      <w:r>
        <w:rPr>
          <w:color w:val="545456"/>
          <w:spacing w:val="-45"/>
          <w:w w:val="95"/>
        </w:rPr>
        <w:t xml:space="preserve"> </w:t>
      </w:r>
      <w:r>
        <w:rPr>
          <w:color w:val="545456"/>
        </w:rPr>
        <w:t>Guidelines.</w:t>
      </w:r>
      <w:r>
        <w:rPr>
          <w:color w:val="545456"/>
          <w:spacing w:val="-12"/>
        </w:rPr>
        <w:t xml:space="preserve"> </w:t>
      </w:r>
      <w:r>
        <w:rPr>
          <w:color w:val="545456"/>
        </w:rPr>
        <w:t>Geneva.</w:t>
      </w:r>
    </w:p>
    <w:p w14:paraId="7C9975EA" w14:textId="77777777" w:rsidR="0055291C" w:rsidRDefault="00000000">
      <w:pPr>
        <w:pStyle w:val="a3"/>
        <w:spacing w:before="141" w:line="312" w:lineRule="auto"/>
        <w:ind w:left="245" w:right="1249"/>
      </w:pPr>
      <w:r>
        <w:pict w14:anchorId="5093C2AA">
          <v:shape id="docshape1729" o:spid="_x0000_s2094" style="position:absolute;left:0;text-align:left;margin-left:580.75pt;margin-top:-159.9pt;width:31.3pt;height:285.85pt;z-index:251688448;mso-position-horizontal-relative:page" coordorigin="11615,-3198" coordsize="626,5717" path="m12240,-3198r-625,l11615,2292r3,131l11643,2490r67,25l11842,2518r398,l12240,-3198xe" fillcolor="#00aca1" stroked="f">
            <v:path arrowok="t"/>
            <w10:wrap anchorx="page"/>
          </v:shape>
        </w:pict>
      </w:r>
      <w:r w:rsidR="00F23C61">
        <w:rPr>
          <w:color w:val="545456"/>
        </w:rPr>
        <w:t>International Organization for Standardization. ISO</w:t>
      </w:r>
      <w:r w:rsidR="00F23C61">
        <w:rPr>
          <w:color w:val="545456"/>
          <w:spacing w:val="1"/>
        </w:rPr>
        <w:t xml:space="preserve"> </w:t>
      </w:r>
      <w:r w:rsidR="00F23C61">
        <w:rPr>
          <w:color w:val="545456"/>
        </w:rPr>
        <w:t>14049:2000, Environmental management — Life cycle</w:t>
      </w:r>
      <w:r w:rsidR="00F23C61">
        <w:rPr>
          <w:color w:val="545456"/>
          <w:spacing w:val="1"/>
        </w:rPr>
        <w:t xml:space="preserve"> </w:t>
      </w:r>
      <w:r w:rsidR="00F23C61">
        <w:rPr>
          <w:color w:val="545456"/>
        </w:rPr>
        <w:t>assessment — Examples of application of ISO 14041 to</w:t>
      </w:r>
      <w:r w:rsidR="00F23C61">
        <w:rPr>
          <w:color w:val="545456"/>
          <w:spacing w:val="1"/>
        </w:rPr>
        <w:t xml:space="preserve"> </w:t>
      </w:r>
      <w:r w:rsidR="00F23C61">
        <w:rPr>
          <w:color w:val="545456"/>
          <w:spacing w:val="-1"/>
        </w:rPr>
        <w:t>goal</w:t>
      </w:r>
      <w:r w:rsidR="00F23C61">
        <w:rPr>
          <w:color w:val="545456"/>
          <w:spacing w:val="-12"/>
        </w:rPr>
        <w:t xml:space="preserve"> </w:t>
      </w:r>
      <w:r w:rsidR="00F23C61">
        <w:rPr>
          <w:color w:val="545456"/>
          <w:spacing w:val="-1"/>
        </w:rPr>
        <w:t>and</w:t>
      </w:r>
      <w:r w:rsidR="00F23C61">
        <w:rPr>
          <w:color w:val="545456"/>
          <w:spacing w:val="-11"/>
        </w:rPr>
        <w:t xml:space="preserve"> </w:t>
      </w:r>
      <w:r w:rsidR="00F23C61">
        <w:rPr>
          <w:color w:val="545456"/>
          <w:spacing w:val="-1"/>
        </w:rPr>
        <w:t>scope</w:t>
      </w:r>
      <w:r w:rsidR="00F23C61">
        <w:rPr>
          <w:color w:val="545456"/>
          <w:spacing w:val="-11"/>
        </w:rPr>
        <w:t xml:space="preserve"> </w:t>
      </w:r>
      <w:r w:rsidR="00F23C61">
        <w:rPr>
          <w:color w:val="545456"/>
          <w:spacing w:val="-1"/>
        </w:rPr>
        <w:t>definition</w:t>
      </w:r>
      <w:r w:rsidR="00F23C61">
        <w:rPr>
          <w:color w:val="545456"/>
          <w:spacing w:val="-11"/>
        </w:rPr>
        <w:t xml:space="preserve"> </w:t>
      </w:r>
      <w:r w:rsidR="00F23C61">
        <w:rPr>
          <w:color w:val="545456"/>
          <w:spacing w:val="-1"/>
        </w:rPr>
        <w:t>and</w:t>
      </w:r>
      <w:r w:rsidR="00F23C61">
        <w:rPr>
          <w:color w:val="545456"/>
          <w:spacing w:val="-12"/>
        </w:rPr>
        <w:t xml:space="preserve"> </w:t>
      </w:r>
      <w:r w:rsidR="00F23C61">
        <w:rPr>
          <w:color w:val="545456"/>
          <w:spacing w:val="-1"/>
        </w:rPr>
        <w:t>inventory</w:t>
      </w:r>
      <w:r w:rsidR="00F23C61">
        <w:rPr>
          <w:color w:val="545456"/>
          <w:spacing w:val="-11"/>
        </w:rPr>
        <w:t xml:space="preserve"> </w:t>
      </w:r>
      <w:r w:rsidR="00F23C61">
        <w:rPr>
          <w:color w:val="545456"/>
          <w:spacing w:val="-1"/>
        </w:rPr>
        <w:t>analysis.</w:t>
      </w:r>
      <w:r w:rsidR="00F23C61">
        <w:rPr>
          <w:color w:val="545456"/>
          <w:spacing w:val="-11"/>
        </w:rPr>
        <w:t xml:space="preserve"> </w:t>
      </w:r>
      <w:r w:rsidR="00F23C61">
        <w:rPr>
          <w:color w:val="545456"/>
        </w:rPr>
        <w:t>Geneva.</w:t>
      </w:r>
    </w:p>
    <w:p w14:paraId="264D7AD6" w14:textId="77777777" w:rsidR="0055291C" w:rsidRDefault="00F23C61">
      <w:pPr>
        <w:pStyle w:val="a3"/>
        <w:spacing w:before="142" w:line="312" w:lineRule="auto"/>
        <w:ind w:left="245" w:right="1385"/>
      </w:pPr>
      <w:r>
        <w:rPr>
          <w:color w:val="545456"/>
        </w:rPr>
        <w:t>International Organization for Standardization. ISO</w:t>
      </w:r>
      <w:r>
        <w:rPr>
          <w:color w:val="545456"/>
          <w:spacing w:val="1"/>
        </w:rPr>
        <w:t xml:space="preserve"> </w:t>
      </w:r>
      <w:r>
        <w:rPr>
          <w:color w:val="545456"/>
          <w:w w:val="95"/>
        </w:rPr>
        <w:t>14064-3:</w:t>
      </w:r>
      <w:r>
        <w:rPr>
          <w:color w:val="545456"/>
          <w:spacing w:val="7"/>
          <w:w w:val="95"/>
        </w:rPr>
        <w:t xml:space="preserve"> </w:t>
      </w:r>
      <w:r>
        <w:rPr>
          <w:color w:val="545456"/>
          <w:w w:val="95"/>
        </w:rPr>
        <w:t>2006,</w:t>
      </w:r>
      <w:r>
        <w:rPr>
          <w:color w:val="545456"/>
          <w:spacing w:val="8"/>
          <w:w w:val="95"/>
        </w:rPr>
        <w:t xml:space="preserve"> </w:t>
      </w:r>
      <w:r>
        <w:rPr>
          <w:color w:val="545456"/>
          <w:w w:val="95"/>
        </w:rPr>
        <w:t>Greenhouse</w:t>
      </w:r>
      <w:r>
        <w:rPr>
          <w:color w:val="545456"/>
          <w:spacing w:val="7"/>
          <w:w w:val="95"/>
        </w:rPr>
        <w:t xml:space="preserve"> </w:t>
      </w:r>
      <w:r>
        <w:rPr>
          <w:color w:val="545456"/>
          <w:w w:val="95"/>
        </w:rPr>
        <w:t>gases</w:t>
      </w:r>
      <w:r>
        <w:rPr>
          <w:color w:val="545456"/>
          <w:spacing w:val="8"/>
          <w:w w:val="95"/>
        </w:rPr>
        <w:t xml:space="preserve"> </w:t>
      </w:r>
      <w:r>
        <w:rPr>
          <w:color w:val="545456"/>
          <w:w w:val="95"/>
        </w:rPr>
        <w:t>-</w:t>
      </w:r>
      <w:r>
        <w:rPr>
          <w:color w:val="545456"/>
          <w:spacing w:val="7"/>
          <w:w w:val="95"/>
        </w:rPr>
        <w:t xml:space="preserve"> </w:t>
      </w:r>
      <w:r>
        <w:rPr>
          <w:color w:val="545456"/>
          <w:w w:val="95"/>
        </w:rPr>
        <w:t>Part</w:t>
      </w:r>
      <w:r>
        <w:rPr>
          <w:color w:val="545456"/>
          <w:spacing w:val="8"/>
          <w:w w:val="95"/>
        </w:rPr>
        <w:t xml:space="preserve"> </w:t>
      </w:r>
      <w:r>
        <w:rPr>
          <w:color w:val="545456"/>
          <w:w w:val="95"/>
        </w:rPr>
        <w:t>3:</w:t>
      </w:r>
      <w:r>
        <w:rPr>
          <w:color w:val="545456"/>
          <w:spacing w:val="7"/>
          <w:w w:val="95"/>
        </w:rPr>
        <w:t xml:space="preserve"> </w:t>
      </w:r>
      <w:r>
        <w:rPr>
          <w:color w:val="545456"/>
          <w:w w:val="95"/>
        </w:rPr>
        <w:t>Specification</w:t>
      </w:r>
      <w:r>
        <w:rPr>
          <w:color w:val="545456"/>
          <w:spacing w:val="-45"/>
          <w:w w:val="95"/>
        </w:rPr>
        <w:t xml:space="preserve"> </w:t>
      </w:r>
      <w:r>
        <w:rPr>
          <w:color w:val="545456"/>
        </w:rPr>
        <w:t>with guidance for the validation and verification of</w:t>
      </w:r>
      <w:r>
        <w:rPr>
          <w:color w:val="545456"/>
          <w:spacing w:val="1"/>
        </w:rPr>
        <w:t xml:space="preserve"> </w:t>
      </w:r>
      <w:r>
        <w:rPr>
          <w:color w:val="545456"/>
          <w:w w:val="95"/>
        </w:rPr>
        <w:t>greenhouse</w:t>
      </w:r>
      <w:r>
        <w:rPr>
          <w:color w:val="545456"/>
          <w:spacing w:val="-7"/>
          <w:w w:val="95"/>
        </w:rPr>
        <w:t xml:space="preserve"> </w:t>
      </w:r>
      <w:r>
        <w:rPr>
          <w:color w:val="545456"/>
          <w:w w:val="95"/>
        </w:rPr>
        <w:t>gas</w:t>
      </w:r>
      <w:r>
        <w:rPr>
          <w:color w:val="545456"/>
          <w:spacing w:val="-6"/>
          <w:w w:val="95"/>
        </w:rPr>
        <w:t xml:space="preserve"> </w:t>
      </w:r>
      <w:r>
        <w:rPr>
          <w:color w:val="545456"/>
          <w:w w:val="95"/>
        </w:rPr>
        <w:t>assertions.</w:t>
      </w:r>
      <w:r>
        <w:rPr>
          <w:color w:val="545456"/>
          <w:spacing w:val="-7"/>
          <w:w w:val="95"/>
        </w:rPr>
        <w:t xml:space="preserve"> </w:t>
      </w:r>
      <w:r>
        <w:rPr>
          <w:color w:val="545456"/>
          <w:w w:val="95"/>
        </w:rPr>
        <w:t>Geneva.</w:t>
      </w:r>
    </w:p>
    <w:p w14:paraId="056E1BB8" w14:textId="77777777" w:rsidR="0055291C" w:rsidRDefault="00F23C61">
      <w:pPr>
        <w:pStyle w:val="a3"/>
        <w:spacing w:before="141" w:line="312" w:lineRule="auto"/>
        <w:ind w:left="245" w:right="1290"/>
      </w:pPr>
      <w:r>
        <w:rPr>
          <w:color w:val="545456"/>
          <w:spacing w:val="-1"/>
        </w:rPr>
        <w:t xml:space="preserve">International Organization </w:t>
      </w:r>
      <w:r>
        <w:rPr>
          <w:color w:val="545456"/>
        </w:rPr>
        <w:t>for Standardization. ISO/IEC</w:t>
      </w:r>
      <w:r>
        <w:rPr>
          <w:color w:val="545456"/>
          <w:spacing w:val="1"/>
        </w:rPr>
        <w:t xml:space="preserve"> </w:t>
      </w:r>
      <w:r>
        <w:rPr>
          <w:color w:val="545456"/>
        </w:rPr>
        <w:t>Guide</w:t>
      </w:r>
      <w:r>
        <w:rPr>
          <w:color w:val="545456"/>
          <w:spacing w:val="-7"/>
        </w:rPr>
        <w:t xml:space="preserve"> </w:t>
      </w:r>
      <w:r>
        <w:rPr>
          <w:color w:val="545456"/>
        </w:rPr>
        <w:t>98:1995,</w:t>
      </w:r>
      <w:r>
        <w:rPr>
          <w:color w:val="545456"/>
          <w:spacing w:val="-7"/>
        </w:rPr>
        <w:t xml:space="preserve"> </w:t>
      </w:r>
      <w:r>
        <w:rPr>
          <w:color w:val="545456"/>
        </w:rPr>
        <w:t>Guide</w:t>
      </w:r>
      <w:r>
        <w:rPr>
          <w:color w:val="545456"/>
          <w:spacing w:val="-6"/>
        </w:rPr>
        <w:t xml:space="preserve"> </w:t>
      </w:r>
      <w:r>
        <w:rPr>
          <w:color w:val="545456"/>
        </w:rPr>
        <w:t>to</w:t>
      </w:r>
      <w:r>
        <w:rPr>
          <w:color w:val="545456"/>
          <w:spacing w:val="-7"/>
        </w:rPr>
        <w:t xml:space="preserve"> </w:t>
      </w:r>
      <w:r>
        <w:rPr>
          <w:color w:val="545456"/>
        </w:rPr>
        <w:t>the</w:t>
      </w:r>
      <w:r>
        <w:rPr>
          <w:color w:val="545456"/>
          <w:spacing w:val="-6"/>
        </w:rPr>
        <w:t xml:space="preserve"> </w:t>
      </w:r>
      <w:r>
        <w:rPr>
          <w:color w:val="545456"/>
        </w:rPr>
        <w:t>expression</w:t>
      </w:r>
      <w:r>
        <w:rPr>
          <w:color w:val="545456"/>
          <w:spacing w:val="-7"/>
        </w:rPr>
        <w:t xml:space="preserve"> </w:t>
      </w:r>
      <w:r>
        <w:rPr>
          <w:color w:val="545456"/>
        </w:rPr>
        <w:t>of</w:t>
      </w:r>
      <w:r>
        <w:rPr>
          <w:color w:val="545456"/>
          <w:spacing w:val="-7"/>
        </w:rPr>
        <w:t xml:space="preserve"> </w:t>
      </w:r>
      <w:r>
        <w:rPr>
          <w:color w:val="545456"/>
        </w:rPr>
        <w:t>uncertainty</w:t>
      </w:r>
      <w:r>
        <w:rPr>
          <w:color w:val="545456"/>
          <w:spacing w:val="-6"/>
        </w:rPr>
        <w:t xml:space="preserve"> </w:t>
      </w:r>
      <w:r>
        <w:rPr>
          <w:color w:val="545456"/>
        </w:rPr>
        <w:t>in</w:t>
      </w:r>
      <w:r>
        <w:rPr>
          <w:color w:val="545456"/>
          <w:spacing w:val="-48"/>
        </w:rPr>
        <w:t xml:space="preserve"> </w:t>
      </w:r>
      <w:r>
        <w:rPr>
          <w:color w:val="545456"/>
          <w:w w:val="95"/>
        </w:rPr>
        <w:t>measurement</w:t>
      </w:r>
      <w:r>
        <w:rPr>
          <w:color w:val="545456"/>
          <w:spacing w:val="-7"/>
          <w:w w:val="95"/>
        </w:rPr>
        <w:t xml:space="preserve"> </w:t>
      </w:r>
      <w:r>
        <w:rPr>
          <w:color w:val="545456"/>
          <w:w w:val="95"/>
        </w:rPr>
        <w:t>(GUM).</w:t>
      </w:r>
      <w:r>
        <w:rPr>
          <w:color w:val="545456"/>
          <w:spacing w:val="-7"/>
          <w:w w:val="95"/>
        </w:rPr>
        <w:t xml:space="preserve"> </w:t>
      </w:r>
      <w:r>
        <w:rPr>
          <w:color w:val="545456"/>
          <w:w w:val="95"/>
        </w:rPr>
        <w:t>Geneva.</w:t>
      </w:r>
    </w:p>
    <w:p w14:paraId="6C2A0941" w14:textId="77777777" w:rsidR="0055291C" w:rsidRDefault="00F23C61">
      <w:pPr>
        <w:pStyle w:val="a3"/>
        <w:spacing w:before="142"/>
        <w:ind w:left="245"/>
      </w:pPr>
      <w:r>
        <w:rPr>
          <w:color w:val="545456"/>
          <w:w w:val="95"/>
        </w:rPr>
        <w:t>IPCC.</w:t>
      </w:r>
      <w:r>
        <w:rPr>
          <w:color w:val="545456"/>
          <w:spacing w:val="4"/>
          <w:w w:val="95"/>
        </w:rPr>
        <w:t xml:space="preserve"> </w:t>
      </w:r>
      <w:r>
        <w:rPr>
          <w:color w:val="545456"/>
          <w:w w:val="95"/>
        </w:rPr>
        <w:t>Fourth</w:t>
      </w:r>
      <w:r>
        <w:rPr>
          <w:color w:val="545456"/>
          <w:spacing w:val="4"/>
          <w:w w:val="95"/>
        </w:rPr>
        <w:t xml:space="preserve"> </w:t>
      </w:r>
      <w:r>
        <w:rPr>
          <w:color w:val="545456"/>
          <w:w w:val="95"/>
        </w:rPr>
        <w:t>Assessment</w:t>
      </w:r>
      <w:r>
        <w:rPr>
          <w:color w:val="545456"/>
          <w:spacing w:val="5"/>
          <w:w w:val="95"/>
        </w:rPr>
        <w:t xml:space="preserve"> </w:t>
      </w:r>
      <w:r>
        <w:rPr>
          <w:color w:val="545456"/>
          <w:w w:val="95"/>
        </w:rPr>
        <w:t>Report.</w:t>
      </w:r>
      <w:r>
        <w:rPr>
          <w:color w:val="545456"/>
          <w:spacing w:val="4"/>
          <w:w w:val="95"/>
        </w:rPr>
        <w:t xml:space="preserve"> </w:t>
      </w:r>
      <w:r>
        <w:rPr>
          <w:color w:val="545456"/>
          <w:w w:val="95"/>
        </w:rPr>
        <w:t>2007.</w:t>
      </w:r>
    </w:p>
    <w:p w14:paraId="23B1F149" w14:textId="77777777" w:rsidR="0055291C" w:rsidRDefault="0055291C">
      <w:pPr>
        <w:pStyle w:val="a3"/>
        <w:spacing w:before="9"/>
        <w:rPr>
          <w:sz w:val="17"/>
        </w:rPr>
      </w:pPr>
    </w:p>
    <w:p w14:paraId="7C823BEE" w14:textId="77777777" w:rsidR="0055291C" w:rsidRDefault="00F23C61">
      <w:pPr>
        <w:spacing w:line="309" w:lineRule="auto"/>
        <w:ind w:left="245" w:right="1227"/>
        <w:rPr>
          <w:sz w:val="19"/>
        </w:rPr>
      </w:pPr>
      <w:r>
        <w:rPr>
          <w:color w:val="545456"/>
          <w:w w:val="95"/>
          <w:sz w:val="19"/>
        </w:rPr>
        <w:t>IPCC.</w:t>
      </w:r>
      <w:r>
        <w:rPr>
          <w:color w:val="545456"/>
          <w:spacing w:val="-4"/>
          <w:w w:val="95"/>
          <w:sz w:val="19"/>
        </w:rPr>
        <w:t xml:space="preserve"> </w:t>
      </w:r>
      <w:r>
        <w:rPr>
          <w:color w:val="545456"/>
          <w:w w:val="95"/>
          <w:sz w:val="19"/>
        </w:rPr>
        <w:t>Summary</w:t>
      </w:r>
      <w:r>
        <w:rPr>
          <w:color w:val="545456"/>
          <w:spacing w:val="-4"/>
          <w:w w:val="95"/>
          <w:sz w:val="19"/>
        </w:rPr>
        <w:t xml:space="preserve"> </w:t>
      </w:r>
      <w:r>
        <w:rPr>
          <w:color w:val="545456"/>
          <w:w w:val="95"/>
          <w:sz w:val="19"/>
        </w:rPr>
        <w:t>for</w:t>
      </w:r>
      <w:r>
        <w:rPr>
          <w:color w:val="545456"/>
          <w:spacing w:val="-3"/>
          <w:w w:val="95"/>
          <w:sz w:val="19"/>
        </w:rPr>
        <w:t xml:space="preserve"> </w:t>
      </w:r>
      <w:r>
        <w:rPr>
          <w:color w:val="545456"/>
          <w:w w:val="95"/>
          <w:sz w:val="19"/>
        </w:rPr>
        <w:t>Policymakers.</w:t>
      </w:r>
      <w:r>
        <w:rPr>
          <w:color w:val="545456"/>
          <w:spacing w:val="-4"/>
          <w:w w:val="95"/>
          <w:sz w:val="19"/>
        </w:rPr>
        <w:t xml:space="preserve"> </w:t>
      </w:r>
      <w:r>
        <w:rPr>
          <w:rFonts w:ascii="Arial"/>
          <w:i/>
          <w:color w:val="545456"/>
          <w:w w:val="95"/>
          <w:sz w:val="19"/>
        </w:rPr>
        <w:t>In</w:t>
      </w:r>
      <w:r>
        <w:rPr>
          <w:rFonts w:ascii="Arial"/>
          <w:i/>
          <w:color w:val="545456"/>
          <w:spacing w:val="-4"/>
          <w:w w:val="95"/>
          <w:sz w:val="19"/>
        </w:rPr>
        <w:t xml:space="preserve"> </w:t>
      </w:r>
      <w:r>
        <w:rPr>
          <w:rFonts w:ascii="Arial"/>
          <w:i/>
          <w:color w:val="545456"/>
          <w:w w:val="95"/>
          <w:sz w:val="19"/>
        </w:rPr>
        <w:t>Climate</w:t>
      </w:r>
      <w:r>
        <w:rPr>
          <w:rFonts w:ascii="Arial"/>
          <w:i/>
          <w:color w:val="545456"/>
          <w:spacing w:val="-5"/>
          <w:w w:val="95"/>
          <w:sz w:val="19"/>
        </w:rPr>
        <w:t xml:space="preserve"> </w:t>
      </w:r>
      <w:r>
        <w:rPr>
          <w:rFonts w:ascii="Arial"/>
          <w:i/>
          <w:color w:val="545456"/>
          <w:w w:val="95"/>
          <w:sz w:val="19"/>
        </w:rPr>
        <w:t>Change</w:t>
      </w:r>
      <w:r>
        <w:rPr>
          <w:rFonts w:ascii="Arial"/>
          <w:i/>
          <w:color w:val="545456"/>
          <w:spacing w:val="-4"/>
          <w:w w:val="95"/>
          <w:sz w:val="19"/>
        </w:rPr>
        <w:t xml:space="preserve"> </w:t>
      </w:r>
      <w:r>
        <w:rPr>
          <w:rFonts w:ascii="Arial"/>
          <w:i/>
          <w:color w:val="545456"/>
          <w:w w:val="95"/>
          <w:sz w:val="19"/>
        </w:rPr>
        <w:t>2007:</w:t>
      </w:r>
      <w:r>
        <w:rPr>
          <w:rFonts w:ascii="Arial"/>
          <w:i/>
          <w:color w:val="545456"/>
          <w:spacing w:val="-47"/>
          <w:w w:val="95"/>
          <w:sz w:val="19"/>
        </w:rPr>
        <w:t xml:space="preserve"> </w:t>
      </w:r>
      <w:r>
        <w:rPr>
          <w:rFonts w:ascii="Arial"/>
          <w:i/>
          <w:color w:val="545456"/>
          <w:w w:val="95"/>
          <w:sz w:val="19"/>
        </w:rPr>
        <w:t>Mitigation.</w:t>
      </w:r>
      <w:r>
        <w:rPr>
          <w:rFonts w:ascii="Arial"/>
          <w:i/>
          <w:color w:val="545456"/>
          <w:spacing w:val="1"/>
          <w:w w:val="95"/>
          <w:sz w:val="19"/>
        </w:rPr>
        <w:t xml:space="preserve"> </w:t>
      </w:r>
      <w:r>
        <w:rPr>
          <w:rFonts w:ascii="Arial"/>
          <w:i/>
          <w:color w:val="545456"/>
          <w:w w:val="95"/>
          <w:sz w:val="19"/>
        </w:rPr>
        <w:t>Contribution</w:t>
      </w:r>
      <w:r>
        <w:rPr>
          <w:rFonts w:ascii="Arial"/>
          <w:i/>
          <w:color w:val="545456"/>
          <w:spacing w:val="2"/>
          <w:w w:val="95"/>
          <w:sz w:val="19"/>
        </w:rPr>
        <w:t xml:space="preserve"> </w:t>
      </w:r>
      <w:r>
        <w:rPr>
          <w:rFonts w:ascii="Arial"/>
          <w:i/>
          <w:color w:val="545456"/>
          <w:w w:val="95"/>
          <w:sz w:val="19"/>
        </w:rPr>
        <w:t>of</w:t>
      </w:r>
      <w:r>
        <w:rPr>
          <w:rFonts w:ascii="Arial"/>
          <w:i/>
          <w:color w:val="545456"/>
          <w:spacing w:val="2"/>
          <w:w w:val="95"/>
          <w:sz w:val="19"/>
        </w:rPr>
        <w:t xml:space="preserve"> </w:t>
      </w:r>
      <w:r>
        <w:rPr>
          <w:rFonts w:ascii="Arial"/>
          <w:i/>
          <w:color w:val="545456"/>
          <w:w w:val="95"/>
          <w:sz w:val="19"/>
        </w:rPr>
        <w:t>Working</w:t>
      </w:r>
      <w:r>
        <w:rPr>
          <w:rFonts w:ascii="Arial"/>
          <w:i/>
          <w:color w:val="545456"/>
          <w:spacing w:val="1"/>
          <w:w w:val="95"/>
          <w:sz w:val="19"/>
        </w:rPr>
        <w:t xml:space="preserve"> </w:t>
      </w:r>
      <w:r>
        <w:rPr>
          <w:rFonts w:ascii="Arial"/>
          <w:i/>
          <w:color w:val="545456"/>
          <w:w w:val="95"/>
          <w:sz w:val="19"/>
        </w:rPr>
        <w:t>Group</w:t>
      </w:r>
      <w:r>
        <w:rPr>
          <w:rFonts w:ascii="Arial"/>
          <w:i/>
          <w:color w:val="545456"/>
          <w:spacing w:val="2"/>
          <w:w w:val="95"/>
          <w:sz w:val="19"/>
        </w:rPr>
        <w:t xml:space="preserve"> </w:t>
      </w:r>
      <w:r>
        <w:rPr>
          <w:rFonts w:ascii="Arial"/>
          <w:i/>
          <w:color w:val="545456"/>
          <w:w w:val="95"/>
          <w:sz w:val="19"/>
        </w:rPr>
        <w:t>III</w:t>
      </w:r>
      <w:r>
        <w:rPr>
          <w:rFonts w:ascii="Arial"/>
          <w:i/>
          <w:color w:val="545456"/>
          <w:spacing w:val="2"/>
          <w:w w:val="95"/>
          <w:sz w:val="19"/>
        </w:rPr>
        <w:t xml:space="preserve"> </w:t>
      </w:r>
      <w:r>
        <w:rPr>
          <w:rFonts w:ascii="Arial"/>
          <w:i/>
          <w:color w:val="545456"/>
          <w:w w:val="95"/>
          <w:sz w:val="19"/>
        </w:rPr>
        <w:t>to</w:t>
      </w:r>
      <w:r>
        <w:rPr>
          <w:rFonts w:ascii="Arial"/>
          <w:i/>
          <w:color w:val="545456"/>
          <w:spacing w:val="2"/>
          <w:w w:val="95"/>
          <w:sz w:val="19"/>
        </w:rPr>
        <w:t xml:space="preserve"> </w:t>
      </w:r>
      <w:r>
        <w:rPr>
          <w:rFonts w:ascii="Arial"/>
          <w:i/>
          <w:color w:val="545456"/>
          <w:w w:val="95"/>
          <w:sz w:val="19"/>
        </w:rPr>
        <w:t>the</w:t>
      </w:r>
      <w:r>
        <w:rPr>
          <w:rFonts w:ascii="Arial"/>
          <w:i/>
          <w:color w:val="545456"/>
          <w:spacing w:val="1"/>
          <w:w w:val="95"/>
          <w:sz w:val="19"/>
        </w:rPr>
        <w:t xml:space="preserve"> </w:t>
      </w:r>
      <w:r>
        <w:rPr>
          <w:rFonts w:ascii="Arial"/>
          <w:i/>
          <w:color w:val="545456"/>
          <w:w w:val="95"/>
          <w:sz w:val="19"/>
        </w:rPr>
        <w:t>Fourth</w:t>
      </w:r>
      <w:r>
        <w:rPr>
          <w:rFonts w:ascii="Arial"/>
          <w:i/>
          <w:color w:val="545456"/>
          <w:spacing w:val="1"/>
          <w:w w:val="95"/>
          <w:sz w:val="19"/>
        </w:rPr>
        <w:t xml:space="preserve"> </w:t>
      </w:r>
      <w:r>
        <w:rPr>
          <w:rFonts w:ascii="Arial"/>
          <w:i/>
          <w:color w:val="545456"/>
          <w:w w:val="95"/>
          <w:sz w:val="19"/>
        </w:rPr>
        <w:t>Assessment Report of the Intergovernmental Panel on</w:t>
      </w:r>
      <w:r>
        <w:rPr>
          <w:rFonts w:ascii="Arial"/>
          <w:i/>
          <w:color w:val="545456"/>
          <w:spacing w:val="1"/>
          <w:w w:val="95"/>
          <w:sz w:val="19"/>
        </w:rPr>
        <w:t xml:space="preserve"> </w:t>
      </w:r>
      <w:r>
        <w:rPr>
          <w:rFonts w:ascii="Arial"/>
          <w:i/>
          <w:color w:val="545456"/>
          <w:spacing w:val="-1"/>
          <w:w w:val="95"/>
          <w:sz w:val="19"/>
        </w:rPr>
        <w:t>Climate</w:t>
      </w:r>
      <w:r>
        <w:rPr>
          <w:rFonts w:ascii="Arial"/>
          <w:i/>
          <w:color w:val="545456"/>
          <w:spacing w:val="-10"/>
          <w:w w:val="95"/>
          <w:sz w:val="19"/>
        </w:rPr>
        <w:t xml:space="preserve"> </w:t>
      </w:r>
      <w:r>
        <w:rPr>
          <w:rFonts w:ascii="Arial"/>
          <w:i/>
          <w:color w:val="545456"/>
          <w:spacing w:val="-1"/>
          <w:w w:val="95"/>
          <w:sz w:val="19"/>
        </w:rPr>
        <w:t>Change,</w:t>
      </w:r>
      <w:r>
        <w:rPr>
          <w:rFonts w:ascii="Arial"/>
          <w:i/>
          <w:color w:val="545456"/>
          <w:spacing w:val="-9"/>
          <w:w w:val="95"/>
          <w:sz w:val="19"/>
        </w:rPr>
        <w:t xml:space="preserve"> </w:t>
      </w:r>
      <w:r>
        <w:rPr>
          <w:color w:val="545456"/>
          <w:spacing w:val="-1"/>
          <w:w w:val="95"/>
          <w:sz w:val="19"/>
        </w:rPr>
        <w:t>ed.</w:t>
      </w:r>
      <w:r>
        <w:rPr>
          <w:color w:val="545456"/>
          <w:spacing w:val="-9"/>
          <w:w w:val="95"/>
          <w:sz w:val="19"/>
        </w:rPr>
        <w:t xml:space="preserve"> </w:t>
      </w:r>
      <w:r>
        <w:rPr>
          <w:color w:val="545456"/>
          <w:spacing w:val="-1"/>
          <w:w w:val="95"/>
          <w:sz w:val="19"/>
        </w:rPr>
        <w:t>B.</w:t>
      </w:r>
      <w:r>
        <w:rPr>
          <w:color w:val="545456"/>
          <w:spacing w:val="-8"/>
          <w:w w:val="95"/>
          <w:sz w:val="19"/>
        </w:rPr>
        <w:t xml:space="preserve"> </w:t>
      </w:r>
      <w:r>
        <w:rPr>
          <w:color w:val="545456"/>
          <w:spacing w:val="-1"/>
          <w:w w:val="95"/>
          <w:sz w:val="19"/>
        </w:rPr>
        <w:t>Metz,</w:t>
      </w:r>
      <w:r>
        <w:rPr>
          <w:color w:val="545456"/>
          <w:spacing w:val="-9"/>
          <w:w w:val="95"/>
          <w:sz w:val="19"/>
        </w:rPr>
        <w:t xml:space="preserve"> </w:t>
      </w:r>
      <w:r>
        <w:rPr>
          <w:color w:val="545456"/>
          <w:spacing w:val="-1"/>
          <w:w w:val="95"/>
          <w:sz w:val="19"/>
        </w:rPr>
        <w:t>O.R.</w:t>
      </w:r>
      <w:r>
        <w:rPr>
          <w:color w:val="545456"/>
          <w:spacing w:val="-8"/>
          <w:w w:val="95"/>
          <w:sz w:val="19"/>
        </w:rPr>
        <w:t xml:space="preserve"> </w:t>
      </w:r>
      <w:r>
        <w:rPr>
          <w:color w:val="545456"/>
          <w:spacing w:val="-1"/>
          <w:w w:val="95"/>
          <w:sz w:val="19"/>
        </w:rPr>
        <w:t>Davidson,</w:t>
      </w:r>
      <w:r>
        <w:rPr>
          <w:color w:val="545456"/>
          <w:spacing w:val="-9"/>
          <w:w w:val="95"/>
          <w:sz w:val="19"/>
        </w:rPr>
        <w:t xml:space="preserve"> </w:t>
      </w:r>
      <w:r>
        <w:rPr>
          <w:color w:val="545456"/>
          <w:spacing w:val="-1"/>
          <w:w w:val="95"/>
          <w:sz w:val="19"/>
        </w:rPr>
        <w:t>P.R.</w:t>
      </w:r>
      <w:r>
        <w:rPr>
          <w:color w:val="545456"/>
          <w:spacing w:val="-8"/>
          <w:w w:val="95"/>
          <w:sz w:val="19"/>
        </w:rPr>
        <w:t xml:space="preserve"> </w:t>
      </w:r>
      <w:r>
        <w:rPr>
          <w:color w:val="545456"/>
          <w:w w:val="95"/>
          <w:sz w:val="19"/>
        </w:rPr>
        <w:t>Bosch,</w:t>
      </w:r>
      <w:r>
        <w:rPr>
          <w:color w:val="545456"/>
          <w:spacing w:val="-9"/>
          <w:w w:val="95"/>
          <w:sz w:val="19"/>
        </w:rPr>
        <w:t xml:space="preserve"> </w:t>
      </w:r>
      <w:r>
        <w:rPr>
          <w:color w:val="545456"/>
          <w:w w:val="95"/>
          <w:sz w:val="19"/>
        </w:rPr>
        <w:t>R.</w:t>
      </w:r>
      <w:r>
        <w:rPr>
          <w:color w:val="545456"/>
          <w:spacing w:val="-45"/>
          <w:w w:val="95"/>
          <w:sz w:val="19"/>
        </w:rPr>
        <w:t xml:space="preserve"> </w:t>
      </w:r>
      <w:r>
        <w:rPr>
          <w:color w:val="545456"/>
          <w:w w:val="95"/>
          <w:sz w:val="19"/>
        </w:rPr>
        <w:t>Dave,</w:t>
      </w:r>
      <w:r>
        <w:rPr>
          <w:color w:val="545456"/>
          <w:spacing w:val="7"/>
          <w:w w:val="95"/>
          <w:sz w:val="19"/>
        </w:rPr>
        <w:t xml:space="preserve"> </w:t>
      </w:r>
      <w:r>
        <w:rPr>
          <w:color w:val="545456"/>
          <w:w w:val="95"/>
          <w:sz w:val="19"/>
        </w:rPr>
        <w:t>L.A.</w:t>
      </w:r>
      <w:r>
        <w:rPr>
          <w:color w:val="545456"/>
          <w:spacing w:val="8"/>
          <w:w w:val="95"/>
          <w:sz w:val="19"/>
        </w:rPr>
        <w:t xml:space="preserve"> </w:t>
      </w:r>
      <w:r>
        <w:rPr>
          <w:color w:val="545456"/>
          <w:w w:val="95"/>
          <w:sz w:val="19"/>
        </w:rPr>
        <w:t>Meyer.</w:t>
      </w:r>
      <w:r>
        <w:rPr>
          <w:color w:val="545456"/>
          <w:spacing w:val="8"/>
          <w:w w:val="95"/>
          <w:sz w:val="19"/>
        </w:rPr>
        <w:t xml:space="preserve"> </w:t>
      </w:r>
      <w:r>
        <w:rPr>
          <w:color w:val="545456"/>
          <w:w w:val="95"/>
          <w:sz w:val="19"/>
        </w:rPr>
        <w:t>Cambridge,</w:t>
      </w:r>
      <w:r>
        <w:rPr>
          <w:color w:val="545456"/>
          <w:spacing w:val="7"/>
          <w:w w:val="95"/>
          <w:sz w:val="19"/>
        </w:rPr>
        <w:t xml:space="preserve"> </w:t>
      </w:r>
      <w:r>
        <w:rPr>
          <w:color w:val="545456"/>
          <w:w w:val="95"/>
          <w:sz w:val="19"/>
        </w:rPr>
        <w:t>United</w:t>
      </w:r>
      <w:r>
        <w:rPr>
          <w:color w:val="545456"/>
          <w:spacing w:val="8"/>
          <w:w w:val="95"/>
          <w:sz w:val="19"/>
        </w:rPr>
        <w:t xml:space="preserve"> </w:t>
      </w:r>
      <w:r>
        <w:rPr>
          <w:color w:val="545456"/>
          <w:w w:val="95"/>
          <w:sz w:val="19"/>
        </w:rPr>
        <w:t>Kingdom</w:t>
      </w:r>
      <w:r>
        <w:rPr>
          <w:color w:val="545456"/>
          <w:spacing w:val="8"/>
          <w:w w:val="95"/>
          <w:sz w:val="19"/>
        </w:rPr>
        <w:t xml:space="preserve"> </w:t>
      </w:r>
      <w:r>
        <w:rPr>
          <w:color w:val="545456"/>
          <w:w w:val="95"/>
          <w:sz w:val="19"/>
        </w:rPr>
        <w:t>and</w:t>
      </w:r>
      <w:r>
        <w:rPr>
          <w:color w:val="545456"/>
          <w:spacing w:val="8"/>
          <w:w w:val="95"/>
          <w:sz w:val="19"/>
        </w:rPr>
        <w:t xml:space="preserve"> </w:t>
      </w:r>
      <w:r>
        <w:rPr>
          <w:color w:val="545456"/>
          <w:w w:val="95"/>
          <w:sz w:val="19"/>
        </w:rPr>
        <w:t>New</w:t>
      </w:r>
      <w:r>
        <w:rPr>
          <w:color w:val="545456"/>
          <w:spacing w:val="1"/>
          <w:w w:val="95"/>
          <w:sz w:val="19"/>
        </w:rPr>
        <w:t xml:space="preserve"> </w:t>
      </w:r>
      <w:r>
        <w:rPr>
          <w:color w:val="545456"/>
          <w:w w:val="95"/>
          <w:sz w:val="19"/>
        </w:rPr>
        <w:t>York,</w:t>
      </w:r>
      <w:r>
        <w:rPr>
          <w:color w:val="545456"/>
          <w:spacing w:val="-7"/>
          <w:w w:val="95"/>
          <w:sz w:val="19"/>
        </w:rPr>
        <w:t xml:space="preserve"> </w:t>
      </w:r>
      <w:r>
        <w:rPr>
          <w:color w:val="545456"/>
          <w:w w:val="95"/>
          <w:sz w:val="19"/>
        </w:rPr>
        <w:t>NY,</w:t>
      </w:r>
      <w:r>
        <w:rPr>
          <w:color w:val="545456"/>
          <w:spacing w:val="-7"/>
          <w:w w:val="95"/>
          <w:sz w:val="19"/>
        </w:rPr>
        <w:t xml:space="preserve"> </w:t>
      </w:r>
      <w:r>
        <w:rPr>
          <w:color w:val="545456"/>
          <w:w w:val="95"/>
          <w:sz w:val="19"/>
        </w:rPr>
        <w:t>USA:</w:t>
      </w:r>
      <w:r>
        <w:rPr>
          <w:color w:val="545456"/>
          <w:spacing w:val="-7"/>
          <w:w w:val="95"/>
          <w:sz w:val="19"/>
        </w:rPr>
        <w:t xml:space="preserve"> </w:t>
      </w:r>
      <w:r>
        <w:rPr>
          <w:color w:val="545456"/>
          <w:w w:val="95"/>
          <w:sz w:val="19"/>
        </w:rPr>
        <w:t>Cambridge</w:t>
      </w:r>
      <w:r>
        <w:rPr>
          <w:color w:val="545456"/>
          <w:spacing w:val="-7"/>
          <w:w w:val="95"/>
          <w:sz w:val="19"/>
        </w:rPr>
        <w:t xml:space="preserve"> </w:t>
      </w:r>
      <w:r>
        <w:rPr>
          <w:color w:val="545456"/>
          <w:w w:val="95"/>
          <w:sz w:val="19"/>
        </w:rPr>
        <w:t>University</w:t>
      </w:r>
      <w:r>
        <w:rPr>
          <w:color w:val="545456"/>
          <w:spacing w:val="-6"/>
          <w:w w:val="95"/>
          <w:sz w:val="19"/>
        </w:rPr>
        <w:t xml:space="preserve"> </w:t>
      </w:r>
      <w:r>
        <w:rPr>
          <w:color w:val="545456"/>
          <w:w w:val="95"/>
          <w:sz w:val="19"/>
        </w:rPr>
        <w:t>Press,</w:t>
      </w:r>
      <w:r>
        <w:rPr>
          <w:color w:val="545456"/>
          <w:spacing w:val="-7"/>
          <w:w w:val="95"/>
          <w:sz w:val="19"/>
        </w:rPr>
        <w:t xml:space="preserve"> </w:t>
      </w:r>
      <w:r>
        <w:rPr>
          <w:color w:val="545456"/>
          <w:w w:val="95"/>
          <w:sz w:val="19"/>
        </w:rPr>
        <w:t>2007.</w:t>
      </w:r>
    </w:p>
    <w:p w14:paraId="2B42256E" w14:textId="77777777" w:rsidR="0055291C" w:rsidRDefault="00F23C61">
      <w:pPr>
        <w:pStyle w:val="a3"/>
        <w:spacing w:before="141" w:line="312" w:lineRule="auto"/>
        <w:ind w:left="245" w:right="1176"/>
      </w:pPr>
      <w:r>
        <w:rPr>
          <w:color w:val="545456"/>
          <w:w w:val="95"/>
        </w:rPr>
        <w:t>IPCC. 2006 IPCC Guidelines for National Greenhouse Gas</w:t>
      </w:r>
      <w:r>
        <w:rPr>
          <w:color w:val="545456"/>
          <w:spacing w:val="1"/>
          <w:w w:val="95"/>
        </w:rPr>
        <w:t xml:space="preserve"> </w:t>
      </w:r>
      <w:r>
        <w:rPr>
          <w:color w:val="545456"/>
        </w:rPr>
        <w:t>Inventories, vol.4, Agriculture, Forestry and Other Land</w:t>
      </w:r>
      <w:r>
        <w:rPr>
          <w:color w:val="545456"/>
          <w:spacing w:val="1"/>
        </w:rPr>
        <w:t xml:space="preserve"> </w:t>
      </w:r>
      <w:r>
        <w:rPr>
          <w:color w:val="545456"/>
          <w:w w:val="95"/>
        </w:rPr>
        <w:t>Use,</w:t>
      </w:r>
      <w:r>
        <w:rPr>
          <w:color w:val="545456"/>
          <w:spacing w:val="-6"/>
          <w:w w:val="95"/>
        </w:rPr>
        <w:t xml:space="preserve"> </w:t>
      </w:r>
      <w:r>
        <w:rPr>
          <w:color w:val="545456"/>
          <w:w w:val="95"/>
        </w:rPr>
        <w:t>eds.</w:t>
      </w:r>
      <w:r>
        <w:rPr>
          <w:color w:val="545456"/>
          <w:spacing w:val="-6"/>
          <w:w w:val="95"/>
        </w:rPr>
        <w:t xml:space="preserve"> </w:t>
      </w:r>
      <w:r>
        <w:rPr>
          <w:color w:val="545456"/>
          <w:w w:val="95"/>
        </w:rPr>
        <w:t>H.S.</w:t>
      </w:r>
      <w:r>
        <w:rPr>
          <w:color w:val="545456"/>
          <w:spacing w:val="-5"/>
          <w:w w:val="95"/>
        </w:rPr>
        <w:t xml:space="preserve"> </w:t>
      </w:r>
      <w:r>
        <w:rPr>
          <w:color w:val="545456"/>
          <w:w w:val="95"/>
        </w:rPr>
        <w:t>Eggleston,</w:t>
      </w:r>
      <w:r>
        <w:rPr>
          <w:color w:val="545456"/>
          <w:spacing w:val="-6"/>
          <w:w w:val="95"/>
        </w:rPr>
        <w:t xml:space="preserve"> </w:t>
      </w:r>
      <w:r>
        <w:rPr>
          <w:color w:val="545456"/>
          <w:w w:val="95"/>
        </w:rPr>
        <w:t>L.</w:t>
      </w:r>
      <w:r>
        <w:rPr>
          <w:color w:val="545456"/>
          <w:spacing w:val="-5"/>
          <w:w w:val="95"/>
        </w:rPr>
        <w:t xml:space="preserve"> </w:t>
      </w:r>
      <w:proofErr w:type="spellStart"/>
      <w:r>
        <w:rPr>
          <w:color w:val="545456"/>
          <w:w w:val="95"/>
        </w:rPr>
        <w:t>Buendia</w:t>
      </w:r>
      <w:proofErr w:type="spellEnd"/>
      <w:r>
        <w:rPr>
          <w:color w:val="545456"/>
          <w:w w:val="95"/>
        </w:rPr>
        <w:t>,</w:t>
      </w:r>
      <w:r>
        <w:rPr>
          <w:color w:val="545456"/>
          <w:spacing w:val="-6"/>
          <w:w w:val="95"/>
        </w:rPr>
        <w:t xml:space="preserve"> </w:t>
      </w:r>
      <w:r>
        <w:rPr>
          <w:color w:val="545456"/>
          <w:w w:val="95"/>
        </w:rPr>
        <w:t>K.</w:t>
      </w:r>
      <w:r>
        <w:rPr>
          <w:color w:val="545456"/>
          <w:spacing w:val="-5"/>
          <w:w w:val="95"/>
        </w:rPr>
        <w:t xml:space="preserve"> </w:t>
      </w:r>
      <w:r>
        <w:rPr>
          <w:color w:val="545456"/>
          <w:w w:val="95"/>
        </w:rPr>
        <w:t>Miwa,</w:t>
      </w:r>
      <w:r>
        <w:rPr>
          <w:color w:val="545456"/>
          <w:spacing w:val="-6"/>
          <w:w w:val="95"/>
        </w:rPr>
        <w:t xml:space="preserve"> </w:t>
      </w:r>
      <w:r>
        <w:rPr>
          <w:color w:val="545456"/>
          <w:w w:val="95"/>
        </w:rPr>
        <w:t>T.</w:t>
      </w:r>
      <w:r>
        <w:rPr>
          <w:color w:val="545456"/>
          <w:spacing w:val="-5"/>
          <w:w w:val="95"/>
        </w:rPr>
        <w:t xml:space="preserve"> </w:t>
      </w:r>
      <w:proofErr w:type="spellStart"/>
      <w:r>
        <w:rPr>
          <w:color w:val="545456"/>
          <w:w w:val="95"/>
        </w:rPr>
        <w:t>Ngara</w:t>
      </w:r>
      <w:proofErr w:type="spellEnd"/>
      <w:r>
        <w:rPr>
          <w:color w:val="545456"/>
          <w:spacing w:val="-6"/>
          <w:w w:val="95"/>
        </w:rPr>
        <w:t xml:space="preserve"> </w:t>
      </w:r>
      <w:r>
        <w:rPr>
          <w:color w:val="545456"/>
          <w:w w:val="95"/>
        </w:rPr>
        <w:t>and</w:t>
      </w:r>
    </w:p>
    <w:p w14:paraId="23A2AC21" w14:textId="77777777" w:rsidR="0055291C" w:rsidRDefault="00F23C61">
      <w:pPr>
        <w:pStyle w:val="a3"/>
        <w:spacing w:before="1"/>
        <w:ind w:left="245"/>
      </w:pPr>
      <w:r>
        <w:rPr>
          <w:color w:val="545456"/>
          <w:w w:val="90"/>
        </w:rPr>
        <w:t>K.</w:t>
      </w:r>
      <w:r>
        <w:rPr>
          <w:color w:val="545456"/>
          <w:spacing w:val="13"/>
          <w:w w:val="90"/>
        </w:rPr>
        <w:t xml:space="preserve"> </w:t>
      </w:r>
      <w:r>
        <w:rPr>
          <w:color w:val="545456"/>
          <w:w w:val="90"/>
        </w:rPr>
        <w:t>Tanabe</w:t>
      </w:r>
      <w:r>
        <w:rPr>
          <w:color w:val="545456"/>
          <w:spacing w:val="14"/>
          <w:w w:val="90"/>
        </w:rPr>
        <w:t xml:space="preserve"> </w:t>
      </w:r>
      <w:r>
        <w:rPr>
          <w:color w:val="545456"/>
          <w:w w:val="90"/>
        </w:rPr>
        <w:t>(</w:t>
      </w:r>
      <w:proofErr w:type="spellStart"/>
      <w:r>
        <w:rPr>
          <w:color w:val="545456"/>
          <w:w w:val="90"/>
        </w:rPr>
        <w:t>Hayama</w:t>
      </w:r>
      <w:proofErr w:type="spellEnd"/>
      <w:r>
        <w:rPr>
          <w:color w:val="545456"/>
          <w:w w:val="90"/>
        </w:rPr>
        <w:t>,</w:t>
      </w:r>
      <w:r>
        <w:rPr>
          <w:color w:val="545456"/>
          <w:spacing w:val="14"/>
          <w:w w:val="90"/>
        </w:rPr>
        <w:t xml:space="preserve"> </w:t>
      </w:r>
      <w:r>
        <w:rPr>
          <w:color w:val="545456"/>
          <w:w w:val="90"/>
        </w:rPr>
        <w:t>Japan:</w:t>
      </w:r>
      <w:r>
        <w:rPr>
          <w:color w:val="545456"/>
          <w:spacing w:val="13"/>
          <w:w w:val="90"/>
        </w:rPr>
        <w:t xml:space="preserve"> </w:t>
      </w:r>
      <w:r>
        <w:rPr>
          <w:color w:val="545456"/>
          <w:w w:val="90"/>
        </w:rPr>
        <w:t>IGES,2006).</w:t>
      </w:r>
    </w:p>
    <w:p w14:paraId="32B22630" w14:textId="77777777" w:rsidR="0055291C" w:rsidRDefault="0055291C">
      <w:pPr>
        <w:pStyle w:val="a3"/>
        <w:spacing w:before="1"/>
        <w:rPr>
          <w:sz w:val="18"/>
        </w:rPr>
      </w:pPr>
    </w:p>
    <w:p w14:paraId="776FBBC0" w14:textId="77777777" w:rsidR="0055291C" w:rsidRDefault="00F23C61">
      <w:pPr>
        <w:pStyle w:val="a3"/>
        <w:spacing w:before="1" w:line="312" w:lineRule="auto"/>
        <w:ind w:left="245" w:right="1641"/>
      </w:pPr>
      <w:r>
        <w:rPr>
          <w:color w:val="545456"/>
          <w:w w:val="95"/>
        </w:rPr>
        <w:t>UNEP</w:t>
      </w:r>
      <w:r>
        <w:rPr>
          <w:color w:val="545456"/>
          <w:spacing w:val="-6"/>
          <w:w w:val="95"/>
        </w:rPr>
        <w:t xml:space="preserve"> </w:t>
      </w:r>
      <w:r>
        <w:rPr>
          <w:color w:val="545456"/>
          <w:w w:val="95"/>
        </w:rPr>
        <w:t>and</w:t>
      </w:r>
      <w:r>
        <w:rPr>
          <w:color w:val="545456"/>
          <w:spacing w:val="-6"/>
          <w:w w:val="95"/>
        </w:rPr>
        <w:t xml:space="preserve"> </w:t>
      </w:r>
      <w:r>
        <w:rPr>
          <w:color w:val="545456"/>
          <w:w w:val="95"/>
        </w:rPr>
        <w:t>SETAC.</w:t>
      </w:r>
      <w:r>
        <w:rPr>
          <w:color w:val="545456"/>
          <w:spacing w:val="-5"/>
          <w:w w:val="95"/>
        </w:rPr>
        <w:t xml:space="preserve"> </w:t>
      </w:r>
      <w:r>
        <w:rPr>
          <w:color w:val="545456"/>
          <w:w w:val="95"/>
        </w:rPr>
        <w:t>Global</w:t>
      </w:r>
      <w:r>
        <w:rPr>
          <w:color w:val="545456"/>
          <w:spacing w:val="-6"/>
          <w:w w:val="95"/>
        </w:rPr>
        <w:t xml:space="preserve"> </w:t>
      </w:r>
      <w:r>
        <w:rPr>
          <w:color w:val="545456"/>
          <w:w w:val="95"/>
        </w:rPr>
        <w:t>Guidance</w:t>
      </w:r>
      <w:r>
        <w:rPr>
          <w:color w:val="545456"/>
          <w:spacing w:val="-6"/>
          <w:w w:val="95"/>
        </w:rPr>
        <w:t xml:space="preserve"> </w:t>
      </w:r>
      <w:r>
        <w:rPr>
          <w:color w:val="545456"/>
          <w:w w:val="95"/>
        </w:rPr>
        <w:t>Principles</w:t>
      </w:r>
      <w:r>
        <w:rPr>
          <w:color w:val="545456"/>
          <w:spacing w:val="-5"/>
          <w:w w:val="95"/>
        </w:rPr>
        <w:t xml:space="preserve"> </w:t>
      </w:r>
      <w:r>
        <w:rPr>
          <w:color w:val="545456"/>
          <w:w w:val="95"/>
        </w:rPr>
        <w:t>for</w:t>
      </w:r>
      <w:r>
        <w:rPr>
          <w:color w:val="545456"/>
          <w:spacing w:val="-6"/>
          <w:w w:val="95"/>
        </w:rPr>
        <w:t xml:space="preserve"> </w:t>
      </w:r>
      <w:r>
        <w:rPr>
          <w:color w:val="545456"/>
          <w:w w:val="95"/>
        </w:rPr>
        <w:t>Life</w:t>
      </w:r>
      <w:r>
        <w:rPr>
          <w:color w:val="545456"/>
          <w:spacing w:val="-45"/>
          <w:w w:val="95"/>
        </w:rPr>
        <w:t xml:space="preserve"> </w:t>
      </w:r>
      <w:r>
        <w:rPr>
          <w:color w:val="545456"/>
          <w:w w:val="95"/>
        </w:rPr>
        <w:t>Cycle</w:t>
      </w:r>
      <w:r>
        <w:rPr>
          <w:color w:val="545456"/>
          <w:spacing w:val="-7"/>
          <w:w w:val="95"/>
        </w:rPr>
        <w:t xml:space="preserve"> </w:t>
      </w:r>
      <w:r>
        <w:rPr>
          <w:color w:val="545456"/>
          <w:w w:val="95"/>
        </w:rPr>
        <w:t>Assessment</w:t>
      </w:r>
      <w:r>
        <w:rPr>
          <w:color w:val="545456"/>
          <w:spacing w:val="-7"/>
          <w:w w:val="95"/>
        </w:rPr>
        <w:t xml:space="preserve"> </w:t>
      </w:r>
      <w:r>
        <w:rPr>
          <w:color w:val="545456"/>
          <w:w w:val="95"/>
        </w:rPr>
        <w:t>Databases.</w:t>
      </w:r>
      <w:r>
        <w:rPr>
          <w:color w:val="545456"/>
          <w:spacing w:val="-7"/>
          <w:w w:val="95"/>
        </w:rPr>
        <w:t xml:space="preserve"> </w:t>
      </w:r>
      <w:r>
        <w:rPr>
          <w:color w:val="545456"/>
          <w:w w:val="95"/>
        </w:rPr>
        <w:t>2011.</w:t>
      </w:r>
    </w:p>
    <w:p w14:paraId="1482BD6C" w14:textId="77777777" w:rsidR="0055291C" w:rsidRDefault="00F23C61">
      <w:pPr>
        <w:pStyle w:val="a3"/>
        <w:spacing w:before="141" w:line="309" w:lineRule="auto"/>
        <w:ind w:left="245" w:right="1738"/>
      </w:pPr>
      <w:proofErr w:type="spellStart"/>
      <w:r>
        <w:rPr>
          <w:color w:val="545456"/>
          <w:w w:val="95"/>
        </w:rPr>
        <w:t>Weidema</w:t>
      </w:r>
      <w:proofErr w:type="spellEnd"/>
      <w:r>
        <w:rPr>
          <w:color w:val="545456"/>
          <w:w w:val="95"/>
        </w:rPr>
        <w:t xml:space="preserve">, B.P. and M.S. </w:t>
      </w:r>
      <w:proofErr w:type="spellStart"/>
      <w:r>
        <w:rPr>
          <w:color w:val="545456"/>
          <w:w w:val="95"/>
        </w:rPr>
        <w:t>Wesnaes</w:t>
      </w:r>
      <w:proofErr w:type="spellEnd"/>
      <w:r>
        <w:rPr>
          <w:color w:val="545456"/>
          <w:w w:val="95"/>
        </w:rPr>
        <w:t>. Data quality</w:t>
      </w:r>
      <w:r>
        <w:rPr>
          <w:color w:val="545456"/>
          <w:spacing w:val="1"/>
          <w:w w:val="95"/>
        </w:rPr>
        <w:t xml:space="preserve"> </w:t>
      </w:r>
      <w:r>
        <w:rPr>
          <w:color w:val="545456"/>
        </w:rPr>
        <w:t>management</w:t>
      </w:r>
      <w:r>
        <w:rPr>
          <w:color w:val="545456"/>
          <w:spacing w:val="-6"/>
        </w:rPr>
        <w:t xml:space="preserve"> </w:t>
      </w:r>
      <w:r>
        <w:rPr>
          <w:color w:val="545456"/>
        </w:rPr>
        <w:t>for</w:t>
      </w:r>
      <w:r>
        <w:rPr>
          <w:color w:val="545456"/>
          <w:spacing w:val="-6"/>
        </w:rPr>
        <w:t xml:space="preserve"> </w:t>
      </w:r>
      <w:r>
        <w:rPr>
          <w:color w:val="545456"/>
        </w:rPr>
        <w:t>life</w:t>
      </w:r>
      <w:r>
        <w:rPr>
          <w:color w:val="545456"/>
          <w:spacing w:val="-5"/>
        </w:rPr>
        <w:t xml:space="preserve"> </w:t>
      </w:r>
      <w:r>
        <w:rPr>
          <w:color w:val="545456"/>
        </w:rPr>
        <w:t>cycle</w:t>
      </w:r>
      <w:r>
        <w:rPr>
          <w:color w:val="545456"/>
          <w:spacing w:val="-6"/>
        </w:rPr>
        <w:t xml:space="preserve"> </w:t>
      </w:r>
      <w:r>
        <w:rPr>
          <w:color w:val="545456"/>
        </w:rPr>
        <w:t>inventories</w:t>
      </w:r>
      <w:r>
        <w:rPr>
          <w:color w:val="545456"/>
          <w:spacing w:val="-5"/>
        </w:rPr>
        <w:t xml:space="preserve"> </w:t>
      </w:r>
      <w:r>
        <w:rPr>
          <w:color w:val="545456"/>
        </w:rPr>
        <w:t>-</w:t>
      </w:r>
      <w:r>
        <w:rPr>
          <w:color w:val="545456"/>
          <w:spacing w:val="-6"/>
        </w:rPr>
        <w:t xml:space="preserve"> </w:t>
      </w:r>
      <w:r>
        <w:rPr>
          <w:color w:val="545456"/>
        </w:rPr>
        <w:t>an</w:t>
      </w:r>
      <w:r>
        <w:rPr>
          <w:color w:val="545456"/>
          <w:spacing w:val="-5"/>
        </w:rPr>
        <w:t xml:space="preserve"> </w:t>
      </w:r>
      <w:r>
        <w:rPr>
          <w:color w:val="545456"/>
        </w:rPr>
        <w:t>example</w:t>
      </w:r>
      <w:r>
        <w:rPr>
          <w:color w:val="545456"/>
          <w:spacing w:val="-48"/>
        </w:rPr>
        <w:t xml:space="preserve"> </w:t>
      </w:r>
      <w:r>
        <w:rPr>
          <w:color w:val="545456"/>
          <w:spacing w:val="-1"/>
        </w:rPr>
        <w:t xml:space="preserve">of using data quality </w:t>
      </w:r>
      <w:r>
        <w:rPr>
          <w:color w:val="545456"/>
        </w:rPr>
        <w:t xml:space="preserve">indicators. </w:t>
      </w:r>
      <w:r>
        <w:rPr>
          <w:rFonts w:ascii="Arial"/>
          <w:i/>
          <w:color w:val="545456"/>
        </w:rPr>
        <w:t>Journal of Cleaner</w:t>
      </w:r>
      <w:r>
        <w:rPr>
          <w:rFonts w:ascii="Arial"/>
          <w:i/>
          <w:color w:val="545456"/>
          <w:spacing w:val="1"/>
        </w:rPr>
        <w:t xml:space="preserve"> </w:t>
      </w:r>
      <w:r>
        <w:rPr>
          <w:rFonts w:ascii="Arial"/>
          <w:i/>
          <w:color w:val="545456"/>
          <w:w w:val="95"/>
        </w:rPr>
        <w:t>Production.</w:t>
      </w:r>
      <w:r>
        <w:rPr>
          <w:rFonts w:ascii="Arial"/>
          <w:i/>
          <w:color w:val="545456"/>
          <w:spacing w:val="-8"/>
          <w:w w:val="95"/>
        </w:rPr>
        <w:t xml:space="preserve"> </w:t>
      </w:r>
      <w:r>
        <w:rPr>
          <w:color w:val="545456"/>
          <w:w w:val="95"/>
        </w:rPr>
        <w:t>4</w:t>
      </w:r>
      <w:r>
        <w:rPr>
          <w:color w:val="545456"/>
          <w:spacing w:val="-5"/>
          <w:w w:val="95"/>
        </w:rPr>
        <w:t xml:space="preserve"> </w:t>
      </w:r>
      <w:r>
        <w:rPr>
          <w:color w:val="545456"/>
          <w:w w:val="95"/>
        </w:rPr>
        <w:t>no.</w:t>
      </w:r>
      <w:r>
        <w:rPr>
          <w:color w:val="545456"/>
          <w:spacing w:val="-6"/>
          <w:w w:val="95"/>
        </w:rPr>
        <w:t xml:space="preserve"> </w:t>
      </w:r>
      <w:r>
        <w:rPr>
          <w:color w:val="545456"/>
          <w:w w:val="95"/>
        </w:rPr>
        <w:t>3-4</w:t>
      </w:r>
      <w:r>
        <w:rPr>
          <w:color w:val="545456"/>
          <w:spacing w:val="-5"/>
          <w:w w:val="95"/>
        </w:rPr>
        <w:t xml:space="preserve"> </w:t>
      </w:r>
      <w:r>
        <w:rPr>
          <w:color w:val="545456"/>
          <w:w w:val="95"/>
        </w:rPr>
        <w:t>(1996):</w:t>
      </w:r>
      <w:r>
        <w:rPr>
          <w:color w:val="545456"/>
          <w:spacing w:val="-6"/>
          <w:w w:val="95"/>
        </w:rPr>
        <w:t xml:space="preserve"> </w:t>
      </w:r>
      <w:r>
        <w:rPr>
          <w:color w:val="545456"/>
          <w:w w:val="95"/>
        </w:rPr>
        <w:t>167-174.</w:t>
      </w:r>
    </w:p>
    <w:p w14:paraId="76A997B2" w14:textId="77777777" w:rsidR="0055291C" w:rsidRDefault="00F23C61">
      <w:pPr>
        <w:pStyle w:val="a3"/>
        <w:spacing w:before="141" w:line="312" w:lineRule="auto"/>
        <w:ind w:left="245" w:right="1349"/>
        <w:jc w:val="both"/>
      </w:pPr>
      <w:r>
        <w:rPr>
          <w:color w:val="545456"/>
          <w:spacing w:val="-1"/>
        </w:rPr>
        <w:t>World</w:t>
      </w:r>
      <w:r>
        <w:rPr>
          <w:color w:val="545456"/>
          <w:spacing w:val="-11"/>
        </w:rPr>
        <w:t xml:space="preserve"> </w:t>
      </w:r>
      <w:r>
        <w:rPr>
          <w:color w:val="545456"/>
          <w:spacing w:val="-1"/>
        </w:rPr>
        <w:t>Resources</w:t>
      </w:r>
      <w:r>
        <w:rPr>
          <w:color w:val="545456"/>
          <w:spacing w:val="-10"/>
        </w:rPr>
        <w:t xml:space="preserve"> </w:t>
      </w:r>
      <w:r>
        <w:rPr>
          <w:color w:val="545456"/>
          <w:spacing w:val="-1"/>
        </w:rPr>
        <w:t>Institute.</w:t>
      </w:r>
      <w:r>
        <w:rPr>
          <w:color w:val="545456"/>
          <w:spacing w:val="-11"/>
        </w:rPr>
        <w:t xml:space="preserve"> </w:t>
      </w:r>
      <w:r>
        <w:rPr>
          <w:color w:val="545456"/>
        </w:rPr>
        <w:t>“</w:t>
      </w:r>
      <w:proofErr w:type="spellStart"/>
      <w:r>
        <w:rPr>
          <w:color w:val="545456"/>
        </w:rPr>
        <w:t>EarthTrends</w:t>
      </w:r>
      <w:proofErr w:type="spellEnd"/>
      <w:r>
        <w:rPr>
          <w:color w:val="545456"/>
        </w:rPr>
        <w:t>:</w:t>
      </w:r>
      <w:r>
        <w:rPr>
          <w:color w:val="545456"/>
          <w:spacing w:val="-10"/>
        </w:rPr>
        <w:t xml:space="preserve"> </w:t>
      </w:r>
      <w:r>
        <w:rPr>
          <w:color w:val="545456"/>
        </w:rPr>
        <w:t>Environmental</w:t>
      </w:r>
      <w:r>
        <w:rPr>
          <w:color w:val="545456"/>
          <w:spacing w:val="-48"/>
        </w:rPr>
        <w:t xml:space="preserve"> </w:t>
      </w:r>
      <w:r>
        <w:rPr>
          <w:color w:val="545456"/>
          <w:spacing w:val="-1"/>
          <w:w w:val="105"/>
        </w:rPr>
        <w:t>Information.”</w:t>
      </w:r>
      <w:r>
        <w:rPr>
          <w:color w:val="545456"/>
          <w:spacing w:val="-12"/>
          <w:w w:val="105"/>
        </w:rPr>
        <w:t xml:space="preserve"> </w:t>
      </w:r>
      <w:r>
        <w:rPr>
          <w:color w:val="545456"/>
          <w:spacing w:val="-1"/>
          <w:w w:val="105"/>
        </w:rPr>
        <w:t>Available</w:t>
      </w:r>
      <w:r>
        <w:rPr>
          <w:color w:val="545456"/>
          <w:spacing w:val="-12"/>
          <w:w w:val="105"/>
        </w:rPr>
        <w:t xml:space="preserve"> </w:t>
      </w:r>
      <w:r>
        <w:rPr>
          <w:color w:val="545456"/>
          <w:spacing w:val="-1"/>
          <w:w w:val="105"/>
        </w:rPr>
        <w:t>from</w:t>
      </w:r>
      <w:r>
        <w:rPr>
          <w:color w:val="545456"/>
          <w:spacing w:val="-12"/>
          <w:w w:val="105"/>
        </w:rPr>
        <w:t xml:space="preserve"> </w:t>
      </w:r>
      <w:hyperlink r:id="rId402">
        <w:r>
          <w:rPr>
            <w:color w:val="545456"/>
            <w:spacing w:val="-1"/>
            <w:w w:val="105"/>
          </w:rPr>
          <w:t>http://earthtrends.wri.org.</w:t>
        </w:r>
      </w:hyperlink>
      <w:r>
        <w:rPr>
          <w:color w:val="545456"/>
          <w:spacing w:val="-51"/>
          <w:w w:val="105"/>
        </w:rPr>
        <w:t xml:space="preserve"> </w:t>
      </w:r>
      <w:r>
        <w:rPr>
          <w:color w:val="545456"/>
        </w:rPr>
        <w:t>Washington</w:t>
      </w:r>
      <w:r>
        <w:rPr>
          <w:color w:val="545456"/>
          <w:spacing w:val="-13"/>
        </w:rPr>
        <w:t xml:space="preserve"> </w:t>
      </w:r>
      <w:r>
        <w:rPr>
          <w:color w:val="545456"/>
        </w:rPr>
        <w:t>DC:</w:t>
      </w:r>
      <w:r>
        <w:rPr>
          <w:color w:val="545456"/>
          <w:spacing w:val="-12"/>
        </w:rPr>
        <w:t xml:space="preserve"> </w:t>
      </w:r>
      <w:r>
        <w:rPr>
          <w:color w:val="545456"/>
        </w:rPr>
        <w:t>World</w:t>
      </w:r>
      <w:r>
        <w:rPr>
          <w:color w:val="545456"/>
          <w:spacing w:val="-13"/>
        </w:rPr>
        <w:t xml:space="preserve"> </w:t>
      </w:r>
      <w:r>
        <w:rPr>
          <w:color w:val="545456"/>
        </w:rPr>
        <w:t>Resources</w:t>
      </w:r>
      <w:r>
        <w:rPr>
          <w:color w:val="545456"/>
          <w:spacing w:val="-12"/>
        </w:rPr>
        <w:t xml:space="preserve"> </w:t>
      </w:r>
      <w:r>
        <w:rPr>
          <w:color w:val="545456"/>
        </w:rPr>
        <w:t>Institute.2007.</w:t>
      </w:r>
    </w:p>
    <w:p w14:paraId="632D8218" w14:textId="77777777" w:rsidR="0055291C" w:rsidRDefault="00F23C61">
      <w:pPr>
        <w:pStyle w:val="a3"/>
        <w:spacing w:before="141" w:line="309" w:lineRule="auto"/>
        <w:ind w:left="245" w:right="1170"/>
      </w:pPr>
      <w:proofErr w:type="spellStart"/>
      <w:r>
        <w:rPr>
          <w:color w:val="545456"/>
          <w:w w:val="95"/>
        </w:rPr>
        <w:t>Zaks</w:t>
      </w:r>
      <w:proofErr w:type="spellEnd"/>
      <w:r>
        <w:rPr>
          <w:color w:val="545456"/>
          <w:w w:val="95"/>
        </w:rPr>
        <w:t xml:space="preserve">, D.P.M., C. C. Barford, N. </w:t>
      </w:r>
      <w:proofErr w:type="spellStart"/>
      <w:r>
        <w:rPr>
          <w:color w:val="545456"/>
          <w:w w:val="95"/>
        </w:rPr>
        <w:t>Ramankutty</w:t>
      </w:r>
      <w:proofErr w:type="spellEnd"/>
      <w:r>
        <w:rPr>
          <w:color w:val="545456"/>
          <w:w w:val="95"/>
        </w:rPr>
        <w:t xml:space="preserve"> and J. A.</w:t>
      </w:r>
      <w:r>
        <w:rPr>
          <w:color w:val="545456"/>
          <w:spacing w:val="1"/>
          <w:w w:val="95"/>
        </w:rPr>
        <w:t xml:space="preserve"> </w:t>
      </w:r>
      <w:proofErr w:type="spellStart"/>
      <w:r>
        <w:rPr>
          <w:color w:val="545456"/>
        </w:rPr>
        <w:t>Foley.”Producer</w:t>
      </w:r>
      <w:proofErr w:type="spellEnd"/>
      <w:r>
        <w:rPr>
          <w:color w:val="545456"/>
        </w:rPr>
        <w:t xml:space="preserve"> and consumer responsibility for</w:t>
      </w:r>
      <w:r>
        <w:rPr>
          <w:color w:val="545456"/>
          <w:spacing w:val="1"/>
        </w:rPr>
        <w:t xml:space="preserve"> </w:t>
      </w:r>
      <w:r>
        <w:rPr>
          <w:color w:val="545456"/>
        </w:rPr>
        <w:t>greenhouse</w:t>
      </w:r>
      <w:r>
        <w:rPr>
          <w:color w:val="545456"/>
          <w:spacing w:val="8"/>
        </w:rPr>
        <w:t xml:space="preserve"> </w:t>
      </w:r>
      <w:r>
        <w:rPr>
          <w:color w:val="545456"/>
        </w:rPr>
        <w:t>gas</w:t>
      </w:r>
      <w:r>
        <w:rPr>
          <w:color w:val="545456"/>
          <w:spacing w:val="9"/>
        </w:rPr>
        <w:t xml:space="preserve"> </w:t>
      </w:r>
      <w:r>
        <w:rPr>
          <w:color w:val="545456"/>
        </w:rPr>
        <w:t>emissions</w:t>
      </w:r>
      <w:r>
        <w:rPr>
          <w:color w:val="545456"/>
          <w:spacing w:val="8"/>
        </w:rPr>
        <w:t xml:space="preserve"> </w:t>
      </w:r>
      <w:r>
        <w:rPr>
          <w:color w:val="545456"/>
        </w:rPr>
        <w:t>from</w:t>
      </w:r>
      <w:r>
        <w:rPr>
          <w:color w:val="545456"/>
          <w:spacing w:val="9"/>
        </w:rPr>
        <w:t xml:space="preserve"> </w:t>
      </w:r>
      <w:r>
        <w:rPr>
          <w:color w:val="545456"/>
        </w:rPr>
        <w:t>agricultural</w:t>
      </w:r>
      <w:r>
        <w:rPr>
          <w:color w:val="545456"/>
          <w:spacing w:val="9"/>
        </w:rPr>
        <w:t xml:space="preserve"> </w:t>
      </w:r>
      <w:r>
        <w:rPr>
          <w:color w:val="545456"/>
        </w:rPr>
        <w:t>production</w:t>
      </w:r>
      <w:r>
        <w:rPr>
          <w:color w:val="545456"/>
          <w:spacing w:val="-18"/>
        </w:rPr>
        <w:t xml:space="preserve"> </w:t>
      </w:r>
      <w:r>
        <w:rPr>
          <w:color w:val="545456"/>
        </w:rPr>
        <w:t>–</w:t>
      </w:r>
      <w:r>
        <w:rPr>
          <w:color w:val="545456"/>
          <w:spacing w:val="-48"/>
        </w:rPr>
        <w:t xml:space="preserve"> </w:t>
      </w:r>
      <w:r>
        <w:rPr>
          <w:color w:val="545456"/>
        </w:rPr>
        <w:t xml:space="preserve">a perspective from the Brazilian </w:t>
      </w:r>
      <w:proofErr w:type="spellStart"/>
      <w:r>
        <w:rPr>
          <w:color w:val="545456"/>
        </w:rPr>
        <w:t>Amazon.”</w:t>
      </w:r>
      <w:r>
        <w:rPr>
          <w:rFonts w:ascii="Arial" w:hAnsi="Arial"/>
          <w:i/>
          <w:color w:val="545456"/>
        </w:rPr>
        <w:t>Environmental</w:t>
      </w:r>
      <w:proofErr w:type="spellEnd"/>
      <w:r>
        <w:rPr>
          <w:rFonts w:ascii="Arial" w:hAnsi="Arial"/>
          <w:i/>
          <w:color w:val="545456"/>
          <w:spacing w:val="-50"/>
        </w:rPr>
        <w:t xml:space="preserve"> </w:t>
      </w:r>
      <w:r>
        <w:rPr>
          <w:rFonts w:ascii="Arial" w:hAnsi="Arial"/>
          <w:i/>
          <w:color w:val="545456"/>
        </w:rPr>
        <w:t>Research</w:t>
      </w:r>
      <w:r>
        <w:rPr>
          <w:rFonts w:ascii="Arial" w:hAnsi="Arial"/>
          <w:i/>
          <w:color w:val="545456"/>
          <w:spacing w:val="-11"/>
        </w:rPr>
        <w:t xml:space="preserve"> </w:t>
      </w:r>
      <w:r>
        <w:rPr>
          <w:rFonts w:ascii="Arial" w:hAnsi="Arial"/>
          <w:i/>
          <w:color w:val="545456"/>
        </w:rPr>
        <w:t>Letters.</w:t>
      </w:r>
      <w:r>
        <w:rPr>
          <w:rFonts w:ascii="Arial" w:hAnsi="Arial"/>
          <w:i/>
          <w:color w:val="545456"/>
          <w:spacing w:val="-11"/>
        </w:rPr>
        <w:t xml:space="preserve"> </w:t>
      </w:r>
      <w:r>
        <w:rPr>
          <w:color w:val="545456"/>
        </w:rPr>
        <w:t>4</w:t>
      </w:r>
      <w:r>
        <w:rPr>
          <w:color w:val="545456"/>
          <w:spacing w:val="-10"/>
        </w:rPr>
        <w:t xml:space="preserve"> </w:t>
      </w:r>
      <w:r>
        <w:rPr>
          <w:color w:val="545456"/>
        </w:rPr>
        <w:t>(2009).</w:t>
      </w:r>
    </w:p>
    <w:p w14:paraId="63E4CB6D" w14:textId="77777777" w:rsidR="0055291C" w:rsidRDefault="0055291C">
      <w:pPr>
        <w:spacing w:line="309" w:lineRule="auto"/>
        <w:sectPr w:rsidR="0055291C">
          <w:type w:val="continuous"/>
          <w:pgSz w:w="12240" w:h="15840"/>
          <w:pgMar w:top="740" w:right="0" w:bottom="280" w:left="0" w:header="0" w:footer="859" w:gutter="0"/>
          <w:cols w:num="2" w:space="720" w:equalWidth="0">
            <w:col w:w="5957" w:space="40"/>
            <w:col w:w="6243"/>
          </w:cols>
        </w:sectPr>
      </w:pPr>
    </w:p>
    <w:p w14:paraId="5B5D0656" w14:textId="77777777" w:rsidR="0055291C" w:rsidRDefault="00000000">
      <w:pPr>
        <w:pStyle w:val="a3"/>
        <w:rPr>
          <w:sz w:val="20"/>
        </w:rPr>
      </w:pPr>
      <w:r>
        <w:rPr>
          <w:sz w:val="20"/>
        </w:rPr>
      </w:r>
      <w:r>
        <w:rPr>
          <w:sz w:val="20"/>
        </w:rPr>
        <w:pict w14:anchorId="3F96C427">
          <v:group id="docshapegroup1732" o:spid="_x0000_s2090" style="width:553.75pt;height:100.65pt;mso-position-horizontal-relative:char;mso-position-vertical-relative:line" coordsize="11075,2013">
            <v:shape id="docshape1733" o:spid="_x0000_s2093" style="position:absolute;width:5940;height:636" coordsize="5940,636" path="m5940,l,,,635r5713,l5844,632r68,-25l5936,539r4,-131l5940,xe" fillcolor="#00aca1" stroked="f">
              <v:path arrowok="t"/>
            </v:shape>
            <v:shape id="docshape1734" o:spid="_x0000_s2092" style="position:absolute;width:11075;height:2009" coordsize="11075,2009" path="m11073,l,,,2008r10834,l10973,2005r71,-27l11070,1907r4,-139l11074,42,11073,xe" fillcolor="#d8eeec" stroked="f">
              <v:path arrowok="t"/>
            </v:shape>
            <v:shape id="docshape1735" o:spid="_x0000_s2091" type="#_x0000_t202" style="position:absolute;width:11075;height:2013" filled="f" stroked="f">
              <v:textbox inset="0,0,0,0">
                <w:txbxContent>
                  <w:p w14:paraId="16061596" w14:textId="77777777" w:rsidR="0055291C" w:rsidRDefault="0055291C">
                    <w:pPr>
                      <w:rPr>
                        <w:sz w:val="54"/>
                      </w:rPr>
                    </w:pPr>
                  </w:p>
                  <w:p w14:paraId="0276EA3F" w14:textId="77777777" w:rsidR="0055291C" w:rsidRDefault="0055291C">
                    <w:pPr>
                      <w:spacing w:before="11"/>
                      <w:rPr>
                        <w:sz w:val="75"/>
                      </w:rPr>
                    </w:pPr>
                  </w:p>
                  <w:p w14:paraId="270522B1" w14:textId="77777777" w:rsidR="0055291C" w:rsidRDefault="00F23C61">
                    <w:pPr>
                      <w:spacing w:line="541" w:lineRule="exact"/>
                      <w:ind w:left="1105"/>
                      <w:rPr>
                        <w:rFonts w:ascii="Arial"/>
                        <w:b/>
                        <w:i/>
                        <w:sz w:val="48"/>
                      </w:rPr>
                    </w:pPr>
                    <w:r>
                      <w:rPr>
                        <w:rFonts w:ascii="Arial"/>
                        <w:b/>
                        <w:i/>
                        <w:color w:val="545456"/>
                        <w:sz w:val="48"/>
                      </w:rPr>
                      <w:t>Recognitions</w:t>
                    </w:r>
                  </w:p>
                </w:txbxContent>
              </v:textbox>
            </v:shape>
            <w10:anchorlock/>
          </v:group>
        </w:pict>
      </w:r>
    </w:p>
    <w:p w14:paraId="1AC9071B" w14:textId="77777777" w:rsidR="0055291C" w:rsidRDefault="0055291C">
      <w:pPr>
        <w:pStyle w:val="a3"/>
        <w:rPr>
          <w:sz w:val="20"/>
        </w:rPr>
      </w:pPr>
    </w:p>
    <w:p w14:paraId="2D2265EF" w14:textId="77777777" w:rsidR="0055291C" w:rsidRDefault="0055291C">
      <w:pPr>
        <w:pStyle w:val="a3"/>
        <w:spacing w:before="10"/>
        <w:rPr>
          <w:sz w:val="18"/>
        </w:rPr>
      </w:pPr>
    </w:p>
    <w:p w14:paraId="1BAD5479" w14:textId="77777777" w:rsidR="0055291C" w:rsidRDefault="0055291C">
      <w:pPr>
        <w:rPr>
          <w:sz w:val="18"/>
        </w:rPr>
        <w:sectPr w:rsidR="0055291C">
          <w:headerReference w:type="even" r:id="rId403"/>
          <w:footerReference w:type="even" r:id="rId404"/>
          <w:footerReference w:type="default" r:id="rId405"/>
          <w:pgSz w:w="12240" w:h="15840"/>
          <w:pgMar w:top="0" w:right="0" w:bottom="1040" w:left="0" w:header="0" w:footer="859" w:gutter="0"/>
          <w:pgNumType w:start="140"/>
          <w:cols w:space="720"/>
        </w:sectPr>
      </w:pPr>
    </w:p>
    <w:p w14:paraId="638E66D8" w14:textId="77777777" w:rsidR="0055291C" w:rsidRDefault="00000000">
      <w:pPr>
        <w:pStyle w:val="3"/>
        <w:spacing w:before="98"/>
        <w:ind w:left="1133"/>
      </w:pPr>
      <w:r>
        <w:pict w14:anchorId="15EFE111">
          <v:line id="_x0000_s2089" style="position:absolute;left:0;text-align:left;z-index:251689472;mso-position-horizontal-relative:page" from="56.7pt,22.9pt" to="555.3pt,22.9pt" strokecolor="#00aca1" strokeweight="1pt">
            <w10:wrap anchorx="page"/>
          </v:line>
        </w:pict>
      </w:r>
      <w:r w:rsidR="00F23C61">
        <w:rPr>
          <w:color w:val="00ACA1"/>
        </w:rPr>
        <w:t>Advisors</w:t>
      </w:r>
    </w:p>
    <w:p w14:paraId="690C51D8" w14:textId="77777777" w:rsidR="0055291C" w:rsidRDefault="00F23C61">
      <w:pPr>
        <w:pStyle w:val="a3"/>
        <w:spacing w:before="194" w:line="312" w:lineRule="auto"/>
        <w:ind w:left="1133" w:right="1436"/>
      </w:pPr>
      <w:r>
        <w:rPr>
          <w:color w:val="545456"/>
          <w:w w:val="95"/>
        </w:rPr>
        <w:t>Fabio Peyer, Amcor Ltd.</w:t>
      </w:r>
      <w:r>
        <w:rPr>
          <w:color w:val="545456"/>
          <w:spacing w:val="-45"/>
          <w:w w:val="95"/>
        </w:rPr>
        <w:t xml:space="preserve"> </w:t>
      </w:r>
      <w:r>
        <w:rPr>
          <w:color w:val="545456"/>
          <w:w w:val="95"/>
        </w:rPr>
        <w:t>Jannie</w:t>
      </w:r>
      <w:r>
        <w:rPr>
          <w:color w:val="545456"/>
          <w:spacing w:val="-4"/>
          <w:w w:val="95"/>
        </w:rPr>
        <w:t xml:space="preserve"> </w:t>
      </w:r>
      <w:r>
        <w:rPr>
          <w:color w:val="545456"/>
          <w:w w:val="95"/>
        </w:rPr>
        <w:t>Bell,</w:t>
      </w:r>
      <w:r>
        <w:rPr>
          <w:color w:val="545456"/>
          <w:spacing w:val="-4"/>
          <w:w w:val="95"/>
        </w:rPr>
        <w:t xml:space="preserve"> </w:t>
      </w:r>
      <w:r>
        <w:rPr>
          <w:color w:val="545456"/>
          <w:w w:val="95"/>
        </w:rPr>
        <w:t>Dell</w:t>
      </w:r>
      <w:r>
        <w:rPr>
          <w:color w:val="545456"/>
          <w:spacing w:val="-3"/>
          <w:w w:val="95"/>
        </w:rPr>
        <w:t xml:space="preserve"> </w:t>
      </w:r>
      <w:r>
        <w:rPr>
          <w:color w:val="545456"/>
          <w:w w:val="95"/>
        </w:rPr>
        <w:t>Inc.</w:t>
      </w:r>
    </w:p>
    <w:p w14:paraId="18ACC275" w14:textId="77777777" w:rsidR="0055291C" w:rsidRDefault="00F23C61">
      <w:pPr>
        <w:pStyle w:val="a3"/>
        <w:spacing w:before="1" w:line="312" w:lineRule="auto"/>
        <w:ind w:left="1133" w:right="281"/>
      </w:pPr>
      <w:r>
        <w:rPr>
          <w:color w:val="545456"/>
          <w:w w:val="95"/>
        </w:rPr>
        <w:t>Björn</w:t>
      </w:r>
      <w:r>
        <w:rPr>
          <w:color w:val="545456"/>
          <w:spacing w:val="11"/>
          <w:w w:val="95"/>
        </w:rPr>
        <w:t xml:space="preserve"> </w:t>
      </w:r>
      <w:proofErr w:type="spellStart"/>
      <w:r>
        <w:rPr>
          <w:color w:val="545456"/>
          <w:w w:val="95"/>
        </w:rPr>
        <w:t>Hannappel</w:t>
      </w:r>
      <w:proofErr w:type="spellEnd"/>
      <w:r>
        <w:rPr>
          <w:color w:val="545456"/>
          <w:w w:val="95"/>
        </w:rPr>
        <w:t>,</w:t>
      </w:r>
      <w:r>
        <w:rPr>
          <w:color w:val="545456"/>
          <w:spacing w:val="11"/>
          <w:w w:val="95"/>
        </w:rPr>
        <w:t xml:space="preserve"> </w:t>
      </w:r>
      <w:r>
        <w:rPr>
          <w:color w:val="545456"/>
          <w:w w:val="95"/>
        </w:rPr>
        <w:t>Deutsche</w:t>
      </w:r>
      <w:r>
        <w:rPr>
          <w:color w:val="545456"/>
          <w:spacing w:val="11"/>
          <w:w w:val="95"/>
        </w:rPr>
        <w:t xml:space="preserve"> </w:t>
      </w:r>
      <w:r>
        <w:rPr>
          <w:color w:val="545456"/>
          <w:w w:val="95"/>
        </w:rPr>
        <w:t>Post</w:t>
      </w:r>
      <w:r>
        <w:rPr>
          <w:color w:val="545456"/>
          <w:spacing w:val="11"/>
          <w:w w:val="95"/>
        </w:rPr>
        <w:t xml:space="preserve"> </w:t>
      </w:r>
      <w:r>
        <w:rPr>
          <w:color w:val="545456"/>
          <w:w w:val="95"/>
        </w:rPr>
        <w:t>DHL</w:t>
      </w:r>
      <w:r>
        <w:rPr>
          <w:color w:val="545456"/>
          <w:spacing w:val="-45"/>
          <w:w w:val="95"/>
        </w:rPr>
        <w:t xml:space="preserve"> </w:t>
      </w:r>
      <w:r>
        <w:rPr>
          <w:color w:val="545456"/>
        </w:rPr>
        <w:t>Carina</w:t>
      </w:r>
      <w:r>
        <w:rPr>
          <w:color w:val="545456"/>
          <w:spacing w:val="-12"/>
        </w:rPr>
        <w:t xml:space="preserve"> </w:t>
      </w:r>
      <w:proofErr w:type="spellStart"/>
      <w:r>
        <w:rPr>
          <w:color w:val="545456"/>
        </w:rPr>
        <w:t>Alles</w:t>
      </w:r>
      <w:proofErr w:type="spellEnd"/>
      <w:r>
        <w:rPr>
          <w:color w:val="545456"/>
        </w:rPr>
        <w:t>,</w:t>
      </w:r>
      <w:r>
        <w:rPr>
          <w:color w:val="545456"/>
          <w:spacing w:val="-11"/>
        </w:rPr>
        <w:t xml:space="preserve"> </w:t>
      </w:r>
      <w:r>
        <w:rPr>
          <w:color w:val="545456"/>
        </w:rPr>
        <w:t>DuPont</w:t>
      </w:r>
    </w:p>
    <w:p w14:paraId="36ACC710" w14:textId="77777777" w:rsidR="0055291C" w:rsidRDefault="00F23C61">
      <w:pPr>
        <w:pStyle w:val="a3"/>
        <w:spacing w:before="1"/>
        <w:ind w:left="1133"/>
      </w:pPr>
      <w:r>
        <w:rPr>
          <w:color w:val="545456"/>
          <w:w w:val="95"/>
        </w:rPr>
        <w:t>Lisa</w:t>
      </w:r>
      <w:r>
        <w:rPr>
          <w:color w:val="545456"/>
          <w:spacing w:val="12"/>
          <w:w w:val="95"/>
        </w:rPr>
        <w:t xml:space="preserve"> </w:t>
      </w:r>
      <w:r>
        <w:rPr>
          <w:color w:val="545456"/>
          <w:w w:val="95"/>
        </w:rPr>
        <w:t>Grice,</w:t>
      </w:r>
      <w:r>
        <w:rPr>
          <w:color w:val="545456"/>
          <w:spacing w:val="13"/>
          <w:w w:val="95"/>
        </w:rPr>
        <w:t xml:space="preserve"> </w:t>
      </w:r>
      <w:r>
        <w:rPr>
          <w:color w:val="545456"/>
          <w:w w:val="95"/>
        </w:rPr>
        <w:t>ENVIRON</w:t>
      </w:r>
      <w:r>
        <w:rPr>
          <w:color w:val="545456"/>
          <w:spacing w:val="12"/>
          <w:w w:val="95"/>
        </w:rPr>
        <w:t xml:space="preserve"> </w:t>
      </w:r>
      <w:r>
        <w:rPr>
          <w:color w:val="545456"/>
          <w:w w:val="95"/>
        </w:rPr>
        <w:t>International</w:t>
      </w:r>
      <w:r>
        <w:rPr>
          <w:color w:val="545456"/>
          <w:spacing w:val="13"/>
          <w:w w:val="95"/>
        </w:rPr>
        <w:t xml:space="preserve"> </w:t>
      </w:r>
      <w:r>
        <w:rPr>
          <w:color w:val="545456"/>
          <w:w w:val="95"/>
        </w:rPr>
        <w:t>Corporation</w:t>
      </w:r>
    </w:p>
    <w:p w14:paraId="1D5D925F" w14:textId="77777777" w:rsidR="0055291C" w:rsidRDefault="00F23C61">
      <w:pPr>
        <w:rPr>
          <w:sz w:val="20"/>
        </w:rPr>
      </w:pPr>
      <w:r>
        <w:br w:type="column"/>
      </w:r>
    </w:p>
    <w:p w14:paraId="29C50D05" w14:textId="77777777" w:rsidR="0055291C" w:rsidRDefault="0055291C">
      <w:pPr>
        <w:pStyle w:val="a3"/>
        <w:rPr>
          <w:sz w:val="20"/>
        </w:rPr>
      </w:pPr>
    </w:p>
    <w:p w14:paraId="07914FBD" w14:textId="77777777" w:rsidR="0055291C" w:rsidRDefault="00F23C61">
      <w:pPr>
        <w:pStyle w:val="a3"/>
        <w:spacing w:before="116" w:line="312" w:lineRule="auto"/>
        <w:ind w:left="1360" w:right="2464" w:hanging="227"/>
      </w:pPr>
      <w:r>
        <w:rPr>
          <w:color w:val="545456"/>
          <w:spacing w:val="-1"/>
        </w:rPr>
        <w:t>Matthew</w:t>
      </w:r>
      <w:r>
        <w:rPr>
          <w:color w:val="545456"/>
          <w:spacing w:val="-12"/>
        </w:rPr>
        <w:t xml:space="preserve"> </w:t>
      </w:r>
      <w:r>
        <w:rPr>
          <w:color w:val="545456"/>
          <w:spacing w:val="-1"/>
        </w:rPr>
        <w:t>Bateson,</w:t>
      </w:r>
      <w:r>
        <w:rPr>
          <w:color w:val="545456"/>
          <w:spacing w:val="-11"/>
        </w:rPr>
        <w:t xml:space="preserve"> </w:t>
      </w:r>
      <w:r>
        <w:rPr>
          <w:color w:val="545456"/>
          <w:spacing w:val="-1"/>
        </w:rPr>
        <w:t>World</w:t>
      </w:r>
      <w:r>
        <w:rPr>
          <w:color w:val="545456"/>
          <w:spacing w:val="-11"/>
        </w:rPr>
        <w:t xml:space="preserve"> </w:t>
      </w:r>
      <w:r>
        <w:rPr>
          <w:color w:val="545456"/>
          <w:spacing w:val="-1"/>
        </w:rPr>
        <w:t>Business</w:t>
      </w:r>
      <w:r>
        <w:rPr>
          <w:color w:val="545456"/>
          <w:spacing w:val="-12"/>
        </w:rPr>
        <w:t xml:space="preserve"> </w:t>
      </w:r>
      <w:r>
        <w:rPr>
          <w:color w:val="545456"/>
          <w:spacing w:val="-1"/>
        </w:rPr>
        <w:t>Council</w:t>
      </w:r>
      <w:r>
        <w:rPr>
          <w:color w:val="545456"/>
          <w:spacing w:val="-47"/>
        </w:rPr>
        <w:t xml:space="preserve"> </w:t>
      </w:r>
      <w:r>
        <w:rPr>
          <w:color w:val="545456"/>
        </w:rPr>
        <w:t>for</w:t>
      </w:r>
      <w:r>
        <w:rPr>
          <w:color w:val="545456"/>
          <w:spacing w:val="-10"/>
        </w:rPr>
        <w:t xml:space="preserve"> </w:t>
      </w:r>
      <w:r>
        <w:rPr>
          <w:color w:val="545456"/>
        </w:rPr>
        <w:t>Sustainable</w:t>
      </w:r>
      <w:r>
        <w:rPr>
          <w:color w:val="545456"/>
          <w:spacing w:val="-9"/>
        </w:rPr>
        <w:t xml:space="preserve"> </w:t>
      </w:r>
      <w:r>
        <w:rPr>
          <w:color w:val="545456"/>
        </w:rPr>
        <w:t>Development</w:t>
      </w:r>
    </w:p>
    <w:p w14:paraId="6CACADBF" w14:textId="77777777" w:rsidR="0055291C" w:rsidRDefault="00F23C61">
      <w:pPr>
        <w:pStyle w:val="a3"/>
        <w:spacing w:line="312" w:lineRule="auto"/>
        <w:ind w:left="1133" w:right="2109"/>
      </w:pPr>
      <w:r>
        <w:rPr>
          <w:color w:val="545456"/>
        </w:rPr>
        <w:t>Jennifer Morgan, World Resources Institute</w:t>
      </w:r>
      <w:r>
        <w:rPr>
          <w:color w:val="545456"/>
          <w:spacing w:val="1"/>
        </w:rPr>
        <w:t xml:space="preserve"> </w:t>
      </w:r>
      <w:r>
        <w:rPr>
          <w:color w:val="545456"/>
          <w:spacing w:val="-1"/>
        </w:rPr>
        <w:t>Janet</w:t>
      </w:r>
      <w:r>
        <w:rPr>
          <w:color w:val="545456"/>
          <w:spacing w:val="-11"/>
        </w:rPr>
        <w:t xml:space="preserve"> </w:t>
      </w:r>
      <w:r>
        <w:rPr>
          <w:color w:val="545456"/>
          <w:spacing w:val="-1"/>
        </w:rPr>
        <w:t>Ranganathan,</w:t>
      </w:r>
      <w:r>
        <w:rPr>
          <w:color w:val="545456"/>
          <w:spacing w:val="-11"/>
        </w:rPr>
        <w:t xml:space="preserve"> </w:t>
      </w:r>
      <w:r>
        <w:rPr>
          <w:color w:val="545456"/>
          <w:spacing w:val="-1"/>
        </w:rPr>
        <w:t>World</w:t>
      </w:r>
      <w:r>
        <w:rPr>
          <w:color w:val="545456"/>
          <w:spacing w:val="-11"/>
        </w:rPr>
        <w:t xml:space="preserve"> </w:t>
      </w:r>
      <w:r>
        <w:rPr>
          <w:color w:val="545456"/>
          <w:spacing w:val="-1"/>
        </w:rPr>
        <w:t>Resources</w:t>
      </w:r>
      <w:r>
        <w:rPr>
          <w:color w:val="545456"/>
          <w:spacing w:val="-10"/>
        </w:rPr>
        <w:t xml:space="preserve"> </w:t>
      </w:r>
      <w:r>
        <w:rPr>
          <w:color w:val="545456"/>
          <w:spacing w:val="-1"/>
        </w:rPr>
        <w:t>Institute</w:t>
      </w:r>
      <w:r>
        <w:rPr>
          <w:color w:val="545456"/>
          <w:spacing w:val="-48"/>
        </w:rPr>
        <w:t xml:space="preserve"> </w:t>
      </w:r>
      <w:proofErr w:type="spellStart"/>
      <w:r>
        <w:rPr>
          <w:color w:val="545456"/>
          <w:spacing w:val="-1"/>
        </w:rPr>
        <w:t>Ranping</w:t>
      </w:r>
      <w:proofErr w:type="spellEnd"/>
      <w:r>
        <w:rPr>
          <w:color w:val="545456"/>
          <w:spacing w:val="-12"/>
        </w:rPr>
        <w:t xml:space="preserve"> </w:t>
      </w:r>
      <w:r>
        <w:rPr>
          <w:color w:val="545456"/>
          <w:spacing w:val="-1"/>
        </w:rPr>
        <w:t>Song,</w:t>
      </w:r>
      <w:r>
        <w:rPr>
          <w:color w:val="545456"/>
          <w:spacing w:val="-11"/>
        </w:rPr>
        <w:t xml:space="preserve"> </w:t>
      </w:r>
      <w:r>
        <w:rPr>
          <w:color w:val="545456"/>
          <w:spacing w:val="-1"/>
        </w:rPr>
        <w:t>World</w:t>
      </w:r>
      <w:r>
        <w:rPr>
          <w:color w:val="545456"/>
          <w:spacing w:val="-12"/>
        </w:rPr>
        <w:t xml:space="preserve"> </w:t>
      </w:r>
      <w:r>
        <w:rPr>
          <w:color w:val="545456"/>
          <w:spacing w:val="-1"/>
        </w:rPr>
        <w:t>Resources</w:t>
      </w:r>
      <w:r>
        <w:rPr>
          <w:color w:val="545456"/>
          <w:spacing w:val="-11"/>
        </w:rPr>
        <w:t xml:space="preserve"> </w:t>
      </w:r>
      <w:r>
        <w:rPr>
          <w:color w:val="545456"/>
        </w:rPr>
        <w:t>Institute</w:t>
      </w:r>
    </w:p>
    <w:p w14:paraId="3792590C" w14:textId="77777777" w:rsidR="0055291C" w:rsidRDefault="0055291C">
      <w:pPr>
        <w:spacing w:line="312" w:lineRule="auto"/>
        <w:sectPr w:rsidR="0055291C">
          <w:type w:val="continuous"/>
          <w:pgSz w:w="12240" w:h="15840"/>
          <w:pgMar w:top="740" w:right="0" w:bottom="280" w:left="0" w:header="0" w:footer="859" w:gutter="0"/>
          <w:cols w:num="2" w:space="720" w:equalWidth="0">
            <w:col w:w="5023" w:space="105"/>
            <w:col w:w="7112"/>
          </w:cols>
        </w:sectPr>
      </w:pPr>
    </w:p>
    <w:p w14:paraId="046EE121" w14:textId="77777777" w:rsidR="0055291C" w:rsidRDefault="0055291C">
      <w:pPr>
        <w:pStyle w:val="a3"/>
        <w:rPr>
          <w:sz w:val="20"/>
        </w:rPr>
      </w:pPr>
    </w:p>
    <w:p w14:paraId="2CBF5235" w14:textId="77777777" w:rsidR="0055291C" w:rsidRDefault="0055291C">
      <w:pPr>
        <w:pStyle w:val="a3"/>
        <w:spacing w:before="6"/>
        <w:rPr>
          <w:sz w:val="16"/>
        </w:rPr>
      </w:pPr>
    </w:p>
    <w:p w14:paraId="42C17CF7" w14:textId="77777777" w:rsidR="0055291C" w:rsidRDefault="0055291C">
      <w:pPr>
        <w:rPr>
          <w:sz w:val="16"/>
        </w:rPr>
        <w:sectPr w:rsidR="0055291C">
          <w:type w:val="continuous"/>
          <w:pgSz w:w="12240" w:h="15840"/>
          <w:pgMar w:top="740" w:right="0" w:bottom="280" w:left="0" w:header="0" w:footer="859" w:gutter="0"/>
          <w:cols w:space="720"/>
        </w:sectPr>
      </w:pPr>
    </w:p>
    <w:p w14:paraId="13E3F509" w14:textId="77777777" w:rsidR="0055291C" w:rsidRDefault="00000000">
      <w:pPr>
        <w:pStyle w:val="3"/>
        <w:spacing w:before="98"/>
        <w:ind w:left="1133"/>
      </w:pPr>
      <w:r>
        <w:pict w14:anchorId="2E99F4EF">
          <v:line id="_x0000_s2088" style="position:absolute;left:0;text-align:left;z-index:251690496;mso-position-horizontal-relative:page" from="56.7pt,21.7pt" to="555.3pt,21.7pt" strokecolor="#00aca1" strokeweight="1pt">
            <w10:wrap anchorx="page"/>
          </v:line>
        </w:pict>
      </w:r>
      <w:r w:rsidR="00F23C61">
        <w:rPr>
          <w:color w:val="00ACA1"/>
          <w:spacing w:val="-1"/>
          <w:w w:val="95"/>
        </w:rPr>
        <w:t>Road</w:t>
      </w:r>
      <w:r w:rsidR="00F23C61">
        <w:rPr>
          <w:color w:val="00ACA1"/>
          <w:spacing w:val="-10"/>
          <w:w w:val="95"/>
        </w:rPr>
        <w:t xml:space="preserve"> </w:t>
      </w:r>
      <w:r w:rsidR="00F23C61">
        <w:rPr>
          <w:color w:val="00ACA1"/>
          <w:spacing w:val="-1"/>
          <w:w w:val="95"/>
        </w:rPr>
        <w:t>Testing</w:t>
      </w:r>
      <w:r w:rsidR="00F23C61">
        <w:rPr>
          <w:color w:val="00ACA1"/>
          <w:spacing w:val="-10"/>
          <w:w w:val="95"/>
        </w:rPr>
        <w:t xml:space="preserve"> </w:t>
      </w:r>
      <w:r w:rsidR="00F23C61">
        <w:rPr>
          <w:color w:val="00ACA1"/>
          <w:w w:val="95"/>
        </w:rPr>
        <w:t>Companies</w:t>
      </w:r>
    </w:p>
    <w:p w14:paraId="2B3C23ED" w14:textId="77777777" w:rsidR="0055291C" w:rsidRDefault="00F23C61">
      <w:pPr>
        <w:pStyle w:val="a3"/>
        <w:spacing w:before="194"/>
        <w:ind w:left="1133"/>
      </w:pPr>
      <w:r>
        <w:rPr>
          <w:color w:val="545456"/>
          <w:w w:val="105"/>
        </w:rPr>
        <w:t>3M</w:t>
      </w:r>
    </w:p>
    <w:p w14:paraId="3D3B03C7" w14:textId="77777777" w:rsidR="0055291C" w:rsidRDefault="00F23C61">
      <w:pPr>
        <w:pStyle w:val="a3"/>
        <w:spacing w:before="65" w:line="312" w:lineRule="auto"/>
        <w:ind w:left="1133" w:right="1816"/>
      </w:pPr>
      <w:r>
        <w:rPr>
          <w:color w:val="545456"/>
        </w:rPr>
        <w:t>Acer</w:t>
      </w:r>
      <w:r>
        <w:rPr>
          <w:color w:val="545456"/>
          <w:spacing w:val="1"/>
        </w:rPr>
        <w:t xml:space="preserve"> </w:t>
      </w:r>
      <w:r>
        <w:rPr>
          <w:color w:val="545456"/>
          <w:spacing w:val="-1"/>
        </w:rPr>
        <w:t>AkzoNobel</w:t>
      </w:r>
      <w:r>
        <w:rPr>
          <w:color w:val="545456"/>
          <w:spacing w:val="-48"/>
        </w:rPr>
        <w:t xml:space="preserve"> </w:t>
      </w:r>
      <w:r>
        <w:rPr>
          <w:color w:val="545456"/>
        </w:rPr>
        <w:t>Alcoa</w:t>
      </w:r>
      <w:r>
        <w:rPr>
          <w:color w:val="545456"/>
          <w:spacing w:val="1"/>
        </w:rPr>
        <w:t xml:space="preserve"> </w:t>
      </w:r>
      <w:r>
        <w:rPr>
          <w:color w:val="545456"/>
          <w:spacing w:val="-1"/>
        </w:rPr>
        <w:t>Amcor</w:t>
      </w:r>
      <w:r>
        <w:rPr>
          <w:color w:val="545456"/>
          <w:spacing w:val="-9"/>
        </w:rPr>
        <w:t xml:space="preserve"> </w:t>
      </w:r>
      <w:r>
        <w:rPr>
          <w:color w:val="545456"/>
          <w:spacing w:val="-1"/>
        </w:rPr>
        <w:t>Ltd.</w:t>
      </w:r>
    </w:p>
    <w:p w14:paraId="1C0CCA7A" w14:textId="77777777" w:rsidR="0055291C" w:rsidRDefault="00F23C61">
      <w:pPr>
        <w:pStyle w:val="a3"/>
        <w:spacing w:before="2"/>
        <w:ind w:left="1133"/>
      </w:pPr>
      <w:r>
        <w:rPr>
          <w:color w:val="545456"/>
        </w:rPr>
        <w:t>Anvil</w:t>
      </w:r>
      <w:r>
        <w:rPr>
          <w:color w:val="545456"/>
          <w:spacing w:val="-7"/>
        </w:rPr>
        <w:t xml:space="preserve"> </w:t>
      </w:r>
      <w:r>
        <w:rPr>
          <w:color w:val="545456"/>
        </w:rPr>
        <w:t>Knitwear</w:t>
      </w:r>
    </w:p>
    <w:p w14:paraId="31C0745A" w14:textId="77777777" w:rsidR="0055291C" w:rsidRDefault="00F23C61">
      <w:pPr>
        <w:pStyle w:val="a3"/>
        <w:spacing w:before="65" w:line="312" w:lineRule="auto"/>
        <w:ind w:left="1133"/>
      </w:pPr>
      <w:proofErr w:type="spellStart"/>
      <w:r>
        <w:rPr>
          <w:color w:val="545456"/>
          <w:spacing w:val="-1"/>
        </w:rPr>
        <w:t>Baosteel</w:t>
      </w:r>
      <w:proofErr w:type="spellEnd"/>
      <w:r>
        <w:rPr>
          <w:color w:val="545456"/>
          <w:spacing w:val="-12"/>
        </w:rPr>
        <w:t xml:space="preserve"> </w:t>
      </w:r>
      <w:r>
        <w:rPr>
          <w:color w:val="545456"/>
        </w:rPr>
        <w:t>Group</w:t>
      </w:r>
      <w:r>
        <w:rPr>
          <w:color w:val="545456"/>
          <w:spacing w:val="-11"/>
        </w:rPr>
        <w:t xml:space="preserve"> </w:t>
      </w:r>
      <w:r>
        <w:rPr>
          <w:color w:val="545456"/>
        </w:rPr>
        <w:t>Corporation</w:t>
      </w:r>
      <w:r>
        <w:rPr>
          <w:color w:val="545456"/>
          <w:spacing w:val="-47"/>
        </w:rPr>
        <w:t xml:space="preserve"> </w:t>
      </w:r>
      <w:r>
        <w:rPr>
          <w:color w:val="545456"/>
        </w:rPr>
        <w:t>BASF</w:t>
      </w:r>
    </w:p>
    <w:p w14:paraId="3F3C65DB" w14:textId="77777777" w:rsidR="0055291C" w:rsidRDefault="00F23C61">
      <w:pPr>
        <w:pStyle w:val="a3"/>
        <w:spacing w:before="1" w:line="312" w:lineRule="auto"/>
        <w:ind w:left="1133" w:right="721"/>
      </w:pPr>
      <w:r>
        <w:rPr>
          <w:color w:val="545456"/>
          <w:spacing w:val="-1"/>
        </w:rPr>
        <w:t xml:space="preserve">Belkin International, </w:t>
      </w:r>
      <w:r>
        <w:rPr>
          <w:color w:val="545456"/>
        </w:rPr>
        <w:t>Inc.</w:t>
      </w:r>
      <w:r>
        <w:rPr>
          <w:color w:val="545456"/>
          <w:spacing w:val="-48"/>
        </w:rPr>
        <w:t xml:space="preserve"> </w:t>
      </w:r>
      <w:r>
        <w:rPr>
          <w:color w:val="545456"/>
        </w:rPr>
        <w:t>Bloomberg</w:t>
      </w:r>
      <w:r>
        <w:rPr>
          <w:color w:val="545456"/>
          <w:spacing w:val="-11"/>
        </w:rPr>
        <w:t xml:space="preserve"> </w:t>
      </w:r>
      <w:r>
        <w:rPr>
          <w:color w:val="545456"/>
        </w:rPr>
        <w:t>LP</w:t>
      </w:r>
    </w:p>
    <w:p w14:paraId="0B1C4F24" w14:textId="77777777" w:rsidR="0055291C" w:rsidRDefault="00F23C61">
      <w:pPr>
        <w:pStyle w:val="a3"/>
        <w:spacing w:before="1"/>
        <w:ind w:left="1133"/>
      </w:pPr>
      <w:r>
        <w:rPr>
          <w:color w:val="545456"/>
          <w:w w:val="95"/>
        </w:rPr>
        <w:t>BT</w:t>
      </w:r>
      <w:r>
        <w:rPr>
          <w:color w:val="545456"/>
          <w:spacing w:val="-6"/>
          <w:w w:val="95"/>
        </w:rPr>
        <w:t xml:space="preserve"> </w:t>
      </w:r>
      <w:r>
        <w:rPr>
          <w:color w:val="545456"/>
          <w:w w:val="95"/>
        </w:rPr>
        <w:t>plc</w:t>
      </w:r>
    </w:p>
    <w:p w14:paraId="5814BD9E" w14:textId="77777777" w:rsidR="0055291C" w:rsidRDefault="00F23C61">
      <w:pPr>
        <w:pStyle w:val="a3"/>
        <w:spacing w:before="65" w:line="312" w:lineRule="auto"/>
        <w:ind w:left="1133" w:right="721"/>
      </w:pPr>
      <w:r>
        <w:rPr>
          <w:color w:val="545456"/>
          <w:w w:val="95"/>
        </w:rPr>
        <w:t>Deutsche Post DHL</w:t>
      </w:r>
      <w:r>
        <w:rPr>
          <w:color w:val="545456"/>
          <w:spacing w:val="1"/>
          <w:w w:val="95"/>
        </w:rPr>
        <w:t xml:space="preserve"> </w:t>
      </w:r>
      <w:r>
        <w:rPr>
          <w:color w:val="545456"/>
          <w:w w:val="95"/>
        </w:rPr>
        <w:t>Deutsche Telekom AG</w:t>
      </w:r>
      <w:r>
        <w:rPr>
          <w:color w:val="545456"/>
          <w:spacing w:val="-45"/>
          <w:w w:val="95"/>
        </w:rPr>
        <w:t xml:space="preserve"> </w:t>
      </w:r>
      <w:r>
        <w:rPr>
          <w:color w:val="545456"/>
        </w:rPr>
        <w:t>Diversey</w:t>
      </w:r>
    </w:p>
    <w:p w14:paraId="2EBB3050" w14:textId="77777777" w:rsidR="0055291C" w:rsidRDefault="00F23C61">
      <w:pPr>
        <w:pStyle w:val="a3"/>
        <w:spacing w:before="1" w:line="312" w:lineRule="auto"/>
        <w:ind w:left="1133" w:right="1809"/>
      </w:pPr>
      <w:r>
        <w:rPr>
          <w:color w:val="545456"/>
        </w:rPr>
        <w:t>DuPont</w:t>
      </w:r>
      <w:r>
        <w:rPr>
          <w:color w:val="545456"/>
          <w:spacing w:val="1"/>
        </w:rPr>
        <w:t xml:space="preserve"> </w:t>
      </w:r>
      <w:r>
        <w:rPr>
          <w:color w:val="545456"/>
          <w:spacing w:val="-2"/>
          <w:w w:val="95"/>
        </w:rPr>
        <w:t>Ecolab, Inc.</w:t>
      </w:r>
      <w:r>
        <w:rPr>
          <w:color w:val="545456"/>
          <w:spacing w:val="-45"/>
          <w:w w:val="95"/>
        </w:rPr>
        <w:t xml:space="preserve"> </w:t>
      </w:r>
      <w:r>
        <w:rPr>
          <w:color w:val="545456"/>
        </w:rPr>
        <w:t>Edelweiss</w:t>
      </w:r>
    </w:p>
    <w:p w14:paraId="5E3945B3" w14:textId="77777777" w:rsidR="0055291C" w:rsidRDefault="00F23C61">
      <w:pPr>
        <w:pStyle w:val="a3"/>
        <w:spacing w:before="1" w:line="312" w:lineRule="auto"/>
        <w:ind w:left="1133" w:right="885"/>
      </w:pPr>
      <w:r>
        <w:rPr>
          <w:color w:val="545456"/>
          <w:w w:val="90"/>
        </w:rPr>
        <w:t>GE</w:t>
      </w:r>
      <w:r>
        <w:rPr>
          <w:color w:val="545456"/>
          <w:spacing w:val="10"/>
          <w:w w:val="90"/>
        </w:rPr>
        <w:t xml:space="preserve"> </w:t>
      </w:r>
      <w:r>
        <w:rPr>
          <w:color w:val="545456"/>
          <w:w w:val="90"/>
        </w:rPr>
        <w:t>Global</w:t>
      </w:r>
      <w:r>
        <w:rPr>
          <w:color w:val="545456"/>
          <w:spacing w:val="10"/>
          <w:w w:val="90"/>
        </w:rPr>
        <w:t xml:space="preserve"> </w:t>
      </w:r>
      <w:r>
        <w:rPr>
          <w:color w:val="545456"/>
          <w:w w:val="90"/>
        </w:rPr>
        <w:t>Research</w:t>
      </w:r>
      <w:r>
        <w:rPr>
          <w:color w:val="545456"/>
          <w:spacing w:val="-43"/>
          <w:w w:val="90"/>
        </w:rPr>
        <w:t xml:space="preserve"> </w:t>
      </w:r>
      <w:r>
        <w:rPr>
          <w:color w:val="545456"/>
          <w:w w:val="95"/>
        </w:rPr>
        <w:t>GNP Company</w:t>
      </w:r>
      <w:r>
        <w:rPr>
          <w:color w:val="545456"/>
          <w:spacing w:val="1"/>
          <w:w w:val="95"/>
        </w:rPr>
        <w:t xml:space="preserve"> </w:t>
      </w:r>
      <w:r>
        <w:rPr>
          <w:color w:val="545456"/>
          <w:spacing w:val="-1"/>
        </w:rPr>
        <w:t>Herman</w:t>
      </w:r>
      <w:r>
        <w:rPr>
          <w:color w:val="545456"/>
          <w:spacing w:val="-12"/>
        </w:rPr>
        <w:t xml:space="preserve"> </w:t>
      </w:r>
      <w:r>
        <w:rPr>
          <w:color w:val="545456"/>
          <w:spacing w:val="-1"/>
        </w:rPr>
        <w:t>Miller,</w:t>
      </w:r>
      <w:r>
        <w:rPr>
          <w:color w:val="545456"/>
          <w:spacing w:val="-11"/>
        </w:rPr>
        <w:t xml:space="preserve"> </w:t>
      </w:r>
      <w:r>
        <w:rPr>
          <w:color w:val="545456"/>
          <w:spacing w:val="-1"/>
        </w:rPr>
        <w:t>Inc.</w:t>
      </w:r>
    </w:p>
    <w:p w14:paraId="5633DFA8" w14:textId="77777777" w:rsidR="0055291C" w:rsidRDefault="00F23C61">
      <w:pPr>
        <w:rPr>
          <w:sz w:val="20"/>
        </w:rPr>
      </w:pPr>
      <w:r>
        <w:br w:type="column"/>
      </w:r>
    </w:p>
    <w:p w14:paraId="1F1824FF" w14:textId="77777777" w:rsidR="0055291C" w:rsidRDefault="0055291C">
      <w:pPr>
        <w:pStyle w:val="a3"/>
        <w:rPr>
          <w:sz w:val="20"/>
        </w:rPr>
      </w:pPr>
    </w:p>
    <w:p w14:paraId="7C5012DD" w14:textId="77777777" w:rsidR="0055291C" w:rsidRDefault="00F23C61">
      <w:pPr>
        <w:pStyle w:val="a3"/>
        <w:spacing w:before="116" w:line="312" w:lineRule="auto"/>
        <w:ind w:left="1133" w:right="3933"/>
      </w:pPr>
      <w:proofErr w:type="spellStart"/>
      <w:r>
        <w:rPr>
          <w:color w:val="545456"/>
        </w:rPr>
        <w:t>Italcementi</w:t>
      </w:r>
      <w:proofErr w:type="spellEnd"/>
      <w:r>
        <w:rPr>
          <w:color w:val="545456"/>
        </w:rPr>
        <w:t xml:space="preserve"> Group</w:t>
      </w:r>
      <w:r>
        <w:rPr>
          <w:color w:val="545456"/>
          <w:spacing w:val="1"/>
        </w:rPr>
        <w:t xml:space="preserve"> </w:t>
      </w:r>
      <w:r>
        <w:rPr>
          <w:color w:val="545456"/>
          <w:w w:val="95"/>
        </w:rPr>
        <w:t>Kunshan</w:t>
      </w:r>
      <w:r>
        <w:rPr>
          <w:color w:val="545456"/>
          <w:spacing w:val="-8"/>
          <w:w w:val="95"/>
        </w:rPr>
        <w:t xml:space="preserve"> </w:t>
      </w:r>
      <w:r>
        <w:rPr>
          <w:color w:val="545456"/>
          <w:w w:val="95"/>
        </w:rPr>
        <w:t>Tai</w:t>
      </w:r>
      <w:r>
        <w:rPr>
          <w:color w:val="545456"/>
          <w:spacing w:val="-8"/>
          <w:w w:val="95"/>
        </w:rPr>
        <w:t xml:space="preserve"> </w:t>
      </w:r>
      <w:r>
        <w:rPr>
          <w:color w:val="545456"/>
          <w:w w:val="95"/>
        </w:rPr>
        <w:t>Ying</w:t>
      </w:r>
      <w:r>
        <w:rPr>
          <w:color w:val="545456"/>
          <w:spacing w:val="-7"/>
          <w:w w:val="95"/>
        </w:rPr>
        <w:t xml:space="preserve"> </w:t>
      </w:r>
      <w:r>
        <w:rPr>
          <w:color w:val="545456"/>
          <w:w w:val="95"/>
        </w:rPr>
        <w:t>Paint</w:t>
      </w:r>
      <w:r>
        <w:rPr>
          <w:color w:val="545456"/>
          <w:spacing w:val="-45"/>
          <w:w w:val="95"/>
        </w:rPr>
        <w:t xml:space="preserve"> </w:t>
      </w:r>
      <w:r>
        <w:rPr>
          <w:color w:val="545456"/>
        </w:rPr>
        <w:t>Lenovo</w:t>
      </w:r>
    </w:p>
    <w:p w14:paraId="26F0AC63" w14:textId="77777777" w:rsidR="0055291C" w:rsidRDefault="00F23C61">
      <w:pPr>
        <w:pStyle w:val="a3"/>
        <w:spacing w:before="1"/>
        <w:ind w:left="1133"/>
      </w:pPr>
      <w:r>
        <w:rPr>
          <w:color w:val="545456"/>
          <w:spacing w:val="-1"/>
          <w:w w:val="95"/>
        </w:rPr>
        <w:t>Levi</w:t>
      </w:r>
      <w:r>
        <w:rPr>
          <w:color w:val="545456"/>
          <w:spacing w:val="-9"/>
          <w:w w:val="95"/>
        </w:rPr>
        <w:t xml:space="preserve"> </w:t>
      </w:r>
      <w:r>
        <w:rPr>
          <w:color w:val="545456"/>
          <w:spacing w:val="-1"/>
          <w:w w:val="95"/>
        </w:rPr>
        <w:t>Strauss</w:t>
      </w:r>
      <w:r>
        <w:rPr>
          <w:color w:val="545456"/>
          <w:spacing w:val="-8"/>
          <w:w w:val="95"/>
        </w:rPr>
        <w:t xml:space="preserve"> </w:t>
      </w:r>
      <w:r>
        <w:rPr>
          <w:color w:val="545456"/>
          <w:w w:val="95"/>
        </w:rPr>
        <w:t>&amp;</w:t>
      </w:r>
      <w:r>
        <w:rPr>
          <w:color w:val="545456"/>
          <w:spacing w:val="-9"/>
          <w:w w:val="95"/>
        </w:rPr>
        <w:t xml:space="preserve"> </w:t>
      </w:r>
      <w:r>
        <w:rPr>
          <w:color w:val="545456"/>
          <w:w w:val="95"/>
        </w:rPr>
        <w:t>Co.</w:t>
      </w:r>
    </w:p>
    <w:p w14:paraId="7A120E6E" w14:textId="77777777" w:rsidR="0055291C" w:rsidRDefault="00F23C61">
      <w:pPr>
        <w:pStyle w:val="a3"/>
        <w:spacing w:before="65" w:line="312" w:lineRule="auto"/>
        <w:ind w:left="1133" w:right="2483"/>
      </w:pPr>
      <w:r>
        <w:rPr>
          <w:color w:val="545456"/>
          <w:spacing w:val="-1"/>
        </w:rPr>
        <w:t>Mitsubishi</w:t>
      </w:r>
      <w:r>
        <w:rPr>
          <w:color w:val="545456"/>
          <w:spacing w:val="-12"/>
        </w:rPr>
        <w:t xml:space="preserve"> </w:t>
      </w:r>
      <w:r>
        <w:rPr>
          <w:color w:val="545456"/>
          <w:spacing w:val="-1"/>
        </w:rPr>
        <w:t>Chemical</w:t>
      </w:r>
      <w:r>
        <w:rPr>
          <w:color w:val="545456"/>
          <w:spacing w:val="-11"/>
        </w:rPr>
        <w:t xml:space="preserve"> </w:t>
      </w:r>
      <w:r>
        <w:rPr>
          <w:color w:val="545456"/>
        </w:rPr>
        <w:t>Holdings</w:t>
      </w:r>
      <w:r>
        <w:rPr>
          <w:color w:val="545456"/>
          <w:spacing w:val="-12"/>
        </w:rPr>
        <w:t xml:space="preserve"> </w:t>
      </w:r>
      <w:r>
        <w:rPr>
          <w:color w:val="545456"/>
        </w:rPr>
        <w:t>Corporation</w:t>
      </w:r>
      <w:r>
        <w:rPr>
          <w:color w:val="545456"/>
          <w:spacing w:val="-47"/>
        </w:rPr>
        <w:t xml:space="preserve"> </w:t>
      </w:r>
      <w:r>
        <w:rPr>
          <w:color w:val="545456"/>
        </w:rPr>
        <w:t>New</w:t>
      </w:r>
      <w:r>
        <w:rPr>
          <w:color w:val="545456"/>
          <w:spacing w:val="-10"/>
        </w:rPr>
        <w:t xml:space="preserve"> </w:t>
      </w:r>
      <w:r>
        <w:rPr>
          <w:color w:val="545456"/>
        </w:rPr>
        <w:t>Belgium</w:t>
      </w:r>
      <w:r>
        <w:rPr>
          <w:color w:val="545456"/>
          <w:spacing w:val="-10"/>
        </w:rPr>
        <w:t xml:space="preserve"> </w:t>
      </w:r>
      <w:r>
        <w:rPr>
          <w:color w:val="545456"/>
        </w:rPr>
        <w:t>Brewing</w:t>
      </w:r>
    </w:p>
    <w:p w14:paraId="21C08235" w14:textId="77777777" w:rsidR="0055291C" w:rsidRDefault="00F23C61">
      <w:pPr>
        <w:pStyle w:val="a3"/>
        <w:spacing w:before="1"/>
        <w:ind w:left="1133"/>
      </w:pPr>
      <w:r>
        <w:rPr>
          <w:color w:val="545456"/>
        </w:rPr>
        <w:t>PepsiCo</w:t>
      </w:r>
    </w:p>
    <w:p w14:paraId="714FE2A0" w14:textId="77777777" w:rsidR="0055291C" w:rsidRDefault="00F23C61">
      <w:pPr>
        <w:pStyle w:val="a3"/>
        <w:spacing w:before="65"/>
        <w:ind w:left="1133"/>
      </w:pPr>
      <w:r>
        <w:rPr>
          <w:color w:val="545456"/>
          <w:spacing w:val="-1"/>
        </w:rPr>
        <w:t>Procter</w:t>
      </w:r>
      <w:r>
        <w:rPr>
          <w:color w:val="545456"/>
          <w:spacing w:val="-11"/>
        </w:rPr>
        <w:t xml:space="preserve"> </w:t>
      </w:r>
      <w:r>
        <w:rPr>
          <w:color w:val="545456"/>
          <w:spacing w:val="-1"/>
        </w:rPr>
        <w:t>&amp;</w:t>
      </w:r>
      <w:r>
        <w:rPr>
          <w:color w:val="545456"/>
          <w:spacing w:val="-10"/>
        </w:rPr>
        <w:t xml:space="preserve"> </w:t>
      </w:r>
      <w:r>
        <w:rPr>
          <w:color w:val="545456"/>
          <w:spacing w:val="-1"/>
        </w:rPr>
        <w:t>Gamble</w:t>
      </w:r>
    </w:p>
    <w:p w14:paraId="20B5F6E2" w14:textId="77777777" w:rsidR="0055291C" w:rsidRDefault="00F23C61">
      <w:pPr>
        <w:pStyle w:val="a3"/>
        <w:spacing w:before="65" w:line="312" w:lineRule="auto"/>
        <w:ind w:left="1360" w:right="1913" w:hanging="227"/>
      </w:pPr>
      <w:r>
        <w:rPr>
          <w:color w:val="545456"/>
          <w:spacing w:val="-2"/>
        </w:rPr>
        <w:t>Quanta</w:t>
      </w:r>
      <w:r>
        <w:rPr>
          <w:color w:val="545456"/>
          <w:spacing w:val="-11"/>
        </w:rPr>
        <w:t xml:space="preserve"> </w:t>
      </w:r>
      <w:r>
        <w:rPr>
          <w:color w:val="545456"/>
          <w:spacing w:val="-2"/>
        </w:rPr>
        <w:t>Shanghai</w:t>
      </w:r>
      <w:r>
        <w:rPr>
          <w:color w:val="545456"/>
          <w:spacing w:val="-11"/>
        </w:rPr>
        <w:t xml:space="preserve"> </w:t>
      </w:r>
      <w:r>
        <w:rPr>
          <w:color w:val="545456"/>
          <w:spacing w:val="-1"/>
        </w:rPr>
        <w:t>Manufacturing</w:t>
      </w:r>
      <w:r>
        <w:rPr>
          <w:color w:val="545456"/>
          <w:spacing w:val="-10"/>
        </w:rPr>
        <w:t xml:space="preserve"> </w:t>
      </w:r>
      <w:r>
        <w:rPr>
          <w:color w:val="545456"/>
          <w:spacing w:val="-1"/>
        </w:rPr>
        <w:t>City,</w:t>
      </w:r>
      <w:r>
        <w:rPr>
          <w:color w:val="545456"/>
          <w:spacing w:val="-11"/>
        </w:rPr>
        <w:t xml:space="preserve"> </w:t>
      </w:r>
      <w:r>
        <w:rPr>
          <w:color w:val="545456"/>
          <w:spacing w:val="-1"/>
        </w:rPr>
        <w:t>Tech-Front</w:t>
      </w:r>
      <w:r>
        <w:rPr>
          <w:color w:val="545456"/>
          <w:spacing w:val="-47"/>
        </w:rPr>
        <w:t xml:space="preserve"> </w:t>
      </w:r>
      <w:r>
        <w:rPr>
          <w:color w:val="545456"/>
        </w:rPr>
        <w:t>(Shanghai)</w:t>
      </w:r>
      <w:r>
        <w:rPr>
          <w:color w:val="545456"/>
          <w:spacing w:val="-12"/>
        </w:rPr>
        <w:t xml:space="preserve"> </w:t>
      </w:r>
      <w:r>
        <w:rPr>
          <w:color w:val="545456"/>
        </w:rPr>
        <w:t>Computer</w:t>
      </w:r>
      <w:r>
        <w:rPr>
          <w:color w:val="545456"/>
          <w:spacing w:val="-12"/>
        </w:rPr>
        <w:t xml:space="preserve"> </w:t>
      </w:r>
      <w:r>
        <w:rPr>
          <w:color w:val="545456"/>
        </w:rPr>
        <w:t>Co.</w:t>
      </w:r>
      <w:r>
        <w:rPr>
          <w:color w:val="545456"/>
          <w:spacing w:val="-11"/>
        </w:rPr>
        <w:t xml:space="preserve"> </w:t>
      </w:r>
      <w:r>
        <w:rPr>
          <w:color w:val="545456"/>
        </w:rPr>
        <w:t>Ltd.</w:t>
      </w:r>
    </w:p>
    <w:p w14:paraId="7FCCFF29" w14:textId="77777777" w:rsidR="0055291C" w:rsidRDefault="00F23C61">
      <w:pPr>
        <w:pStyle w:val="a3"/>
        <w:spacing w:line="312" w:lineRule="auto"/>
        <w:ind w:left="1133" w:right="3933"/>
      </w:pPr>
      <w:r>
        <w:rPr>
          <w:color w:val="545456"/>
          <w:w w:val="95"/>
        </w:rPr>
        <w:t>Rogers</w:t>
      </w:r>
      <w:r>
        <w:rPr>
          <w:color w:val="545456"/>
          <w:spacing w:val="1"/>
          <w:w w:val="95"/>
        </w:rPr>
        <w:t xml:space="preserve"> </w:t>
      </w:r>
      <w:r>
        <w:rPr>
          <w:color w:val="545456"/>
          <w:w w:val="95"/>
        </w:rPr>
        <w:t>Communications</w:t>
      </w:r>
      <w:r>
        <w:rPr>
          <w:color w:val="545456"/>
          <w:spacing w:val="-45"/>
          <w:w w:val="95"/>
        </w:rPr>
        <w:t xml:space="preserve"> </w:t>
      </w:r>
      <w:r>
        <w:rPr>
          <w:color w:val="545456"/>
          <w:w w:val="95"/>
        </w:rPr>
        <w:t>RSA</w:t>
      </w:r>
      <w:r>
        <w:rPr>
          <w:color w:val="545456"/>
          <w:spacing w:val="-6"/>
          <w:w w:val="95"/>
        </w:rPr>
        <w:t xml:space="preserve"> </w:t>
      </w:r>
      <w:r>
        <w:rPr>
          <w:color w:val="545456"/>
          <w:w w:val="95"/>
        </w:rPr>
        <w:t>Insurance</w:t>
      </w:r>
      <w:r>
        <w:rPr>
          <w:color w:val="545456"/>
          <w:spacing w:val="-5"/>
          <w:w w:val="95"/>
        </w:rPr>
        <w:t xml:space="preserve"> </w:t>
      </w:r>
      <w:r>
        <w:rPr>
          <w:color w:val="545456"/>
          <w:w w:val="95"/>
        </w:rPr>
        <w:t>Group</w:t>
      </w:r>
      <w:r>
        <w:rPr>
          <w:color w:val="545456"/>
          <w:spacing w:val="-5"/>
          <w:w w:val="95"/>
        </w:rPr>
        <w:t xml:space="preserve"> </w:t>
      </w:r>
      <w:r>
        <w:rPr>
          <w:color w:val="545456"/>
          <w:w w:val="95"/>
        </w:rPr>
        <w:t>plc</w:t>
      </w:r>
    </w:p>
    <w:p w14:paraId="7665B789" w14:textId="77777777" w:rsidR="0055291C" w:rsidRDefault="00F23C61">
      <w:pPr>
        <w:pStyle w:val="a3"/>
        <w:spacing w:before="1" w:line="312" w:lineRule="auto"/>
        <w:ind w:left="1133" w:right="2945"/>
      </w:pPr>
      <w:r>
        <w:rPr>
          <w:color w:val="545456"/>
          <w:w w:val="95"/>
        </w:rPr>
        <w:t>Shanghai</w:t>
      </w:r>
      <w:r>
        <w:rPr>
          <w:color w:val="545456"/>
          <w:spacing w:val="6"/>
          <w:w w:val="95"/>
        </w:rPr>
        <w:t xml:space="preserve"> </w:t>
      </w:r>
      <w:proofErr w:type="spellStart"/>
      <w:r>
        <w:rPr>
          <w:color w:val="545456"/>
          <w:w w:val="95"/>
        </w:rPr>
        <w:t>Zidan</w:t>
      </w:r>
      <w:proofErr w:type="spellEnd"/>
      <w:r>
        <w:rPr>
          <w:color w:val="545456"/>
          <w:spacing w:val="6"/>
          <w:w w:val="95"/>
        </w:rPr>
        <w:t xml:space="preserve"> </w:t>
      </w:r>
      <w:r>
        <w:rPr>
          <w:color w:val="545456"/>
          <w:w w:val="95"/>
        </w:rPr>
        <w:t>Printing</w:t>
      </w:r>
      <w:r>
        <w:rPr>
          <w:color w:val="545456"/>
          <w:spacing w:val="6"/>
          <w:w w:val="95"/>
        </w:rPr>
        <w:t xml:space="preserve"> </w:t>
      </w:r>
      <w:r>
        <w:rPr>
          <w:color w:val="545456"/>
          <w:w w:val="95"/>
        </w:rPr>
        <w:t>Co.,</w:t>
      </w:r>
      <w:r>
        <w:rPr>
          <w:color w:val="545456"/>
          <w:spacing w:val="6"/>
          <w:w w:val="95"/>
        </w:rPr>
        <w:t xml:space="preserve"> </w:t>
      </w:r>
      <w:r>
        <w:rPr>
          <w:color w:val="545456"/>
          <w:w w:val="95"/>
        </w:rPr>
        <w:t>Ltd</w:t>
      </w:r>
      <w:r>
        <w:rPr>
          <w:color w:val="545456"/>
          <w:spacing w:val="-45"/>
          <w:w w:val="95"/>
        </w:rPr>
        <w:t xml:space="preserve"> </w:t>
      </w:r>
      <w:r>
        <w:rPr>
          <w:color w:val="545456"/>
        </w:rPr>
        <w:t>Shell</w:t>
      </w:r>
    </w:p>
    <w:p w14:paraId="373EF57C" w14:textId="77777777" w:rsidR="0055291C" w:rsidRDefault="00F23C61">
      <w:pPr>
        <w:pStyle w:val="a3"/>
        <w:spacing w:before="1"/>
        <w:ind w:left="1133"/>
      </w:pPr>
      <w:proofErr w:type="spellStart"/>
      <w:r>
        <w:rPr>
          <w:color w:val="545456"/>
          <w:w w:val="95"/>
        </w:rPr>
        <w:t>Suzano</w:t>
      </w:r>
      <w:proofErr w:type="spellEnd"/>
      <w:r>
        <w:rPr>
          <w:color w:val="545456"/>
          <w:spacing w:val="-5"/>
          <w:w w:val="95"/>
        </w:rPr>
        <w:t xml:space="preserve"> </w:t>
      </w:r>
      <w:r>
        <w:rPr>
          <w:color w:val="545456"/>
          <w:w w:val="95"/>
        </w:rPr>
        <w:t>Pulp</w:t>
      </w:r>
      <w:r>
        <w:rPr>
          <w:color w:val="545456"/>
          <w:spacing w:val="-4"/>
          <w:w w:val="95"/>
        </w:rPr>
        <w:t xml:space="preserve"> </w:t>
      </w:r>
      <w:r>
        <w:rPr>
          <w:color w:val="545456"/>
          <w:w w:val="95"/>
        </w:rPr>
        <w:t>&amp;</w:t>
      </w:r>
      <w:r>
        <w:rPr>
          <w:color w:val="545456"/>
          <w:spacing w:val="-4"/>
          <w:w w:val="95"/>
        </w:rPr>
        <w:t xml:space="preserve"> </w:t>
      </w:r>
      <w:r>
        <w:rPr>
          <w:color w:val="545456"/>
          <w:w w:val="95"/>
        </w:rPr>
        <w:t>Paper</w:t>
      </w:r>
    </w:p>
    <w:p w14:paraId="055C737D" w14:textId="77777777" w:rsidR="0055291C" w:rsidRDefault="00F23C61">
      <w:pPr>
        <w:pStyle w:val="a3"/>
        <w:spacing w:before="65" w:line="312" w:lineRule="auto"/>
        <w:ind w:left="1133" w:right="2220"/>
      </w:pPr>
      <w:r>
        <w:rPr>
          <w:color w:val="545456"/>
          <w:w w:val="95"/>
        </w:rPr>
        <w:t>Swire</w:t>
      </w:r>
      <w:r>
        <w:rPr>
          <w:color w:val="545456"/>
          <w:spacing w:val="15"/>
          <w:w w:val="95"/>
        </w:rPr>
        <w:t xml:space="preserve"> </w:t>
      </w:r>
      <w:r>
        <w:rPr>
          <w:color w:val="545456"/>
          <w:w w:val="95"/>
        </w:rPr>
        <w:t>Beverages</w:t>
      </w:r>
      <w:r>
        <w:rPr>
          <w:color w:val="545456"/>
          <w:spacing w:val="16"/>
          <w:w w:val="95"/>
        </w:rPr>
        <w:t xml:space="preserve"> </w:t>
      </w:r>
      <w:r>
        <w:rPr>
          <w:color w:val="545456"/>
          <w:w w:val="95"/>
        </w:rPr>
        <w:t>(Coca-Cola</w:t>
      </w:r>
      <w:r>
        <w:rPr>
          <w:color w:val="545456"/>
          <w:spacing w:val="15"/>
          <w:w w:val="95"/>
        </w:rPr>
        <w:t xml:space="preserve"> </w:t>
      </w:r>
      <w:r>
        <w:rPr>
          <w:color w:val="545456"/>
          <w:w w:val="95"/>
        </w:rPr>
        <w:t>Bottling</w:t>
      </w:r>
      <w:r>
        <w:rPr>
          <w:color w:val="545456"/>
          <w:spacing w:val="15"/>
          <w:w w:val="95"/>
        </w:rPr>
        <w:t xml:space="preserve"> </w:t>
      </w:r>
      <w:r>
        <w:rPr>
          <w:color w:val="545456"/>
          <w:w w:val="95"/>
        </w:rPr>
        <w:t>Partner)</w:t>
      </w:r>
      <w:r>
        <w:rPr>
          <w:color w:val="545456"/>
          <w:spacing w:val="-44"/>
          <w:w w:val="95"/>
        </w:rPr>
        <w:t xml:space="preserve"> </w:t>
      </w:r>
      <w:r>
        <w:rPr>
          <w:color w:val="545456"/>
          <w:w w:val="95"/>
        </w:rPr>
        <w:t>TAL</w:t>
      </w:r>
      <w:r>
        <w:rPr>
          <w:color w:val="545456"/>
          <w:spacing w:val="-8"/>
          <w:w w:val="95"/>
        </w:rPr>
        <w:t xml:space="preserve"> </w:t>
      </w:r>
      <w:r>
        <w:rPr>
          <w:color w:val="545456"/>
          <w:w w:val="95"/>
        </w:rPr>
        <w:t>Apparel</w:t>
      </w:r>
    </w:p>
    <w:p w14:paraId="46C722EE" w14:textId="77777777" w:rsidR="0055291C" w:rsidRDefault="00F23C61">
      <w:pPr>
        <w:pStyle w:val="a3"/>
        <w:spacing w:before="1" w:line="312" w:lineRule="auto"/>
        <w:ind w:left="1133" w:right="4468"/>
      </w:pPr>
      <w:r>
        <w:rPr>
          <w:color w:val="545456"/>
          <w:w w:val="95"/>
        </w:rPr>
        <w:t>Verso Paper Corp.</w:t>
      </w:r>
      <w:r>
        <w:rPr>
          <w:color w:val="545456"/>
          <w:spacing w:val="-45"/>
          <w:w w:val="95"/>
        </w:rPr>
        <w:t xml:space="preserve"> </w:t>
      </w:r>
      <w:proofErr w:type="spellStart"/>
      <w:r>
        <w:rPr>
          <w:color w:val="545456"/>
        </w:rPr>
        <w:t>WorldAutoSteel</w:t>
      </w:r>
      <w:proofErr w:type="spellEnd"/>
    </w:p>
    <w:p w14:paraId="6093D7DB" w14:textId="77777777" w:rsidR="0055291C" w:rsidRDefault="0055291C">
      <w:pPr>
        <w:spacing w:line="312" w:lineRule="auto"/>
        <w:sectPr w:rsidR="0055291C">
          <w:type w:val="continuous"/>
          <w:pgSz w:w="12240" w:h="15840"/>
          <w:pgMar w:top="740" w:right="0" w:bottom="280" w:left="0" w:header="0" w:footer="859" w:gutter="0"/>
          <w:cols w:num="2" w:space="720" w:equalWidth="0">
            <w:col w:w="3880" w:space="1248"/>
            <w:col w:w="7112"/>
          </w:cols>
        </w:sectPr>
      </w:pPr>
    </w:p>
    <w:p w14:paraId="22CCCCC5" w14:textId="77777777" w:rsidR="0055291C" w:rsidRDefault="0055291C">
      <w:pPr>
        <w:pStyle w:val="a3"/>
        <w:spacing w:before="1"/>
        <w:rPr>
          <w:sz w:val="24"/>
        </w:rPr>
      </w:pPr>
    </w:p>
    <w:p w14:paraId="25D85DBC" w14:textId="77777777" w:rsidR="0055291C" w:rsidRDefault="00000000">
      <w:pPr>
        <w:pStyle w:val="3"/>
        <w:ind w:left="1133"/>
      </w:pPr>
      <w:r>
        <w:pict w14:anchorId="635651A9">
          <v:line id="_x0000_s2087" style="position:absolute;left:0;text-align:left;z-index:251691520;mso-position-horizontal-relative:page" from="56.7pt,24.25pt" to="555.3pt,24.25pt" strokecolor="#00aca1" strokeweight="1pt">
            <w10:wrap anchorx="page"/>
          </v:line>
        </w:pict>
      </w:r>
      <w:r w:rsidR="00F23C61">
        <w:rPr>
          <w:color w:val="00ACA1"/>
          <w:w w:val="95"/>
        </w:rPr>
        <w:t>Product</w:t>
      </w:r>
      <w:r w:rsidR="00F23C61">
        <w:rPr>
          <w:color w:val="00ACA1"/>
          <w:spacing w:val="5"/>
          <w:w w:val="95"/>
        </w:rPr>
        <w:t xml:space="preserve"> </w:t>
      </w:r>
      <w:r w:rsidR="00F23C61">
        <w:rPr>
          <w:color w:val="00ACA1"/>
          <w:w w:val="95"/>
        </w:rPr>
        <w:t>Standard</w:t>
      </w:r>
      <w:r w:rsidR="00F23C61">
        <w:rPr>
          <w:color w:val="00ACA1"/>
          <w:spacing w:val="5"/>
          <w:w w:val="95"/>
        </w:rPr>
        <w:t xml:space="preserve"> </w:t>
      </w:r>
      <w:r w:rsidR="00F23C61">
        <w:rPr>
          <w:color w:val="00ACA1"/>
          <w:w w:val="95"/>
        </w:rPr>
        <w:t>Technical</w:t>
      </w:r>
      <w:r w:rsidR="00F23C61">
        <w:rPr>
          <w:color w:val="00ACA1"/>
          <w:spacing w:val="5"/>
          <w:w w:val="95"/>
        </w:rPr>
        <w:t xml:space="preserve"> </w:t>
      </w:r>
      <w:r w:rsidR="00F23C61">
        <w:rPr>
          <w:color w:val="00ACA1"/>
          <w:w w:val="95"/>
        </w:rPr>
        <w:t>Working</w:t>
      </w:r>
      <w:r w:rsidR="00F23C61">
        <w:rPr>
          <w:color w:val="00ACA1"/>
          <w:spacing w:val="6"/>
          <w:w w:val="95"/>
        </w:rPr>
        <w:t xml:space="preserve"> </w:t>
      </w:r>
      <w:r w:rsidR="00F23C61">
        <w:rPr>
          <w:color w:val="00ACA1"/>
          <w:w w:val="95"/>
        </w:rPr>
        <w:t>Group</w:t>
      </w:r>
      <w:r w:rsidR="00F23C61">
        <w:rPr>
          <w:color w:val="00ACA1"/>
          <w:spacing w:val="5"/>
          <w:w w:val="95"/>
        </w:rPr>
        <w:t xml:space="preserve"> </w:t>
      </w:r>
      <w:r w:rsidR="00F23C61">
        <w:rPr>
          <w:color w:val="00ACA1"/>
          <w:w w:val="95"/>
        </w:rPr>
        <w:t>Members</w:t>
      </w:r>
    </w:p>
    <w:p w14:paraId="7890C9AA" w14:textId="77777777" w:rsidR="0055291C" w:rsidRDefault="0055291C">
      <w:pPr>
        <w:sectPr w:rsidR="0055291C">
          <w:type w:val="continuous"/>
          <w:pgSz w:w="12240" w:h="15840"/>
          <w:pgMar w:top="740" w:right="0" w:bottom="280" w:left="0" w:header="0" w:footer="859" w:gutter="0"/>
          <w:cols w:space="720"/>
        </w:sectPr>
      </w:pPr>
    </w:p>
    <w:p w14:paraId="65956CD3" w14:textId="77777777" w:rsidR="0055291C" w:rsidRDefault="0055291C">
      <w:pPr>
        <w:pStyle w:val="a3"/>
        <w:spacing w:before="10"/>
        <w:rPr>
          <w:rFonts w:ascii="Arial"/>
          <w:b/>
          <w:i/>
          <w:sz w:val="16"/>
        </w:rPr>
      </w:pPr>
    </w:p>
    <w:p w14:paraId="307CD469" w14:textId="77777777" w:rsidR="0055291C" w:rsidRDefault="00F23C61">
      <w:pPr>
        <w:pStyle w:val="a3"/>
        <w:spacing w:line="312" w:lineRule="auto"/>
        <w:ind w:left="1133" w:right="2202"/>
      </w:pPr>
      <w:r>
        <w:rPr>
          <w:color w:val="545456"/>
          <w:spacing w:val="-1"/>
        </w:rPr>
        <w:t xml:space="preserve">Patrick Wood, </w:t>
      </w:r>
      <w:proofErr w:type="spellStart"/>
      <w:r>
        <w:rPr>
          <w:color w:val="545456"/>
          <w:spacing w:val="-1"/>
        </w:rPr>
        <w:t>AgRefresh</w:t>
      </w:r>
      <w:proofErr w:type="spellEnd"/>
      <w:r>
        <w:rPr>
          <w:color w:val="545456"/>
        </w:rPr>
        <w:t xml:space="preserve"> </w:t>
      </w:r>
      <w:r>
        <w:rPr>
          <w:color w:val="545456"/>
          <w:spacing w:val="-2"/>
        </w:rPr>
        <w:t xml:space="preserve">Johan </w:t>
      </w:r>
      <w:proofErr w:type="spellStart"/>
      <w:r>
        <w:rPr>
          <w:color w:val="545456"/>
          <w:spacing w:val="-2"/>
        </w:rPr>
        <w:t>Widheden</w:t>
      </w:r>
      <w:proofErr w:type="spellEnd"/>
      <w:r>
        <w:rPr>
          <w:color w:val="545456"/>
          <w:spacing w:val="-2"/>
        </w:rPr>
        <w:t xml:space="preserve">, </w:t>
      </w:r>
      <w:r>
        <w:rPr>
          <w:color w:val="545456"/>
          <w:spacing w:val="-1"/>
        </w:rPr>
        <w:t>AkzoNobel</w:t>
      </w:r>
      <w:r>
        <w:rPr>
          <w:color w:val="545456"/>
          <w:spacing w:val="-48"/>
        </w:rPr>
        <w:t xml:space="preserve"> </w:t>
      </w:r>
      <w:proofErr w:type="spellStart"/>
      <w:r>
        <w:rPr>
          <w:color w:val="545456"/>
          <w:w w:val="95"/>
        </w:rPr>
        <w:t>Cyrille</w:t>
      </w:r>
      <w:proofErr w:type="spellEnd"/>
      <w:r>
        <w:rPr>
          <w:color w:val="545456"/>
          <w:spacing w:val="-4"/>
          <w:w w:val="95"/>
        </w:rPr>
        <w:t xml:space="preserve"> </w:t>
      </w:r>
      <w:r>
        <w:rPr>
          <w:color w:val="545456"/>
          <w:w w:val="95"/>
        </w:rPr>
        <w:t>de</w:t>
      </w:r>
      <w:r>
        <w:rPr>
          <w:color w:val="545456"/>
          <w:spacing w:val="-4"/>
          <w:w w:val="95"/>
        </w:rPr>
        <w:t xml:space="preserve"> </w:t>
      </w:r>
      <w:proofErr w:type="spellStart"/>
      <w:r>
        <w:rPr>
          <w:color w:val="545456"/>
          <w:w w:val="95"/>
        </w:rPr>
        <w:t>Labriolle</w:t>
      </w:r>
      <w:proofErr w:type="spellEnd"/>
      <w:r>
        <w:rPr>
          <w:color w:val="545456"/>
          <w:w w:val="95"/>
        </w:rPr>
        <w:t>,</w:t>
      </w:r>
      <w:r>
        <w:rPr>
          <w:color w:val="545456"/>
          <w:spacing w:val="-4"/>
          <w:w w:val="95"/>
        </w:rPr>
        <w:t xml:space="preserve"> </w:t>
      </w:r>
      <w:r>
        <w:rPr>
          <w:color w:val="545456"/>
          <w:w w:val="95"/>
        </w:rPr>
        <w:t>API-HK</w:t>
      </w:r>
    </w:p>
    <w:p w14:paraId="3FEDA05A" w14:textId="77777777" w:rsidR="0055291C" w:rsidRDefault="00F23C61">
      <w:pPr>
        <w:pStyle w:val="a3"/>
        <w:spacing w:before="1" w:line="312" w:lineRule="auto"/>
        <w:ind w:left="1133"/>
      </w:pPr>
      <w:r>
        <w:rPr>
          <w:color w:val="545456"/>
          <w:spacing w:val="-1"/>
        </w:rPr>
        <w:t>Deirdre</w:t>
      </w:r>
      <w:r>
        <w:rPr>
          <w:color w:val="545456"/>
          <w:spacing w:val="-11"/>
        </w:rPr>
        <w:t xml:space="preserve"> </w:t>
      </w:r>
      <w:r>
        <w:rPr>
          <w:color w:val="545456"/>
          <w:spacing w:val="-1"/>
        </w:rPr>
        <w:t>Wilson,</w:t>
      </w:r>
      <w:r>
        <w:rPr>
          <w:color w:val="545456"/>
          <w:spacing w:val="-10"/>
        </w:rPr>
        <w:t xml:space="preserve"> </w:t>
      </w:r>
      <w:r>
        <w:rPr>
          <w:color w:val="545456"/>
          <w:spacing w:val="-1"/>
        </w:rPr>
        <w:t>Applied</w:t>
      </w:r>
      <w:r>
        <w:rPr>
          <w:color w:val="545456"/>
          <w:spacing w:val="-11"/>
        </w:rPr>
        <w:t xml:space="preserve"> </w:t>
      </w:r>
      <w:r>
        <w:rPr>
          <w:color w:val="545456"/>
          <w:spacing w:val="-1"/>
        </w:rPr>
        <w:t>Sustainability</w:t>
      </w:r>
      <w:r>
        <w:rPr>
          <w:color w:val="545456"/>
          <w:spacing w:val="-10"/>
        </w:rPr>
        <w:t xml:space="preserve"> </w:t>
      </w:r>
      <w:r>
        <w:rPr>
          <w:color w:val="545456"/>
          <w:spacing w:val="-1"/>
        </w:rPr>
        <w:t>International,</w:t>
      </w:r>
      <w:r>
        <w:rPr>
          <w:color w:val="545456"/>
          <w:spacing w:val="-11"/>
        </w:rPr>
        <w:t xml:space="preserve"> </w:t>
      </w:r>
      <w:r>
        <w:rPr>
          <w:color w:val="545456"/>
        </w:rPr>
        <w:t>LLC</w:t>
      </w:r>
      <w:r>
        <w:rPr>
          <w:color w:val="545456"/>
          <w:spacing w:val="-47"/>
        </w:rPr>
        <w:t xml:space="preserve"> </w:t>
      </w:r>
      <w:r>
        <w:rPr>
          <w:color w:val="545456"/>
        </w:rPr>
        <w:t>Richard</w:t>
      </w:r>
      <w:r>
        <w:rPr>
          <w:color w:val="545456"/>
          <w:spacing w:val="-12"/>
        </w:rPr>
        <w:t xml:space="preserve"> </w:t>
      </w:r>
      <w:r>
        <w:rPr>
          <w:color w:val="545456"/>
        </w:rPr>
        <w:t>Sheane,</w:t>
      </w:r>
      <w:r>
        <w:rPr>
          <w:color w:val="545456"/>
          <w:spacing w:val="-11"/>
        </w:rPr>
        <w:t xml:space="preserve"> </w:t>
      </w:r>
      <w:r>
        <w:rPr>
          <w:color w:val="545456"/>
        </w:rPr>
        <w:t>Best</w:t>
      </w:r>
      <w:r>
        <w:rPr>
          <w:color w:val="545456"/>
          <w:spacing w:val="-12"/>
        </w:rPr>
        <w:t xml:space="preserve"> </w:t>
      </w:r>
      <w:r>
        <w:rPr>
          <w:color w:val="545456"/>
        </w:rPr>
        <w:t>Foot</w:t>
      </w:r>
      <w:r>
        <w:rPr>
          <w:color w:val="545456"/>
          <w:spacing w:val="-11"/>
        </w:rPr>
        <w:t xml:space="preserve"> </w:t>
      </w:r>
      <w:r>
        <w:rPr>
          <w:color w:val="545456"/>
        </w:rPr>
        <w:t>Forward</w:t>
      </w:r>
    </w:p>
    <w:p w14:paraId="1A2D7F3B" w14:textId="77777777" w:rsidR="0055291C" w:rsidRDefault="00F23C61">
      <w:pPr>
        <w:pStyle w:val="a3"/>
        <w:spacing w:before="1" w:line="312" w:lineRule="auto"/>
        <w:ind w:left="1133" w:right="56"/>
      </w:pPr>
      <w:r>
        <w:rPr>
          <w:color w:val="545456"/>
        </w:rPr>
        <w:t xml:space="preserve">Craig Simmons, Best Foot Forward and </w:t>
      </w:r>
      <w:proofErr w:type="spellStart"/>
      <w:r>
        <w:rPr>
          <w:color w:val="545456"/>
        </w:rPr>
        <w:t>Footprinter</w:t>
      </w:r>
      <w:proofErr w:type="spellEnd"/>
      <w:r>
        <w:rPr>
          <w:color w:val="545456"/>
          <w:spacing w:val="1"/>
        </w:rPr>
        <w:t xml:space="preserve"> </w:t>
      </w:r>
      <w:r>
        <w:rPr>
          <w:color w:val="545456"/>
          <w:w w:val="95"/>
        </w:rPr>
        <w:t>Marcelo</w:t>
      </w:r>
      <w:r>
        <w:rPr>
          <w:color w:val="545456"/>
          <w:spacing w:val="8"/>
          <w:w w:val="95"/>
        </w:rPr>
        <w:t xml:space="preserve"> </w:t>
      </w:r>
      <w:r>
        <w:rPr>
          <w:color w:val="545456"/>
          <w:w w:val="95"/>
        </w:rPr>
        <w:t>Valadares</w:t>
      </w:r>
      <w:r>
        <w:rPr>
          <w:color w:val="545456"/>
          <w:spacing w:val="8"/>
          <w:w w:val="95"/>
        </w:rPr>
        <w:t xml:space="preserve"> </w:t>
      </w:r>
      <w:proofErr w:type="spellStart"/>
      <w:r>
        <w:rPr>
          <w:color w:val="545456"/>
          <w:w w:val="95"/>
        </w:rPr>
        <w:t>Galdos</w:t>
      </w:r>
      <w:proofErr w:type="spellEnd"/>
      <w:r>
        <w:rPr>
          <w:color w:val="545456"/>
          <w:w w:val="95"/>
        </w:rPr>
        <w:t>,</w:t>
      </w:r>
      <w:r>
        <w:rPr>
          <w:color w:val="545456"/>
          <w:spacing w:val="8"/>
          <w:w w:val="95"/>
        </w:rPr>
        <w:t xml:space="preserve"> </w:t>
      </w:r>
      <w:r>
        <w:rPr>
          <w:color w:val="545456"/>
          <w:w w:val="95"/>
        </w:rPr>
        <w:t>Brazilian</w:t>
      </w:r>
      <w:r>
        <w:rPr>
          <w:color w:val="545456"/>
          <w:spacing w:val="8"/>
          <w:w w:val="95"/>
        </w:rPr>
        <w:t xml:space="preserve"> </w:t>
      </w:r>
      <w:r>
        <w:rPr>
          <w:color w:val="545456"/>
          <w:w w:val="95"/>
        </w:rPr>
        <w:t>Bioethanol</w:t>
      </w:r>
      <w:r>
        <w:rPr>
          <w:color w:val="545456"/>
          <w:spacing w:val="8"/>
          <w:w w:val="95"/>
        </w:rPr>
        <w:t xml:space="preserve"> </w:t>
      </w:r>
      <w:r>
        <w:rPr>
          <w:color w:val="545456"/>
          <w:w w:val="95"/>
        </w:rPr>
        <w:t>Science</w:t>
      </w:r>
    </w:p>
    <w:p w14:paraId="5E76A870" w14:textId="77777777" w:rsidR="0055291C" w:rsidRDefault="00F23C61">
      <w:pPr>
        <w:pStyle w:val="a3"/>
        <w:spacing w:before="1" w:line="312" w:lineRule="auto"/>
        <w:ind w:left="1133" w:right="2099" w:firstLine="226"/>
      </w:pPr>
      <w:r>
        <w:rPr>
          <w:color w:val="545456"/>
          <w:spacing w:val="-1"/>
        </w:rPr>
        <w:t>and Technology Laboratory</w:t>
      </w:r>
      <w:r>
        <w:rPr>
          <w:color w:val="545456"/>
          <w:spacing w:val="-49"/>
        </w:rPr>
        <w:t xml:space="preserve"> </w:t>
      </w:r>
      <w:r>
        <w:rPr>
          <w:color w:val="545456"/>
          <w:w w:val="95"/>
        </w:rPr>
        <w:t>Gabrielle</w:t>
      </w:r>
      <w:r>
        <w:rPr>
          <w:color w:val="545456"/>
          <w:spacing w:val="-7"/>
          <w:w w:val="95"/>
        </w:rPr>
        <w:t xml:space="preserve"> </w:t>
      </w:r>
      <w:proofErr w:type="spellStart"/>
      <w:r>
        <w:rPr>
          <w:color w:val="545456"/>
          <w:w w:val="95"/>
        </w:rPr>
        <w:t>Ginér</w:t>
      </w:r>
      <w:proofErr w:type="spellEnd"/>
      <w:r>
        <w:rPr>
          <w:color w:val="545456"/>
          <w:w w:val="95"/>
        </w:rPr>
        <w:t>,</w:t>
      </w:r>
      <w:r>
        <w:rPr>
          <w:color w:val="545456"/>
          <w:spacing w:val="-7"/>
          <w:w w:val="95"/>
        </w:rPr>
        <w:t xml:space="preserve"> </w:t>
      </w:r>
      <w:r>
        <w:rPr>
          <w:color w:val="545456"/>
          <w:w w:val="95"/>
        </w:rPr>
        <w:t>BT</w:t>
      </w:r>
      <w:r>
        <w:rPr>
          <w:color w:val="545456"/>
          <w:spacing w:val="-6"/>
          <w:w w:val="95"/>
        </w:rPr>
        <w:t xml:space="preserve"> </w:t>
      </w:r>
      <w:r>
        <w:rPr>
          <w:color w:val="545456"/>
          <w:w w:val="95"/>
        </w:rPr>
        <w:t>plc</w:t>
      </w:r>
    </w:p>
    <w:p w14:paraId="0928BEC3" w14:textId="77777777" w:rsidR="0055291C" w:rsidRDefault="00F23C61">
      <w:pPr>
        <w:pStyle w:val="a3"/>
        <w:spacing w:before="1"/>
        <w:ind w:left="1133"/>
      </w:pPr>
      <w:r>
        <w:rPr>
          <w:color w:val="545456"/>
          <w:w w:val="95"/>
        </w:rPr>
        <w:t>Glyn</w:t>
      </w:r>
      <w:r>
        <w:rPr>
          <w:color w:val="545456"/>
          <w:spacing w:val="-7"/>
          <w:w w:val="95"/>
        </w:rPr>
        <w:t xml:space="preserve"> </w:t>
      </w:r>
      <w:r>
        <w:rPr>
          <w:color w:val="545456"/>
          <w:w w:val="95"/>
        </w:rPr>
        <w:t>Stacey,</w:t>
      </w:r>
      <w:r>
        <w:rPr>
          <w:color w:val="545456"/>
          <w:spacing w:val="-6"/>
          <w:w w:val="95"/>
        </w:rPr>
        <w:t xml:space="preserve"> </w:t>
      </w:r>
      <w:r>
        <w:rPr>
          <w:color w:val="545456"/>
          <w:w w:val="95"/>
        </w:rPr>
        <w:t>BT</w:t>
      </w:r>
      <w:r>
        <w:rPr>
          <w:color w:val="545456"/>
          <w:spacing w:val="-7"/>
          <w:w w:val="95"/>
        </w:rPr>
        <w:t xml:space="preserve"> </w:t>
      </w:r>
      <w:r>
        <w:rPr>
          <w:color w:val="545456"/>
          <w:w w:val="95"/>
        </w:rPr>
        <w:t>Group</w:t>
      </w:r>
      <w:r>
        <w:rPr>
          <w:color w:val="545456"/>
          <w:spacing w:val="-6"/>
          <w:w w:val="95"/>
        </w:rPr>
        <w:t xml:space="preserve"> </w:t>
      </w:r>
      <w:r>
        <w:rPr>
          <w:color w:val="545456"/>
          <w:w w:val="95"/>
        </w:rPr>
        <w:t>plc</w:t>
      </w:r>
    </w:p>
    <w:p w14:paraId="7B2AEBCB" w14:textId="77777777" w:rsidR="0055291C" w:rsidRDefault="00F23C61">
      <w:pPr>
        <w:spacing w:before="1"/>
        <w:rPr>
          <w:sz w:val="17"/>
        </w:rPr>
      </w:pPr>
      <w:r>
        <w:br w:type="column"/>
      </w:r>
    </w:p>
    <w:p w14:paraId="38A4CA5A" w14:textId="77777777" w:rsidR="0055291C" w:rsidRDefault="00F23C61">
      <w:pPr>
        <w:pStyle w:val="a3"/>
        <w:spacing w:before="1"/>
        <w:ind w:left="459"/>
      </w:pPr>
      <w:r>
        <w:rPr>
          <w:color w:val="545456"/>
          <w:w w:val="90"/>
        </w:rPr>
        <w:t>Connie</w:t>
      </w:r>
      <w:r>
        <w:rPr>
          <w:color w:val="545456"/>
          <w:spacing w:val="15"/>
          <w:w w:val="90"/>
        </w:rPr>
        <w:t xml:space="preserve"> </w:t>
      </w:r>
      <w:proofErr w:type="spellStart"/>
      <w:r>
        <w:rPr>
          <w:color w:val="545456"/>
          <w:w w:val="90"/>
        </w:rPr>
        <w:t>Sasala</w:t>
      </w:r>
      <w:proofErr w:type="spellEnd"/>
      <w:r>
        <w:rPr>
          <w:color w:val="545456"/>
          <w:w w:val="90"/>
        </w:rPr>
        <w:t>,</w:t>
      </w:r>
      <w:r>
        <w:rPr>
          <w:color w:val="545456"/>
          <w:spacing w:val="15"/>
          <w:w w:val="90"/>
        </w:rPr>
        <w:t xml:space="preserve"> </w:t>
      </w:r>
      <w:r>
        <w:rPr>
          <w:color w:val="545456"/>
          <w:w w:val="90"/>
        </w:rPr>
        <w:t>Cameron-Cole,</w:t>
      </w:r>
      <w:r>
        <w:rPr>
          <w:color w:val="545456"/>
          <w:spacing w:val="15"/>
          <w:w w:val="90"/>
        </w:rPr>
        <w:t xml:space="preserve"> </w:t>
      </w:r>
      <w:r>
        <w:rPr>
          <w:color w:val="545456"/>
          <w:w w:val="90"/>
        </w:rPr>
        <w:t>LLC</w:t>
      </w:r>
    </w:p>
    <w:p w14:paraId="24F39F10" w14:textId="77777777" w:rsidR="0055291C" w:rsidRDefault="00F23C61">
      <w:pPr>
        <w:pStyle w:val="a3"/>
        <w:spacing w:before="65" w:line="309" w:lineRule="auto"/>
        <w:ind w:left="459" w:right="1934"/>
      </w:pPr>
      <w:r>
        <w:rPr>
          <w:color w:val="545456"/>
          <w:w w:val="95"/>
        </w:rPr>
        <w:t>Pierre</w:t>
      </w:r>
      <w:r>
        <w:rPr>
          <w:color w:val="545456"/>
          <w:spacing w:val="7"/>
          <w:w w:val="95"/>
        </w:rPr>
        <w:t xml:space="preserve"> </w:t>
      </w:r>
      <w:r>
        <w:rPr>
          <w:color w:val="545456"/>
          <w:w w:val="95"/>
        </w:rPr>
        <w:t>Boileau,</w:t>
      </w:r>
      <w:r>
        <w:rPr>
          <w:color w:val="545456"/>
          <w:spacing w:val="8"/>
          <w:w w:val="95"/>
        </w:rPr>
        <w:t xml:space="preserve"> </w:t>
      </w:r>
      <w:r>
        <w:rPr>
          <w:color w:val="545456"/>
          <w:w w:val="95"/>
        </w:rPr>
        <w:t>Canadian</w:t>
      </w:r>
      <w:r>
        <w:rPr>
          <w:color w:val="545456"/>
          <w:spacing w:val="8"/>
          <w:w w:val="95"/>
        </w:rPr>
        <w:t xml:space="preserve"> </w:t>
      </w:r>
      <w:r>
        <w:rPr>
          <w:color w:val="545456"/>
          <w:w w:val="95"/>
        </w:rPr>
        <w:t>Standards</w:t>
      </w:r>
      <w:r>
        <w:rPr>
          <w:color w:val="545456"/>
          <w:spacing w:val="7"/>
          <w:w w:val="95"/>
        </w:rPr>
        <w:t xml:space="preserve"> </w:t>
      </w:r>
      <w:r>
        <w:rPr>
          <w:color w:val="545456"/>
          <w:w w:val="95"/>
        </w:rPr>
        <w:t>Association</w:t>
      </w:r>
      <w:r>
        <w:rPr>
          <w:color w:val="545456"/>
          <w:spacing w:val="-45"/>
          <w:w w:val="95"/>
        </w:rPr>
        <w:t xml:space="preserve"> </w:t>
      </w:r>
      <w:r>
        <w:rPr>
          <w:color w:val="545456"/>
          <w:w w:val="95"/>
        </w:rPr>
        <w:t xml:space="preserve">Steve Marsden, Carbon Step Change </w:t>
      </w:r>
      <w:r>
        <w:rPr>
          <w:rFonts w:ascii="Arial"/>
          <w:b/>
          <w:color w:val="545456"/>
          <w:w w:val="95"/>
        </w:rPr>
        <w:t>(Chair)</w:t>
      </w:r>
      <w:r>
        <w:rPr>
          <w:rFonts w:ascii="Arial"/>
          <w:b/>
          <w:color w:val="545456"/>
          <w:spacing w:val="1"/>
          <w:w w:val="95"/>
        </w:rPr>
        <w:t xml:space="preserve"> </w:t>
      </w:r>
      <w:r>
        <w:rPr>
          <w:color w:val="545456"/>
        </w:rPr>
        <w:t>Scott</w:t>
      </w:r>
      <w:r>
        <w:rPr>
          <w:color w:val="545456"/>
          <w:spacing w:val="-11"/>
        </w:rPr>
        <w:t xml:space="preserve"> </w:t>
      </w:r>
      <w:r>
        <w:rPr>
          <w:color w:val="545456"/>
        </w:rPr>
        <w:t>Kaufman,</w:t>
      </w:r>
      <w:r>
        <w:rPr>
          <w:color w:val="545456"/>
          <w:spacing w:val="-11"/>
        </w:rPr>
        <w:t xml:space="preserve"> </w:t>
      </w:r>
      <w:r>
        <w:rPr>
          <w:color w:val="545456"/>
        </w:rPr>
        <w:t>Carbon</w:t>
      </w:r>
      <w:r>
        <w:rPr>
          <w:color w:val="545456"/>
          <w:spacing w:val="-11"/>
        </w:rPr>
        <w:t xml:space="preserve"> </w:t>
      </w:r>
      <w:r>
        <w:rPr>
          <w:color w:val="545456"/>
        </w:rPr>
        <w:t>Trust</w:t>
      </w:r>
    </w:p>
    <w:p w14:paraId="3129DD6A" w14:textId="77777777" w:rsidR="0055291C" w:rsidRDefault="00F23C61">
      <w:pPr>
        <w:pStyle w:val="a3"/>
        <w:spacing w:before="3" w:line="312" w:lineRule="auto"/>
        <w:ind w:left="459" w:right="1186"/>
      </w:pPr>
      <w:r>
        <w:rPr>
          <w:color w:val="545456"/>
          <w:spacing w:val="-5"/>
        </w:rPr>
        <w:t>Thomas</w:t>
      </w:r>
      <w:r>
        <w:rPr>
          <w:color w:val="545456"/>
          <w:spacing w:val="-18"/>
        </w:rPr>
        <w:t xml:space="preserve"> </w:t>
      </w:r>
      <w:proofErr w:type="spellStart"/>
      <w:r>
        <w:rPr>
          <w:color w:val="545456"/>
          <w:spacing w:val="-5"/>
        </w:rPr>
        <w:t>Wiedmann</w:t>
      </w:r>
      <w:proofErr w:type="spellEnd"/>
      <w:r>
        <w:rPr>
          <w:color w:val="545456"/>
          <w:spacing w:val="-5"/>
        </w:rPr>
        <w:t>,</w:t>
      </w:r>
      <w:r>
        <w:rPr>
          <w:color w:val="545456"/>
          <w:spacing w:val="-18"/>
        </w:rPr>
        <w:t xml:space="preserve"> </w:t>
      </w:r>
      <w:r>
        <w:rPr>
          <w:color w:val="545456"/>
          <w:spacing w:val="-5"/>
        </w:rPr>
        <w:t>Centre</w:t>
      </w:r>
      <w:r>
        <w:rPr>
          <w:color w:val="545456"/>
          <w:spacing w:val="-18"/>
        </w:rPr>
        <w:t xml:space="preserve"> </w:t>
      </w:r>
      <w:r>
        <w:rPr>
          <w:color w:val="545456"/>
          <w:spacing w:val="-5"/>
        </w:rPr>
        <w:t>for</w:t>
      </w:r>
      <w:r>
        <w:rPr>
          <w:color w:val="545456"/>
          <w:spacing w:val="-18"/>
        </w:rPr>
        <w:t xml:space="preserve"> </w:t>
      </w:r>
      <w:r>
        <w:rPr>
          <w:color w:val="545456"/>
          <w:spacing w:val="-5"/>
        </w:rPr>
        <w:t>Sustainability</w:t>
      </w:r>
      <w:r>
        <w:rPr>
          <w:color w:val="545456"/>
          <w:spacing w:val="-18"/>
        </w:rPr>
        <w:t xml:space="preserve"> </w:t>
      </w:r>
      <w:r>
        <w:rPr>
          <w:color w:val="545456"/>
          <w:spacing w:val="-4"/>
        </w:rPr>
        <w:t>Accounting</w:t>
      </w:r>
      <w:r>
        <w:rPr>
          <w:color w:val="545456"/>
          <w:spacing w:val="-18"/>
        </w:rPr>
        <w:t xml:space="preserve"> </w:t>
      </w:r>
      <w:r>
        <w:rPr>
          <w:color w:val="545456"/>
          <w:spacing w:val="-4"/>
        </w:rPr>
        <w:t>Ltd.</w:t>
      </w:r>
      <w:r>
        <w:rPr>
          <w:color w:val="545456"/>
          <w:spacing w:val="-48"/>
        </w:rPr>
        <w:t xml:space="preserve"> </w:t>
      </w:r>
      <w:r>
        <w:rPr>
          <w:color w:val="545456"/>
          <w:w w:val="95"/>
        </w:rPr>
        <w:t>Laura Verduzco, Chevron</w:t>
      </w:r>
      <w:r>
        <w:rPr>
          <w:color w:val="545456"/>
          <w:spacing w:val="1"/>
          <w:w w:val="95"/>
        </w:rPr>
        <w:t xml:space="preserve"> </w:t>
      </w:r>
      <w:r>
        <w:rPr>
          <w:color w:val="545456"/>
          <w:w w:val="95"/>
        </w:rPr>
        <w:t>Energy Technology</w:t>
      </w:r>
      <w:r>
        <w:rPr>
          <w:color w:val="545456"/>
          <w:spacing w:val="1"/>
          <w:w w:val="95"/>
        </w:rPr>
        <w:t xml:space="preserve"> </w:t>
      </w:r>
      <w:r>
        <w:rPr>
          <w:color w:val="545456"/>
          <w:w w:val="95"/>
        </w:rPr>
        <w:t>Company</w:t>
      </w:r>
      <w:r>
        <w:rPr>
          <w:color w:val="545456"/>
          <w:spacing w:val="1"/>
          <w:w w:val="95"/>
        </w:rPr>
        <w:t xml:space="preserve"> </w:t>
      </w:r>
      <w:r>
        <w:rPr>
          <w:color w:val="545456"/>
        </w:rPr>
        <w:t>Richard</w:t>
      </w:r>
      <w:r>
        <w:rPr>
          <w:color w:val="545456"/>
          <w:spacing w:val="-12"/>
        </w:rPr>
        <w:t xml:space="preserve"> </w:t>
      </w:r>
      <w:proofErr w:type="spellStart"/>
      <w:r>
        <w:rPr>
          <w:color w:val="545456"/>
        </w:rPr>
        <w:t>Mendis</w:t>
      </w:r>
      <w:proofErr w:type="spellEnd"/>
      <w:r>
        <w:rPr>
          <w:color w:val="545456"/>
        </w:rPr>
        <w:t>,</w:t>
      </w:r>
      <w:r>
        <w:rPr>
          <w:color w:val="545456"/>
          <w:spacing w:val="-12"/>
        </w:rPr>
        <w:t xml:space="preserve"> </w:t>
      </w:r>
      <w:r>
        <w:rPr>
          <w:color w:val="545456"/>
        </w:rPr>
        <w:t>Clear</w:t>
      </w:r>
      <w:r>
        <w:rPr>
          <w:color w:val="545456"/>
          <w:spacing w:val="-11"/>
        </w:rPr>
        <w:t xml:space="preserve"> </w:t>
      </w:r>
      <w:r>
        <w:rPr>
          <w:color w:val="545456"/>
        </w:rPr>
        <w:t>Standards</w:t>
      </w:r>
    </w:p>
    <w:p w14:paraId="2E1FF29E" w14:textId="77777777" w:rsidR="0055291C" w:rsidRDefault="00F23C61">
      <w:pPr>
        <w:pStyle w:val="a3"/>
        <w:spacing w:before="1"/>
        <w:ind w:left="459"/>
      </w:pPr>
      <w:r>
        <w:rPr>
          <w:color w:val="545456"/>
          <w:w w:val="95"/>
        </w:rPr>
        <w:t>J.</w:t>
      </w:r>
      <w:r>
        <w:rPr>
          <w:color w:val="545456"/>
          <w:spacing w:val="3"/>
          <w:w w:val="95"/>
        </w:rPr>
        <w:t xml:space="preserve"> </w:t>
      </w:r>
      <w:r>
        <w:rPr>
          <w:color w:val="545456"/>
          <w:w w:val="95"/>
        </w:rPr>
        <w:t>Renee</w:t>
      </w:r>
      <w:r>
        <w:rPr>
          <w:color w:val="545456"/>
          <w:spacing w:val="4"/>
          <w:w w:val="95"/>
        </w:rPr>
        <w:t xml:space="preserve"> </w:t>
      </w:r>
      <w:r>
        <w:rPr>
          <w:color w:val="545456"/>
          <w:w w:val="95"/>
        </w:rPr>
        <w:t>Morin,</w:t>
      </w:r>
      <w:r>
        <w:rPr>
          <w:color w:val="545456"/>
          <w:spacing w:val="4"/>
          <w:w w:val="95"/>
        </w:rPr>
        <w:t xml:space="preserve"> </w:t>
      </w:r>
      <w:r>
        <w:rPr>
          <w:color w:val="545456"/>
          <w:w w:val="95"/>
        </w:rPr>
        <w:t>ClearCarbon</w:t>
      </w:r>
    </w:p>
    <w:p w14:paraId="1AAB5957" w14:textId="77777777" w:rsidR="0055291C" w:rsidRDefault="00F23C61">
      <w:pPr>
        <w:pStyle w:val="a3"/>
        <w:spacing w:before="62"/>
        <w:ind w:left="459"/>
        <w:rPr>
          <w:rFonts w:ascii="Arial"/>
          <w:b/>
        </w:rPr>
      </w:pPr>
      <w:r>
        <w:rPr>
          <w:color w:val="545456"/>
          <w:w w:val="95"/>
        </w:rPr>
        <w:t>Steve</w:t>
      </w:r>
      <w:r>
        <w:rPr>
          <w:color w:val="545456"/>
          <w:spacing w:val="-4"/>
          <w:w w:val="95"/>
        </w:rPr>
        <w:t xml:space="preserve"> </w:t>
      </w:r>
      <w:r>
        <w:rPr>
          <w:color w:val="545456"/>
          <w:w w:val="95"/>
        </w:rPr>
        <w:t>Davis,</w:t>
      </w:r>
      <w:r>
        <w:rPr>
          <w:color w:val="545456"/>
          <w:spacing w:val="-3"/>
          <w:w w:val="95"/>
        </w:rPr>
        <w:t xml:space="preserve"> </w:t>
      </w:r>
      <w:r>
        <w:rPr>
          <w:color w:val="545456"/>
          <w:w w:val="95"/>
        </w:rPr>
        <w:t>The</w:t>
      </w:r>
      <w:r>
        <w:rPr>
          <w:color w:val="545456"/>
          <w:spacing w:val="-4"/>
          <w:w w:val="95"/>
        </w:rPr>
        <w:t xml:space="preserve"> </w:t>
      </w:r>
      <w:r>
        <w:rPr>
          <w:color w:val="545456"/>
          <w:w w:val="95"/>
        </w:rPr>
        <w:t>Climate</w:t>
      </w:r>
      <w:r>
        <w:rPr>
          <w:color w:val="545456"/>
          <w:spacing w:val="-3"/>
          <w:w w:val="95"/>
        </w:rPr>
        <w:t xml:space="preserve"> </w:t>
      </w:r>
      <w:r>
        <w:rPr>
          <w:color w:val="545456"/>
          <w:w w:val="95"/>
        </w:rPr>
        <w:t>Conservancy</w:t>
      </w:r>
      <w:r>
        <w:rPr>
          <w:color w:val="545456"/>
          <w:spacing w:val="-3"/>
          <w:w w:val="95"/>
        </w:rPr>
        <w:t xml:space="preserve"> </w:t>
      </w:r>
      <w:r>
        <w:rPr>
          <w:rFonts w:ascii="Arial"/>
          <w:b/>
          <w:color w:val="545456"/>
          <w:w w:val="95"/>
        </w:rPr>
        <w:t>(Chair)</w:t>
      </w:r>
    </w:p>
    <w:p w14:paraId="3A8F0C16" w14:textId="77777777" w:rsidR="0055291C" w:rsidRDefault="00F23C61">
      <w:pPr>
        <w:pStyle w:val="a3"/>
        <w:spacing w:before="65"/>
        <w:ind w:left="459"/>
      </w:pPr>
      <w:proofErr w:type="spellStart"/>
      <w:r>
        <w:rPr>
          <w:color w:val="545456"/>
          <w:w w:val="95"/>
        </w:rPr>
        <w:t>Tashweka</w:t>
      </w:r>
      <w:proofErr w:type="spellEnd"/>
      <w:r>
        <w:rPr>
          <w:color w:val="545456"/>
          <w:spacing w:val="22"/>
          <w:w w:val="95"/>
        </w:rPr>
        <w:t xml:space="preserve"> </w:t>
      </w:r>
      <w:r>
        <w:rPr>
          <w:color w:val="545456"/>
          <w:w w:val="95"/>
        </w:rPr>
        <w:t>Anderson,</w:t>
      </w:r>
      <w:r>
        <w:rPr>
          <w:color w:val="545456"/>
          <w:spacing w:val="23"/>
          <w:w w:val="95"/>
        </w:rPr>
        <w:t xml:space="preserve"> </w:t>
      </w:r>
      <w:r>
        <w:rPr>
          <w:color w:val="545456"/>
          <w:w w:val="95"/>
        </w:rPr>
        <w:t>Computacenter</w:t>
      </w:r>
    </w:p>
    <w:p w14:paraId="1CCF8BA6" w14:textId="77777777" w:rsidR="0055291C" w:rsidRDefault="0055291C">
      <w:pPr>
        <w:sectPr w:rsidR="0055291C">
          <w:type w:val="continuous"/>
          <w:pgSz w:w="12240" w:h="15840"/>
          <w:pgMar w:top="740" w:right="0" w:bottom="280" w:left="0" w:header="0" w:footer="859" w:gutter="0"/>
          <w:cols w:num="2" w:space="720" w:equalWidth="0">
            <w:col w:w="5763" w:space="40"/>
            <w:col w:w="6437"/>
          </w:cols>
        </w:sectPr>
      </w:pPr>
    </w:p>
    <w:p w14:paraId="612D291B" w14:textId="77777777" w:rsidR="0055291C" w:rsidRDefault="0055291C">
      <w:pPr>
        <w:pStyle w:val="a3"/>
        <w:rPr>
          <w:sz w:val="20"/>
        </w:rPr>
      </w:pPr>
    </w:p>
    <w:p w14:paraId="1C8EEDCB" w14:textId="77777777" w:rsidR="0055291C" w:rsidRDefault="0055291C">
      <w:pPr>
        <w:pStyle w:val="a3"/>
        <w:rPr>
          <w:sz w:val="20"/>
        </w:rPr>
      </w:pPr>
    </w:p>
    <w:p w14:paraId="32453753" w14:textId="77777777" w:rsidR="0055291C" w:rsidRDefault="0055291C">
      <w:pPr>
        <w:pStyle w:val="a3"/>
        <w:spacing w:before="5"/>
        <w:rPr>
          <w:sz w:val="23"/>
        </w:rPr>
      </w:pPr>
    </w:p>
    <w:p w14:paraId="246835EF" w14:textId="77777777" w:rsidR="0055291C" w:rsidRDefault="00000000">
      <w:pPr>
        <w:pStyle w:val="3"/>
        <w:spacing w:before="1"/>
        <w:ind w:left="1127"/>
      </w:pPr>
      <w:r>
        <w:pict w14:anchorId="01879C43">
          <v:line id="_x0000_s2086" style="position:absolute;left:0;text-align:left;z-index:251693568;mso-position-horizontal-relative:page" from="56.7pt,17.15pt" to="555.3pt,17.15pt" strokecolor="#00aca1" strokeweight="1pt">
            <w10:wrap anchorx="page"/>
          </v:line>
        </w:pict>
      </w:r>
      <w:r w:rsidR="00F23C61">
        <w:rPr>
          <w:color w:val="00ACA1"/>
          <w:w w:val="95"/>
        </w:rPr>
        <w:t>Product</w:t>
      </w:r>
      <w:r w:rsidR="00F23C61">
        <w:rPr>
          <w:color w:val="00ACA1"/>
          <w:spacing w:val="5"/>
          <w:w w:val="95"/>
        </w:rPr>
        <w:t xml:space="preserve"> </w:t>
      </w:r>
      <w:r w:rsidR="00F23C61">
        <w:rPr>
          <w:color w:val="00ACA1"/>
          <w:w w:val="95"/>
        </w:rPr>
        <w:t>Standard</w:t>
      </w:r>
      <w:r w:rsidR="00F23C61">
        <w:rPr>
          <w:color w:val="00ACA1"/>
          <w:spacing w:val="6"/>
          <w:w w:val="95"/>
        </w:rPr>
        <w:t xml:space="preserve"> </w:t>
      </w:r>
      <w:r w:rsidR="00F23C61">
        <w:rPr>
          <w:color w:val="00ACA1"/>
          <w:w w:val="95"/>
        </w:rPr>
        <w:t>Technical</w:t>
      </w:r>
      <w:r w:rsidR="00F23C61">
        <w:rPr>
          <w:color w:val="00ACA1"/>
          <w:spacing w:val="6"/>
          <w:w w:val="95"/>
        </w:rPr>
        <w:t xml:space="preserve"> </w:t>
      </w:r>
      <w:r w:rsidR="00F23C61">
        <w:rPr>
          <w:color w:val="00ACA1"/>
          <w:w w:val="95"/>
        </w:rPr>
        <w:t>Working</w:t>
      </w:r>
      <w:r w:rsidR="00F23C61">
        <w:rPr>
          <w:color w:val="00ACA1"/>
          <w:spacing w:val="5"/>
          <w:w w:val="95"/>
        </w:rPr>
        <w:t xml:space="preserve"> </w:t>
      </w:r>
      <w:r w:rsidR="00F23C61">
        <w:rPr>
          <w:color w:val="00ACA1"/>
          <w:w w:val="95"/>
        </w:rPr>
        <w:t>Group</w:t>
      </w:r>
      <w:r w:rsidR="00F23C61">
        <w:rPr>
          <w:color w:val="00ACA1"/>
          <w:spacing w:val="6"/>
          <w:w w:val="95"/>
        </w:rPr>
        <w:t xml:space="preserve"> </w:t>
      </w:r>
      <w:r w:rsidR="00F23C61">
        <w:rPr>
          <w:color w:val="00ACA1"/>
          <w:w w:val="95"/>
        </w:rPr>
        <w:t>Members</w:t>
      </w:r>
      <w:r w:rsidR="00F23C61">
        <w:rPr>
          <w:color w:val="00ACA1"/>
          <w:spacing w:val="6"/>
          <w:w w:val="95"/>
        </w:rPr>
        <w:t xml:space="preserve"> </w:t>
      </w:r>
      <w:r w:rsidR="00F23C61">
        <w:rPr>
          <w:color w:val="00ACA1"/>
          <w:w w:val="95"/>
        </w:rPr>
        <w:t>(continued)</w:t>
      </w:r>
    </w:p>
    <w:p w14:paraId="4CE9CFF0" w14:textId="77777777" w:rsidR="0055291C" w:rsidRDefault="0055291C">
      <w:pPr>
        <w:sectPr w:rsidR="0055291C">
          <w:headerReference w:type="default" r:id="rId406"/>
          <w:pgSz w:w="12240" w:h="15840"/>
          <w:pgMar w:top="1160" w:right="0" w:bottom="1040" w:left="0" w:header="957" w:footer="859" w:gutter="0"/>
          <w:cols w:space="720"/>
        </w:sectPr>
      </w:pPr>
    </w:p>
    <w:p w14:paraId="40DB1A48" w14:textId="77777777" w:rsidR="0055291C" w:rsidRDefault="00000000">
      <w:pPr>
        <w:pStyle w:val="a3"/>
        <w:spacing w:before="9"/>
        <w:rPr>
          <w:rFonts w:ascii="Arial"/>
          <w:b/>
          <w:i/>
          <w:sz w:val="16"/>
        </w:rPr>
      </w:pPr>
      <w:r>
        <w:pict w14:anchorId="4A825DFA">
          <v:shape id="docshape1737" o:spid="_x0000_s2085" style="position:absolute;margin-left:580.75pt;margin-top:0;width:31.3pt;height:285.85pt;z-index:251692544;mso-position-horizontal-relative:page;mso-position-vertical-relative:page" coordorigin="11615" coordsize="626,5717" path="m12240,r-625,l11615,5489r3,131l11643,5688r67,25l11842,5716r398,l12240,xe" fillcolor="#00aca1" stroked="f">
            <v:path arrowok="t"/>
            <w10:wrap anchorx="page" anchory="page"/>
          </v:shape>
        </w:pict>
      </w:r>
    </w:p>
    <w:p w14:paraId="308C0BCE" w14:textId="77777777" w:rsidR="0055291C" w:rsidRDefault="00F23C61">
      <w:pPr>
        <w:pStyle w:val="a3"/>
        <w:spacing w:before="1" w:line="312" w:lineRule="auto"/>
        <w:ind w:left="1360" w:hanging="227"/>
      </w:pPr>
      <w:proofErr w:type="spellStart"/>
      <w:r>
        <w:rPr>
          <w:color w:val="545456"/>
          <w:spacing w:val="-1"/>
        </w:rPr>
        <w:t>Jannick</w:t>
      </w:r>
      <w:proofErr w:type="spellEnd"/>
      <w:r>
        <w:rPr>
          <w:color w:val="545456"/>
          <w:spacing w:val="-11"/>
        </w:rPr>
        <w:t xml:space="preserve"> </w:t>
      </w:r>
      <w:r>
        <w:rPr>
          <w:color w:val="545456"/>
          <w:spacing w:val="-1"/>
        </w:rPr>
        <w:t>H</w:t>
      </w:r>
      <w:r>
        <w:rPr>
          <w:color w:val="545456"/>
          <w:spacing w:val="-10"/>
        </w:rPr>
        <w:t xml:space="preserve"> </w:t>
      </w:r>
      <w:r>
        <w:rPr>
          <w:color w:val="545456"/>
          <w:spacing w:val="-1"/>
        </w:rPr>
        <w:t>Schmidt,</w:t>
      </w:r>
      <w:r>
        <w:rPr>
          <w:color w:val="545456"/>
          <w:spacing w:val="-10"/>
        </w:rPr>
        <w:t xml:space="preserve"> </w:t>
      </w:r>
      <w:r>
        <w:rPr>
          <w:color w:val="545456"/>
          <w:spacing w:val="-1"/>
        </w:rPr>
        <w:t>The</w:t>
      </w:r>
      <w:r>
        <w:rPr>
          <w:color w:val="545456"/>
          <w:spacing w:val="-11"/>
        </w:rPr>
        <w:t xml:space="preserve"> </w:t>
      </w:r>
      <w:r>
        <w:rPr>
          <w:color w:val="545456"/>
          <w:spacing w:val="-1"/>
        </w:rPr>
        <w:t>Danish</w:t>
      </w:r>
      <w:r>
        <w:rPr>
          <w:color w:val="545456"/>
          <w:spacing w:val="-10"/>
        </w:rPr>
        <w:t xml:space="preserve"> </w:t>
      </w:r>
      <w:r>
        <w:rPr>
          <w:color w:val="545456"/>
          <w:spacing w:val="-1"/>
        </w:rPr>
        <w:t>Centre</w:t>
      </w:r>
      <w:r>
        <w:rPr>
          <w:color w:val="545456"/>
          <w:spacing w:val="-10"/>
        </w:rPr>
        <w:t xml:space="preserve"> </w:t>
      </w:r>
      <w:r>
        <w:rPr>
          <w:color w:val="545456"/>
          <w:spacing w:val="-1"/>
        </w:rPr>
        <w:t>for</w:t>
      </w:r>
      <w:r>
        <w:rPr>
          <w:color w:val="545456"/>
          <w:spacing w:val="-11"/>
        </w:rPr>
        <w:t xml:space="preserve"> </w:t>
      </w:r>
      <w:r>
        <w:rPr>
          <w:color w:val="545456"/>
          <w:spacing w:val="-1"/>
        </w:rPr>
        <w:t>Environmental</w:t>
      </w:r>
      <w:r>
        <w:rPr>
          <w:color w:val="545456"/>
          <w:spacing w:val="-47"/>
        </w:rPr>
        <w:t xml:space="preserve"> </w:t>
      </w:r>
      <w:r>
        <w:rPr>
          <w:color w:val="545456"/>
        </w:rPr>
        <w:t>Assessment,</w:t>
      </w:r>
      <w:r>
        <w:rPr>
          <w:color w:val="545456"/>
          <w:spacing w:val="-11"/>
        </w:rPr>
        <w:t xml:space="preserve"> </w:t>
      </w:r>
      <w:r>
        <w:rPr>
          <w:color w:val="545456"/>
        </w:rPr>
        <w:t>Aalborg</w:t>
      </w:r>
      <w:r>
        <w:rPr>
          <w:color w:val="545456"/>
          <w:spacing w:val="-11"/>
        </w:rPr>
        <w:t xml:space="preserve"> </w:t>
      </w:r>
      <w:r>
        <w:rPr>
          <w:color w:val="545456"/>
        </w:rPr>
        <w:t>University</w:t>
      </w:r>
    </w:p>
    <w:p w14:paraId="07ADBAE7" w14:textId="77777777" w:rsidR="0055291C" w:rsidRDefault="00F23C61">
      <w:pPr>
        <w:pStyle w:val="a3"/>
        <w:spacing w:line="312" w:lineRule="auto"/>
        <w:ind w:left="1360" w:hanging="227"/>
      </w:pPr>
      <w:r>
        <w:rPr>
          <w:color w:val="545456"/>
        </w:rPr>
        <w:t>Atsushi</w:t>
      </w:r>
      <w:r>
        <w:rPr>
          <w:color w:val="545456"/>
          <w:spacing w:val="-10"/>
        </w:rPr>
        <w:t xml:space="preserve"> </w:t>
      </w:r>
      <w:r>
        <w:rPr>
          <w:color w:val="545456"/>
        </w:rPr>
        <w:t>Inaba,</w:t>
      </w:r>
      <w:r>
        <w:rPr>
          <w:color w:val="545456"/>
          <w:spacing w:val="-9"/>
        </w:rPr>
        <w:t xml:space="preserve"> </w:t>
      </w:r>
      <w:r>
        <w:rPr>
          <w:color w:val="545456"/>
        </w:rPr>
        <w:t>Department</w:t>
      </w:r>
      <w:r>
        <w:rPr>
          <w:color w:val="545456"/>
          <w:spacing w:val="-10"/>
        </w:rPr>
        <w:t xml:space="preserve"> </w:t>
      </w:r>
      <w:r>
        <w:rPr>
          <w:color w:val="545456"/>
        </w:rPr>
        <w:t>of</w:t>
      </w:r>
      <w:r>
        <w:rPr>
          <w:color w:val="545456"/>
          <w:spacing w:val="-9"/>
        </w:rPr>
        <w:t xml:space="preserve"> </w:t>
      </w:r>
      <w:r>
        <w:rPr>
          <w:color w:val="545456"/>
        </w:rPr>
        <w:t>Environmental</w:t>
      </w:r>
      <w:r>
        <w:rPr>
          <w:color w:val="545456"/>
          <w:spacing w:val="-9"/>
        </w:rPr>
        <w:t xml:space="preserve"> </w:t>
      </w:r>
      <w:r>
        <w:rPr>
          <w:color w:val="545456"/>
        </w:rPr>
        <w:t>and</w:t>
      </w:r>
      <w:r>
        <w:rPr>
          <w:color w:val="545456"/>
          <w:spacing w:val="-10"/>
        </w:rPr>
        <w:t xml:space="preserve"> </w:t>
      </w:r>
      <w:r>
        <w:rPr>
          <w:color w:val="545456"/>
        </w:rPr>
        <w:t>Energy</w:t>
      </w:r>
      <w:r>
        <w:rPr>
          <w:color w:val="545456"/>
          <w:spacing w:val="-47"/>
        </w:rPr>
        <w:t xml:space="preserve"> </w:t>
      </w:r>
      <w:r>
        <w:rPr>
          <w:color w:val="545456"/>
        </w:rPr>
        <w:t>Chemistry,</w:t>
      </w:r>
      <w:r>
        <w:rPr>
          <w:color w:val="545456"/>
          <w:spacing w:val="-11"/>
        </w:rPr>
        <w:t xml:space="preserve"> </w:t>
      </w:r>
      <w:proofErr w:type="spellStart"/>
      <w:r>
        <w:rPr>
          <w:color w:val="545456"/>
        </w:rPr>
        <w:t>Kogakuin</w:t>
      </w:r>
      <w:proofErr w:type="spellEnd"/>
      <w:r>
        <w:rPr>
          <w:color w:val="545456"/>
          <w:spacing w:val="-11"/>
        </w:rPr>
        <w:t xml:space="preserve"> </w:t>
      </w:r>
      <w:r>
        <w:rPr>
          <w:color w:val="545456"/>
        </w:rPr>
        <w:t>University</w:t>
      </w:r>
    </w:p>
    <w:p w14:paraId="2EE7D3F6" w14:textId="77777777" w:rsidR="0055291C" w:rsidRDefault="00F23C61">
      <w:pPr>
        <w:pStyle w:val="a3"/>
        <w:spacing w:before="1"/>
        <w:ind w:left="1133"/>
      </w:pPr>
      <w:r>
        <w:rPr>
          <w:color w:val="545456"/>
          <w:w w:val="95"/>
        </w:rPr>
        <w:t>Emelia</w:t>
      </w:r>
      <w:r>
        <w:rPr>
          <w:color w:val="545456"/>
          <w:spacing w:val="1"/>
          <w:w w:val="95"/>
        </w:rPr>
        <w:t xml:space="preserve"> </w:t>
      </w:r>
      <w:proofErr w:type="spellStart"/>
      <w:r>
        <w:rPr>
          <w:color w:val="545456"/>
          <w:w w:val="95"/>
        </w:rPr>
        <w:t>Holdaway</w:t>
      </w:r>
      <w:proofErr w:type="spellEnd"/>
      <w:r>
        <w:rPr>
          <w:color w:val="545456"/>
          <w:w w:val="95"/>
        </w:rPr>
        <w:t>,</w:t>
      </w:r>
      <w:r>
        <w:rPr>
          <w:color w:val="545456"/>
          <w:spacing w:val="1"/>
          <w:w w:val="95"/>
        </w:rPr>
        <w:t xml:space="preserve"> </w:t>
      </w:r>
      <w:proofErr w:type="spellStart"/>
      <w:r>
        <w:rPr>
          <w:color w:val="545456"/>
          <w:w w:val="95"/>
        </w:rPr>
        <w:t>Ecofys</w:t>
      </w:r>
      <w:proofErr w:type="spellEnd"/>
    </w:p>
    <w:p w14:paraId="0EBB4602" w14:textId="77777777" w:rsidR="0055291C" w:rsidRDefault="00F23C61">
      <w:pPr>
        <w:pStyle w:val="a3"/>
        <w:spacing w:before="65" w:line="312" w:lineRule="auto"/>
        <w:ind w:left="1133" w:right="894"/>
      </w:pPr>
      <w:r>
        <w:rPr>
          <w:color w:val="545456"/>
          <w:w w:val="95"/>
        </w:rPr>
        <w:t>Yves</w:t>
      </w:r>
      <w:r>
        <w:rPr>
          <w:color w:val="545456"/>
          <w:spacing w:val="-8"/>
          <w:w w:val="95"/>
        </w:rPr>
        <w:t xml:space="preserve"> </w:t>
      </w:r>
      <w:proofErr w:type="spellStart"/>
      <w:r>
        <w:rPr>
          <w:color w:val="545456"/>
          <w:w w:val="95"/>
        </w:rPr>
        <w:t>Loerincik</w:t>
      </w:r>
      <w:proofErr w:type="spellEnd"/>
      <w:r>
        <w:rPr>
          <w:color w:val="545456"/>
          <w:w w:val="95"/>
        </w:rPr>
        <w:t>,</w:t>
      </w:r>
      <w:r>
        <w:rPr>
          <w:color w:val="545456"/>
          <w:spacing w:val="-7"/>
          <w:w w:val="95"/>
        </w:rPr>
        <w:t xml:space="preserve"> </w:t>
      </w:r>
      <w:proofErr w:type="spellStart"/>
      <w:r>
        <w:rPr>
          <w:color w:val="545456"/>
          <w:w w:val="95"/>
        </w:rPr>
        <w:t>Ecointesys</w:t>
      </w:r>
      <w:proofErr w:type="spellEnd"/>
      <w:r>
        <w:rPr>
          <w:color w:val="545456"/>
          <w:spacing w:val="-7"/>
          <w:w w:val="95"/>
        </w:rPr>
        <w:t xml:space="preserve"> </w:t>
      </w:r>
      <w:r>
        <w:rPr>
          <w:color w:val="545456"/>
          <w:w w:val="95"/>
        </w:rPr>
        <w:t>-</w:t>
      </w:r>
      <w:r>
        <w:rPr>
          <w:color w:val="545456"/>
          <w:spacing w:val="-7"/>
          <w:w w:val="95"/>
        </w:rPr>
        <w:t xml:space="preserve"> </w:t>
      </w:r>
      <w:r>
        <w:rPr>
          <w:color w:val="545456"/>
          <w:w w:val="95"/>
        </w:rPr>
        <w:t>Life</w:t>
      </w:r>
      <w:r>
        <w:rPr>
          <w:color w:val="545456"/>
          <w:spacing w:val="-7"/>
          <w:w w:val="95"/>
        </w:rPr>
        <w:t xml:space="preserve"> </w:t>
      </w:r>
      <w:r>
        <w:rPr>
          <w:color w:val="545456"/>
          <w:w w:val="95"/>
        </w:rPr>
        <w:t>Cycle</w:t>
      </w:r>
      <w:r>
        <w:rPr>
          <w:color w:val="545456"/>
          <w:spacing w:val="-7"/>
          <w:w w:val="95"/>
        </w:rPr>
        <w:t xml:space="preserve"> </w:t>
      </w:r>
      <w:r>
        <w:rPr>
          <w:color w:val="545456"/>
          <w:w w:val="95"/>
        </w:rPr>
        <w:t>Systems</w:t>
      </w:r>
      <w:r>
        <w:rPr>
          <w:color w:val="545456"/>
          <w:spacing w:val="-45"/>
          <w:w w:val="95"/>
        </w:rPr>
        <w:t xml:space="preserve"> </w:t>
      </w:r>
      <w:r>
        <w:rPr>
          <w:color w:val="545456"/>
        </w:rPr>
        <w:t>Catarina</w:t>
      </w:r>
      <w:r>
        <w:rPr>
          <w:color w:val="545456"/>
          <w:spacing w:val="-12"/>
        </w:rPr>
        <w:t xml:space="preserve"> </w:t>
      </w:r>
      <w:r>
        <w:rPr>
          <w:color w:val="545456"/>
        </w:rPr>
        <w:t>Furtado,</w:t>
      </w:r>
      <w:r>
        <w:rPr>
          <w:color w:val="545456"/>
          <w:spacing w:val="-12"/>
        </w:rPr>
        <w:t xml:space="preserve"> </w:t>
      </w:r>
      <w:proofErr w:type="spellStart"/>
      <w:r>
        <w:rPr>
          <w:color w:val="545456"/>
        </w:rPr>
        <w:t>Ecoprogresso</w:t>
      </w:r>
      <w:proofErr w:type="spellEnd"/>
    </w:p>
    <w:p w14:paraId="417972B3" w14:textId="77777777" w:rsidR="0055291C" w:rsidRDefault="00F23C61">
      <w:pPr>
        <w:pStyle w:val="a3"/>
        <w:spacing w:before="1" w:line="312" w:lineRule="auto"/>
        <w:ind w:left="1133" w:right="1882"/>
      </w:pPr>
      <w:r>
        <w:rPr>
          <w:color w:val="545456"/>
          <w:w w:val="95"/>
        </w:rPr>
        <w:t>Lisa Brady, EMC Corporation</w:t>
      </w:r>
      <w:r>
        <w:rPr>
          <w:color w:val="545456"/>
          <w:spacing w:val="1"/>
          <w:w w:val="95"/>
        </w:rPr>
        <w:t xml:space="preserve"> </w:t>
      </w:r>
      <w:r>
        <w:rPr>
          <w:color w:val="545456"/>
          <w:spacing w:val="-1"/>
        </w:rPr>
        <w:t>Kathrin</w:t>
      </w:r>
      <w:r>
        <w:rPr>
          <w:color w:val="545456"/>
          <w:spacing w:val="-9"/>
        </w:rPr>
        <w:t xml:space="preserve"> </w:t>
      </w:r>
      <w:r>
        <w:rPr>
          <w:color w:val="545456"/>
          <w:spacing w:val="-1"/>
        </w:rPr>
        <w:t>Winkler,</w:t>
      </w:r>
      <w:r>
        <w:rPr>
          <w:color w:val="545456"/>
          <w:spacing w:val="-9"/>
        </w:rPr>
        <w:t xml:space="preserve"> </w:t>
      </w:r>
      <w:r>
        <w:rPr>
          <w:color w:val="545456"/>
          <w:spacing w:val="-1"/>
        </w:rPr>
        <w:t>EMC</w:t>
      </w:r>
      <w:r>
        <w:rPr>
          <w:color w:val="545456"/>
          <w:spacing w:val="-8"/>
        </w:rPr>
        <w:t xml:space="preserve"> </w:t>
      </w:r>
      <w:r>
        <w:rPr>
          <w:color w:val="545456"/>
          <w:spacing w:val="-1"/>
        </w:rPr>
        <w:t>Corporation</w:t>
      </w:r>
      <w:r>
        <w:rPr>
          <w:color w:val="545456"/>
          <w:spacing w:val="-48"/>
        </w:rPr>
        <w:t xml:space="preserve"> </w:t>
      </w:r>
      <w:r>
        <w:rPr>
          <w:color w:val="545456"/>
          <w:spacing w:val="-2"/>
        </w:rPr>
        <w:t>Brenna</w:t>
      </w:r>
      <w:r>
        <w:rPr>
          <w:color w:val="545456"/>
          <w:spacing w:val="-10"/>
        </w:rPr>
        <w:t xml:space="preserve"> </w:t>
      </w:r>
      <w:r>
        <w:rPr>
          <w:color w:val="545456"/>
          <w:spacing w:val="-2"/>
        </w:rPr>
        <w:t>Zimmer,</w:t>
      </w:r>
      <w:r>
        <w:rPr>
          <w:color w:val="545456"/>
          <w:spacing w:val="-10"/>
        </w:rPr>
        <w:t xml:space="preserve"> </w:t>
      </w:r>
      <w:r>
        <w:rPr>
          <w:color w:val="545456"/>
          <w:spacing w:val="-2"/>
        </w:rPr>
        <w:t>EMC</w:t>
      </w:r>
      <w:r>
        <w:rPr>
          <w:color w:val="545456"/>
          <w:spacing w:val="-9"/>
        </w:rPr>
        <w:t xml:space="preserve"> </w:t>
      </w:r>
      <w:r>
        <w:rPr>
          <w:color w:val="545456"/>
          <w:spacing w:val="-2"/>
        </w:rPr>
        <w:t>Corporation</w:t>
      </w:r>
    </w:p>
    <w:p w14:paraId="6B320ACD" w14:textId="77777777" w:rsidR="0055291C" w:rsidRDefault="00F23C61">
      <w:pPr>
        <w:pStyle w:val="a3"/>
        <w:spacing w:before="1" w:line="312" w:lineRule="auto"/>
        <w:ind w:left="1133" w:right="929"/>
      </w:pPr>
      <w:r>
        <w:rPr>
          <w:color w:val="545456"/>
          <w:spacing w:val="-2"/>
        </w:rPr>
        <w:t>Vivek</w:t>
      </w:r>
      <w:r>
        <w:rPr>
          <w:color w:val="545456"/>
          <w:spacing w:val="-9"/>
        </w:rPr>
        <w:t xml:space="preserve"> </w:t>
      </w:r>
      <w:proofErr w:type="spellStart"/>
      <w:r>
        <w:rPr>
          <w:color w:val="545456"/>
          <w:spacing w:val="-2"/>
        </w:rPr>
        <w:t>Dhariwal</w:t>
      </w:r>
      <w:proofErr w:type="spellEnd"/>
      <w:r>
        <w:rPr>
          <w:color w:val="545456"/>
          <w:spacing w:val="-2"/>
        </w:rPr>
        <w:t>,</w:t>
      </w:r>
      <w:r>
        <w:rPr>
          <w:color w:val="545456"/>
          <w:spacing w:val="-9"/>
        </w:rPr>
        <w:t xml:space="preserve"> </w:t>
      </w:r>
      <w:r>
        <w:rPr>
          <w:color w:val="545456"/>
          <w:spacing w:val="-1"/>
        </w:rPr>
        <w:t>Emergent</w:t>
      </w:r>
      <w:r>
        <w:rPr>
          <w:color w:val="545456"/>
          <w:spacing w:val="-9"/>
        </w:rPr>
        <w:t xml:space="preserve"> </w:t>
      </w:r>
      <w:r>
        <w:rPr>
          <w:color w:val="545456"/>
          <w:spacing w:val="-1"/>
        </w:rPr>
        <w:t>Ventures</w:t>
      </w:r>
      <w:r>
        <w:rPr>
          <w:color w:val="545456"/>
          <w:spacing w:val="-9"/>
        </w:rPr>
        <w:t xml:space="preserve"> </w:t>
      </w:r>
      <w:r>
        <w:rPr>
          <w:color w:val="545456"/>
          <w:spacing w:val="-1"/>
        </w:rPr>
        <w:t>India</w:t>
      </w:r>
      <w:r>
        <w:rPr>
          <w:color w:val="545456"/>
          <w:spacing w:val="-47"/>
        </w:rPr>
        <w:t xml:space="preserve"> </w:t>
      </w:r>
      <w:r>
        <w:rPr>
          <w:color w:val="545456"/>
        </w:rPr>
        <w:t>Mary</w:t>
      </w:r>
      <w:r>
        <w:rPr>
          <w:color w:val="545456"/>
          <w:spacing w:val="-10"/>
        </w:rPr>
        <w:t xml:space="preserve"> </w:t>
      </w:r>
      <w:r>
        <w:rPr>
          <w:color w:val="545456"/>
        </w:rPr>
        <w:t>Stewart,</w:t>
      </w:r>
      <w:r>
        <w:rPr>
          <w:color w:val="545456"/>
          <w:spacing w:val="-10"/>
        </w:rPr>
        <w:t xml:space="preserve"> </w:t>
      </w:r>
      <w:r>
        <w:rPr>
          <w:color w:val="545456"/>
        </w:rPr>
        <w:t>Emergent</w:t>
      </w:r>
      <w:r>
        <w:rPr>
          <w:color w:val="545456"/>
          <w:spacing w:val="-9"/>
        </w:rPr>
        <w:t xml:space="preserve"> </w:t>
      </w:r>
      <w:r>
        <w:rPr>
          <w:color w:val="545456"/>
        </w:rPr>
        <w:t>Ventures</w:t>
      </w:r>
      <w:r>
        <w:rPr>
          <w:color w:val="545456"/>
          <w:spacing w:val="-10"/>
        </w:rPr>
        <w:t xml:space="preserve"> </w:t>
      </w:r>
      <w:r>
        <w:rPr>
          <w:color w:val="545456"/>
        </w:rPr>
        <w:t>India</w:t>
      </w:r>
    </w:p>
    <w:p w14:paraId="79D54923" w14:textId="77777777" w:rsidR="0055291C" w:rsidRDefault="00F23C61">
      <w:pPr>
        <w:pStyle w:val="a3"/>
        <w:spacing w:before="1" w:line="312" w:lineRule="auto"/>
        <w:ind w:left="1360" w:right="261" w:hanging="227"/>
      </w:pPr>
      <w:r>
        <w:rPr>
          <w:color w:val="545456"/>
          <w:w w:val="95"/>
        </w:rPr>
        <w:t>Liu</w:t>
      </w:r>
      <w:r>
        <w:rPr>
          <w:color w:val="545456"/>
          <w:spacing w:val="11"/>
          <w:w w:val="95"/>
        </w:rPr>
        <w:t xml:space="preserve"> </w:t>
      </w:r>
      <w:proofErr w:type="spellStart"/>
      <w:r>
        <w:rPr>
          <w:color w:val="545456"/>
          <w:w w:val="95"/>
        </w:rPr>
        <w:t>Qiang</w:t>
      </w:r>
      <w:proofErr w:type="spellEnd"/>
      <w:r>
        <w:rPr>
          <w:color w:val="545456"/>
          <w:w w:val="95"/>
        </w:rPr>
        <w:t>,</w:t>
      </w:r>
      <w:r>
        <w:rPr>
          <w:color w:val="545456"/>
          <w:spacing w:val="11"/>
          <w:w w:val="95"/>
        </w:rPr>
        <w:t xml:space="preserve"> </w:t>
      </w:r>
      <w:r>
        <w:rPr>
          <w:color w:val="545456"/>
          <w:w w:val="95"/>
        </w:rPr>
        <w:t>Energy</w:t>
      </w:r>
      <w:r>
        <w:rPr>
          <w:color w:val="545456"/>
          <w:spacing w:val="11"/>
          <w:w w:val="95"/>
        </w:rPr>
        <w:t xml:space="preserve"> </w:t>
      </w:r>
      <w:r>
        <w:rPr>
          <w:color w:val="545456"/>
          <w:w w:val="95"/>
        </w:rPr>
        <w:t>Research</w:t>
      </w:r>
      <w:r>
        <w:rPr>
          <w:color w:val="545456"/>
          <w:spacing w:val="11"/>
          <w:w w:val="95"/>
        </w:rPr>
        <w:t xml:space="preserve"> </w:t>
      </w:r>
      <w:r>
        <w:rPr>
          <w:color w:val="545456"/>
          <w:w w:val="95"/>
        </w:rPr>
        <w:t>Institute,</w:t>
      </w:r>
      <w:r>
        <w:rPr>
          <w:color w:val="545456"/>
          <w:spacing w:val="11"/>
          <w:w w:val="95"/>
        </w:rPr>
        <w:t xml:space="preserve"> </w:t>
      </w:r>
      <w:r>
        <w:rPr>
          <w:color w:val="545456"/>
          <w:w w:val="95"/>
        </w:rPr>
        <w:t>China’s</w:t>
      </w:r>
      <w:r>
        <w:rPr>
          <w:color w:val="545456"/>
          <w:spacing w:val="12"/>
          <w:w w:val="95"/>
        </w:rPr>
        <w:t xml:space="preserve"> </w:t>
      </w:r>
      <w:r>
        <w:rPr>
          <w:color w:val="545456"/>
          <w:w w:val="95"/>
        </w:rPr>
        <w:t>National</w:t>
      </w:r>
      <w:r>
        <w:rPr>
          <w:color w:val="545456"/>
          <w:spacing w:val="-45"/>
          <w:w w:val="95"/>
        </w:rPr>
        <w:t xml:space="preserve"> </w:t>
      </w:r>
      <w:r>
        <w:rPr>
          <w:color w:val="545456"/>
        </w:rPr>
        <w:t>Development</w:t>
      </w:r>
      <w:r>
        <w:rPr>
          <w:color w:val="545456"/>
          <w:spacing w:val="-11"/>
        </w:rPr>
        <w:t xml:space="preserve"> </w:t>
      </w:r>
      <w:r>
        <w:rPr>
          <w:color w:val="545456"/>
        </w:rPr>
        <w:t>and</w:t>
      </w:r>
      <w:r>
        <w:rPr>
          <w:color w:val="545456"/>
          <w:spacing w:val="-10"/>
        </w:rPr>
        <w:t xml:space="preserve"> </w:t>
      </w:r>
      <w:r>
        <w:rPr>
          <w:color w:val="545456"/>
        </w:rPr>
        <w:t>Reform</w:t>
      </w:r>
      <w:r>
        <w:rPr>
          <w:color w:val="545456"/>
          <w:spacing w:val="-10"/>
        </w:rPr>
        <w:t xml:space="preserve"> </w:t>
      </w:r>
      <w:r>
        <w:rPr>
          <w:color w:val="545456"/>
        </w:rPr>
        <w:t>Commission</w:t>
      </w:r>
    </w:p>
    <w:p w14:paraId="0663CEDC" w14:textId="77777777" w:rsidR="0055291C" w:rsidRDefault="00F23C61">
      <w:pPr>
        <w:pStyle w:val="a3"/>
        <w:spacing w:before="1" w:line="312" w:lineRule="auto"/>
        <w:ind w:left="1133" w:right="527"/>
      </w:pPr>
      <w:r>
        <w:rPr>
          <w:color w:val="545456"/>
          <w:w w:val="95"/>
        </w:rPr>
        <w:t>Lisa</w:t>
      </w:r>
      <w:r>
        <w:rPr>
          <w:color w:val="545456"/>
          <w:spacing w:val="13"/>
          <w:w w:val="95"/>
        </w:rPr>
        <w:t xml:space="preserve"> </w:t>
      </w:r>
      <w:r>
        <w:rPr>
          <w:color w:val="545456"/>
          <w:w w:val="95"/>
        </w:rPr>
        <w:t>Grice,</w:t>
      </w:r>
      <w:r>
        <w:rPr>
          <w:color w:val="545456"/>
          <w:spacing w:val="13"/>
          <w:w w:val="95"/>
        </w:rPr>
        <w:t xml:space="preserve"> </w:t>
      </w:r>
      <w:r>
        <w:rPr>
          <w:color w:val="545456"/>
          <w:w w:val="95"/>
        </w:rPr>
        <w:t>ENVIRON</w:t>
      </w:r>
      <w:r>
        <w:rPr>
          <w:color w:val="545456"/>
          <w:spacing w:val="13"/>
          <w:w w:val="95"/>
        </w:rPr>
        <w:t xml:space="preserve"> </w:t>
      </w:r>
      <w:r>
        <w:rPr>
          <w:color w:val="545456"/>
          <w:w w:val="95"/>
        </w:rPr>
        <w:t>International</w:t>
      </w:r>
      <w:r>
        <w:rPr>
          <w:color w:val="545456"/>
          <w:spacing w:val="13"/>
          <w:w w:val="95"/>
        </w:rPr>
        <w:t xml:space="preserve"> </w:t>
      </w:r>
      <w:r>
        <w:rPr>
          <w:color w:val="545456"/>
          <w:w w:val="95"/>
        </w:rPr>
        <w:t>Corporation</w:t>
      </w:r>
      <w:r>
        <w:rPr>
          <w:color w:val="545456"/>
          <w:spacing w:val="-45"/>
          <w:w w:val="95"/>
        </w:rPr>
        <w:t xml:space="preserve"> </w:t>
      </w:r>
      <w:r>
        <w:rPr>
          <w:color w:val="545456"/>
          <w:w w:val="95"/>
        </w:rPr>
        <w:t>Dave</w:t>
      </w:r>
      <w:r>
        <w:rPr>
          <w:color w:val="545456"/>
          <w:spacing w:val="-8"/>
          <w:w w:val="95"/>
        </w:rPr>
        <w:t xml:space="preserve"> </w:t>
      </w:r>
      <w:r>
        <w:rPr>
          <w:color w:val="545456"/>
          <w:w w:val="95"/>
        </w:rPr>
        <w:t>Covell,</w:t>
      </w:r>
      <w:r>
        <w:rPr>
          <w:color w:val="545456"/>
          <w:spacing w:val="-7"/>
          <w:w w:val="95"/>
        </w:rPr>
        <w:t xml:space="preserve"> </w:t>
      </w:r>
      <w:r>
        <w:rPr>
          <w:color w:val="545456"/>
          <w:w w:val="95"/>
        </w:rPr>
        <w:t>ENVIRON</w:t>
      </w:r>
      <w:r>
        <w:rPr>
          <w:color w:val="545456"/>
          <w:spacing w:val="-8"/>
          <w:w w:val="95"/>
        </w:rPr>
        <w:t xml:space="preserve"> </w:t>
      </w:r>
      <w:r>
        <w:rPr>
          <w:color w:val="545456"/>
          <w:w w:val="95"/>
        </w:rPr>
        <w:t>UK</w:t>
      </w:r>
      <w:r>
        <w:rPr>
          <w:color w:val="545456"/>
          <w:spacing w:val="-7"/>
          <w:w w:val="95"/>
        </w:rPr>
        <w:t xml:space="preserve"> </w:t>
      </w:r>
      <w:r>
        <w:rPr>
          <w:color w:val="545456"/>
          <w:w w:val="95"/>
        </w:rPr>
        <w:t>Ltd</w:t>
      </w:r>
    </w:p>
    <w:p w14:paraId="3E038D3D" w14:textId="77777777" w:rsidR="0055291C" w:rsidRDefault="00F23C61">
      <w:pPr>
        <w:pStyle w:val="a3"/>
        <w:spacing w:before="1"/>
        <w:ind w:left="1133"/>
      </w:pPr>
      <w:proofErr w:type="spellStart"/>
      <w:r>
        <w:rPr>
          <w:color w:val="545456"/>
          <w:w w:val="95"/>
        </w:rPr>
        <w:t>Ronjoy</w:t>
      </w:r>
      <w:proofErr w:type="spellEnd"/>
      <w:r>
        <w:rPr>
          <w:color w:val="545456"/>
          <w:spacing w:val="1"/>
          <w:w w:val="95"/>
        </w:rPr>
        <w:t xml:space="preserve"> </w:t>
      </w:r>
      <w:r>
        <w:rPr>
          <w:color w:val="545456"/>
          <w:w w:val="95"/>
        </w:rPr>
        <w:t>Rajkhowa,</w:t>
      </w:r>
      <w:r>
        <w:rPr>
          <w:color w:val="545456"/>
          <w:spacing w:val="2"/>
          <w:w w:val="95"/>
        </w:rPr>
        <w:t xml:space="preserve"> </w:t>
      </w:r>
      <w:r>
        <w:rPr>
          <w:color w:val="545456"/>
          <w:w w:val="95"/>
        </w:rPr>
        <w:t>Ernst</w:t>
      </w:r>
      <w:r>
        <w:rPr>
          <w:color w:val="545456"/>
          <w:spacing w:val="1"/>
          <w:w w:val="95"/>
        </w:rPr>
        <w:t xml:space="preserve"> </w:t>
      </w:r>
      <w:r>
        <w:rPr>
          <w:color w:val="545456"/>
          <w:w w:val="95"/>
        </w:rPr>
        <w:t>&amp;</w:t>
      </w:r>
      <w:r>
        <w:rPr>
          <w:color w:val="545456"/>
          <w:spacing w:val="2"/>
          <w:w w:val="95"/>
        </w:rPr>
        <w:t xml:space="preserve"> </w:t>
      </w:r>
      <w:r>
        <w:rPr>
          <w:color w:val="545456"/>
          <w:w w:val="95"/>
        </w:rPr>
        <w:t>Young</w:t>
      </w:r>
    </w:p>
    <w:p w14:paraId="294E234B" w14:textId="77777777" w:rsidR="0055291C" w:rsidRDefault="00F23C61">
      <w:pPr>
        <w:pStyle w:val="a3"/>
        <w:spacing w:before="65" w:line="312" w:lineRule="auto"/>
        <w:ind w:left="1133" w:right="231"/>
      </w:pPr>
      <w:r>
        <w:rPr>
          <w:color w:val="545456"/>
          <w:w w:val="95"/>
        </w:rPr>
        <w:t>Pere</w:t>
      </w:r>
      <w:r>
        <w:rPr>
          <w:color w:val="545456"/>
          <w:spacing w:val="7"/>
          <w:w w:val="95"/>
        </w:rPr>
        <w:t xml:space="preserve"> </w:t>
      </w:r>
      <w:proofErr w:type="spellStart"/>
      <w:r>
        <w:rPr>
          <w:color w:val="545456"/>
          <w:w w:val="95"/>
        </w:rPr>
        <w:t>Fullana</w:t>
      </w:r>
      <w:proofErr w:type="spellEnd"/>
      <w:r>
        <w:rPr>
          <w:color w:val="545456"/>
          <w:w w:val="95"/>
        </w:rPr>
        <w:t>,</w:t>
      </w:r>
      <w:r>
        <w:rPr>
          <w:color w:val="545456"/>
          <w:spacing w:val="8"/>
          <w:w w:val="95"/>
        </w:rPr>
        <w:t xml:space="preserve"> </w:t>
      </w:r>
      <w:r>
        <w:rPr>
          <w:color w:val="545456"/>
          <w:w w:val="95"/>
        </w:rPr>
        <w:t>Escola</w:t>
      </w:r>
      <w:r>
        <w:rPr>
          <w:color w:val="545456"/>
          <w:spacing w:val="8"/>
          <w:w w:val="95"/>
        </w:rPr>
        <w:t xml:space="preserve"> </w:t>
      </w:r>
      <w:r>
        <w:rPr>
          <w:color w:val="545456"/>
          <w:w w:val="95"/>
        </w:rPr>
        <w:t>Superior</w:t>
      </w:r>
      <w:r>
        <w:rPr>
          <w:color w:val="545456"/>
          <w:spacing w:val="8"/>
          <w:w w:val="95"/>
        </w:rPr>
        <w:t xml:space="preserve"> </w:t>
      </w:r>
      <w:r>
        <w:rPr>
          <w:color w:val="545456"/>
          <w:w w:val="95"/>
        </w:rPr>
        <w:t>de</w:t>
      </w:r>
      <w:r>
        <w:rPr>
          <w:color w:val="545456"/>
          <w:spacing w:val="8"/>
          <w:w w:val="95"/>
        </w:rPr>
        <w:t xml:space="preserve"> </w:t>
      </w:r>
      <w:proofErr w:type="spellStart"/>
      <w:r>
        <w:rPr>
          <w:color w:val="545456"/>
          <w:w w:val="95"/>
        </w:rPr>
        <w:t>Comerc</w:t>
      </w:r>
      <w:proofErr w:type="spellEnd"/>
      <w:r>
        <w:rPr>
          <w:color w:val="545456"/>
          <w:spacing w:val="8"/>
          <w:w w:val="95"/>
        </w:rPr>
        <w:t xml:space="preserve"> </w:t>
      </w:r>
      <w:proofErr w:type="spellStart"/>
      <w:r>
        <w:rPr>
          <w:color w:val="545456"/>
          <w:w w:val="95"/>
        </w:rPr>
        <w:t>Internacional</w:t>
      </w:r>
      <w:proofErr w:type="spellEnd"/>
      <w:r>
        <w:rPr>
          <w:color w:val="545456"/>
          <w:spacing w:val="-45"/>
          <w:w w:val="95"/>
        </w:rPr>
        <w:t xml:space="preserve"> </w:t>
      </w:r>
      <w:r>
        <w:rPr>
          <w:color w:val="545456"/>
        </w:rPr>
        <w:t>Niels</w:t>
      </w:r>
      <w:r>
        <w:rPr>
          <w:color w:val="545456"/>
          <w:spacing w:val="-13"/>
        </w:rPr>
        <w:t xml:space="preserve"> </w:t>
      </w:r>
      <w:proofErr w:type="spellStart"/>
      <w:r>
        <w:rPr>
          <w:color w:val="545456"/>
        </w:rPr>
        <w:t>Jungbluth</w:t>
      </w:r>
      <w:proofErr w:type="spellEnd"/>
      <w:r>
        <w:rPr>
          <w:color w:val="545456"/>
        </w:rPr>
        <w:t>,</w:t>
      </w:r>
      <w:r>
        <w:rPr>
          <w:color w:val="545456"/>
          <w:spacing w:val="-12"/>
        </w:rPr>
        <w:t xml:space="preserve"> </w:t>
      </w:r>
      <w:r>
        <w:rPr>
          <w:color w:val="545456"/>
        </w:rPr>
        <w:t>ESU-services</w:t>
      </w:r>
      <w:r>
        <w:rPr>
          <w:color w:val="545456"/>
          <w:spacing w:val="-12"/>
        </w:rPr>
        <w:t xml:space="preserve"> </w:t>
      </w:r>
      <w:r>
        <w:rPr>
          <w:color w:val="545456"/>
        </w:rPr>
        <w:t>Ltd.</w:t>
      </w:r>
    </w:p>
    <w:p w14:paraId="35ACCEAF" w14:textId="77777777" w:rsidR="0055291C" w:rsidRDefault="00F23C61">
      <w:pPr>
        <w:pStyle w:val="a3"/>
        <w:spacing w:before="1"/>
        <w:ind w:left="1133"/>
      </w:pPr>
      <w:r>
        <w:rPr>
          <w:color w:val="545456"/>
          <w:spacing w:val="-1"/>
        </w:rPr>
        <w:t>Alex</w:t>
      </w:r>
      <w:r>
        <w:rPr>
          <w:color w:val="545456"/>
          <w:spacing w:val="-11"/>
        </w:rPr>
        <w:t xml:space="preserve"> </w:t>
      </w:r>
      <w:proofErr w:type="spellStart"/>
      <w:r>
        <w:rPr>
          <w:color w:val="545456"/>
          <w:spacing w:val="-1"/>
        </w:rPr>
        <w:t>Loijos</w:t>
      </w:r>
      <w:proofErr w:type="spellEnd"/>
      <w:r>
        <w:rPr>
          <w:color w:val="545456"/>
          <w:spacing w:val="-1"/>
        </w:rPr>
        <w:t>,</w:t>
      </w:r>
      <w:r>
        <w:rPr>
          <w:color w:val="545456"/>
          <w:spacing w:val="-10"/>
        </w:rPr>
        <w:t xml:space="preserve"> </w:t>
      </w:r>
      <w:proofErr w:type="spellStart"/>
      <w:r>
        <w:rPr>
          <w:color w:val="545456"/>
          <w:spacing w:val="-1"/>
        </w:rPr>
        <w:t>FoodPrint</w:t>
      </w:r>
      <w:proofErr w:type="spellEnd"/>
    </w:p>
    <w:p w14:paraId="4181F2A1" w14:textId="77777777" w:rsidR="0055291C" w:rsidRDefault="00F23C61">
      <w:pPr>
        <w:pStyle w:val="a3"/>
        <w:spacing w:before="65" w:line="312" w:lineRule="auto"/>
        <w:ind w:left="1133" w:right="1395"/>
      </w:pPr>
      <w:r>
        <w:rPr>
          <w:color w:val="545456"/>
          <w:w w:val="95"/>
        </w:rPr>
        <w:t>Angela Fisher, GE Global Research</w:t>
      </w:r>
      <w:r>
        <w:rPr>
          <w:color w:val="545456"/>
          <w:spacing w:val="1"/>
          <w:w w:val="95"/>
        </w:rPr>
        <w:t xml:space="preserve"> </w:t>
      </w:r>
      <w:r>
        <w:rPr>
          <w:color w:val="545456"/>
          <w:spacing w:val="-1"/>
          <w:w w:val="95"/>
        </w:rPr>
        <w:t>William</w:t>
      </w:r>
      <w:r>
        <w:rPr>
          <w:color w:val="545456"/>
          <w:spacing w:val="-9"/>
          <w:w w:val="95"/>
        </w:rPr>
        <w:t xml:space="preserve"> </w:t>
      </w:r>
      <w:r>
        <w:rPr>
          <w:color w:val="545456"/>
          <w:spacing w:val="-1"/>
          <w:w w:val="95"/>
        </w:rPr>
        <w:t>P.</w:t>
      </w:r>
      <w:r>
        <w:rPr>
          <w:color w:val="545456"/>
          <w:spacing w:val="-8"/>
          <w:w w:val="95"/>
        </w:rPr>
        <w:t xml:space="preserve"> </w:t>
      </w:r>
      <w:r>
        <w:rPr>
          <w:color w:val="545456"/>
          <w:spacing w:val="-1"/>
          <w:w w:val="95"/>
        </w:rPr>
        <w:t>Flanagan,</w:t>
      </w:r>
      <w:r>
        <w:rPr>
          <w:color w:val="545456"/>
          <w:spacing w:val="-8"/>
          <w:w w:val="95"/>
        </w:rPr>
        <w:t xml:space="preserve"> </w:t>
      </w:r>
      <w:r>
        <w:rPr>
          <w:color w:val="545456"/>
          <w:spacing w:val="-1"/>
          <w:w w:val="95"/>
        </w:rPr>
        <w:t>GE</w:t>
      </w:r>
      <w:r>
        <w:rPr>
          <w:color w:val="545456"/>
          <w:spacing w:val="-8"/>
          <w:w w:val="95"/>
        </w:rPr>
        <w:t xml:space="preserve"> </w:t>
      </w:r>
      <w:r>
        <w:rPr>
          <w:color w:val="545456"/>
          <w:spacing w:val="-1"/>
          <w:w w:val="95"/>
        </w:rPr>
        <w:t>Global</w:t>
      </w:r>
      <w:r>
        <w:rPr>
          <w:color w:val="545456"/>
          <w:spacing w:val="-8"/>
          <w:w w:val="95"/>
        </w:rPr>
        <w:t xml:space="preserve"> </w:t>
      </w:r>
      <w:r>
        <w:rPr>
          <w:color w:val="545456"/>
          <w:w w:val="95"/>
        </w:rPr>
        <w:t>Research</w:t>
      </w:r>
      <w:r>
        <w:rPr>
          <w:color w:val="545456"/>
          <w:spacing w:val="-45"/>
          <w:w w:val="95"/>
        </w:rPr>
        <w:t xml:space="preserve"> </w:t>
      </w:r>
      <w:r>
        <w:rPr>
          <w:color w:val="545456"/>
          <w:w w:val="95"/>
        </w:rPr>
        <w:t>Jacob</w:t>
      </w:r>
      <w:r>
        <w:rPr>
          <w:color w:val="545456"/>
          <w:spacing w:val="1"/>
          <w:w w:val="95"/>
        </w:rPr>
        <w:t xml:space="preserve"> </w:t>
      </w:r>
      <w:r>
        <w:rPr>
          <w:color w:val="545456"/>
          <w:w w:val="95"/>
        </w:rPr>
        <w:t>Park,</w:t>
      </w:r>
      <w:r>
        <w:rPr>
          <w:color w:val="545456"/>
          <w:spacing w:val="1"/>
          <w:w w:val="95"/>
        </w:rPr>
        <w:t xml:space="preserve"> </w:t>
      </w:r>
      <w:r>
        <w:rPr>
          <w:color w:val="545456"/>
          <w:w w:val="95"/>
        </w:rPr>
        <w:t>Green</w:t>
      </w:r>
      <w:r>
        <w:rPr>
          <w:color w:val="545456"/>
          <w:spacing w:val="1"/>
          <w:w w:val="95"/>
        </w:rPr>
        <w:t xml:space="preserve"> </w:t>
      </w:r>
      <w:r>
        <w:rPr>
          <w:color w:val="545456"/>
          <w:w w:val="95"/>
        </w:rPr>
        <w:t>Mountain</w:t>
      </w:r>
      <w:r>
        <w:rPr>
          <w:color w:val="545456"/>
          <w:spacing w:val="2"/>
          <w:w w:val="95"/>
        </w:rPr>
        <w:t xml:space="preserve"> </w:t>
      </w:r>
      <w:r>
        <w:rPr>
          <w:color w:val="545456"/>
          <w:w w:val="95"/>
        </w:rPr>
        <w:t>College</w:t>
      </w:r>
      <w:r>
        <w:rPr>
          <w:color w:val="545456"/>
          <w:spacing w:val="1"/>
          <w:w w:val="95"/>
        </w:rPr>
        <w:t xml:space="preserve"> </w:t>
      </w:r>
      <w:r>
        <w:rPr>
          <w:color w:val="545456"/>
          <w:w w:val="95"/>
        </w:rPr>
        <w:t>Shannon</w:t>
      </w:r>
      <w:r>
        <w:rPr>
          <w:color w:val="545456"/>
          <w:spacing w:val="-2"/>
          <w:w w:val="95"/>
        </w:rPr>
        <w:t xml:space="preserve"> </w:t>
      </w:r>
      <w:proofErr w:type="spellStart"/>
      <w:r>
        <w:rPr>
          <w:color w:val="545456"/>
          <w:w w:val="95"/>
        </w:rPr>
        <w:t>Binns</w:t>
      </w:r>
      <w:proofErr w:type="spellEnd"/>
      <w:r>
        <w:rPr>
          <w:color w:val="545456"/>
          <w:w w:val="95"/>
        </w:rPr>
        <w:t>,</w:t>
      </w:r>
      <w:r>
        <w:rPr>
          <w:color w:val="545456"/>
          <w:spacing w:val="-2"/>
          <w:w w:val="95"/>
        </w:rPr>
        <w:t xml:space="preserve"> </w:t>
      </w:r>
      <w:r>
        <w:rPr>
          <w:color w:val="545456"/>
          <w:w w:val="95"/>
        </w:rPr>
        <w:t>Green</w:t>
      </w:r>
      <w:r>
        <w:rPr>
          <w:color w:val="545456"/>
          <w:spacing w:val="-1"/>
          <w:w w:val="95"/>
        </w:rPr>
        <w:t xml:space="preserve"> </w:t>
      </w:r>
      <w:r>
        <w:rPr>
          <w:color w:val="545456"/>
          <w:w w:val="95"/>
        </w:rPr>
        <w:t>Press</w:t>
      </w:r>
      <w:r>
        <w:rPr>
          <w:color w:val="545456"/>
          <w:spacing w:val="-2"/>
          <w:w w:val="95"/>
        </w:rPr>
        <w:t xml:space="preserve"> </w:t>
      </w:r>
      <w:r>
        <w:rPr>
          <w:color w:val="545456"/>
          <w:w w:val="95"/>
        </w:rPr>
        <w:t>Initiative</w:t>
      </w:r>
    </w:p>
    <w:p w14:paraId="3145E946" w14:textId="77777777" w:rsidR="0055291C" w:rsidRDefault="00F23C61">
      <w:pPr>
        <w:pStyle w:val="a3"/>
        <w:spacing w:before="2" w:line="312" w:lineRule="auto"/>
        <w:ind w:left="1133" w:right="527"/>
      </w:pPr>
      <w:r>
        <w:rPr>
          <w:color w:val="545456"/>
          <w:w w:val="95"/>
        </w:rPr>
        <w:t>Prasad</w:t>
      </w:r>
      <w:r>
        <w:rPr>
          <w:color w:val="545456"/>
          <w:spacing w:val="16"/>
          <w:w w:val="95"/>
        </w:rPr>
        <w:t xml:space="preserve"> </w:t>
      </w:r>
      <w:proofErr w:type="spellStart"/>
      <w:r>
        <w:rPr>
          <w:color w:val="545456"/>
          <w:w w:val="95"/>
        </w:rPr>
        <w:t>Modak</w:t>
      </w:r>
      <w:proofErr w:type="spellEnd"/>
      <w:r>
        <w:rPr>
          <w:color w:val="545456"/>
          <w:w w:val="95"/>
        </w:rPr>
        <w:t>,</w:t>
      </w:r>
      <w:r>
        <w:rPr>
          <w:color w:val="545456"/>
          <w:spacing w:val="16"/>
          <w:w w:val="95"/>
        </w:rPr>
        <w:t xml:space="preserve"> </w:t>
      </w:r>
      <w:r>
        <w:rPr>
          <w:color w:val="545456"/>
          <w:w w:val="95"/>
        </w:rPr>
        <w:t>Green</w:t>
      </w:r>
      <w:r>
        <w:rPr>
          <w:color w:val="545456"/>
          <w:spacing w:val="16"/>
          <w:w w:val="95"/>
        </w:rPr>
        <w:t xml:space="preserve"> </w:t>
      </w:r>
      <w:r>
        <w:rPr>
          <w:color w:val="545456"/>
          <w:w w:val="95"/>
        </w:rPr>
        <w:t>Purchasing</w:t>
      </w:r>
      <w:r>
        <w:rPr>
          <w:color w:val="545456"/>
          <w:spacing w:val="16"/>
          <w:w w:val="95"/>
        </w:rPr>
        <w:t xml:space="preserve"> </w:t>
      </w:r>
      <w:r>
        <w:rPr>
          <w:color w:val="545456"/>
          <w:w w:val="95"/>
        </w:rPr>
        <w:t>Network</w:t>
      </w:r>
      <w:r>
        <w:rPr>
          <w:color w:val="545456"/>
          <w:spacing w:val="16"/>
          <w:w w:val="95"/>
        </w:rPr>
        <w:t xml:space="preserve"> </w:t>
      </w:r>
      <w:r>
        <w:rPr>
          <w:color w:val="545456"/>
          <w:w w:val="95"/>
        </w:rPr>
        <w:t>of</w:t>
      </w:r>
      <w:r>
        <w:rPr>
          <w:color w:val="545456"/>
          <w:spacing w:val="16"/>
          <w:w w:val="95"/>
        </w:rPr>
        <w:t xml:space="preserve"> </w:t>
      </w:r>
      <w:r>
        <w:rPr>
          <w:color w:val="545456"/>
          <w:w w:val="95"/>
        </w:rPr>
        <w:t>India</w:t>
      </w:r>
      <w:r>
        <w:rPr>
          <w:color w:val="545456"/>
          <w:spacing w:val="-45"/>
          <w:w w:val="95"/>
        </w:rPr>
        <w:t xml:space="preserve"> </w:t>
      </w:r>
      <w:r>
        <w:rPr>
          <w:color w:val="545456"/>
          <w:w w:val="95"/>
        </w:rPr>
        <w:t>Shantanu</w:t>
      </w:r>
      <w:r>
        <w:rPr>
          <w:color w:val="545456"/>
          <w:spacing w:val="11"/>
          <w:w w:val="95"/>
        </w:rPr>
        <w:t xml:space="preserve"> </w:t>
      </w:r>
      <w:r>
        <w:rPr>
          <w:color w:val="545456"/>
          <w:w w:val="95"/>
        </w:rPr>
        <w:t>Roy,</w:t>
      </w:r>
      <w:r>
        <w:rPr>
          <w:color w:val="545456"/>
          <w:spacing w:val="11"/>
          <w:w w:val="95"/>
        </w:rPr>
        <w:t xml:space="preserve"> </w:t>
      </w:r>
      <w:r>
        <w:rPr>
          <w:color w:val="545456"/>
          <w:w w:val="95"/>
        </w:rPr>
        <w:t>Green</w:t>
      </w:r>
      <w:r>
        <w:rPr>
          <w:color w:val="545456"/>
          <w:spacing w:val="12"/>
          <w:w w:val="95"/>
        </w:rPr>
        <w:t xml:space="preserve"> </w:t>
      </w:r>
      <w:r>
        <w:rPr>
          <w:color w:val="545456"/>
          <w:w w:val="95"/>
        </w:rPr>
        <w:t>Purchasing</w:t>
      </w:r>
      <w:r>
        <w:rPr>
          <w:color w:val="545456"/>
          <w:spacing w:val="11"/>
          <w:w w:val="95"/>
        </w:rPr>
        <w:t xml:space="preserve"> </w:t>
      </w:r>
      <w:r>
        <w:rPr>
          <w:color w:val="545456"/>
          <w:w w:val="95"/>
        </w:rPr>
        <w:t>Network</w:t>
      </w:r>
      <w:r>
        <w:rPr>
          <w:color w:val="545456"/>
          <w:spacing w:val="12"/>
          <w:w w:val="95"/>
        </w:rPr>
        <w:t xml:space="preserve"> </w:t>
      </w:r>
      <w:r>
        <w:rPr>
          <w:color w:val="545456"/>
          <w:w w:val="95"/>
        </w:rPr>
        <w:t>of</w:t>
      </w:r>
      <w:r>
        <w:rPr>
          <w:color w:val="545456"/>
          <w:spacing w:val="11"/>
          <w:w w:val="95"/>
        </w:rPr>
        <w:t xml:space="preserve"> </w:t>
      </w:r>
      <w:r>
        <w:rPr>
          <w:color w:val="545456"/>
          <w:w w:val="95"/>
        </w:rPr>
        <w:t>India</w:t>
      </w:r>
    </w:p>
    <w:p w14:paraId="6212F3A6" w14:textId="77777777" w:rsidR="0055291C" w:rsidRDefault="00F23C61">
      <w:pPr>
        <w:pStyle w:val="a3"/>
        <w:spacing w:before="1" w:line="312" w:lineRule="auto"/>
        <w:ind w:left="1133" w:right="141"/>
      </w:pPr>
      <w:r>
        <w:rPr>
          <w:color w:val="545456"/>
          <w:w w:val="95"/>
        </w:rPr>
        <w:t>Tom</w:t>
      </w:r>
      <w:r>
        <w:rPr>
          <w:color w:val="545456"/>
          <w:spacing w:val="22"/>
          <w:w w:val="95"/>
        </w:rPr>
        <w:t xml:space="preserve"> </w:t>
      </w:r>
      <w:r>
        <w:rPr>
          <w:color w:val="545456"/>
          <w:w w:val="95"/>
        </w:rPr>
        <w:t>Baumann,</w:t>
      </w:r>
      <w:r>
        <w:rPr>
          <w:color w:val="545456"/>
          <w:spacing w:val="22"/>
          <w:w w:val="95"/>
        </w:rPr>
        <w:t xml:space="preserve"> </w:t>
      </w:r>
      <w:r>
        <w:rPr>
          <w:color w:val="545456"/>
          <w:w w:val="95"/>
        </w:rPr>
        <w:t>Greenhouse</w:t>
      </w:r>
      <w:r>
        <w:rPr>
          <w:color w:val="545456"/>
          <w:spacing w:val="22"/>
          <w:w w:val="95"/>
        </w:rPr>
        <w:t xml:space="preserve"> </w:t>
      </w:r>
      <w:r>
        <w:rPr>
          <w:color w:val="545456"/>
          <w:w w:val="95"/>
        </w:rPr>
        <w:t>Gas</w:t>
      </w:r>
      <w:r>
        <w:rPr>
          <w:color w:val="545456"/>
          <w:spacing w:val="22"/>
          <w:w w:val="95"/>
        </w:rPr>
        <w:t xml:space="preserve"> </w:t>
      </w:r>
      <w:r>
        <w:rPr>
          <w:color w:val="545456"/>
          <w:w w:val="95"/>
        </w:rPr>
        <w:t>Management</w:t>
      </w:r>
      <w:r>
        <w:rPr>
          <w:color w:val="545456"/>
          <w:spacing w:val="22"/>
          <w:w w:val="95"/>
        </w:rPr>
        <w:t xml:space="preserve"> </w:t>
      </w:r>
      <w:r>
        <w:rPr>
          <w:color w:val="545456"/>
          <w:w w:val="95"/>
        </w:rPr>
        <w:t>Institute</w:t>
      </w:r>
      <w:r>
        <w:rPr>
          <w:color w:val="545456"/>
          <w:spacing w:val="-45"/>
          <w:w w:val="95"/>
        </w:rPr>
        <w:t xml:space="preserve"> </w:t>
      </w:r>
      <w:r>
        <w:rPr>
          <w:color w:val="545456"/>
          <w:w w:val="95"/>
        </w:rPr>
        <w:t>Michael</w:t>
      </w:r>
      <w:r>
        <w:rPr>
          <w:color w:val="545456"/>
          <w:spacing w:val="-7"/>
          <w:w w:val="95"/>
        </w:rPr>
        <w:t xml:space="preserve"> </w:t>
      </w:r>
      <w:proofErr w:type="spellStart"/>
      <w:r>
        <w:rPr>
          <w:color w:val="545456"/>
          <w:w w:val="95"/>
        </w:rPr>
        <w:t>Gillenwater</w:t>
      </w:r>
      <w:proofErr w:type="spellEnd"/>
      <w:r>
        <w:rPr>
          <w:color w:val="545456"/>
          <w:w w:val="95"/>
        </w:rPr>
        <w:t>,</w:t>
      </w:r>
      <w:r>
        <w:rPr>
          <w:color w:val="545456"/>
          <w:spacing w:val="-6"/>
          <w:w w:val="95"/>
        </w:rPr>
        <w:t xml:space="preserve"> </w:t>
      </w:r>
      <w:r>
        <w:rPr>
          <w:color w:val="545456"/>
          <w:w w:val="95"/>
        </w:rPr>
        <w:t>Greenhouse</w:t>
      </w:r>
      <w:r>
        <w:rPr>
          <w:color w:val="545456"/>
          <w:spacing w:val="-6"/>
          <w:w w:val="95"/>
        </w:rPr>
        <w:t xml:space="preserve"> </w:t>
      </w:r>
      <w:r>
        <w:rPr>
          <w:color w:val="545456"/>
          <w:w w:val="95"/>
        </w:rPr>
        <w:t>Gas</w:t>
      </w:r>
    </w:p>
    <w:p w14:paraId="0C1A239D" w14:textId="77777777" w:rsidR="0055291C" w:rsidRDefault="00F23C61">
      <w:pPr>
        <w:pStyle w:val="a3"/>
        <w:spacing w:line="312" w:lineRule="auto"/>
        <w:ind w:left="1133" w:right="2198" w:firstLine="226"/>
      </w:pPr>
      <w:r>
        <w:rPr>
          <w:color w:val="545456"/>
        </w:rPr>
        <w:t>Management</w:t>
      </w:r>
      <w:r>
        <w:rPr>
          <w:color w:val="545456"/>
          <w:spacing w:val="13"/>
        </w:rPr>
        <w:t xml:space="preserve"> </w:t>
      </w:r>
      <w:r>
        <w:rPr>
          <w:color w:val="545456"/>
        </w:rPr>
        <w:t>Institute</w:t>
      </w:r>
      <w:r>
        <w:rPr>
          <w:color w:val="545456"/>
          <w:spacing w:val="-48"/>
        </w:rPr>
        <w:t xml:space="preserve"> </w:t>
      </w:r>
      <w:r>
        <w:rPr>
          <w:color w:val="545456"/>
          <w:w w:val="95"/>
        </w:rPr>
        <w:t>Pablo</w:t>
      </w:r>
      <w:r>
        <w:rPr>
          <w:color w:val="545456"/>
          <w:spacing w:val="-7"/>
          <w:w w:val="95"/>
        </w:rPr>
        <w:t xml:space="preserve"> </w:t>
      </w:r>
      <w:proofErr w:type="spellStart"/>
      <w:r>
        <w:rPr>
          <w:color w:val="545456"/>
          <w:w w:val="95"/>
        </w:rPr>
        <w:t>Päster</w:t>
      </w:r>
      <w:proofErr w:type="spellEnd"/>
      <w:r>
        <w:rPr>
          <w:color w:val="545456"/>
          <w:w w:val="95"/>
        </w:rPr>
        <w:t>,</w:t>
      </w:r>
      <w:r>
        <w:rPr>
          <w:color w:val="545456"/>
          <w:spacing w:val="-7"/>
          <w:w w:val="95"/>
        </w:rPr>
        <w:t xml:space="preserve"> </w:t>
      </w:r>
      <w:r>
        <w:rPr>
          <w:color w:val="545456"/>
          <w:w w:val="95"/>
        </w:rPr>
        <w:t>Hara</w:t>
      </w:r>
    </w:p>
    <w:p w14:paraId="61D4FE9F" w14:textId="77777777" w:rsidR="0055291C" w:rsidRDefault="00F23C61">
      <w:pPr>
        <w:pStyle w:val="a3"/>
        <w:spacing w:before="1" w:line="312" w:lineRule="auto"/>
        <w:ind w:left="1133" w:right="803"/>
      </w:pPr>
      <w:r>
        <w:rPr>
          <w:color w:val="545456"/>
          <w:w w:val="95"/>
        </w:rPr>
        <w:t>Terrie</w:t>
      </w:r>
      <w:r>
        <w:rPr>
          <w:color w:val="545456"/>
          <w:spacing w:val="7"/>
          <w:w w:val="95"/>
        </w:rPr>
        <w:t xml:space="preserve"> </w:t>
      </w:r>
      <w:r>
        <w:rPr>
          <w:color w:val="545456"/>
          <w:w w:val="95"/>
        </w:rPr>
        <w:t>K.</w:t>
      </w:r>
      <w:r>
        <w:rPr>
          <w:color w:val="545456"/>
          <w:spacing w:val="7"/>
          <w:w w:val="95"/>
        </w:rPr>
        <w:t xml:space="preserve"> </w:t>
      </w:r>
      <w:r>
        <w:rPr>
          <w:color w:val="545456"/>
          <w:w w:val="95"/>
        </w:rPr>
        <w:t>Boguski,</w:t>
      </w:r>
      <w:r>
        <w:rPr>
          <w:color w:val="545456"/>
          <w:spacing w:val="8"/>
          <w:w w:val="95"/>
        </w:rPr>
        <w:t xml:space="preserve"> </w:t>
      </w:r>
      <w:r>
        <w:rPr>
          <w:color w:val="545456"/>
          <w:w w:val="95"/>
        </w:rPr>
        <w:t>Harmony</w:t>
      </w:r>
      <w:r>
        <w:rPr>
          <w:color w:val="545456"/>
          <w:spacing w:val="7"/>
          <w:w w:val="95"/>
        </w:rPr>
        <w:t xml:space="preserve"> </w:t>
      </w:r>
      <w:r>
        <w:rPr>
          <w:color w:val="545456"/>
          <w:w w:val="95"/>
        </w:rPr>
        <w:t>Environmental,</w:t>
      </w:r>
      <w:r>
        <w:rPr>
          <w:color w:val="545456"/>
          <w:spacing w:val="8"/>
          <w:w w:val="95"/>
        </w:rPr>
        <w:t xml:space="preserve"> </w:t>
      </w:r>
      <w:r>
        <w:rPr>
          <w:color w:val="545456"/>
          <w:w w:val="95"/>
        </w:rPr>
        <w:t>LLC</w:t>
      </w:r>
      <w:r>
        <w:rPr>
          <w:color w:val="545456"/>
          <w:spacing w:val="-45"/>
          <w:w w:val="95"/>
        </w:rPr>
        <w:t xml:space="preserve"> </w:t>
      </w:r>
      <w:r>
        <w:rPr>
          <w:color w:val="545456"/>
          <w:w w:val="95"/>
        </w:rPr>
        <w:t>Paul</w:t>
      </w:r>
      <w:r>
        <w:rPr>
          <w:color w:val="545456"/>
          <w:spacing w:val="-7"/>
          <w:w w:val="95"/>
        </w:rPr>
        <w:t xml:space="preserve"> </w:t>
      </w:r>
      <w:proofErr w:type="spellStart"/>
      <w:r>
        <w:rPr>
          <w:color w:val="545456"/>
          <w:w w:val="95"/>
        </w:rPr>
        <w:t>Shabajee</w:t>
      </w:r>
      <w:proofErr w:type="spellEnd"/>
      <w:r>
        <w:rPr>
          <w:color w:val="545456"/>
          <w:w w:val="95"/>
        </w:rPr>
        <w:t>,</w:t>
      </w:r>
      <w:r>
        <w:rPr>
          <w:color w:val="545456"/>
          <w:spacing w:val="-6"/>
          <w:w w:val="95"/>
        </w:rPr>
        <w:t xml:space="preserve"> </w:t>
      </w:r>
      <w:r>
        <w:rPr>
          <w:color w:val="545456"/>
          <w:w w:val="95"/>
        </w:rPr>
        <w:t>Hewlett-Packard</w:t>
      </w:r>
    </w:p>
    <w:p w14:paraId="433909A1" w14:textId="77777777" w:rsidR="0055291C" w:rsidRDefault="00F23C61">
      <w:pPr>
        <w:pStyle w:val="a3"/>
        <w:spacing w:before="1"/>
        <w:ind w:left="1133"/>
      </w:pPr>
      <w:proofErr w:type="spellStart"/>
      <w:r>
        <w:rPr>
          <w:color w:val="545456"/>
          <w:w w:val="95"/>
        </w:rPr>
        <w:t>Olle</w:t>
      </w:r>
      <w:proofErr w:type="spellEnd"/>
      <w:r>
        <w:rPr>
          <w:color w:val="545456"/>
          <w:spacing w:val="6"/>
          <w:w w:val="95"/>
        </w:rPr>
        <w:t xml:space="preserve"> </w:t>
      </w:r>
      <w:proofErr w:type="spellStart"/>
      <w:r>
        <w:rPr>
          <w:color w:val="545456"/>
          <w:w w:val="95"/>
        </w:rPr>
        <w:t>Blidholm</w:t>
      </w:r>
      <w:proofErr w:type="spellEnd"/>
      <w:r>
        <w:rPr>
          <w:color w:val="545456"/>
          <w:w w:val="95"/>
        </w:rPr>
        <w:t>,</w:t>
      </w:r>
      <w:r>
        <w:rPr>
          <w:color w:val="545456"/>
          <w:spacing w:val="7"/>
          <w:w w:val="95"/>
        </w:rPr>
        <w:t xml:space="preserve"> </w:t>
      </w:r>
      <w:r>
        <w:rPr>
          <w:color w:val="545456"/>
          <w:w w:val="95"/>
        </w:rPr>
        <w:t>IKEA</w:t>
      </w:r>
      <w:r>
        <w:rPr>
          <w:color w:val="545456"/>
          <w:spacing w:val="7"/>
          <w:w w:val="95"/>
        </w:rPr>
        <w:t xml:space="preserve"> </w:t>
      </w:r>
      <w:r>
        <w:rPr>
          <w:color w:val="545456"/>
          <w:w w:val="95"/>
        </w:rPr>
        <w:t>Group</w:t>
      </w:r>
    </w:p>
    <w:p w14:paraId="7E334698" w14:textId="77777777" w:rsidR="0055291C" w:rsidRDefault="00F23C61">
      <w:pPr>
        <w:pStyle w:val="a3"/>
        <w:spacing w:before="65"/>
        <w:ind w:left="1133"/>
      </w:pPr>
      <w:r>
        <w:rPr>
          <w:color w:val="545456"/>
          <w:w w:val="95"/>
        </w:rPr>
        <w:t>Xander</w:t>
      </w:r>
      <w:r>
        <w:rPr>
          <w:color w:val="545456"/>
          <w:spacing w:val="-2"/>
          <w:w w:val="95"/>
        </w:rPr>
        <w:t xml:space="preserve"> </w:t>
      </w:r>
      <w:r>
        <w:rPr>
          <w:color w:val="545456"/>
          <w:w w:val="95"/>
        </w:rPr>
        <w:t>van</w:t>
      </w:r>
      <w:r>
        <w:rPr>
          <w:color w:val="545456"/>
          <w:spacing w:val="-1"/>
          <w:w w:val="95"/>
        </w:rPr>
        <w:t xml:space="preserve"> </w:t>
      </w:r>
      <w:r>
        <w:rPr>
          <w:color w:val="545456"/>
          <w:w w:val="95"/>
        </w:rPr>
        <w:t>der</w:t>
      </w:r>
      <w:r>
        <w:rPr>
          <w:color w:val="545456"/>
          <w:spacing w:val="-2"/>
          <w:w w:val="95"/>
        </w:rPr>
        <w:t xml:space="preserve"> </w:t>
      </w:r>
      <w:r>
        <w:rPr>
          <w:color w:val="545456"/>
          <w:w w:val="95"/>
        </w:rPr>
        <w:t>Spree,</w:t>
      </w:r>
      <w:r>
        <w:rPr>
          <w:color w:val="545456"/>
          <w:spacing w:val="-1"/>
          <w:w w:val="95"/>
        </w:rPr>
        <w:t xml:space="preserve"> </w:t>
      </w:r>
      <w:r>
        <w:rPr>
          <w:color w:val="545456"/>
          <w:w w:val="95"/>
        </w:rPr>
        <w:t>IKEA</w:t>
      </w:r>
      <w:r>
        <w:rPr>
          <w:color w:val="545456"/>
          <w:spacing w:val="-2"/>
          <w:w w:val="95"/>
        </w:rPr>
        <w:t xml:space="preserve"> </w:t>
      </w:r>
      <w:r>
        <w:rPr>
          <w:color w:val="545456"/>
          <w:w w:val="95"/>
        </w:rPr>
        <w:t>Group</w:t>
      </w:r>
    </w:p>
    <w:p w14:paraId="10281EA5" w14:textId="77777777" w:rsidR="0055291C" w:rsidRDefault="00F23C61">
      <w:pPr>
        <w:pStyle w:val="a3"/>
        <w:spacing w:before="65" w:line="312" w:lineRule="auto"/>
        <w:ind w:left="1176" w:right="894" w:hanging="43"/>
      </w:pPr>
      <w:r>
        <w:rPr>
          <w:color w:val="545456"/>
          <w:spacing w:val="-1"/>
        </w:rPr>
        <w:t>Luis</w:t>
      </w:r>
      <w:r>
        <w:rPr>
          <w:color w:val="545456"/>
          <w:spacing w:val="-11"/>
        </w:rPr>
        <w:t xml:space="preserve"> </w:t>
      </w:r>
      <w:r>
        <w:rPr>
          <w:color w:val="545456"/>
          <w:spacing w:val="-1"/>
        </w:rPr>
        <w:t>G.</w:t>
      </w:r>
      <w:r>
        <w:rPr>
          <w:color w:val="545456"/>
          <w:spacing w:val="-10"/>
        </w:rPr>
        <w:t xml:space="preserve"> </w:t>
      </w:r>
      <w:r>
        <w:rPr>
          <w:color w:val="545456"/>
          <w:spacing w:val="-1"/>
        </w:rPr>
        <w:t>Huertas,</w:t>
      </w:r>
      <w:r>
        <w:rPr>
          <w:color w:val="545456"/>
          <w:spacing w:val="-11"/>
        </w:rPr>
        <w:t xml:space="preserve"> </w:t>
      </w:r>
      <w:r>
        <w:rPr>
          <w:color w:val="545456"/>
          <w:spacing w:val="-1"/>
        </w:rPr>
        <w:t>Independent</w:t>
      </w:r>
      <w:r>
        <w:rPr>
          <w:color w:val="545456"/>
          <w:spacing w:val="-10"/>
        </w:rPr>
        <w:t xml:space="preserve"> </w:t>
      </w:r>
      <w:r>
        <w:rPr>
          <w:color w:val="545456"/>
        </w:rPr>
        <w:t>Architect</w:t>
      </w:r>
      <w:r>
        <w:rPr>
          <w:color w:val="545456"/>
          <w:spacing w:val="-48"/>
        </w:rPr>
        <w:t xml:space="preserve"> </w:t>
      </w:r>
      <w:r>
        <w:rPr>
          <w:color w:val="545456"/>
        </w:rPr>
        <w:t>Angeline</w:t>
      </w:r>
      <w:r>
        <w:rPr>
          <w:color w:val="545456"/>
          <w:spacing w:val="-11"/>
        </w:rPr>
        <w:t xml:space="preserve"> </w:t>
      </w:r>
      <w:r>
        <w:rPr>
          <w:color w:val="545456"/>
        </w:rPr>
        <w:t>de</w:t>
      </w:r>
      <w:r>
        <w:rPr>
          <w:color w:val="545456"/>
          <w:spacing w:val="-11"/>
        </w:rPr>
        <w:t xml:space="preserve"> </w:t>
      </w:r>
      <w:r>
        <w:rPr>
          <w:color w:val="545456"/>
        </w:rPr>
        <w:t>Beaufort-</w:t>
      </w:r>
      <w:proofErr w:type="spellStart"/>
      <w:r>
        <w:rPr>
          <w:color w:val="545456"/>
        </w:rPr>
        <w:t>Langeveld</w:t>
      </w:r>
      <w:proofErr w:type="spellEnd"/>
      <w:r>
        <w:rPr>
          <w:color w:val="545456"/>
        </w:rPr>
        <w:t>,</w:t>
      </w:r>
    </w:p>
    <w:p w14:paraId="6E2C694B" w14:textId="77777777" w:rsidR="0055291C" w:rsidRDefault="00F23C61">
      <w:pPr>
        <w:pStyle w:val="a3"/>
        <w:spacing w:before="1" w:line="312" w:lineRule="auto"/>
        <w:ind w:left="1133" w:right="2198" w:firstLine="226"/>
      </w:pPr>
      <w:r>
        <w:rPr>
          <w:color w:val="545456"/>
        </w:rPr>
        <w:t>Independent Consultant</w:t>
      </w:r>
      <w:r>
        <w:rPr>
          <w:color w:val="545456"/>
          <w:spacing w:val="-48"/>
        </w:rPr>
        <w:t xml:space="preserve"> </w:t>
      </w:r>
      <w:r>
        <w:rPr>
          <w:color w:val="545456"/>
        </w:rPr>
        <w:t>Scott</w:t>
      </w:r>
      <w:r>
        <w:rPr>
          <w:color w:val="545456"/>
          <w:spacing w:val="-9"/>
        </w:rPr>
        <w:t xml:space="preserve"> </w:t>
      </w:r>
      <w:r>
        <w:rPr>
          <w:color w:val="545456"/>
        </w:rPr>
        <w:t>Stewart,</w:t>
      </w:r>
      <w:r>
        <w:rPr>
          <w:color w:val="545456"/>
          <w:spacing w:val="-8"/>
        </w:rPr>
        <w:t xml:space="preserve"> </w:t>
      </w:r>
      <w:r>
        <w:rPr>
          <w:color w:val="545456"/>
        </w:rPr>
        <w:t>Intel</w:t>
      </w:r>
    </w:p>
    <w:p w14:paraId="38D05BC8" w14:textId="77777777" w:rsidR="0055291C" w:rsidRDefault="00F23C61">
      <w:pPr>
        <w:pStyle w:val="a3"/>
        <w:spacing w:before="1" w:line="312" w:lineRule="auto"/>
        <w:ind w:left="1133" w:right="231"/>
      </w:pPr>
      <w:r>
        <w:rPr>
          <w:color w:val="545456"/>
        </w:rPr>
        <w:t>Marlen</w:t>
      </w:r>
      <w:r>
        <w:rPr>
          <w:color w:val="545456"/>
          <w:spacing w:val="10"/>
        </w:rPr>
        <w:t xml:space="preserve"> </w:t>
      </w:r>
      <w:r>
        <w:rPr>
          <w:color w:val="545456"/>
        </w:rPr>
        <w:t>Bertram,</w:t>
      </w:r>
      <w:r>
        <w:rPr>
          <w:color w:val="545456"/>
          <w:spacing w:val="10"/>
        </w:rPr>
        <w:t xml:space="preserve"> </w:t>
      </w:r>
      <w:r>
        <w:rPr>
          <w:color w:val="545456"/>
        </w:rPr>
        <w:t>International</w:t>
      </w:r>
      <w:r>
        <w:rPr>
          <w:color w:val="545456"/>
          <w:spacing w:val="10"/>
        </w:rPr>
        <w:t xml:space="preserve"> </w:t>
      </w:r>
      <w:proofErr w:type="spellStart"/>
      <w:r>
        <w:rPr>
          <w:color w:val="545456"/>
        </w:rPr>
        <w:t>Aluminium</w:t>
      </w:r>
      <w:proofErr w:type="spellEnd"/>
      <w:r>
        <w:rPr>
          <w:color w:val="545456"/>
          <w:spacing w:val="10"/>
        </w:rPr>
        <w:t xml:space="preserve"> </w:t>
      </w:r>
      <w:r>
        <w:rPr>
          <w:color w:val="545456"/>
        </w:rPr>
        <w:t>Institute</w:t>
      </w:r>
      <w:r>
        <w:rPr>
          <w:color w:val="545456"/>
          <w:spacing w:val="-47"/>
        </w:rPr>
        <w:t xml:space="preserve"> </w:t>
      </w:r>
      <w:r>
        <w:rPr>
          <w:color w:val="545456"/>
        </w:rPr>
        <w:t>Kurt</w:t>
      </w:r>
      <w:r>
        <w:rPr>
          <w:color w:val="545456"/>
          <w:spacing w:val="1"/>
        </w:rPr>
        <w:t xml:space="preserve"> </w:t>
      </w:r>
      <w:proofErr w:type="spellStart"/>
      <w:r>
        <w:rPr>
          <w:color w:val="545456"/>
        </w:rPr>
        <w:t>Buxmann</w:t>
      </w:r>
      <w:proofErr w:type="spellEnd"/>
      <w:r>
        <w:rPr>
          <w:color w:val="545456"/>
        </w:rPr>
        <w:t>,</w:t>
      </w:r>
      <w:r>
        <w:rPr>
          <w:color w:val="545456"/>
          <w:spacing w:val="1"/>
        </w:rPr>
        <w:t xml:space="preserve"> </w:t>
      </w:r>
      <w:r>
        <w:rPr>
          <w:color w:val="545456"/>
        </w:rPr>
        <w:t>International</w:t>
      </w:r>
      <w:r>
        <w:rPr>
          <w:color w:val="545456"/>
          <w:spacing w:val="2"/>
        </w:rPr>
        <w:t xml:space="preserve"> </w:t>
      </w:r>
      <w:proofErr w:type="spellStart"/>
      <w:r>
        <w:rPr>
          <w:color w:val="545456"/>
        </w:rPr>
        <w:t>Aluminium</w:t>
      </w:r>
      <w:proofErr w:type="spellEnd"/>
      <w:r>
        <w:rPr>
          <w:color w:val="545456"/>
          <w:spacing w:val="1"/>
        </w:rPr>
        <w:t xml:space="preserve"> </w:t>
      </w:r>
      <w:r>
        <w:rPr>
          <w:color w:val="545456"/>
        </w:rPr>
        <w:t>Institute</w:t>
      </w:r>
      <w:r>
        <w:rPr>
          <w:color w:val="545456"/>
          <w:spacing w:val="1"/>
        </w:rPr>
        <w:t xml:space="preserve"> </w:t>
      </w:r>
      <w:r>
        <w:rPr>
          <w:color w:val="545456"/>
        </w:rPr>
        <w:t>Georgios</w:t>
      </w:r>
      <w:r>
        <w:rPr>
          <w:color w:val="545456"/>
          <w:spacing w:val="-13"/>
        </w:rPr>
        <w:t xml:space="preserve"> </w:t>
      </w:r>
      <w:proofErr w:type="spellStart"/>
      <w:r>
        <w:rPr>
          <w:color w:val="545456"/>
        </w:rPr>
        <w:t>Sarantakos</w:t>
      </w:r>
      <w:proofErr w:type="spellEnd"/>
      <w:r>
        <w:rPr>
          <w:color w:val="545456"/>
        </w:rPr>
        <w:t>,</w:t>
      </w:r>
      <w:r>
        <w:rPr>
          <w:color w:val="545456"/>
          <w:spacing w:val="-12"/>
        </w:rPr>
        <w:t xml:space="preserve"> </w:t>
      </w:r>
      <w:r>
        <w:rPr>
          <w:color w:val="545456"/>
        </w:rPr>
        <w:t>International</w:t>
      </w:r>
      <w:r>
        <w:rPr>
          <w:color w:val="545456"/>
          <w:spacing w:val="-12"/>
        </w:rPr>
        <w:t xml:space="preserve"> </w:t>
      </w:r>
      <w:r>
        <w:rPr>
          <w:color w:val="545456"/>
        </w:rPr>
        <w:t>Union</w:t>
      </w:r>
    </w:p>
    <w:p w14:paraId="2C5DD31C" w14:textId="77777777" w:rsidR="0055291C" w:rsidRDefault="00F23C61">
      <w:pPr>
        <w:pStyle w:val="a3"/>
        <w:spacing w:before="1"/>
        <w:ind w:left="1360"/>
      </w:pPr>
      <w:r>
        <w:rPr>
          <w:color w:val="545456"/>
        </w:rPr>
        <w:t>for</w:t>
      </w:r>
      <w:r>
        <w:rPr>
          <w:color w:val="545456"/>
          <w:spacing w:val="1"/>
        </w:rPr>
        <w:t xml:space="preserve"> </w:t>
      </w:r>
      <w:r>
        <w:rPr>
          <w:color w:val="545456"/>
        </w:rPr>
        <w:t>Conservation</w:t>
      </w:r>
      <w:r>
        <w:rPr>
          <w:color w:val="545456"/>
          <w:spacing w:val="1"/>
        </w:rPr>
        <w:t xml:space="preserve"> </w:t>
      </w:r>
      <w:r>
        <w:rPr>
          <w:color w:val="545456"/>
        </w:rPr>
        <w:t>of</w:t>
      </w:r>
      <w:r>
        <w:rPr>
          <w:color w:val="545456"/>
          <w:spacing w:val="2"/>
        </w:rPr>
        <w:t xml:space="preserve"> </w:t>
      </w:r>
      <w:r>
        <w:rPr>
          <w:color w:val="545456"/>
        </w:rPr>
        <w:t>Nature</w:t>
      </w:r>
    </w:p>
    <w:p w14:paraId="2678AFA4" w14:textId="77777777" w:rsidR="0055291C" w:rsidRDefault="00F23C61">
      <w:pPr>
        <w:pStyle w:val="a3"/>
        <w:spacing w:before="65"/>
        <w:ind w:left="1133"/>
      </w:pPr>
      <w:proofErr w:type="spellStart"/>
      <w:r>
        <w:rPr>
          <w:color w:val="545456"/>
          <w:w w:val="95"/>
        </w:rPr>
        <w:t>Mankaa</w:t>
      </w:r>
      <w:proofErr w:type="spellEnd"/>
      <w:r>
        <w:rPr>
          <w:color w:val="545456"/>
          <w:spacing w:val="9"/>
          <w:w w:val="95"/>
        </w:rPr>
        <w:t xml:space="preserve"> </w:t>
      </w:r>
      <w:proofErr w:type="spellStart"/>
      <w:r>
        <w:rPr>
          <w:color w:val="545456"/>
          <w:w w:val="95"/>
        </w:rPr>
        <w:t>Nangah</w:t>
      </w:r>
      <w:proofErr w:type="spellEnd"/>
      <w:r>
        <w:rPr>
          <w:color w:val="545456"/>
          <w:spacing w:val="10"/>
          <w:w w:val="95"/>
        </w:rPr>
        <w:t xml:space="preserve"> </w:t>
      </w:r>
      <w:r>
        <w:rPr>
          <w:color w:val="545456"/>
          <w:w w:val="95"/>
        </w:rPr>
        <w:t>Rose,</w:t>
      </w:r>
      <w:r>
        <w:rPr>
          <w:color w:val="545456"/>
          <w:spacing w:val="10"/>
          <w:w w:val="95"/>
        </w:rPr>
        <w:t xml:space="preserve"> </w:t>
      </w:r>
      <w:proofErr w:type="spellStart"/>
      <w:r>
        <w:rPr>
          <w:color w:val="545456"/>
          <w:w w:val="95"/>
        </w:rPr>
        <w:t>Italcementi</w:t>
      </w:r>
      <w:proofErr w:type="spellEnd"/>
      <w:r>
        <w:rPr>
          <w:color w:val="545456"/>
          <w:spacing w:val="10"/>
          <w:w w:val="95"/>
        </w:rPr>
        <w:t xml:space="preserve"> </w:t>
      </w:r>
      <w:r>
        <w:rPr>
          <w:color w:val="545456"/>
          <w:w w:val="95"/>
        </w:rPr>
        <w:t>Group</w:t>
      </w:r>
    </w:p>
    <w:p w14:paraId="7EF6F194" w14:textId="77777777" w:rsidR="0055291C" w:rsidRDefault="00F23C61">
      <w:pPr>
        <w:pStyle w:val="a3"/>
        <w:spacing w:before="62"/>
        <w:ind w:left="1133"/>
        <w:rPr>
          <w:rFonts w:ascii="Arial"/>
          <w:b/>
        </w:rPr>
      </w:pPr>
      <w:r>
        <w:rPr>
          <w:color w:val="545456"/>
          <w:w w:val="95"/>
        </w:rPr>
        <w:t>David</w:t>
      </w:r>
      <w:r>
        <w:rPr>
          <w:color w:val="545456"/>
          <w:spacing w:val="6"/>
          <w:w w:val="95"/>
        </w:rPr>
        <w:t xml:space="preserve"> </w:t>
      </w:r>
      <w:r>
        <w:rPr>
          <w:color w:val="545456"/>
          <w:w w:val="95"/>
        </w:rPr>
        <w:t>V.</w:t>
      </w:r>
      <w:r>
        <w:rPr>
          <w:color w:val="545456"/>
          <w:spacing w:val="7"/>
          <w:w w:val="95"/>
        </w:rPr>
        <w:t xml:space="preserve"> </w:t>
      </w:r>
      <w:proofErr w:type="spellStart"/>
      <w:r>
        <w:rPr>
          <w:color w:val="545456"/>
          <w:w w:val="95"/>
        </w:rPr>
        <w:t>Spitzley</w:t>
      </w:r>
      <w:proofErr w:type="spellEnd"/>
      <w:r>
        <w:rPr>
          <w:color w:val="545456"/>
          <w:w w:val="95"/>
        </w:rPr>
        <w:t>,</w:t>
      </w:r>
      <w:r>
        <w:rPr>
          <w:color w:val="545456"/>
          <w:spacing w:val="7"/>
          <w:w w:val="95"/>
        </w:rPr>
        <w:t xml:space="preserve"> </w:t>
      </w:r>
      <w:r>
        <w:rPr>
          <w:color w:val="545456"/>
          <w:w w:val="95"/>
        </w:rPr>
        <w:t>Kimberly-Clark</w:t>
      </w:r>
      <w:r>
        <w:rPr>
          <w:color w:val="545456"/>
          <w:spacing w:val="6"/>
          <w:w w:val="95"/>
        </w:rPr>
        <w:t xml:space="preserve"> </w:t>
      </w:r>
      <w:r>
        <w:rPr>
          <w:color w:val="545456"/>
          <w:w w:val="95"/>
        </w:rPr>
        <w:t>Corporation</w:t>
      </w:r>
      <w:r>
        <w:rPr>
          <w:color w:val="545456"/>
          <w:spacing w:val="9"/>
          <w:w w:val="95"/>
        </w:rPr>
        <w:t xml:space="preserve"> </w:t>
      </w:r>
      <w:r>
        <w:rPr>
          <w:rFonts w:ascii="Arial"/>
          <w:b/>
          <w:color w:val="545456"/>
          <w:w w:val="95"/>
        </w:rPr>
        <w:t>(Chair)</w:t>
      </w:r>
    </w:p>
    <w:p w14:paraId="629EB426" w14:textId="77777777" w:rsidR="0055291C" w:rsidRDefault="00F23C61">
      <w:pPr>
        <w:spacing w:before="6"/>
        <w:rPr>
          <w:rFonts w:ascii="Arial"/>
          <w:b/>
          <w:sz w:val="16"/>
        </w:rPr>
      </w:pPr>
      <w:r>
        <w:br w:type="column"/>
      </w:r>
    </w:p>
    <w:p w14:paraId="7D71F988" w14:textId="77777777" w:rsidR="0055291C" w:rsidRDefault="00F23C61">
      <w:pPr>
        <w:pStyle w:val="a3"/>
        <w:spacing w:before="1"/>
        <w:ind w:left="383"/>
        <w:rPr>
          <w:rFonts w:ascii="Arial"/>
          <w:b/>
        </w:rPr>
      </w:pPr>
      <w:r>
        <w:rPr>
          <w:color w:val="545456"/>
          <w:w w:val="95"/>
        </w:rPr>
        <w:t>Suzie</w:t>
      </w:r>
      <w:r>
        <w:rPr>
          <w:color w:val="545456"/>
          <w:spacing w:val="-4"/>
          <w:w w:val="95"/>
        </w:rPr>
        <w:t xml:space="preserve"> </w:t>
      </w:r>
      <w:r>
        <w:rPr>
          <w:color w:val="545456"/>
          <w:w w:val="95"/>
        </w:rPr>
        <w:t>Greenhalgh,</w:t>
      </w:r>
      <w:r>
        <w:rPr>
          <w:color w:val="545456"/>
          <w:spacing w:val="-4"/>
          <w:w w:val="95"/>
        </w:rPr>
        <w:t xml:space="preserve"> </w:t>
      </w:r>
      <w:r>
        <w:rPr>
          <w:color w:val="545456"/>
          <w:w w:val="95"/>
        </w:rPr>
        <w:t>Landcare</w:t>
      </w:r>
      <w:r>
        <w:rPr>
          <w:color w:val="545456"/>
          <w:spacing w:val="-3"/>
          <w:w w:val="95"/>
        </w:rPr>
        <w:t xml:space="preserve"> </w:t>
      </w:r>
      <w:r>
        <w:rPr>
          <w:color w:val="545456"/>
          <w:w w:val="95"/>
        </w:rPr>
        <w:t>Research</w:t>
      </w:r>
      <w:r>
        <w:rPr>
          <w:color w:val="545456"/>
          <w:spacing w:val="-4"/>
          <w:w w:val="95"/>
        </w:rPr>
        <w:t xml:space="preserve"> </w:t>
      </w:r>
      <w:r>
        <w:rPr>
          <w:color w:val="545456"/>
          <w:w w:val="95"/>
        </w:rPr>
        <w:t>NZ</w:t>
      </w:r>
      <w:r>
        <w:rPr>
          <w:color w:val="545456"/>
          <w:spacing w:val="-3"/>
          <w:w w:val="95"/>
        </w:rPr>
        <w:t xml:space="preserve"> </w:t>
      </w:r>
      <w:r>
        <w:rPr>
          <w:color w:val="545456"/>
          <w:w w:val="95"/>
        </w:rPr>
        <w:t>Ltd.</w:t>
      </w:r>
      <w:r>
        <w:rPr>
          <w:color w:val="545456"/>
          <w:spacing w:val="-4"/>
          <w:w w:val="95"/>
        </w:rPr>
        <w:t xml:space="preserve"> </w:t>
      </w:r>
      <w:r>
        <w:rPr>
          <w:rFonts w:ascii="Arial"/>
          <w:b/>
          <w:color w:val="545456"/>
          <w:w w:val="95"/>
        </w:rPr>
        <w:t>(Chair)</w:t>
      </w:r>
    </w:p>
    <w:p w14:paraId="187ECD8C" w14:textId="77777777" w:rsidR="0055291C" w:rsidRDefault="00F23C61">
      <w:pPr>
        <w:spacing w:before="61"/>
        <w:ind w:left="383"/>
        <w:rPr>
          <w:rFonts w:ascii="Arial"/>
          <w:b/>
          <w:sz w:val="19"/>
        </w:rPr>
      </w:pPr>
      <w:r>
        <w:rPr>
          <w:color w:val="545456"/>
          <w:w w:val="95"/>
          <w:sz w:val="19"/>
        </w:rPr>
        <w:t>Taylor Wilkinson, LMI</w:t>
      </w:r>
      <w:r>
        <w:rPr>
          <w:color w:val="545456"/>
          <w:spacing w:val="1"/>
          <w:w w:val="95"/>
          <w:sz w:val="19"/>
        </w:rPr>
        <w:t xml:space="preserve"> </w:t>
      </w:r>
      <w:r>
        <w:rPr>
          <w:rFonts w:ascii="Arial"/>
          <w:b/>
          <w:color w:val="545456"/>
          <w:w w:val="95"/>
          <w:sz w:val="19"/>
        </w:rPr>
        <w:t>(Chair)</w:t>
      </w:r>
    </w:p>
    <w:p w14:paraId="53A02024" w14:textId="77777777" w:rsidR="0055291C" w:rsidRDefault="00F23C61">
      <w:pPr>
        <w:pStyle w:val="a3"/>
        <w:spacing w:before="65" w:line="312" w:lineRule="auto"/>
        <w:ind w:left="383" w:right="3713"/>
      </w:pPr>
      <w:r>
        <w:rPr>
          <w:color w:val="545456"/>
          <w:w w:val="95"/>
        </w:rPr>
        <w:t>Paul Smith, LRQA Ltd.</w:t>
      </w:r>
      <w:r>
        <w:rPr>
          <w:color w:val="545456"/>
          <w:spacing w:val="1"/>
          <w:w w:val="95"/>
        </w:rPr>
        <w:t xml:space="preserve"> </w:t>
      </w:r>
      <w:r>
        <w:rPr>
          <w:color w:val="545456"/>
          <w:w w:val="95"/>
        </w:rPr>
        <w:t>Oliver</w:t>
      </w:r>
      <w:r>
        <w:rPr>
          <w:color w:val="545456"/>
          <w:spacing w:val="15"/>
          <w:w w:val="95"/>
        </w:rPr>
        <w:t xml:space="preserve"> </w:t>
      </w:r>
      <w:r>
        <w:rPr>
          <w:color w:val="545456"/>
          <w:w w:val="95"/>
        </w:rPr>
        <w:t>Ferrari,</w:t>
      </w:r>
      <w:r>
        <w:rPr>
          <w:color w:val="545456"/>
          <w:spacing w:val="15"/>
          <w:w w:val="95"/>
        </w:rPr>
        <w:t xml:space="preserve"> </w:t>
      </w:r>
      <w:proofErr w:type="spellStart"/>
      <w:r>
        <w:rPr>
          <w:color w:val="545456"/>
          <w:w w:val="95"/>
        </w:rPr>
        <w:t>MarionEco</w:t>
      </w:r>
      <w:proofErr w:type="spellEnd"/>
    </w:p>
    <w:p w14:paraId="40FDEC54" w14:textId="77777777" w:rsidR="0055291C" w:rsidRDefault="00F23C61">
      <w:pPr>
        <w:pStyle w:val="a3"/>
        <w:spacing w:before="1" w:line="312" w:lineRule="auto"/>
        <w:ind w:left="383" w:right="1443"/>
      </w:pPr>
      <w:r>
        <w:rPr>
          <w:color w:val="545456"/>
          <w:w w:val="95"/>
        </w:rPr>
        <w:t>Edgar</w:t>
      </w:r>
      <w:r>
        <w:rPr>
          <w:color w:val="545456"/>
          <w:spacing w:val="16"/>
          <w:w w:val="95"/>
        </w:rPr>
        <w:t xml:space="preserve"> </w:t>
      </w:r>
      <w:r>
        <w:rPr>
          <w:color w:val="545456"/>
          <w:w w:val="95"/>
        </w:rPr>
        <w:t>E</w:t>
      </w:r>
      <w:r>
        <w:rPr>
          <w:color w:val="545456"/>
          <w:spacing w:val="17"/>
          <w:w w:val="95"/>
        </w:rPr>
        <w:t xml:space="preserve"> </w:t>
      </w:r>
      <w:r>
        <w:rPr>
          <w:color w:val="545456"/>
          <w:w w:val="95"/>
        </w:rPr>
        <w:t>Blanco,</w:t>
      </w:r>
      <w:r>
        <w:rPr>
          <w:color w:val="545456"/>
          <w:spacing w:val="17"/>
          <w:w w:val="95"/>
        </w:rPr>
        <w:t xml:space="preserve"> </w:t>
      </w:r>
      <w:r>
        <w:rPr>
          <w:color w:val="545456"/>
          <w:w w:val="95"/>
        </w:rPr>
        <w:t>Massachusetts</w:t>
      </w:r>
      <w:r>
        <w:rPr>
          <w:color w:val="545456"/>
          <w:spacing w:val="17"/>
          <w:w w:val="95"/>
        </w:rPr>
        <w:t xml:space="preserve"> </w:t>
      </w:r>
      <w:r>
        <w:rPr>
          <w:color w:val="545456"/>
          <w:w w:val="95"/>
        </w:rPr>
        <w:t>Institute</w:t>
      </w:r>
      <w:r>
        <w:rPr>
          <w:color w:val="545456"/>
          <w:spacing w:val="16"/>
          <w:w w:val="95"/>
        </w:rPr>
        <w:t xml:space="preserve"> </w:t>
      </w:r>
      <w:r>
        <w:rPr>
          <w:color w:val="545456"/>
          <w:w w:val="95"/>
        </w:rPr>
        <w:t>of</w:t>
      </w:r>
      <w:r>
        <w:rPr>
          <w:color w:val="545456"/>
          <w:spacing w:val="17"/>
          <w:w w:val="95"/>
        </w:rPr>
        <w:t xml:space="preserve"> </w:t>
      </w:r>
      <w:r>
        <w:rPr>
          <w:color w:val="545456"/>
          <w:w w:val="95"/>
        </w:rPr>
        <w:t>Technology</w:t>
      </w:r>
      <w:r>
        <w:rPr>
          <w:color w:val="545456"/>
          <w:spacing w:val="-45"/>
          <w:w w:val="95"/>
        </w:rPr>
        <w:t xml:space="preserve"> </w:t>
      </w:r>
      <w:r>
        <w:rPr>
          <w:color w:val="545456"/>
          <w:spacing w:val="-1"/>
        </w:rPr>
        <w:t xml:space="preserve">Kiyoshi Matsuda, Mitsubishi </w:t>
      </w:r>
      <w:r>
        <w:rPr>
          <w:color w:val="545456"/>
        </w:rPr>
        <w:t>Chemical Corporation</w:t>
      </w:r>
      <w:r>
        <w:rPr>
          <w:color w:val="545456"/>
          <w:spacing w:val="1"/>
        </w:rPr>
        <w:t xml:space="preserve"> </w:t>
      </w:r>
      <w:r>
        <w:rPr>
          <w:color w:val="545456"/>
        </w:rPr>
        <w:t>Jeffrey</w:t>
      </w:r>
      <w:r>
        <w:rPr>
          <w:color w:val="545456"/>
          <w:spacing w:val="-9"/>
        </w:rPr>
        <w:t xml:space="preserve"> </w:t>
      </w:r>
      <w:proofErr w:type="spellStart"/>
      <w:r>
        <w:rPr>
          <w:color w:val="545456"/>
        </w:rPr>
        <w:t>Mittelstadt</w:t>
      </w:r>
      <w:proofErr w:type="spellEnd"/>
      <w:r>
        <w:rPr>
          <w:color w:val="545456"/>
        </w:rPr>
        <w:t>,</w:t>
      </w:r>
      <w:r>
        <w:rPr>
          <w:color w:val="545456"/>
          <w:spacing w:val="-8"/>
        </w:rPr>
        <w:t xml:space="preserve"> </w:t>
      </w:r>
      <w:r>
        <w:rPr>
          <w:color w:val="545456"/>
        </w:rPr>
        <w:t>National</w:t>
      </w:r>
      <w:r>
        <w:rPr>
          <w:color w:val="545456"/>
          <w:spacing w:val="-8"/>
        </w:rPr>
        <w:t xml:space="preserve"> </w:t>
      </w:r>
      <w:r>
        <w:rPr>
          <w:color w:val="545456"/>
        </w:rPr>
        <w:t>Council</w:t>
      </w:r>
    </w:p>
    <w:p w14:paraId="686037E4" w14:textId="77777777" w:rsidR="0055291C" w:rsidRDefault="00F23C61">
      <w:pPr>
        <w:pStyle w:val="a3"/>
        <w:spacing w:before="1" w:line="312" w:lineRule="auto"/>
        <w:ind w:left="383" w:right="3356" w:firstLine="226"/>
      </w:pPr>
      <w:r>
        <w:rPr>
          <w:color w:val="545456"/>
        </w:rPr>
        <w:t>for Advanced Manufacturing</w:t>
      </w:r>
      <w:r>
        <w:rPr>
          <w:color w:val="545456"/>
          <w:spacing w:val="-48"/>
        </w:rPr>
        <w:t xml:space="preserve"> </w:t>
      </w:r>
      <w:r>
        <w:rPr>
          <w:color w:val="545456"/>
          <w:w w:val="95"/>
        </w:rPr>
        <w:t>Caroline Gaudreault, NCASI</w:t>
      </w:r>
      <w:r>
        <w:rPr>
          <w:color w:val="545456"/>
          <w:spacing w:val="1"/>
          <w:w w:val="95"/>
        </w:rPr>
        <w:t xml:space="preserve"> </w:t>
      </w:r>
      <w:r>
        <w:rPr>
          <w:color w:val="545456"/>
          <w:w w:val="95"/>
        </w:rPr>
        <w:t>Reid</w:t>
      </w:r>
      <w:r>
        <w:rPr>
          <w:color w:val="545456"/>
          <w:spacing w:val="-8"/>
          <w:w w:val="95"/>
        </w:rPr>
        <w:t xml:space="preserve"> </w:t>
      </w:r>
      <w:r>
        <w:rPr>
          <w:color w:val="545456"/>
          <w:w w:val="95"/>
        </w:rPr>
        <w:t>Miner,</w:t>
      </w:r>
      <w:r>
        <w:rPr>
          <w:color w:val="545456"/>
          <w:spacing w:val="-8"/>
          <w:w w:val="95"/>
        </w:rPr>
        <w:t xml:space="preserve"> </w:t>
      </w:r>
      <w:r>
        <w:rPr>
          <w:color w:val="545456"/>
          <w:w w:val="95"/>
        </w:rPr>
        <w:t>NCASI</w:t>
      </w:r>
    </w:p>
    <w:p w14:paraId="4E4D1CD0" w14:textId="77777777" w:rsidR="0055291C" w:rsidRDefault="00F23C61">
      <w:pPr>
        <w:pStyle w:val="a3"/>
        <w:spacing w:before="1" w:line="312" w:lineRule="auto"/>
        <w:ind w:left="383" w:right="1531"/>
      </w:pPr>
      <w:r>
        <w:rPr>
          <w:color w:val="545456"/>
          <w:w w:val="95"/>
        </w:rPr>
        <w:t>Hans</w:t>
      </w:r>
      <w:r>
        <w:rPr>
          <w:color w:val="545456"/>
          <w:spacing w:val="6"/>
          <w:w w:val="95"/>
        </w:rPr>
        <w:t xml:space="preserve"> </w:t>
      </w:r>
      <w:r>
        <w:rPr>
          <w:color w:val="545456"/>
          <w:w w:val="95"/>
        </w:rPr>
        <w:t>H.</w:t>
      </w:r>
      <w:r>
        <w:rPr>
          <w:color w:val="545456"/>
          <w:spacing w:val="7"/>
          <w:w w:val="95"/>
        </w:rPr>
        <w:t xml:space="preserve"> </w:t>
      </w:r>
      <w:r>
        <w:rPr>
          <w:color w:val="545456"/>
          <w:w w:val="95"/>
        </w:rPr>
        <w:t>Wegner,</w:t>
      </w:r>
      <w:r>
        <w:rPr>
          <w:color w:val="545456"/>
          <w:spacing w:val="7"/>
          <w:w w:val="95"/>
        </w:rPr>
        <w:t xml:space="preserve"> </w:t>
      </w:r>
      <w:r>
        <w:rPr>
          <w:color w:val="545456"/>
          <w:w w:val="95"/>
        </w:rPr>
        <w:t>National</w:t>
      </w:r>
      <w:r>
        <w:rPr>
          <w:color w:val="545456"/>
          <w:spacing w:val="7"/>
          <w:w w:val="95"/>
        </w:rPr>
        <w:t xml:space="preserve"> </w:t>
      </w:r>
      <w:r>
        <w:rPr>
          <w:color w:val="545456"/>
          <w:w w:val="95"/>
        </w:rPr>
        <w:t>Geographic</w:t>
      </w:r>
      <w:r>
        <w:rPr>
          <w:color w:val="545456"/>
          <w:spacing w:val="7"/>
          <w:w w:val="95"/>
        </w:rPr>
        <w:t xml:space="preserve"> </w:t>
      </w:r>
      <w:r>
        <w:rPr>
          <w:color w:val="545456"/>
          <w:w w:val="95"/>
        </w:rPr>
        <w:t>Society</w:t>
      </w:r>
      <w:r>
        <w:rPr>
          <w:color w:val="545456"/>
          <w:spacing w:val="1"/>
          <w:w w:val="95"/>
        </w:rPr>
        <w:t xml:space="preserve"> </w:t>
      </w:r>
      <w:r>
        <w:rPr>
          <w:color w:val="545456"/>
        </w:rPr>
        <w:t>Anthony</w:t>
      </w:r>
      <w:r>
        <w:rPr>
          <w:color w:val="545456"/>
          <w:spacing w:val="-10"/>
        </w:rPr>
        <w:t xml:space="preserve"> </w:t>
      </w:r>
      <w:r>
        <w:rPr>
          <w:color w:val="545456"/>
        </w:rPr>
        <w:t>D’Agostino,</w:t>
      </w:r>
      <w:r>
        <w:rPr>
          <w:color w:val="545456"/>
          <w:spacing w:val="-9"/>
        </w:rPr>
        <w:t xml:space="preserve"> </w:t>
      </w:r>
      <w:r>
        <w:rPr>
          <w:color w:val="545456"/>
        </w:rPr>
        <w:t>National</w:t>
      </w:r>
      <w:r>
        <w:rPr>
          <w:color w:val="545456"/>
          <w:spacing w:val="-10"/>
        </w:rPr>
        <w:t xml:space="preserve"> </w:t>
      </w:r>
      <w:r>
        <w:rPr>
          <w:color w:val="545456"/>
        </w:rPr>
        <w:t>University</w:t>
      </w:r>
      <w:r>
        <w:rPr>
          <w:color w:val="545456"/>
          <w:spacing w:val="-10"/>
        </w:rPr>
        <w:t xml:space="preserve"> </w:t>
      </w:r>
      <w:r>
        <w:rPr>
          <w:color w:val="545456"/>
        </w:rPr>
        <w:t>of</w:t>
      </w:r>
      <w:r>
        <w:rPr>
          <w:color w:val="545456"/>
          <w:spacing w:val="-9"/>
        </w:rPr>
        <w:t xml:space="preserve"> </w:t>
      </w:r>
      <w:r>
        <w:rPr>
          <w:color w:val="545456"/>
        </w:rPr>
        <w:t>Singapore</w:t>
      </w:r>
      <w:r>
        <w:rPr>
          <w:color w:val="545456"/>
          <w:spacing w:val="-47"/>
        </w:rPr>
        <w:t xml:space="preserve"> </w:t>
      </w:r>
      <w:r>
        <w:rPr>
          <w:color w:val="545456"/>
        </w:rPr>
        <w:t>Alison</w:t>
      </w:r>
      <w:r>
        <w:rPr>
          <w:color w:val="545456"/>
          <w:spacing w:val="-11"/>
        </w:rPr>
        <w:t xml:space="preserve"> </w:t>
      </w:r>
      <w:r>
        <w:rPr>
          <w:color w:val="545456"/>
        </w:rPr>
        <w:t>Watson,</w:t>
      </w:r>
      <w:r>
        <w:rPr>
          <w:color w:val="545456"/>
          <w:spacing w:val="-11"/>
        </w:rPr>
        <w:t xml:space="preserve"> </w:t>
      </w:r>
      <w:r>
        <w:rPr>
          <w:color w:val="545456"/>
        </w:rPr>
        <w:t>New</w:t>
      </w:r>
      <w:r>
        <w:rPr>
          <w:color w:val="545456"/>
          <w:spacing w:val="-10"/>
        </w:rPr>
        <w:t xml:space="preserve"> </w:t>
      </w:r>
      <w:r>
        <w:rPr>
          <w:color w:val="545456"/>
        </w:rPr>
        <w:t>Zealand</w:t>
      </w:r>
      <w:r>
        <w:rPr>
          <w:color w:val="545456"/>
          <w:spacing w:val="-11"/>
        </w:rPr>
        <w:t xml:space="preserve"> </w:t>
      </w:r>
      <w:r>
        <w:rPr>
          <w:color w:val="545456"/>
        </w:rPr>
        <w:t>Ministry</w:t>
      </w:r>
    </w:p>
    <w:p w14:paraId="7F57427B" w14:textId="77777777" w:rsidR="0055291C" w:rsidRDefault="00F23C61">
      <w:pPr>
        <w:pStyle w:val="a3"/>
        <w:spacing w:before="1" w:line="312" w:lineRule="auto"/>
        <w:ind w:left="383" w:right="3159" w:firstLine="226"/>
      </w:pPr>
      <w:r>
        <w:rPr>
          <w:color w:val="545456"/>
        </w:rPr>
        <w:t>of Agriculture and Forestry</w:t>
      </w:r>
      <w:r>
        <w:rPr>
          <w:color w:val="545456"/>
          <w:spacing w:val="1"/>
        </w:rPr>
        <w:t xml:space="preserve"> </w:t>
      </w:r>
      <w:proofErr w:type="spellStart"/>
      <w:r>
        <w:rPr>
          <w:color w:val="545456"/>
          <w:spacing w:val="-1"/>
        </w:rPr>
        <w:t>Jostein</w:t>
      </w:r>
      <w:proofErr w:type="spellEnd"/>
      <w:r>
        <w:rPr>
          <w:color w:val="545456"/>
          <w:spacing w:val="-1"/>
        </w:rPr>
        <w:t xml:space="preserve"> </w:t>
      </w:r>
      <w:proofErr w:type="spellStart"/>
      <w:r>
        <w:rPr>
          <w:color w:val="545456"/>
          <w:spacing w:val="-1"/>
        </w:rPr>
        <w:t>Soreide</w:t>
      </w:r>
      <w:proofErr w:type="spellEnd"/>
      <w:r>
        <w:rPr>
          <w:color w:val="545456"/>
          <w:spacing w:val="-1"/>
        </w:rPr>
        <w:t xml:space="preserve">, </w:t>
      </w:r>
      <w:proofErr w:type="spellStart"/>
      <w:r>
        <w:rPr>
          <w:color w:val="545456"/>
        </w:rPr>
        <w:t>Norsk</w:t>
      </w:r>
      <w:proofErr w:type="spellEnd"/>
      <w:r>
        <w:rPr>
          <w:color w:val="545456"/>
        </w:rPr>
        <w:t xml:space="preserve"> Hydro</w:t>
      </w:r>
      <w:r>
        <w:rPr>
          <w:color w:val="545456"/>
          <w:spacing w:val="1"/>
        </w:rPr>
        <w:t xml:space="preserve"> </w:t>
      </w:r>
      <w:r>
        <w:rPr>
          <w:color w:val="545456"/>
        </w:rPr>
        <w:t xml:space="preserve">Wilson </w:t>
      </w:r>
      <w:proofErr w:type="spellStart"/>
      <w:r>
        <w:rPr>
          <w:color w:val="545456"/>
        </w:rPr>
        <w:t>Korol</w:t>
      </w:r>
      <w:proofErr w:type="spellEnd"/>
      <w:r>
        <w:rPr>
          <w:color w:val="545456"/>
        </w:rPr>
        <w:t>, Nortel Networks</w:t>
      </w:r>
      <w:r>
        <w:rPr>
          <w:color w:val="545456"/>
          <w:spacing w:val="1"/>
        </w:rPr>
        <w:t xml:space="preserve"> </w:t>
      </w:r>
      <w:r>
        <w:rPr>
          <w:color w:val="545456"/>
        </w:rPr>
        <w:t>Tim Moore, Northwest Carbon</w:t>
      </w:r>
      <w:r>
        <w:rPr>
          <w:color w:val="545456"/>
          <w:spacing w:val="1"/>
        </w:rPr>
        <w:t xml:space="preserve"> </w:t>
      </w:r>
      <w:r>
        <w:rPr>
          <w:color w:val="545456"/>
          <w:w w:val="95"/>
        </w:rPr>
        <w:t>Karen</w:t>
      </w:r>
      <w:r>
        <w:rPr>
          <w:color w:val="545456"/>
          <w:spacing w:val="8"/>
          <w:w w:val="95"/>
        </w:rPr>
        <w:t xml:space="preserve"> </w:t>
      </w:r>
      <w:proofErr w:type="spellStart"/>
      <w:r>
        <w:rPr>
          <w:color w:val="545456"/>
          <w:w w:val="95"/>
        </w:rPr>
        <w:t>Oxenbøll</w:t>
      </w:r>
      <w:proofErr w:type="spellEnd"/>
      <w:r>
        <w:rPr>
          <w:color w:val="545456"/>
          <w:w w:val="95"/>
        </w:rPr>
        <w:t>,</w:t>
      </w:r>
      <w:r>
        <w:rPr>
          <w:color w:val="545456"/>
          <w:spacing w:val="9"/>
          <w:w w:val="95"/>
        </w:rPr>
        <w:t xml:space="preserve"> </w:t>
      </w:r>
      <w:r>
        <w:rPr>
          <w:color w:val="545456"/>
          <w:w w:val="95"/>
        </w:rPr>
        <w:t>Novozymes</w:t>
      </w:r>
      <w:r>
        <w:rPr>
          <w:color w:val="545456"/>
          <w:spacing w:val="9"/>
          <w:w w:val="95"/>
        </w:rPr>
        <w:t xml:space="preserve"> </w:t>
      </w:r>
      <w:r>
        <w:rPr>
          <w:color w:val="545456"/>
          <w:w w:val="95"/>
        </w:rPr>
        <w:t>A/S</w:t>
      </w:r>
      <w:r>
        <w:rPr>
          <w:color w:val="545456"/>
          <w:spacing w:val="-44"/>
          <w:w w:val="95"/>
        </w:rPr>
        <w:t xml:space="preserve"> </w:t>
      </w:r>
      <w:r>
        <w:rPr>
          <w:color w:val="545456"/>
        </w:rPr>
        <w:t xml:space="preserve">Christian </w:t>
      </w:r>
      <w:proofErr w:type="spellStart"/>
      <w:r>
        <w:rPr>
          <w:color w:val="545456"/>
        </w:rPr>
        <w:t>Hochfeld</w:t>
      </w:r>
      <w:proofErr w:type="spellEnd"/>
      <w:r>
        <w:rPr>
          <w:color w:val="545456"/>
        </w:rPr>
        <w:t xml:space="preserve">, </w:t>
      </w:r>
      <w:proofErr w:type="spellStart"/>
      <w:r>
        <w:rPr>
          <w:color w:val="545456"/>
        </w:rPr>
        <w:t>Öko</w:t>
      </w:r>
      <w:proofErr w:type="spellEnd"/>
      <w:r>
        <w:rPr>
          <w:color w:val="545456"/>
        </w:rPr>
        <w:t xml:space="preserve"> </w:t>
      </w:r>
      <w:proofErr w:type="spellStart"/>
      <w:r>
        <w:rPr>
          <w:color w:val="545456"/>
        </w:rPr>
        <w:t>Institut</w:t>
      </w:r>
      <w:proofErr w:type="spellEnd"/>
      <w:r>
        <w:rPr>
          <w:color w:val="545456"/>
          <w:spacing w:val="1"/>
        </w:rPr>
        <w:t xml:space="preserve"> </w:t>
      </w:r>
      <w:r>
        <w:rPr>
          <w:color w:val="545456"/>
        </w:rPr>
        <w:t xml:space="preserve">Dietlinde Quack, </w:t>
      </w:r>
      <w:proofErr w:type="spellStart"/>
      <w:r>
        <w:rPr>
          <w:color w:val="545456"/>
        </w:rPr>
        <w:t>Öko</w:t>
      </w:r>
      <w:proofErr w:type="spellEnd"/>
      <w:r>
        <w:rPr>
          <w:color w:val="545456"/>
        </w:rPr>
        <w:t xml:space="preserve"> </w:t>
      </w:r>
      <w:proofErr w:type="spellStart"/>
      <w:r>
        <w:rPr>
          <w:color w:val="545456"/>
        </w:rPr>
        <w:t>Institut</w:t>
      </w:r>
      <w:proofErr w:type="spellEnd"/>
      <w:r>
        <w:rPr>
          <w:color w:val="545456"/>
          <w:spacing w:val="1"/>
        </w:rPr>
        <w:t xml:space="preserve"> </w:t>
      </w:r>
      <w:r>
        <w:rPr>
          <w:color w:val="545456"/>
        </w:rPr>
        <w:t>Philippe</w:t>
      </w:r>
      <w:r>
        <w:rPr>
          <w:color w:val="545456"/>
          <w:spacing w:val="-12"/>
        </w:rPr>
        <w:t xml:space="preserve"> </w:t>
      </w:r>
      <w:proofErr w:type="spellStart"/>
      <w:r>
        <w:rPr>
          <w:color w:val="545456"/>
        </w:rPr>
        <w:t>Letherisien</w:t>
      </w:r>
      <w:proofErr w:type="spellEnd"/>
      <w:r>
        <w:rPr>
          <w:color w:val="545456"/>
        </w:rPr>
        <w:t>,</w:t>
      </w:r>
      <w:r>
        <w:rPr>
          <w:color w:val="545456"/>
          <w:spacing w:val="-11"/>
        </w:rPr>
        <w:t xml:space="preserve"> </w:t>
      </w:r>
      <w:r>
        <w:rPr>
          <w:color w:val="545456"/>
        </w:rPr>
        <w:t>Orange</w:t>
      </w:r>
    </w:p>
    <w:p w14:paraId="519E709A" w14:textId="77777777" w:rsidR="0055291C" w:rsidRDefault="00F23C61">
      <w:pPr>
        <w:pStyle w:val="a3"/>
        <w:spacing w:before="4" w:line="312" w:lineRule="auto"/>
        <w:ind w:left="383" w:right="2876"/>
      </w:pPr>
      <w:r>
        <w:rPr>
          <w:color w:val="545456"/>
          <w:w w:val="90"/>
        </w:rPr>
        <w:t>Eloise</w:t>
      </w:r>
      <w:r>
        <w:rPr>
          <w:color w:val="545456"/>
          <w:spacing w:val="7"/>
          <w:w w:val="90"/>
        </w:rPr>
        <w:t xml:space="preserve"> </w:t>
      </w:r>
      <w:proofErr w:type="spellStart"/>
      <w:r>
        <w:rPr>
          <w:color w:val="545456"/>
          <w:w w:val="90"/>
        </w:rPr>
        <w:t>Brauner</w:t>
      </w:r>
      <w:proofErr w:type="spellEnd"/>
      <w:r>
        <w:rPr>
          <w:color w:val="545456"/>
          <w:w w:val="90"/>
        </w:rPr>
        <w:t>,</w:t>
      </w:r>
      <w:r>
        <w:rPr>
          <w:color w:val="545456"/>
          <w:spacing w:val="8"/>
          <w:w w:val="90"/>
        </w:rPr>
        <w:t xml:space="preserve"> </w:t>
      </w:r>
      <w:r>
        <w:rPr>
          <w:color w:val="545456"/>
          <w:w w:val="90"/>
        </w:rPr>
        <w:t>PE</w:t>
      </w:r>
      <w:r>
        <w:rPr>
          <w:color w:val="545456"/>
          <w:spacing w:val="8"/>
          <w:w w:val="90"/>
        </w:rPr>
        <w:t xml:space="preserve"> </w:t>
      </w:r>
      <w:r>
        <w:rPr>
          <w:color w:val="545456"/>
          <w:w w:val="90"/>
        </w:rPr>
        <w:t>INTERNATIONAL</w:t>
      </w:r>
      <w:r>
        <w:rPr>
          <w:color w:val="545456"/>
          <w:spacing w:val="1"/>
          <w:w w:val="90"/>
        </w:rPr>
        <w:t xml:space="preserve"> </w:t>
      </w:r>
      <w:r>
        <w:rPr>
          <w:color w:val="545456"/>
          <w:spacing w:val="-2"/>
          <w:w w:val="95"/>
        </w:rPr>
        <w:t xml:space="preserve">Sabine </w:t>
      </w:r>
      <w:proofErr w:type="spellStart"/>
      <w:r>
        <w:rPr>
          <w:color w:val="545456"/>
          <w:spacing w:val="-2"/>
          <w:w w:val="95"/>
        </w:rPr>
        <w:t>Deimling</w:t>
      </w:r>
      <w:proofErr w:type="spellEnd"/>
      <w:r>
        <w:rPr>
          <w:color w:val="545456"/>
          <w:spacing w:val="-2"/>
          <w:w w:val="95"/>
        </w:rPr>
        <w:t>, PE INTERNATIONAL</w:t>
      </w:r>
      <w:r>
        <w:rPr>
          <w:color w:val="545456"/>
          <w:spacing w:val="-45"/>
          <w:w w:val="95"/>
        </w:rPr>
        <w:t xml:space="preserve"> </w:t>
      </w:r>
      <w:r>
        <w:rPr>
          <w:color w:val="545456"/>
          <w:spacing w:val="-1"/>
          <w:w w:val="95"/>
        </w:rPr>
        <w:t>Harald Florin, PE INTERNATIONAL</w:t>
      </w:r>
      <w:r>
        <w:rPr>
          <w:color w:val="545456"/>
          <w:w w:val="95"/>
        </w:rPr>
        <w:t xml:space="preserve"> </w:t>
      </w:r>
      <w:r>
        <w:rPr>
          <w:color w:val="545456"/>
          <w:w w:val="90"/>
        </w:rPr>
        <w:t>Hannes</w:t>
      </w:r>
      <w:r>
        <w:rPr>
          <w:color w:val="545456"/>
          <w:spacing w:val="3"/>
          <w:w w:val="90"/>
        </w:rPr>
        <w:t xml:space="preserve"> </w:t>
      </w:r>
      <w:proofErr w:type="spellStart"/>
      <w:r>
        <w:rPr>
          <w:color w:val="545456"/>
          <w:w w:val="90"/>
        </w:rPr>
        <w:t>Partl</w:t>
      </w:r>
      <w:proofErr w:type="spellEnd"/>
      <w:r>
        <w:rPr>
          <w:color w:val="545456"/>
          <w:w w:val="90"/>
        </w:rPr>
        <w:t>,</w:t>
      </w:r>
      <w:r>
        <w:rPr>
          <w:color w:val="545456"/>
          <w:spacing w:val="4"/>
          <w:w w:val="90"/>
        </w:rPr>
        <w:t xml:space="preserve"> </w:t>
      </w:r>
      <w:r>
        <w:rPr>
          <w:color w:val="545456"/>
          <w:w w:val="90"/>
        </w:rPr>
        <w:t>PE</w:t>
      </w:r>
      <w:r>
        <w:rPr>
          <w:color w:val="545456"/>
          <w:spacing w:val="4"/>
          <w:w w:val="90"/>
        </w:rPr>
        <w:t xml:space="preserve"> </w:t>
      </w:r>
      <w:r>
        <w:rPr>
          <w:color w:val="545456"/>
          <w:w w:val="90"/>
        </w:rPr>
        <w:t>INTERNATIONAL</w:t>
      </w:r>
      <w:r>
        <w:rPr>
          <w:color w:val="545456"/>
          <w:spacing w:val="1"/>
          <w:w w:val="90"/>
        </w:rPr>
        <w:t xml:space="preserve"> </w:t>
      </w:r>
      <w:r>
        <w:rPr>
          <w:color w:val="545456"/>
          <w:spacing w:val="-1"/>
          <w:w w:val="95"/>
        </w:rPr>
        <w:t>Julia</w:t>
      </w:r>
      <w:r>
        <w:rPr>
          <w:color w:val="545456"/>
          <w:spacing w:val="-9"/>
          <w:w w:val="95"/>
        </w:rPr>
        <w:t xml:space="preserve"> </w:t>
      </w:r>
      <w:r>
        <w:rPr>
          <w:color w:val="545456"/>
          <w:spacing w:val="-1"/>
          <w:w w:val="95"/>
        </w:rPr>
        <w:t>Pflieger,</w:t>
      </w:r>
      <w:r>
        <w:rPr>
          <w:color w:val="545456"/>
          <w:spacing w:val="-9"/>
          <w:w w:val="95"/>
        </w:rPr>
        <w:t xml:space="preserve"> </w:t>
      </w:r>
      <w:r>
        <w:rPr>
          <w:color w:val="545456"/>
          <w:spacing w:val="-1"/>
          <w:w w:val="95"/>
        </w:rPr>
        <w:t>PE</w:t>
      </w:r>
      <w:r>
        <w:rPr>
          <w:color w:val="545456"/>
          <w:spacing w:val="-9"/>
          <w:w w:val="95"/>
        </w:rPr>
        <w:t xml:space="preserve"> </w:t>
      </w:r>
      <w:r>
        <w:rPr>
          <w:color w:val="545456"/>
          <w:w w:val="95"/>
        </w:rPr>
        <w:t>INTERNATIONAL</w:t>
      </w:r>
    </w:p>
    <w:p w14:paraId="4652B0F7" w14:textId="77777777" w:rsidR="0055291C" w:rsidRDefault="00F23C61">
      <w:pPr>
        <w:pStyle w:val="a3"/>
        <w:spacing w:before="2" w:line="312" w:lineRule="auto"/>
        <w:ind w:left="383" w:right="2653"/>
      </w:pPr>
      <w:r>
        <w:rPr>
          <w:color w:val="545456"/>
          <w:spacing w:val="-2"/>
          <w:w w:val="95"/>
        </w:rPr>
        <w:t xml:space="preserve">Michael </w:t>
      </w:r>
      <w:proofErr w:type="spellStart"/>
      <w:r>
        <w:rPr>
          <w:color w:val="545456"/>
          <w:spacing w:val="-2"/>
          <w:w w:val="95"/>
        </w:rPr>
        <w:t>Spielmann</w:t>
      </w:r>
      <w:proofErr w:type="spellEnd"/>
      <w:r>
        <w:rPr>
          <w:color w:val="545456"/>
          <w:spacing w:val="-2"/>
          <w:w w:val="95"/>
        </w:rPr>
        <w:t xml:space="preserve">, </w:t>
      </w:r>
      <w:r>
        <w:rPr>
          <w:color w:val="545456"/>
          <w:spacing w:val="-1"/>
          <w:w w:val="95"/>
        </w:rPr>
        <w:t>PE INTERNATIONAL</w:t>
      </w:r>
      <w:r>
        <w:rPr>
          <w:color w:val="545456"/>
          <w:spacing w:val="-46"/>
          <w:w w:val="95"/>
        </w:rPr>
        <w:t xml:space="preserve"> </w:t>
      </w:r>
      <w:proofErr w:type="spellStart"/>
      <w:r>
        <w:rPr>
          <w:color w:val="545456"/>
          <w:w w:val="90"/>
        </w:rPr>
        <w:t>Liila</w:t>
      </w:r>
      <w:proofErr w:type="spellEnd"/>
      <w:r>
        <w:rPr>
          <w:color w:val="545456"/>
          <w:spacing w:val="40"/>
        </w:rPr>
        <w:t xml:space="preserve"> </w:t>
      </w:r>
      <w:r>
        <w:rPr>
          <w:color w:val="545456"/>
          <w:w w:val="90"/>
        </w:rPr>
        <w:t>Woods,</w:t>
      </w:r>
      <w:r>
        <w:rPr>
          <w:color w:val="545456"/>
          <w:spacing w:val="40"/>
        </w:rPr>
        <w:t xml:space="preserve"> </w:t>
      </w:r>
      <w:r>
        <w:rPr>
          <w:color w:val="545456"/>
          <w:w w:val="90"/>
        </w:rPr>
        <w:t>PE</w:t>
      </w:r>
      <w:r>
        <w:rPr>
          <w:color w:val="545456"/>
          <w:spacing w:val="41"/>
        </w:rPr>
        <w:t xml:space="preserve"> </w:t>
      </w:r>
      <w:r>
        <w:rPr>
          <w:color w:val="545456"/>
          <w:w w:val="90"/>
        </w:rPr>
        <w:t>INTERNATIONAL</w:t>
      </w:r>
      <w:r>
        <w:rPr>
          <w:color w:val="545456"/>
          <w:spacing w:val="1"/>
          <w:w w:val="90"/>
        </w:rPr>
        <w:t xml:space="preserve"> </w:t>
      </w:r>
      <w:proofErr w:type="spellStart"/>
      <w:r>
        <w:rPr>
          <w:color w:val="545456"/>
          <w:spacing w:val="-2"/>
          <w:w w:val="95"/>
        </w:rPr>
        <w:t>Haixiao</w:t>
      </w:r>
      <w:proofErr w:type="spellEnd"/>
      <w:r>
        <w:rPr>
          <w:color w:val="545456"/>
          <w:spacing w:val="-8"/>
          <w:w w:val="95"/>
        </w:rPr>
        <w:t xml:space="preserve"> </w:t>
      </w:r>
      <w:r>
        <w:rPr>
          <w:color w:val="545456"/>
          <w:spacing w:val="-2"/>
          <w:w w:val="95"/>
        </w:rPr>
        <w:t>Zhang,</w:t>
      </w:r>
      <w:r>
        <w:rPr>
          <w:color w:val="545456"/>
          <w:spacing w:val="-8"/>
          <w:w w:val="95"/>
        </w:rPr>
        <w:t xml:space="preserve"> </w:t>
      </w:r>
      <w:r>
        <w:rPr>
          <w:color w:val="545456"/>
          <w:spacing w:val="-2"/>
          <w:w w:val="95"/>
        </w:rPr>
        <w:t>PE</w:t>
      </w:r>
      <w:r>
        <w:rPr>
          <w:color w:val="545456"/>
          <w:spacing w:val="-7"/>
          <w:w w:val="95"/>
        </w:rPr>
        <w:t xml:space="preserve"> </w:t>
      </w:r>
      <w:r>
        <w:rPr>
          <w:color w:val="545456"/>
          <w:spacing w:val="-2"/>
          <w:w w:val="95"/>
        </w:rPr>
        <w:t>INTERNATIONAL</w:t>
      </w:r>
    </w:p>
    <w:p w14:paraId="6D5BD895" w14:textId="77777777" w:rsidR="0055291C" w:rsidRDefault="00F23C61">
      <w:pPr>
        <w:pStyle w:val="a3"/>
        <w:spacing w:before="1" w:line="312" w:lineRule="auto"/>
        <w:ind w:left="610" w:right="1566" w:hanging="227"/>
      </w:pPr>
      <w:r>
        <w:rPr>
          <w:color w:val="545456"/>
          <w:spacing w:val="-1"/>
          <w:w w:val="95"/>
        </w:rPr>
        <w:t>Duncan</w:t>
      </w:r>
      <w:r>
        <w:rPr>
          <w:color w:val="545456"/>
          <w:spacing w:val="-8"/>
          <w:w w:val="95"/>
        </w:rPr>
        <w:t xml:space="preserve"> </w:t>
      </w:r>
      <w:r>
        <w:rPr>
          <w:color w:val="545456"/>
          <w:spacing w:val="-1"/>
          <w:w w:val="95"/>
        </w:rPr>
        <w:t>Noble,</w:t>
      </w:r>
      <w:r>
        <w:rPr>
          <w:color w:val="545456"/>
          <w:spacing w:val="-7"/>
          <w:w w:val="95"/>
        </w:rPr>
        <w:t xml:space="preserve"> </w:t>
      </w:r>
      <w:r>
        <w:rPr>
          <w:color w:val="545456"/>
          <w:spacing w:val="-1"/>
          <w:w w:val="95"/>
        </w:rPr>
        <w:t>PE</w:t>
      </w:r>
      <w:r>
        <w:rPr>
          <w:color w:val="545456"/>
          <w:spacing w:val="-7"/>
          <w:w w:val="95"/>
        </w:rPr>
        <w:t xml:space="preserve"> </w:t>
      </w:r>
      <w:r>
        <w:rPr>
          <w:color w:val="545456"/>
          <w:spacing w:val="-1"/>
          <w:w w:val="95"/>
        </w:rPr>
        <w:t>INTERNATIONAL,</w:t>
      </w:r>
      <w:r>
        <w:rPr>
          <w:color w:val="545456"/>
          <w:spacing w:val="-8"/>
          <w:w w:val="95"/>
        </w:rPr>
        <w:t xml:space="preserve"> </w:t>
      </w:r>
      <w:r>
        <w:rPr>
          <w:color w:val="545456"/>
          <w:w w:val="95"/>
        </w:rPr>
        <w:t>Inc.</w:t>
      </w:r>
      <w:r>
        <w:rPr>
          <w:color w:val="545456"/>
          <w:spacing w:val="-7"/>
          <w:w w:val="95"/>
        </w:rPr>
        <w:t xml:space="preserve"> </w:t>
      </w:r>
      <w:r>
        <w:rPr>
          <w:color w:val="545456"/>
          <w:w w:val="95"/>
        </w:rPr>
        <w:t>&amp;</w:t>
      </w:r>
      <w:r>
        <w:rPr>
          <w:color w:val="545456"/>
          <w:spacing w:val="-7"/>
          <w:w w:val="95"/>
        </w:rPr>
        <w:t xml:space="preserve"> </w:t>
      </w:r>
      <w:r>
        <w:rPr>
          <w:color w:val="545456"/>
          <w:w w:val="95"/>
        </w:rPr>
        <w:t>Five</w:t>
      </w:r>
      <w:r>
        <w:rPr>
          <w:color w:val="545456"/>
          <w:spacing w:val="-8"/>
          <w:w w:val="95"/>
        </w:rPr>
        <w:t xml:space="preserve"> </w:t>
      </w:r>
      <w:r>
        <w:rPr>
          <w:color w:val="545456"/>
          <w:w w:val="95"/>
        </w:rPr>
        <w:t>Winds</w:t>
      </w:r>
      <w:r>
        <w:rPr>
          <w:color w:val="545456"/>
          <w:spacing w:val="-45"/>
          <w:w w:val="95"/>
        </w:rPr>
        <w:t xml:space="preserve"> </w:t>
      </w:r>
      <w:r>
        <w:rPr>
          <w:color w:val="545456"/>
        </w:rPr>
        <w:t>Strategic</w:t>
      </w:r>
      <w:r>
        <w:rPr>
          <w:color w:val="545456"/>
          <w:spacing w:val="-11"/>
        </w:rPr>
        <w:t xml:space="preserve"> </w:t>
      </w:r>
      <w:r>
        <w:rPr>
          <w:color w:val="545456"/>
        </w:rPr>
        <w:t>Consulting</w:t>
      </w:r>
    </w:p>
    <w:p w14:paraId="7790B8B2" w14:textId="77777777" w:rsidR="0055291C" w:rsidRDefault="00F23C61">
      <w:pPr>
        <w:pStyle w:val="a3"/>
        <w:spacing w:before="1"/>
        <w:ind w:left="383"/>
      </w:pPr>
      <w:r>
        <w:rPr>
          <w:color w:val="545456"/>
          <w:spacing w:val="-1"/>
        </w:rPr>
        <w:t>Robert</w:t>
      </w:r>
      <w:r>
        <w:rPr>
          <w:color w:val="545456"/>
          <w:spacing w:val="-12"/>
        </w:rPr>
        <w:t xml:space="preserve"> </w:t>
      </w:r>
      <w:proofErr w:type="spellStart"/>
      <w:r>
        <w:rPr>
          <w:color w:val="545456"/>
          <w:spacing w:val="-1"/>
        </w:rPr>
        <w:t>ter</w:t>
      </w:r>
      <w:proofErr w:type="spellEnd"/>
      <w:r>
        <w:rPr>
          <w:color w:val="545456"/>
          <w:spacing w:val="-12"/>
        </w:rPr>
        <w:t xml:space="preserve"> </w:t>
      </w:r>
      <w:proofErr w:type="spellStart"/>
      <w:r>
        <w:rPr>
          <w:color w:val="545456"/>
          <w:spacing w:val="-1"/>
        </w:rPr>
        <w:t>Kuile</w:t>
      </w:r>
      <w:proofErr w:type="spellEnd"/>
      <w:r>
        <w:rPr>
          <w:color w:val="545456"/>
          <w:spacing w:val="-1"/>
        </w:rPr>
        <w:t>,</w:t>
      </w:r>
      <w:r>
        <w:rPr>
          <w:color w:val="545456"/>
          <w:spacing w:val="-11"/>
        </w:rPr>
        <w:t xml:space="preserve"> </w:t>
      </w:r>
      <w:r>
        <w:rPr>
          <w:color w:val="545456"/>
          <w:spacing w:val="-1"/>
        </w:rPr>
        <w:t>PepsiCo</w:t>
      </w:r>
    </w:p>
    <w:p w14:paraId="060A8C83" w14:textId="77777777" w:rsidR="0055291C" w:rsidRDefault="00F23C61">
      <w:pPr>
        <w:pStyle w:val="a3"/>
        <w:spacing w:before="65" w:line="312" w:lineRule="auto"/>
        <w:ind w:left="383" w:right="1649"/>
      </w:pPr>
      <w:r>
        <w:rPr>
          <w:color w:val="545456"/>
          <w:w w:val="95"/>
        </w:rPr>
        <w:t>Stephanie</w:t>
      </w:r>
      <w:r>
        <w:rPr>
          <w:color w:val="545456"/>
          <w:spacing w:val="15"/>
          <w:w w:val="95"/>
        </w:rPr>
        <w:t xml:space="preserve"> </w:t>
      </w:r>
      <w:r>
        <w:rPr>
          <w:color w:val="545456"/>
          <w:w w:val="95"/>
        </w:rPr>
        <w:t>Adda,</w:t>
      </w:r>
      <w:r>
        <w:rPr>
          <w:color w:val="545456"/>
          <w:spacing w:val="16"/>
          <w:w w:val="95"/>
        </w:rPr>
        <w:t xml:space="preserve"> </w:t>
      </w:r>
      <w:r>
        <w:rPr>
          <w:color w:val="545456"/>
          <w:w w:val="95"/>
        </w:rPr>
        <w:t>PricewaterhouseCoopers,</w:t>
      </w:r>
      <w:r>
        <w:rPr>
          <w:color w:val="545456"/>
          <w:spacing w:val="16"/>
          <w:w w:val="95"/>
        </w:rPr>
        <w:t xml:space="preserve"> </w:t>
      </w:r>
      <w:r>
        <w:rPr>
          <w:color w:val="545456"/>
          <w:w w:val="95"/>
        </w:rPr>
        <w:t>LLP</w:t>
      </w:r>
      <w:r>
        <w:rPr>
          <w:color w:val="545456"/>
          <w:spacing w:val="-45"/>
          <w:w w:val="95"/>
        </w:rPr>
        <w:t xml:space="preserve"> </w:t>
      </w:r>
      <w:r>
        <w:rPr>
          <w:color w:val="545456"/>
          <w:w w:val="95"/>
        </w:rPr>
        <w:t>Helen</w:t>
      </w:r>
      <w:r>
        <w:rPr>
          <w:color w:val="545456"/>
          <w:spacing w:val="1"/>
          <w:w w:val="95"/>
        </w:rPr>
        <w:t xml:space="preserve"> </w:t>
      </w:r>
      <w:r>
        <w:rPr>
          <w:color w:val="545456"/>
          <w:w w:val="95"/>
        </w:rPr>
        <w:t>Slinger,</w:t>
      </w:r>
      <w:r>
        <w:rPr>
          <w:color w:val="545456"/>
          <w:spacing w:val="1"/>
          <w:w w:val="95"/>
        </w:rPr>
        <w:t xml:space="preserve"> </w:t>
      </w:r>
      <w:r>
        <w:rPr>
          <w:color w:val="545456"/>
          <w:w w:val="95"/>
        </w:rPr>
        <w:t>PricewaterhouseCoopers,</w:t>
      </w:r>
      <w:r>
        <w:rPr>
          <w:color w:val="545456"/>
          <w:spacing w:val="2"/>
          <w:w w:val="95"/>
        </w:rPr>
        <w:t xml:space="preserve"> </w:t>
      </w:r>
      <w:r>
        <w:rPr>
          <w:color w:val="545456"/>
          <w:w w:val="95"/>
        </w:rPr>
        <w:t>LLP</w:t>
      </w:r>
      <w:r>
        <w:rPr>
          <w:color w:val="545456"/>
          <w:spacing w:val="1"/>
          <w:w w:val="95"/>
        </w:rPr>
        <w:t xml:space="preserve"> </w:t>
      </w:r>
      <w:r>
        <w:rPr>
          <w:color w:val="545456"/>
        </w:rPr>
        <w:t>Getachew</w:t>
      </w:r>
      <w:r>
        <w:rPr>
          <w:color w:val="545456"/>
          <w:spacing w:val="-12"/>
        </w:rPr>
        <w:t xml:space="preserve"> </w:t>
      </w:r>
      <w:r>
        <w:rPr>
          <w:color w:val="545456"/>
        </w:rPr>
        <w:t>Assefa,</w:t>
      </w:r>
      <w:r>
        <w:rPr>
          <w:color w:val="545456"/>
          <w:spacing w:val="-11"/>
        </w:rPr>
        <w:t xml:space="preserve"> </w:t>
      </w:r>
      <w:r>
        <w:rPr>
          <w:color w:val="545456"/>
        </w:rPr>
        <w:t>Royal</w:t>
      </w:r>
      <w:r>
        <w:rPr>
          <w:color w:val="545456"/>
          <w:spacing w:val="-11"/>
        </w:rPr>
        <w:t xml:space="preserve"> </w:t>
      </w:r>
      <w:r>
        <w:rPr>
          <w:color w:val="545456"/>
        </w:rPr>
        <w:t>Institute</w:t>
      </w:r>
    </w:p>
    <w:p w14:paraId="5DBD3D34" w14:textId="77777777" w:rsidR="0055291C" w:rsidRDefault="00F23C61">
      <w:pPr>
        <w:pStyle w:val="a3"/>
        <w:spacing w:before="2" w:line="312" w:lineRule="auto"/>
        <w:ind w:left="383" w:right="3494" w:firstLine="226"/>
      </w:pPr>
      <w:r>
        <w:rPr>
          <w:color w:val="545456"/>
        </w:rPr>
        <w:t>of Technology – Stockholm</w:t>
      </w:r>
      <w:r>
        <w:rPr>
          <w:color w:val="545456"/>
          <w:spacing w:val="-48"/>
        </w:rPr>
        <w:t xml:space="preserve"> </w:t>
      </w:r>
      <w:r>
        <w:rPr>
          <w:color w:val="545456"/>
          <w:w w:val="95"/>
        </w:rPr>
        <w:t>Jonas</w:t>
      </w:r>
      <w:r>
        <w:rPr>
          <w:color w:val="545456"/>
          <w:spacing w:val="-8"/>
          <w:w w:val="95"/>
        </w:rPr>
        <w:t xml:space="preserve"> </w:t>
      </w:r>
      <w:proofErr w:type="spellStart"/>
      <w:r>
        <w:rPr>
          <w:color w:val="545456"/>
          <w:w w:val="95"/>
        </w:rPr>
        <w:t>Dennler</w:t>
      </w:r>
      <w:proofErr w:type="spellEnd"/>
      <w:r>
        <w:rPr>
          <w:color w:val="545456"/>
          <w:w w:val="95"/>
        </w:rPr>
        <w:t>,</w:t>
      </w:r>
      <w:r>
        <w:rPr>
          <w:color w:val="545456"/>
          <w:spacing w:val="-8"/>
          <w:w w:val="95"/>
        </w:rPr>
        <w:t xml:space="preserve"> </w:t>
      </w:r>
      <w:r>
        <w:rPr>
          <w:color w:val="545456"/>
          <w:w w:val="95"/>
        </w:rPr>
        <w:t>SAP</w:t>
      </w:r>
    </w:p>
    <w:p w14:paraId="3FE1D5E6" w14:textId="77777777" w:rsidR="0055291C" w:rsidRDefault="00F23C61">
      <w:pPr>
        <w:pStyle w:val="a3"/>
        <w:spacing w:line="312" w:lineRule="auto"/>
        <w:ind w:left="383" w:right="4144"/>
      </w:pPr>
      <w:r>
        <w:rPr>
          <w:color w:val="545456"/>
          <w:w w:val="95"/>
        </w:rPr>
        <w:t>Jim Sullivan, SAP</w:t>
      </w:r>
      <w:r>
        <w:rPr>
          <w:color w:val="545456"/>
          <w:spacing w:val="1"/>
          <w:w w:val="95"/>
        </w:rPr>
        <w:t xml:space="preserve"> </w:t>
      </w:r>
      <w:r>
        <w:rPr>
          <w:color w:val="545456"/>
          <w:w w:val="90"/>
        </w:rPr>
        <w:t>Kevin</w:t>
      </w:r>
      <w:r>
        <w:rPr>
          <w:color w:val="545456"/>
          <w:spacing w:val="4"/>
          <w:w w:val="90"/>
        </w:rPr>
        <w:t xml:space="preserve"> </w:t>
      </w:r>
      <w:r>
        <w:rPr>
          <w:color w:val="545456"/>
          <w:w w:val="90"/>
        </w:rPr>
        <w:t>Ramm,</w:t>
      </w:r>
      <w:r>
        <w:rPr>
          <w:color w:val="545456"/>
          <w:spacing w:val="5"/>
          <w:w w:val="90"/>
        </w:rPr>
        <w:t xml:space="preserve"> </w:t>
      </w:r>
      <w:r>
        <w:rPr>
          <w:color w:val="545456"/>
          <w:w w:val="90"/>
        </w:rPr>
        <w:t>SAP</w:t>
      </w:r>
      <w:r>
        <w:rPr>
          <w:color w:val="545456"/>
          <w:spacing w:val="4"/>
          <w:w w:val="90"/>
        </w:rPr>
        <w:t xml:space="preserve"> </w:t>
      </w:r>
      <w:r>
        <w:rPr>
          <w:color w:val="545456"/>
          <w:w w:val="90"/>
        </w:rPr>
        <w:t>AG</w:t>
      </w:r>
    </w:p>
    <w:p w14:paraId="55D7A282" w14:textId="77777777" w:rsidR="0055291C" w:rsidRDefault="00F23C61">
      <w:pPr>
        <w:pStyle w:val="a3"/>
        <w:spacing w:before="1" w:line="312" w:lineRule="auto"/>
        <w:ind w:left="383" w:right="3925"/>
      </w:pPr>
      <w:r>
        <w:rPr>
          <w:color w:val="545456"/>
          <w:spacing w:val="-2"/>
          <w:w w:val="95"/>
        </w:rPr>
        <w:t>Andreas</w:t>
      </w:r>
      <w:r>
        <w:rPr>
          <w:color w:val="545456"/>
          <w:spacing w:val="-8"/>
          <w:w w:val="95"/>
        </w:rPr>
        <w:t xml:space="preserve"> </w:t>
      </w:r>
      <w:r>
        <w:rPr>
          <w:color w:val="545456"/>
          <w:spacing w:val="-1"/>
          <w:w w:val="95"/>
        </w:rPr>
        <w:t>Vogel,</w:t>
      </w:r>
      <w:r>
        <w:rPr>
          <w:color w:val="545456"/>
          <w:spacing w:val="-7"/>
          <w:w w:val="95"/>
        </w:rPr>
        <w:t xml:space="preserve"> </w:t>
      </w:r>
      <w:r>
        <w:rPr>
          <w:color w:val="545456"/>
          <w:spacing w:val="-1"/>
          <w:w w:val="95"/>
        </w:rPr>
        <w:t>SAP</w:t>
      </w:r>
      <w:r>
        <w:rPr>
          <w:color w:val="545456"/>
          <w:spacing w:val="-7"/>
          <w:w w:val="95"/>
        </w:rPr>
        <w:t xml:space="preserve"> </w:t>
      </w:r>
      <w:r>
        <w:rPr>
          <w:color w:val="545456"/>
          <w:spacing w:val="-1"/>
          <w:w w:val="95"/>
        </w:rPr>
        <w:t>Labs</w:t>
      </w:r>
      <w:r>
        <w:rPr>
          <w:color w:val="545456"/>
          <w:spacing w:val="-45"/>
          <w:w w:val="95"/>
        </w:rPr>
        <w:t xml:space="preserve"> </w:t>
      </w:r>
      <w:r>
        <w:rPr>
          <w:color w:val="545456"/>
          <w:w w:val="95"/>
        </w:rPr>
        <w:t>Chris</w:t>
      </w:r>
      <w:r>
        <w:rPr>
          <w:color w:val="545456"/>
          <w:spacing w:val="-7"/>
          <w:w w:val="95"/>
        </w:rPr>
        <w:t xml:space="preserve"> </w:t>
      </w:r>
      <w:proofErr w:type="spellStart"/>
      <w:r>
        <w:rPr>
          <w:color w:val="545456"/>
          <w:w w:val="95"/>
        </w:rPr>
        <w:t>Librie</w:t>
      </w:r>
      <w:proofErr w:type="spellEnd"/>
      <w:r>
        <w:rPr>
          <w:color w:val="545456"/>
          <w:w w:val="95"/>
        </w:rPr>
        <w:t>,</w:t>
      </w:r>
      <w:r>
        <w:rPr>
          <w:color w:val="545456"/>
          <w:spacing w:val="-6"/>
          <w:w w:val="95"/>
        </w:rPr>
        <w:t xml:space="preserve"> </w:t>
      </w:r>
      <w:r>
        <w:rPr>
          <w:color w:val="545456"/>
          <w:w w:val="95"/>
        </w:rPr>
        <w:t>SC</w:t>
      </w:r>
      <w:r>
        <w:rPr>
          <w:color w:val="545456"/>
          <w:spacing w:val="-7"/>
          <w:w w:val="95"/>
        </w:rPr>
        <w:t xml:space="preserve"> </w:t>
      </w:r>
      <w:r>
        <w:rPr>
          <w:color w:val="545456"/>
          <w:w w:val="95"/>
        </w:rPr>
        <w:t>Johnson</w:t>
      </w:r>
    </w:p>
    <w:p w14:paraId="4C8239C8" w14:textId="77777777" w:rsidR="0055291C" w:rsidRDefault="00F23C61">
      <w:pPr>
        <w:pStyle w:val="a3"/>
        <w:spacing w:before="1" w:line="312" w:lineRule="auto"/>
        <w:ind w:left="383" w:right="2876"/>
      </w:pPr>
      <w:r>
        <w:rPr>
          <w:color w:val="545456"/>
          <w:w w:val="95"/>
        </w:rPr>
        <w:t>Valerie</w:t>
      </w:r>
      <w:r>
        <w:rPr>
          <w:color w:val="545456"/>
          <w:spacing w:val="-7"/>
          <w:w w:val="95"/>
        </w:rPr>
        <w:t xml:space="preserve"> </w:t>
      </w:r>
      <w:r>
        <w:rPr>
          <w:color w:val="545456"/>
          <w:w w:val="95"/>
        </w:rPr>
        <w:t>A</w:t>
      </w:r>
      <w:r>
        <w:rPr>
          <w:color w:val="545456"/>
          <w:spacing w:val="-7"/>
          <w:w w:val="95"/>
        </w:rPr>
        <w:t xml:space="preserve"> </w:t>
      </w:r>
      <w:proofErr w:type="spellStart"/>
      <w:r>
        <w:rPr>
          <w:color w:val="545456"/>
          <w:w w:val="95"/>
        </w:rPr>
        <w:t>Slomczewski</w:t>
      </w:r>
      <w:proofErr w:type="spellEnd"/>
      <w:r>
        <w:rPr>
          <w:color w:val="545456"/>
          <w:w w:val="95"/>
        </w:rPr>
        <w:t>,</w:t>
      </w:r>
      <w:r>
        <w:rPr>
          <w:color w:val="545456"/>
          <w:spacing w:val="-7"/>
          <w:w w:val="95"/>
        </w:rPr>
        <w:t xml:space="preserve"> </w:t>
      </w:r>
      <w:r>
        <w:rPr>
          <w:color w:val="545456"/>
          <w:w w:val="95"/>
        </w:rPr>
        <w:t>SC</w:t>
      </w:r>
      <w:r>
        <w:rPr>
          <w:color w:val="545456"/>
          <w:spacing w:val="-7"/>
          <w:w w:val="95"/>
        </w:rPr>
        <w:t xml:space="preserve"> </w:t>
      </w:r>
      <w:r>
        <w:rPr>
          <w:color w:val="545456"/>
          <w:w w:val="95"/>
        </w:rPr>
        <w:t>Johnson</w:t>
      </w:r>
      <w:r>
        <w:rPr>
          <w:color w:val="545456"/>
          <w:spacing w:val="-45"/>
          <w:w w:val="95"/>
        </w:rPr>
        <w:t xml:space="preserve"> </w:t>
      </w:r>
      <w:r>
        <w:rPr>
          <w:color w:val="545456"/>
          <w:w w:val="95"/>
        </w:rPr>
        <w:t>Lisa</w:t>
      </w:r>
      <w:r>
        <w:rPr>
          <w:color w:val="545456"/>
          <w:spacing w:val="-9"/>
          <w:w w:val="95"/>
        </w:rPr>
        <w:t xml:space="preserve"> </w:t>
      </w:r>
      <w:r>
        <w:rPr>
          <w:color w:val="545456"/>
          <w:w w:val="95"/>
        </w:rPr>
        <w:t>Brough,</w:t>
      </w:r>
      <w:r>
        <w:rPr>
          <w:color w:val="545456"/>
          <w:spacing w:val="-9"/>
          <w:w w:val="95"/>
        </w:rPr>
        <w:t xml:space="preserve"> </w:t>
      </w:r>
      <w:r>
        <w:rPr>
          <w:color w:val="545456"/>
          <w:w w:val="95"/>
        </w:rPr>
        <w:t>SGS</w:t>
      </w:r>
    </w:p>
    <w:p w14:paraId="3AEF7E5B" w14:textId="77777777" w:rsidR="0055291C" w:rsidRDefault="00F23C61">
      <w:pPr>
        <w:pStyle w:val="a3"/>
        <w:spacing w:before="1"/>
        <w:ind w:left="383"/>
      </w:pPr>
      <w:r>
        <w:rPr>
          <w:color w:val="545456"/>
        </w:rPr>
        <w:t>Jan</w:t>
      </w:r>
      <w:r>
        <w:rPr>
          <w:color w:val="545456"/>
          <w:spacing w:val="-4"/>
        </w:rPr>
        <w:t xml:space="preserve"> </w:t>
      </w:r>
      <w:r>
        <w:rPr>
          <w:color w:val="545456"/>
        </w:rPr>
        <w:t>Minx,</w:t>
      </w:r>
      <w:r>
        <w:rPr>
          <w:color w:val="545456"/>
          <w:spacing w:val="-3"/>
        </w:rPr>
        <w:t xml:space="preserve"> </w:t>
      </w:r>
      <w:r>
        <w:rPr>
          <w:color w:val="545456"/>
        </w:rPr>
        <w:t>Stockholm</w:t>
      </w:r>
      <w:r>
        <w:rPr>
          <w:color w:val="545456"/>
          <w:spacing w:val="-3"/>
        </w:rPr>
        <w:t xml:space="preserve"> </w:t>
      </w:r>
      <w:r>
        <w:rPr>
          <w:color w:val="545456"/>
        </w:rPr>
        <w:t>Environment</w:t>
      </w:r>
      <w:r>
        <w:rPr>
          <w:color w:val="545456"/>
          <w:spacing w:val="-3"/>
        </w:rPr>
        <w:t xml:space="preserve"> </w:t>
      </w:r>
      <w:r>
        <w:rPr>
          <w:color w:val="545456"/>
        </w:rPr>
        <w:t>Institute</w:t>
      </w:r>
    </w:p>
    <w:p w14:paraId="10CF3497" w14:textId="77777777" w:rsidR="0055291C" w:rsidRDefault="0055291C">
      <w:pPr>
        <w:sectPr w:rsidR="0055291C">
          <w:type w:val="continuous"/>
          <w:pgSz w:w="12240" w:h="15840"/>
          <w:pgMar w:top="740" w:right="0" w:bottom="280" w:left="0" w:header="0" w:footer="859" w:gutter="0"/>
          <w:cols w:num="2" w:space="720" w:equalWidth="0">
            <w:col w:w="5839" w:space="40"/>
            <w:col w:w="6361"/>
          </w:cols>
        </w:sectPr>
      </w:pPr>
    </w:p>
    <w:p w14:paraId="78213BED" w14:textId="77777777" w:rsidR="0055291C" w:rsidRDefault="00000000">
      <w:pPr>
        <w:pStyle w:val="a3"/>
        <w:rPr>
          <w:sz w:val="20"/>
        </w:rPr>
      </w:pPr>
      <w:r>
        <w:rPr>
          <w:sz w:val="20"/>
        </w:rPr>
      </w:r>
      <w:r>
        <w:rPr>
          <w:sz w:val="20"/>
        </w:rPr>
        <w:pict w14:anchorId="16D29FB7">
          <v:group id="docshapegroup1738" o:spid="_x0000_s2083" style="width:297pt;height:31.8pt;mso-position-horizontal-relative:char;mso-position-vertical-relative:line" coordsize="5940,636">
            <v:shape id="docshape1739" o:spid="_x0000_s2084" style="position:absolute;width:5940;height:636" coordsize="5940,636" path="m5940,l,,,635r5713,l5844,632r68,-25l5936,539r4,-131l5940,xe" fillcolor="#00aca1" stroked="f">
              <v:path arrowok="t"/>
            </v:shape>
            <w10:anchorlock/>
          </v:group>
        </w:pict>
      </w:r>
    </w:p>
    <w:p w14:paraId="2E04E058" w14:textId="77777777" w:rsidR="0055291C" w:rsidRDefault="0055291C">
      <w:pPr>
        <w:pStyle w:val="a3"/>
        <w:rPr>
          <w:sz w:val="20"/>
        </w:rPr>
      </w:pPr>
    </w:p>
    <w:p w14:paraId="0C1F6384" w14:textId="77777777" w:rsidR="0055291C" w:rsidRDefault="0055291C">
      <w:pPr>
        <w:pStyle w:val="a3"/>
        <w:rPr>
          <w:sz w:val="20"/>
        </w:rPr>
      </w:pPr>
    </w:p>
    <w:p w14:paraId="2B3986BC" w14:textId="77777777" w:rsidR="0055291C" w:rsidRDefault="0055291C">
      <w:pPr>
        <w:pStyle w:val="a3"/>
        <w:rPr>
          <w:sz w:val="20"/>
        </w:rPr>
      </w:pPr>
    </w:p>
    <w:p w14:paraId="58F2B496" w14:textId="77777777" w:rsidR="0055291C" w:rsidRDefault="0055291C">
      <w:pPr>
        <w:pStyle w:val="a3"/>
        <w:spacing w:before="10"/>
        <w:rPr>
          <w:sz w:val="22"/>
        </w:rPr>
      </w:pPr>
    </w:p>
    <w:p w14:paraId="7206B39C" w14:textId="77777777" w:rsidR="0055291C" w:rsidRDefault="00000000">
      <w:pPr>
        <w:pStyle w:val="3"/>
        <w:spacing w:before="0"/>
        <w:ind w:left="1110"/>
      </w:pPr>
      <w:r>
        <w:pict w14:anchorId="2945E0DC">
          <v:line id="_x0000_s2082" style="position:absolute;left:0;text-align:left;z-index:251694592;mso-position-horizontal-relative:page" from="57.25pt,18.55pt" to="555.85pt,18.55pt" strokecolor="#00aca1" strokeweight="1pt">
            <w10:wrap anchorx="page"/>
          </v:line>
        </w:pict>
      </w:r>
      <w:r w:rsidR="00F23C61">
        <w:rPr>
          <w:color w:val="00ACA1"/>
          <w:w w:val="95"/>
        </w:rPr>
        <w:t>Product</w:t>
      </w:r>
      <w:r w:rsidR="00F23C61">
        <w:rPr>
          <w:color w:val="00ACA1"/>
          <w:spacing w:val="5"/>
          <w:w w:val="95"/>
        </w:rPr>
        <w:t xml:space="preserve"> </w:t>
      </w:r>
      <w:r w:rsidR="00F23C61">
        <w:rPr>
          <w:color w:val="00ACA1"/>
          <w:w w:val="95"/>
        </w:rPr>
        <w:t>Standard</w:t>
      </w:r>
      <w:r w:rsidR="00F23C61">
        <w:rPr>
          <w:color w:val="00ACA1"/>
          <w:spacing w:val="6"/>
          <w:w w:val="95"/>
        </w:rPr>
        <w:t xml:space="preserve"> </w:t>
      </w:r>
      <w:r w:rsidR="00F23C61">
        <w:rPr>
          <w:color w:val="00ACA1"/>
          <w:w w:val="95"/>
        </w:rPr>
        <w:t>Technical</w:t>
      </w:r>
      <w:r w:rsidR="00F23C61">
        <w:rPr>
          <w:color w:val="00ACA1"/>
          <w:spacing w:val="6"/>
          <w:w w:val="95"/>
        </w:rPr>
        <w:t xml:space="preserve"> </w:t>
      </w:r>
      <w:r w:rsidR="00F23C61">
        <w:rPr>
          <w:color w:val="00ACA1"/>
          <w:w w:val="95"/>
        </w:rPr>
        <w:t>Working</w:t>
      </w:r>
      <w:r w:rsidR="00F23C61">
        <w:rPr>
          <w:color w:val="00ACA1"/>
          <w:spacing w:val="5"/>
          <w:w w:val="95"/>
        </w:rPr>
        <w:t xml:space="preserve"> </w:t>
      </w:r>
      <w:r w:rsidR="00F23C61">
        <w:rPr>
          <w:color w:val="00ACA1"/>
          <w:w w:val="95"/>
        </w:rPr>
        <w:t>Group</w:t>
      </w:r>
      <w:r w:rsidR="00F23C61">
        <w:rPr>
          <w:color w:val="00ACA1"/>
          <w:spacing w:val="6"/>
          <w:w w:val="95"/>
        </w:rPr>
        <w:t xml:space="preserve"> </w:t>
      </w:r>
      <w:r w:rsidR="00F23C61">
        <w:rPr>
          <w:color w:val="00ACA1"/>
          <w:w w:val="95"/>
        </w:rPr>
        <w:t>Members</w:t>
      </w:r>
      <w:r w:rsidR="00F23C61">
        <w:rPr>
          <w:color w:val="00ACA1"/>
          <w:spacing w:val="6"/>
          <w:w w:val="95"/>
        </w:rPr>
        <w:t xml:space="preserve"> </w:t>
      </w:r>
      <w:r w:rsidR="00F23C61">
        <w:rPr>
          <w:color w:val="00ACA1"/>
          <w:w w:val="95"/>
        </w:rPr>
        <w:t>(continued)</w:t>
      </w:r>
    </w:p>
    <w:p w14:paraId="06254EB4" w14:textId="77777777" w:rsidR="0055291C" w:rsidRDefault="0055291C">
      <w:pPr>
        <w:sectPr w:rsidR="0055291C">
          <w:headerReference w:type="even" r:id="rId407"/>
          <w:pgSz w:w="12240" w:h="15840"/>
          <w:pgMar w:top="0" w:right="0" w:bottom="1040" w:left="0" w:header="0" w:footer="859" w:gutter="0"/>
          <w:cols w:space="720"/>
        </w:sectPr>
      </w:pPr>
    </w:p>
    <w:p w14:paraId="6048F993" w14:textId="77777777" w:rsidR="0055291C" w:rsidRDefault="0055291C">
      <w:pPr>
        <w:pStyle w:val="a3"/>
        <w:spacing w:before="10"/>
        <w:rPr>
          <w:rFonts w:ascii="Arial"/>
          <w:b/>
          <w:i/>
          <w:sz w:val="16"/>
        </w:rPr>
      </w:pPr>
    </w:p>
    <w:p w14:paraId="6A9B605B" w14:textId="77777777" w:rsidR="0055291C" w:rsidRDefault="00F23C61">
      <w:pPr>
        <w:pStyle w:val="a3"/>
        <w:ind w:left="1133"/>
      </w:pPr>
      <w:r>
        <w:rPr>
          <w:color w:val="545456"/>
          <w:w w:val="95"/>
        </w:rPr>
        <w:t>Evan</w:t>
      </w:r>
      <w:r>
        <w:rPr>
          <w:color w:val="545456"/>
          <w:spacing w:val="-6"/>
          <w:w w:val="95"/>
        </w:rPr>
        <w:t xml:space="preserve"> </w:t>
      </w:r>
      <w:r>
        <w:rPr>
          <w:color w:val="545456"/>
          <w:w w:val="95"/>
        </w:rPr>
        <w:t>Andrews,</w:t>
      </w:r>
      <w:r>
        <w:rPr>
          <w:color w:val="545456"/>
          <w:spacing w:val="-6"/>
          <w:w w:val="95"/>
        </w:rPr>
        <w:t xml:space="preserve"> </w:t>
      </w:r>
      <w:r>
        <w:rPr>
          <w:color w:val="545456"/>
          <w:w w:val="95"/>
        </w:rPr>
        <w:t>Sylvatica</w:t>
      </w:r>
    </w:p>
    <w:p w14:paraId="65CC68BC" w14:textId="77777777" w:rsidR="0055291C" w:rsidRDefault="00F23C61">
      <w:pPr>
        <w:pStyle w:val="a3"/>
        <w:spacing w:before="65" w:line="312" w:lineRule="auto"/>
        <w:ind w:left="1133" w:right="1315"/>
      </w:pPr>
      <w:r>
        <w:rPr>
          <w:color w:val="545456"/>
          <w:w w:val="90"/>
        </w:rPr>
        <w:t>Pascal</w:t>
      </w:r>
      <w:r>
        <w:rPr>
          <w:color w:val="545456"/>
          <w:spacing w:val="11"/>
          <w:w w:val="90"/>
        </w:rPr>
        <w:t xml:space="preserve"> </w:t>
      </w:r>
      <w:r>
        <w:rPr>
          <w:color w:val="545456"/>
          <w:w w:val="90"/>
        </w:rPr>
        <w:t>Lesage,</w:t>
      </w:r>
      <w:r>
        <w:rPr>
          <w:color w:val="545456"/>
          <w:spacing w:val="12"/>
          <w:w w:val="90"/>
        </w:rPr>
        <w:t xml:space="preserve"> </w:t>
      </w:r>
      <w:r>
        <w:rPr>
          <w:color w:val="545456"/>
          <w:w w:val="90"/>
        </w:rPr>
        <w:t>Sylvatica/CIRAIG</w:t>
      </w:r>
      <w:r>
        <w:rPr>
          <w:color w:val="545456"/>
          <w:spacing w:val="-42"/>
          <w:w w:val="90"/>
        </w:rPr>
        <w:t xml:space="preserve"> </w:t>
      </w:r>
      <w:r>
        <w:rPr>
          <w:color w:val="545456"/>
          <w:w w:val="95"/>
        </w:rPr>
        <w:t xml:space="preserve">Wilhelm Wang, </w:t>
      </w:r>
      <w:proofErr w:type="spellStart"/>
      <w:r>
        <w:rPr>
          <w:color w:val="545456"/>
          <w:w w:val="95"/>
        </w:rPr>
        <w:t>Transreg</w:t>
      </w:r>
      <w:proofErr w:type="spellEnd"/>
      <w:r>
        <w:rPr>
          <w:color w:val="545456"/>
          <w:w w:val="95"/>
        </w:rPr>
        <w:t>, LLC</w:t>
      </w:r>
      <w:r>
        <w:rPr>
          <w:color w:val="545456"/>
          <w:spacing w:val="1"/>
          <w:w w:val="95"/>
        </w:rPr>
        <w:t xml:space="preserve"> </w:t>
      </w:r>
      <w:r>
        <w:rPr>
          <w:color w:val="545456"/>
        </w:rPr>
        <w:t>Henry</w:t>
      </w:r>
      <w:r>
        <w:rPr>
          <w:color w:val="545456"/>
          <w:spacing w:val="-11"/>
        </w:rPr>
        <w:t xml:space="preserve"> </w:t>
      </w:r>
      <w:r>
        <w:rPr>
          <w:color w:val="545456"/>
        </w:rPr>
        <w:t>King,</w:t>
      </w:r>
      <w:r>
        <w:rPr>
          <w:color w:val="545456"/>
          <w:spacing w:val="-11"/>
        </w:rPr>
        <w:t xml:space="preserve"> </w:t>
      </w:r>
      <w:r>
        <w:rPr>
          <w:color w:val="545456"/>
        </w:rPr>
        <w:t>Unilever</w:t>
      </w:r>
    </w:p>
    <w:p w14:paraId="6DDAE0CA" w14:textId="77777777" w:rsidR="0055291C" w:rsidRDefault="00F23C61">
      <w:pPr>
        <w:pStyle w:val="a3"/>
        <w:spacing w:before="2"/>
        <w:ind w:left="1133"/>
      </w:pPr>
      <w:r>
        <w:rPr>
          <w:color w:val="545456"/>
          <w:w w:val="95"/>
        </w:rPr>
        <w:t>Sarah</w:t>
      </w:r>
      <w:r>
        <w:rPr>
          <w:color w:val="545456"/>
          <w:spacing w:val="-7"/>
          <w:w w:val="95"/>
        </w:rPr>
        <w:t xml:space="preserve"> </w:t>
      </w:r>
      <w:r>
        <w:rPr>
          <w:color w:val="545456"/>
          <w:w w:val="95"/>
        </w:rPr>
        <w:t>Sim,</w:t>
      </w:r>
      <w:r>
        <w:rPr>
          <w:color w:val="545456"/>
          <w:spacing w:val="-7"/>
          <w:w w:val="95"/>
        </w:rPr>
        <w:t xml:space="preserve"> </w:t>
      </w:r>
      <w:r>
        <w:rPr>
          <w:color w:val="545456"/>
          <w:w w:val="95"/>
        </w:rPr>
        <w:t>Unilever</w:t>
      </w:r>
    </w:p>
    <w:p w14:paraId="00EEA630" w14:textId="77777777" w:rsidR="0055291C" w:rsidRDefault="00F23C61">
      <w:pPr>
        <w:pStyle w:val="a3"/>
        <w:spacing w:before="65" w:line="312" w:lineRule="auto"/>
        <w:ind w:left="1133" w:right="614"/>
      </w:pPr>
      <w:r>
        <w:rPr>
          <w:color w:val="545456"/>
          <w:spacing w:val="-1"/>
        </w:rPr>
        <w:t>Bhawan</w:t>
      </w:r>
      <w:r>
        <w:rPr>
          <w:color w:val="545456"/>
          <w:spacing w:val="-12"/>
        </w:rPr>
        <w:t xml:space="preserve"> </w:t>
      </w:r>
      <w:r>
        <w:rPr>
          <w:color w:val="545456"/>
          <w:spacing w:val="-1"/>
        </w:rPr>
        <w:t>Singh,</w:t>
      </w:r>
      <w:r>
        <w:rPr>
          <w:color w:val="545456"/>
          <w:spacing w:val="-11"/>
        </w:rPr>
        <w:t xml:space="preserve"> </w:t>
      </w:r>
      <w:r>
        <w:rPr>
          <w:color w:val="545456"/>
          <w:spacing w:val="-1"/>
        </w:rPr>
        <w:t>Université</w:t>
      </w:r>
      <w:r>
        <w:rPr>
          <w:color w:val="545456"/>
          <w:spacing w:val="-12"/>
        </w:rPr>
        <w:t xml:space="preserve"> </w:t>
      </w:r>
      <w:r>
        <w:rPr>
          <w:color w:val="545456"/>
        </w:rPr>
        <w:t>de</w:t>
      </w:r>
      <w:r>
        <w:rPr>
          <w:color w:val="545456"/>
          <w:spacing w:val="-11"/>
        </w:rPr>
        <w:t xml:space="preserve"> </w:t>
      </w:r>
      <w:r>
        <w:rPr>
          <w:color w:val="545456"/>
        </w:rPr>
        <w:t>Montréal</w:t>
      </w:r>
      <w:r>
        <w:rPr>
          <w:color w:val="545456"/>
          <w:spacing w:val="-48"/>
        </w:rPr>
        <w:t xml:space="preserve"> </w:t>
      </w:r>
      <w:r>
        <w:rPr>
          <w:color w:val="545456"/>
          <w:w w:val="95"/>
        </w:rPr>
        <w:t>David</w:t>
      </w:r>
      <w:r>
        <w:rPr>
          <w:color w:val="545456"/>
          <w:spacing w:val="1"/>
          <w:w w:val="95"/>
        </w:rPr>
        <w:t xml:space="preserve"> </w:t>
      </w:r>
      <w:r>
        <w:rPr>
          <w:color w:val="545456"/>
          <w:w w:val="95"/>
        </w:rPr>
        <w:t>Guernsey,</w:t>
      </w:r>
      <w:r>
        <w:rPr>
          <w:color w:val="545456"/>
          <w:spacing w:val="1"/>
          <w:w w:val="95"/>
        </w:rPr>
        <w:t xml:space="preserve"> </w:t>
      </w:r>
      <w:r>
        <w:rPr>
          <w:color w:val="545456"/>
          <w:w w:val="95"/>
        </w:rPr>
        <w:t>United</w:t>
      </w:r>
      <w:r>
        <w:rPr>
          <w:color w:val="545456"/>
          <w:spacing w:val="2"/>
          <w:w w:val="95"/>
        </w:rPr>
        <w:t xml:space="preserve"> </w:t>
      </w:r>
      <w:r>
        <w:rPr>
          <w:color w:val="545456"/>
          <w:w w:val="95"/>
        </w:rPr>
        <w:t>Parcel</w:t>
      </w:r>
      <w:r>
        <w:rPr>
          <w:color w:val="545456"/>
          <w:spacing w:val="1"/>
          <w:w w:val="95"/>
        </w:rPr>
        <w:t xml:space="preserve"> </w:t>
      </w:r>
      <w:r>
        <w:rPr>
          <w:color w:val="545456"/>
          <w:w w:val="95"/>
        </w:rPr>
        <w:t>Service</w:t>
      </w:r>
    </w:p>
    <w:p w14:paraId="5E6A3C34" w14:textId="77777777" w:rsidR="0055291C" w:rsidRDefault="00F23C61">
      <w:pPr>
        <w:pStyle w:val="a3"/>
        <w:spacing w:line="312" w:lineRule="auto"/>
        <w:ind w:left="1133"/>
      </w:pPr>
      <w:r>
        <w:rPr>
          <w:color w:val="545456"/>
        </w:rPr>
        <w:t>John</w:t>
      </w:r>
      <w:r>
        <w:rPr>
          <w:color w:val="545456"/>
          <w:spacing w:val="-7"/>
        </w:rPr>
        <w:t xml:space="preserve"> </w:t>
      </w:r>
      <w:r>
        <w:rPr>
          <w:color w:val="545456"/>
        </w:rPr>
        <w:t>Kimball,</w:t>
      </w:r>
      <w:r>
        <w:rPr>
          <w:color w:val="545456"/>
          <w:spacing w:val="-7"/>
        </w:rPr>
        <w:t xml:space="preserve"> </w:t>
      </w:r>
      <w:r>
        <w:rPr>
          <w:color w:val="545456"/>
        </w:rPr>
        <w:t>United</w:t>
      </w:r>
      <w:r>
        <w:rPr>
          <w:color w:val="545456"/>
          <w:spacing w:val="-7"/>
        </w:rPr>
        <w:t xml:space="preserve"> </w:t>
      </w:r>
      <w:r>
        <w:rPr>
          <w:color w:val="545456"/>
        </w:rPr>
        <w:t>States</w:t>
      </w:r>
      <w:r>
        <w:rPr>
          <w:color w:val="545456"/>
          <w:spacing w:val="-7"/>
        </w:rPr>
        <w:t xml:space="preserve"> </w:t>
      </w:r>
      <w:r>
        <w:rPr>
          <w:color w:val="545456"/>
        </w:rPr>
        <w:t>Department</w:t>
      </w:r>
      <w:r>
        <w:rPr>
          <w:color w:val="545456"/>
          <w:spacing w:val="-7"/>
        </w:rPr>
        <w:t xml:space="preserve"> </w:t>
      </w:r>
      <w:r>
        <w:rPr>
          <w:color w:val="545456"/>
        </w:rPr>
        <w:t>of</w:t>
      </w:r>
      <w:r>
        <w:rPr>
          <w:color w:val="545456"/>
          <w:spacing w:val="-7"/>
        </w:rPr>
        <w:t xml:space="preserve"> </w:t>
      </w:r>
      <w:r>
        <w:rPr>
          <w:color w:val="545456"/>
        </w:rPr>
        <w:t>Energy</w:t>
      </w:r>
      <w:r>
        <w:rPr>
          <w:color w:val="545456"/>
          <w:spacing w:val="-48"/>
        </w:rPr>
        <w:t xml:space="preserve"> </w:t>
      </w:r>
      <w:r>
        <w:rPr>
          <w:color w:val="545456"/>
          <w:spacing w:val="-1"/>
        </w:rPr>
        <w:t>Vince</w:t>
      </w:r>
      <w:r>
        <w:rPr>
          <w:color w:val="545456"/>
          <w:spacing w:val="-12"/>
        </w:rPr>
        <w:t xml:space="preserve"> </w:t>
      </w:r>
      <w:proofErr w:type="spellStart"/>
      <w:r>
        <w:rPr>
          <w:color w:val="545456"/>
          <w:spacing w:val="-1"/>
        </w:rPr>
        <w:t>Camobreco</w:t>
      </w:r>
      <w:proofErr w:type="spellEnd"/>
      <w:r>
        <w:rPr>
          <w:color w:val="545456"/>
          <w:spacing w:val="-1"/>
        </w:rPr>
        <w:t>,</w:t>
      </w:r>
      <w:r>
        <w:rPr>
          <w:color w:val="545456"/>
          <w:spacing w:val="-11"/>
        </w:rPr>
        <w:t xml:space="preserve"> </w:t>
      </w:r>
      <w:r>
        <w:rPr>
          <w:color w:val="545456"/>
          <w:spacing w:val="-1"/>
        </w:rPr>
        <w:t>United</w:t>
      </w:r>
      <w:r>
        <w:rPr>
          <w:color w:val="545456"/>
          <w:spacing w:val="-11"/>
        </w:rPr>
        <w:t xml:space="preserve"> </w:t>
      </w:r>
      <w:r>
        <w:rPr>
          <w:color w:val="545456"/>
          <w:spacing w:val="-1"/>
        </w:rPr>
        <w:t>States</w:t>
      </w:r>
      <w:r>
        <w:rPr>
          <w:color w:val="545456"/>
          <w:spacing w:val="-11"/>
        </w:rPr>
        <w:t xml:space="preserve"> </w:t>
      </w:r>
      <w:r>
        <w:rPr>
          <w:color w:val="545456"/>
        </w:rPr>
        <w:t>Environmental</w:t>
      </w:r>
    </w:p>
    <w:p w14:paraId="2C947CA5" w14:textId="77777777" w:rsidR="0055291C" w:rsidRDefault="00F23C61">
      <w:pPr>
        <w:pStyle w:val="a3"/>
        <w:spacing w:before="1"/>
        <w:ind w:left="1360"/>
      </w:pPr>
      <w:r>
        <w:rPr>
          <w:color w:val="545456"/>
        </w:rPr>
        <w:t>Protection</w:t>
      </w:r>
      <w:r>
        <w:rPr>
          <w:color w:val="545456"/>
          <w:spacing w:val="-5"/>
        </w:rPr>
        <w:t xml:space="preserve"> </w:t>
      </w:r>
      <w:r>
        <w:rPr>
          <w:color w:val="545456"/>
        </w:rPr>
        <w:t>Agency</w:t>
      </w:r>
    </w:p>
    <w:p w14:paraId="577E9E81" w14:textId="77777777" w:rsidR="0055291C" w:rsidRDefault="00F23C61">
      <w:pPr>
        <w:spacing w:before="2"/>
        <w:rPr>
          <w:sz w:val="17"/>
        </w:rPr>
      </w:pPr>
      <w:r>
        <w:br w:type="column"/>
      </w:r>
    </w:p>
    <w:p w14:paraId="2F93AF87" w14:textId="77777777" w:rsidR="0055291C" w:rsidRDefault="00F23C61">
      <w:pPr>
        <w:pStyle w:val="a3"/>
        <w:spacing w:line="312" w:lineRule="auto"/>
        <w:ind w:left="1099" w:right="2050" w:hanging="227"/>
      </w:pPr>
      <w:r>
        <w:rPr>
          <w:color w:val="545456"/>
          <w:w w:val="95"/>
        </w:rPr>
        <w:t>Verena</w:t>
      </w:r>
      <w:r>
        <w:rPr>
          <w:color w:val="545456"/>
          <w:spacing w:val="24"/>
          <w:w w:val="95"/>
        </w:rPr>
        <w:t xml:space="preserve"> </w:t>
      </w:r>
      <w:proofErr w:type="spellStart"/>
      <w:r>
        <w:rPr>
          <w:color w:val="545456"/>
          <w:w w:val="95"/>
        </w:rPr>
        <w:t>Radulovic</w:t>
      </w:r>
      <w:proofErr w:type="spellEnd"/>
      <w:r>
        <w:rPr>
          <w:color w:val="545456"/>
          <w:w w:val="95"/>
        </w:rPr>
        <w:t>,</w:t>
      </w:r>
      <w:r>
        <w:rPr>
          <w:color w:val="545456"/>
          <w:spacing w:val="25"/>
          <w:w w:val="95"/>
        </w:rPr>
        <w:t xml:space="preserve"> </w:t>
      </w:r>
      <w:r>
        <w:rPr>
          <w:color w:val="545456"/>
          <w:w w:val="95"/>
        </w:rPr>
        <w:t>United</w:t>
      </w:r>
      <w:r>
        <w:rPr>
          <w:color w:val="545456"/>
          <w:spacing w:val="25"/>
          <w:w w:val="95"/>
        </w:rPr>
        <w:t xml:space="preserve"> </w:t>
      </w:r>
      <w:r>
        <w:rPr>
          <w:color w:val="545456"/>
          <w:w w:val="95"/>
        </w:rPr>
        <w:t>States</w:t>
      </w:r>
      <w:r>
        <w:rPr>
          <w:color w:val="545456"/>
          <w:spacing w:val="25"/>
          <w:w w:val="95"/>
        </w:rPr>
        <w:t xml:space="preserve"> </w:t>
      </w:r>
      <w:r>
        <w:rPr>
          <w:color w:val="545456"/>
          <w:w w:val="95"/>
        </w:rPr>
        <w:t>Environmental</w:t>
      </w:r>
      <w:r>
        <w:rPr>
          <w:color w:val="545456"/>
          <w:spacing w:val="-45"/>
          <w:w w:val="95"/>
        </w:rPr>
        <w:t xml:space="preserve"> </w:t>
      </w:r>
      <w:r>
        <w:rPr>
          <w:color w:val="545456"/>
        </w:rPr>
        <w:t>Protection</w:t>
      </w:r>
      <w:r>
        <w:rPr>
          <w:color w:val="545456"/>
          <w:spacing w:val="-10"/>
        </w:rPr>
        <w:t xml:space="preserve"> </w:t>
      </w:r>
      <w:r>
        <w:rPr>
          <w:color w:val="545456"/>
        </w:rPr>
        <w:t>Agency</w:t>
      </w:r>
    </w:p>
    <w:p w14:paraId="4FC1A0C3" w14:textId="77777777" w:rsidR="0055291C" w:rsidRDefault="00F23C61">
      <w:pPr>
        <w:pStyle w:val="a3"/>
        <w:spacing w:before="1" w:line="312" w:lineRule="auto"/>
        <w:ind w:left="1099" w:right="2050" w:hanging="227"/>
      </w:pPr>
      <w:r>
        <w:rPr>
          <w:color w:val="545456"/>
          <w:spacing w:val="-2"/>
        </w:rPr>
        <w:t>Kathleen</w:t>
      </w:r>
      <w:r>
        <w:rPr>
          <w:color w:val="545456"/>
          <w:spacing w:val="-11"/>
        </w:rPr>
        <w:t xml:space="preserve"> </w:t>
      </w:r>
      <w:proofErr w:type="spellStart"/>
      <w:r>
        <w:rPr>
          <w:color w:val="545456"/>
          <w:spacing w:val="-1"/>
        </w:rPr>
        <w:t>Vokes</w:t>
      </w:r>
      <w:proofErr w:type="spellEnd"/>
      <w:r>
        <w:rPr>
          <w:color w:val="545456"/>
          <w:spacing w:val="-1"/>
        </w:rPr>
        <w:t>,</w:t>
      </w:r>
      <w:r>
        <w:rPr>
          <w:color w:val="545456"/>
          <w:spacing w:val="-10"/>
        </w:rPr>
        <w:t xml:space="preserve"> </w:t>
      </w:r>
      <w:r>
        <w:rPr>
          <w:color w:val="545456"/>
          <w:spacing w:val="-1"/>
        </w:rPr>
        <w:t>United</w:t>
      </w:r>
      <w:r>
        <w:rPr>
          <w:color w:val="545456"/>
          <w:spacing w:val="-10"/>
        </w:rPr>
        <w:t xml:space="preserve"> </w:t>
      </w:r>
      <w:r>
        <w:rPr>
          <w:color w:val="545456"/>
          <w:spacing w:val="-1"/>
        </w:rPr>
        <w:t>States</w:t>
      </w:r>
      <w:r>
        <w:rPr>
          <w:color w:val="545456"/>
          <w:spacing w:val="-11"/>
        </w:rPr>
        <w:t xml:space="preserve"> </w:t>
      </w:r>
      <w:r>
        <w:rPr>
          <w:color w:val="545456"/>
          <w:spacing w:val="-1"/>
        </w:rPr>
        <w:t>Environmental</w:t>
      </w:r>
      <w:r>
        <w:rPr>
          <w:color w:val="545456"/>
          <w:spacing w:val="-47"/>
        </w:rPr>
        <w:t xml:space="preserve"> </w:t>
      </w:r>
      <w:r>
        <w:rPr>
          <w:color w:val="545456"/>
        </w:rPr>
        <w:t>Protection</w:t>
      </w:r>
      <w:r>
        <w:rPr>
          <w:color w:val="545456"/>
          <w:spacing w:val="-10"/>
        </w:rPr>
        <w:t xml:space="preserve"> </w:t>
      </w:r>
      <w:r>
        <w:rPr>
          <w:color w:val="545456"/>
        </w:rPr>
        <w:t>Agency</w:t>
      </w:r>
    </w:p>
    <w:p w14:paraId="5241470F" w14:textId="77777777" w:rsidR="0055291C" w:rsidRDefault="00F23C61">
      <w:pPr>
        <w:pStyle w:val="a3"/>
        <w:spacing w:before="1" w:line="312" w:lineRule="auto"/>
        <w:ind w:left="1099" w:right="2342" w:hanging="227"/>
      </w:pPr>
      <w:r>
        <w:rPr>
          <w:color w:val="545456"/>
          <w:w w:val="95"/>
        </w:rPr>
        <w:t>Sarah</w:t>
      </w:r>
      <w:r>
        <w:rPr>
          <w:color w:val="545456"/>
          <w:spacing w:val="20"/>
          <w:w w:val="95"/>
        </w:rPr>
        <w:t xml:space="preserve"> </w:t>
      </w:r>
      <w:proofErr w:type="spellStart"/>
      <w:r>
        <w:rPr>
          <w:color w:val="545456"/>
          <w:w w:val="95"/>
        </w:rPr>
        <w:t>Froman</w:t>
      </w:r>
      <w:proofErr w:type="spellEnd"/>
      <w:r>
        <w:rPr>
          <w:color w:val="545456"/>
          <w:w w:val="95"/>
        </w:rPr>
        <w:t>,</w:t>
      </w:r>
      <w:r>
        <w:rPr>
          <w:color w:val="545456"/>
          <w:spacing w:val="20"/>
          <w:w w:val="95"/>
        </w:rPr>
        <w:t xml:space="preserve"> </w:t>
      </w:r>
      <w:r>
        <w:rPr>
          <w:color w:val="545456"/>
          <w:w w:val="95"/>
        </w:rPr>
        <w:t>United</w:t>
      </w:r>
      <w:r>
        <w:rPr>
          <w:color w:val="545456"/>
          <w:spacing w:val="21"/>
          <w:w w:val="95"/>
        </w:rPr>
        <w:t xml:space="preserve"> </w:t>
      </w:r>
      <w:r>
        <w:rPr>
          <w:color w:val="545456"/>
          <w:w w:val="95"/>
        </w:rPr>
        <w:t>States</w:t>
      </w:r>
      <w:r>
        <w:rPr>
          <w:color w:val="545456"/>
          <w:spacing w:val="20"/>
          <w:w w:val="95"/>
        </w:rPr>
        <w:t xml:space="preserve"> </w:t>
      </w:r>
      <w:r>
        <w:rPr>
          <w:color w:val="545456"/>
          <w:w w:val="95"/>
        </w:rPr>
        <w:t>Environmental</w:t>
      </w:r>
      <w:r>
        <w:rPr>
          <w:color w:val="545456"/>
          <w:spacing w:val="-45"/>
          <w:w w:val="95"/>
        </w:rPr>
        <w:t xml:space="preserve"> </w:t>
      </w:r>
      <w:r>
        <w:rPr>
          <w:color w:val="545456"/>
        </w:rPr>
        <w:t>Protection</w:t>
      </w:r>
      <w:r>
        <w:rPr>
          <w:color w:val="545456"/>
          <w:spacing w:val="-10"/>
        </w:rPr>
        <w:t xml:space="preserve"> </w:t>
      </w:r>
      <w:r>
        <w:rPr>
          <w:color w:val="545456"/>
        </w:rPr>
        <w:t>Agency</w:t>
      </w:r>
    </w:p>
    <w:p w14:paraId="2D4FEBB5" w14:textId="77777777" w:rsidR="0055291C" w:rsidRDefault="00F23C61">
      <w:pPr>
        <w:pStyle w:val="a3"/>
        <w:spacing w:before="1" w:line="312" w:lineRule="auto"/>
        <w:ind w:left="873" w:right="1275"/>
      </w:pPr>
      <w:r>
        <w:rPr>
          <w:color w:val="545456"/>
          <w:spacing w:val="-1"/>
        </w:rPr>
        <w:t xml:space="preserve">Wayne </w:t>
      </w:r>
      <w:proofErr w:type="spellStart"/>
      <w:r>
        <w:rPr>
          <w:color w:val="545456"/>
          <w:spacing w:val="-1"/>
        </w:rPr>
        <w:t>Wnuck</w:t>
      </w:r>
      <w:proofErr w:type="spellEnd"/>
      <w:r>
        <w:rPr>
          <w:color w:val="545456"/>
          <w:spacing w:val="-1"/>
        </w:rPr>
        <w:t xml:space="preserve">, United Technologies </w:t>
      </w:r>
      <w:r>
        <w:rPr>
          <w:color w:val="545456"/>
        </w:rPr>
        <w:t>Corporation</w:t>
      </w:r>
      <w:r>
        <w:rPr>
          <w:color w:val="545456"/>
          <w:spacing w:val="1"/>
        </w:rPr>
        <w:t xml:space="preserve"> </w:t>
      </w:r>
      <w:proofErr w:type="spellStart"/>
      <w:r>
        <w:rPr>
          <w:color w:val="545456"/>
          <w:w w:val="95"/>
        </w:rPr>
        <w:t>Sangwon</w:t>
      </w:r>
      <w:proofErr w:type="spellEnd"/>
      <w:r>
        <w:rPr>
          <w:color w:val="545456"/>
          <w:spacing w:val="9"/>
          <w:w w:val="95"/>
        </w:rPr>
        <w:t xml:space="preserve"> </w:t>
      </w:r>
      <w:r>
        <w:rPr>
          <w:color w:val="545456"/>
          <w:w w:val="95"/>
        </w:rPr>
        <w:t>Suh,</w:t>
      </w:r>
      <w:r>
        <w:rPr>
          <w:color w:val="545456"/>
          <w:spacing w:val="9"/>
          <w:w w:val="95"/>
        </w:rPr>
        <w:t xml:space="preserve"> </w:t>
      </w:r>
      <w:r>
        <w:rPr>
          <w:color w:val="545456"/>
          <w:w w:val="95"/>
        </w:rPr>
        <w:t>University</w:t>
      </w:r>
      <w:r>
        <w:rPr>
          <w:color w:val="545456"/>
          <w:spacing w:val="9"/>
          <w:w w:val="95"/>
        </w:rPr>
        <w:t xml:space="preserve"> </w:t>
      </w:r>
      <w:r>
        <w:rPr>
          <w:color w:val="545456"/>
          <w:w w:val="95"/>
        </w:rPr>
        <w:t>of</w:t>
      </w:r>
      <w:r>
        <w:rPr>
          <w:color w:val="545456"/>
          <w:spacing w:val="9"/>
          <w:w w:val="95"/>
        </w:rPr>
        <w:t xml:space="preserve"> </w:t>
      </w:r>
      <w:r>
        <w:rPr>
          <w:color w:val="545456"/>
          <w:w w:val="95"/>
        </w:rPr>
        <w:t>California</w:t>
      </w:r>
      <w:r>
        <w:rPr>
          <w:color w:val="545456"/>
          <w:spacing w:val="9"/>
          <w:w w:val="95"/>
        </w:rPr>
        <w:t xml:space="preserve"> </w:t>
      </w:r>
      <w:r>
        <w:rPr>
          <w:color w:val="545456"/>
          <w:w w:val="95"/>
        </w:rPr>
        <w:t>Santa</w:t>
      </w:r>
      <w:r>
        <w:rPr>
          <w:color w:val="545456"/>
          <w:spacing w:val="9"/>
          <w:w w:val="95"/>
        </w:rPr>
        <w:t xml:space="preserve"> </w:t>
      </w:r>
      <w:r>
        <w:rPr>
          <w:color w:val="545456"/>
          <w:w w:val="95"/>
        </w:rPr>
        <w:t>Barbara</w:t>
      </w:r>
      <w:r>
        <w:rPr>
          <w:color w:val="545456"/>
          <w:spacing w:val="-45"/>
          <w:w w:val="95"/>
        </w:rPr>
        <w:t xml:space="preserve"> </w:t>
      </w:r>
      <w:r>
        <w:rPr>
          <w:color w:val="545456"/>
          <w:w w:val="95"/>
        </w:rPr>
        <w:t>Craig</w:t>
      </w:r>
      <w:r>
        <w:rPr>
          <w:color w:val="545456"/>
          <w:spacing w:val="-8"/>
          <w:w w:val="95"/>
        </w:rPr>
        <w:t xml:space="preserve"> </w:t>
      </w:r>
      <w:proofErr w:type="spellStart"/>
      <w:r>
        <w:rPr>
          <w:color w:val="545456"/>
          <w:w w:val="95"/>
        </w:rPr>
        <w:t>Liska</w:t>
      </w:r>
      <w:proofErr w:type="spellEnd"/>
      <w:r>
        <w:rPr>
          <w:color w:val="545456"/>
          <w:w w:val="95"/>
        </w:rPr>
        <w:t>,</w:t>
      </w:r>
      <w:r>
        <w:rPr>
          <w:color w:val="545456"/>
          <w:spacing w:val="-8"/>
          <w:w w:val="95"/>
        </w:rPr>
        <w:t xml:space="preserve"> </w:t>
      </w:r>
      <w:r>
        <w:rPr>
          <w:color w:val="545456"/>
          <w:w w:val="95"/>
        </w:rPr>
        <w:t>Verso</w:t>
      </w:r>
      <w:r>
        <w:rPr>
          <w:color w:val="545456"/>
          <w:spacing w:val="-7"/>
          <w:w w:val="95"/>
        </w:rPr>
        <w:t xml:space="preserve"> </w:t>
      </w:r>
      <w:r>
        <w:rPr>
          <w:color w:val="545456"/>
          <w:w w:val="95"/>
        </w:rPr>
        <w:t>Paper</w:t>
      </w:r>
    </w:p>
    <w:p w14:paraId="6E124FC0" w14:textId="77777777" w:rsidR="0055291C" w:rsidRDefault="00F23C61">
      <w:pPr>
        <w:pStyle w:val="a3"/>
        <w:spacing w:before="1"/>
        <w:ind w:left="873"/>
      </w:pPr>
      <w:r>
        <w:rPr>
          <w:color w:val="545456"/>
          <w:w w:val="95"/>
        </w:rPr>
        <w:t>Jeffrey</w:t>
      </w:r>
      <w:r>
        <w:rPr>
          <w:color w:val="545456"/>
          <w:spacing w:val="8"/>
          <w:w w:val="95"/>
        </w:rPr>
        <w:t xml:space="preserve"> </w:t>
      </w:r>
      <w:r>
        <w:rPr>
          <w:color w:val="545456"/>
          <w:w w:val="95"/>
        </w:rPr>
        <w:t>Rice,</w:t>
      </w:r>
      <w:r>
        <w:rPr>
          <w:color w:val="545456"/>
          <w:spacing w:val="8"/>
          <w:w w:val="95"/>
        </w:rPr>
        <w:t xml:space="preserve"> </w:t>
      </w:r>
      <w:r>
        <w:rPr>
          <w:color w:val="545456"/>
          <w:w w:val="95"/>
        </w:rPr>
        <w:t>Walmart</w:t>
      </w:r>
      <w:r>
        <w:rPr>
          <w:color w:val="545456"/>
          <w:spacing w:val="9"/>
          <w:w w:val="95"/>
        </w:rPr>
        <w:t xml:space="preserve"> </w:t>
      </w:r>
      <w:r>
        <w:rPr>
          <w:color w:val="545456"/>
          <w:w w:val="95"/>
        </w:rPr>
        <w:t>Stores,</w:t>
      </w:r>
      <w:r>
        <w:rPr>
          <w:color w:val="545456"/>
          <w:spacing w:val="8"/>
          <w:w w:val="95"/>
        </w:rPr>
        <w:t xml:space="preserve"> </w:t>
      </w:r>
      <w:r>
        <w:rPr>
          <w:color w:val="545456"/>
          <w:w w:val="95"/>
        </w:rPr>
        <w:t>Inc.</w:t>
      </w:r>
    </w:p>
    <w:p w14:paraId="4F8A6027" w14:textId="77777777" w:rsidR="0055291C" w:rsidRDefault="0055291C">
      <w:pPr>
        <w:sectPr w:rsidR="0055291C">
          <w:type w:val="continuous"/>
          <w:pgSz w:w="12240" w:h="15840"/>
          <w:pgMar w:top="740" w:right="0" w:bottom="280" w:left="0" w:header="0" w:footer="859" w:gutter="0"/>
          <w:cols w:num="2" w:space="720" w:equalWidth="0">
            <w:col w:w="5349" w:space="40"/>
            <w:col w:w="6851"/>
          </w:cols>
        </w:sectPr>
      </w:pPr>
    </w:p>
    <w:p w14:paraId="0A97851F" w14:textId="77777777" w:rsidR="0055291C" w:rsidRDefault="0055291C">
      <w:pPr>
        <w:pStyle w:val="a3"/>
        <w:rPr>
          <w:sz w:val="20"/>
        </w:rPr>
      </w:pPr>
    </w:p>
    <w:p w14:paraId="71DABEA4" w14:textId="77777777" w:rsidR="0055291C" w:rsidRDefault="0055291C">
      <w:pPr>
        <w:pStyle w:val="a3"/>
        <w:spacing w:before="1"/>
        <w:rPr>
          <w:sz w:val="22"/>
        </w:rPr>
      </w:pPr>
    </w:p>
    <w:p w14:paraId="6FD0853F" w14:textId="77777777" w:rsidR="0055291C" w:rsidRDefault="0055291C">
      <w:pPr>
        <w:sectPr w:rsidR="0055291C">
          <w:type w:val="continuous"/>
          <w:pgSz w:w="12240" w:h="15840"/>
          <w:pgMar w:top="740" w:right="0" w:bottom="280" w:left="0" w:header="0" w:footer="859" w:gutter="0"/>
          <w:cols w:space="720"/>
        </w:sectPr>
      </w:pPr>
    </w:p>
    <w:p w14:paraId="2D94C2D7" w14:textId="77777777" w:rsidR="0055291C" w:rsidRDefault="00000000">
      <w:pPr>
        <w:pStyle w:val="3"/>
        <w:spacing w:before="98"/>
        <w:ind w:left="1133"/>
      </w:pPr>
      <w:r>
        <w:pict w14:anchorId="78D0264B">
          <v:line id="_x0000_s2081" style="position:absolute;left:0;text-align:left;z-index:251695616;mso-position-horizontal-relative:page" from="57.25pt,23.25pt" to="555.85pt,23.25pt" strokecolor="#00aca1" strokeweight="1pt">
            <w10:wrap anchorx="page"/>
          </v:line>
        </w:pict>
      </w:r>
      <w:r w:rsidR="00F23C61">
        <w:rPr>
          <w:color w:val="00ACA1"/>
        </w:rPr>
        <w:t>Contributors</w:t>
      </w:r>
    </w:p>
    <w:p w14:paraId="3F037CCF" w14:textId="77777777" w:rsidR="0055291C" w:rsidRDefault="00F23C61">
      <w:pPr>
        <w:pStyle w:val="a3"/>
        <w:spacing w:before="194" w:line="312" w:lineRule="auto"/>
        <w:ind w:left="1133" w:right="1717"/>
      </w:pPr>
      <w:r>
        <w:rPr>
          <w:color w:val="545456"/>
          <w:w w:val="95"/>
        </w:rPr>
        <w:t>Stefanie</w:t>
      </w:r>
      <w:r>
        <w:rPr>
          <w:color w:val="545456"/>
          <w:spacing w:val="6"/>
          <w:w w:val="95"/>
        </w:rPr>
        <w:t xml:space="preserve"> </w:t>
      </w:r>
      <w:r>
        <w:rPr>
          <w:color w:val="545456"/>
          <w:w w:val="95"/>
        </w:rPr>
        <w:t>Giese-Bogdan,</w:t>
      </w:r>
      <w:r>
        <w:rPr>
          <w:color w:val="545456"/>
          <w:spacing w:val="6"/>
          <w:w w:val="95"/>
        </w:rPr>
        <w:t xml:space="preserve"> </w:t>
      </w:r>
      <w:r>
        <w:rPr>
          <w:color w:val="545456"/>
          <w:w w:val="95"/>
        </w:rPr>
        <w:t>3M</w:t>
      </w:r>
      <w:r>
        <w:rPr>
          <w:color w:val="545456"/>
          <w:spacing w:val="-45"/>
          <w:w w:val="95"/>
        </w:rPr>
        <w:t xml:space="preserve"> </w:t>
      </w:r>
      <w:r>
        <w:rPr>
          <w:color w:val="545456"/>
        </w:rPr>
        <w:t>Sam</w:t>
      </w:r>
      <w:r>
        <w:rPr>
          <w:color w:val="545456"/>
          <w:spacing w:val="-12"/>
        </w:rPr>
        <w:t xml:space="preserve"> </w:t>
      </w:r>
      <w:r>
        <w:rPr>
          <w:color w:val="545456"/>
        </w:rPr>
        <w:t>Lin,</w:t>
      </w:r>
      <w:r>
        <w:rPr>
          <w:color w:val="545456"/>
          <w:spacing w:val="-12"/>
        </w:rPr>
        <w:t xml:space="preserve"> </w:t>
      </w:r>
      <w:r>
        <w:rPr>
          <w:color w:val="545456"/>
        </w:rPr>
        <w:t>Acer</w:t>
      </w:r>
    </w:p>
    <w:p w14:paraId="03D7EEB7" w14:textId="77777777" w:rsidR="0055291C" w:rsidRDefault="00F23C61">
      <w:pPr>
        <w:pStyle w:val="a3"/>
        <w:spacing w:before="1" w:line="312" w:lineRule="auto"/>
        <w:ind w:left="1133" w:right="1297"/>
      </w:pPr>
      <w:r>
        <w:rPr>
          <w:color w:val="545456"/>
          <w:w w:val="95"/>
        </w:rPr>
        <w:t>Fiona</w:t>
      </w:r>
      <w:r>
        <w:rPr>
          <w:color w:val="545456"/>
          <w:spacing w:val="7"/>
          <w:w w:val="95"/>
        </w:rPr>
        <w:t xml:space="preserve"> </w:t>
      </w:r>
      <w:r>
        <w:rPr>
          <w:color w:val="545456"/>
          <w:w w:val="95"/>
        </w:rPr>
        <w:t>van</w:t>
      </w:r>
      <w:r>
        <w:rPr>
          <w:color w:val="545456"/>
          <w:spacing w:val="8"/>
          <w:w w:val="95"/>
        </w:rPr>
        <w:t xml:space="preserve"> </w:t>
      </w:r>
      <w:r>
        <w:rPr>
          <w:color w:val="545456"/>
          <w:w w:val="95"/>
        </w:rPr>
        <w:t>den</w:t>
      </w:r>
      <w:r>
        <w:rPr>
          <w:color w:val="545456"/>
          <w:spacing w:val="7"/>
          <w:w w:val="95"/>
        </w:rPr>
        <w:t xml:space="preserve"> </w:t>
      </w:r>
      <w:r>
        <w:rPr>
          <w:color w:val="545456"/>
          <w:w w:val="95"/>
        </w:rPr>
        <w:t>Brink,</w:t>
      </w:r>
      <w:r>
        <w:rPr>
          <w:color w:val="545456"/>
          <w:spacing w:val="8"/>
          <w:w w:val="95"/>
        </w:rPr>
        <w:t xml:space="preserve"> </w:t>
      </w:r>
      <w:r>
        <w:rPr>
          <w:color w:val="545456"/>
          <w:w w:val="95"/>
        </w:rPr>
        <w:t>AkzoNobel</w:t>
      </w:r>
      <w:r>
        <w:rPr>
          <w:color w:val="545456"/>
          <w:spacing w:val="-45"/>
          <w:w w:val="95"/>
        </w:rPr>
        <w:t xml:space="preserve"> </w:t>
      </w:r>
      <w:r>
        <w:rPr>
          <w:color w:val="545456"/>
        </w:rPr>
        <w:t>Marc</w:t>
      </w:r>
      <w:r>
        <w:rPr>
          <w:color w:val="545456"/>
          <w:spacing w:val="-11"/>
        </w:rPr>
        <w:t xml:space="preserve"> </w:t>
      </w:r>
      <w:proofErr w:type="spellStart"/>
      <w:r>
        <w:rPr>
          <w:color w:val="545456"/>
        </w:rPr>
        <w:t>Luijten</w:t>
      </w:r>
      <w:proofErr w:type="spellEnd"/>
      <w:r>
        <w:rPr>
          <w:color w:val="545456"/>
        </w:rPr>
        <w:t>,</w:t>
      </w:r>
      <w:r>
        <w:rPr>
          <w:color w:val="545456"/>
          <w:spacing w:val="-11"/>
        </w:rPr>
        <w:t xml:space="preserve"> </w:t>
      </w:r>
      <w:r>
        <w:rPr>
          <w:color w:val="545456"/>
        </w:rPr>
        <w:t>AkzoNobel</w:t>
      </w:r>
    </w:p>
    <w:p w14:paraId="0DED89F9" w14:textId="77777777" w:rsidR="0055291C" w:rsidRDefault="00F23C61">
      <w:pPr>
        <w:pStyle w:val="a3"/>
        <w:spacing w:before="1"/>
        <w:ind w:left="1133"/>
      </w:pPr>
      <w:r>
        <w:rPr>
          <w:color w:val="545456"/>
          <w:w w:val="95"/>
        </w:rPr>
        <w:t xml:space="preserve">Sara </w:t>
      </w:r>
      <w:proofErr w:type="spellStart"/>
      <w:r>
        <w:rPr>
          <w:color w:val="545456"/>
          <w:w w:val="95"/>
        </w:rPr>
        <w:t>Tollin</w:t>
      </w:r>
      <w:proofErr w:type="spellEnd"/>
      <w:r>
        <w:rPr>
          <w:color w:val="545456"/>
          <w:w w:val="95"/>
        </w:rPr>
        <w:t>, AkzoNobel</w:t>
      </w:r>
    </w:p>
    <w:p w14:paraId="6CD2BE5E" w14:textId="77777777" w:rsidR="0055291C" w:rsidRDefault="00F23C61">
      <w:pPr>
        <w:pStyle w:val="a3"/>
        <w:spacing w:before="65" w:line="312" w:lineRule="auto"/>
        <w:ind w:left="1133" w:right="1717"/>
      </w:pPr>
      <w:r>
        <w:rPr>
          <w:color w:val="545456"/>
          <w:spacing w:val="-2"/>
        </w:rPr>
        <w:t xml:space="preserve">Johan </w:t>
      </w:r>
      <w:proofErr w:type="spellStart"/>
      <w:r>
        <w:rPr>
          <w:color w:val="545456"/>
          <w:spacing w:val="-2"/>
        </w:rPr>
        <w:t>Widheden</w:t>
      </w:r>
      <w:proofErr w:type="spellEnd"/>
      <w:r>
        <w:rPr>
          <w:color w:val="545456"/>
          <w:spacing w:val="-2"/>
        </w:rPr>
        <w:t xml:space="preserve">, </w:t>
      </w:r>
      <w:r>
        <w:rPr>
          <w:color w:val="545456"/>
          <w:spacing w:val="-1"/>
        </w:rPr>
        <w:t>AkzoNobel</w:t>
      </w:r>
      <w:r>
        <w:rPr>
          <w:color w:val="545456"/>
          <w:spacing w:val="-48"/>
        </w:rPr>
        <w:t xml:space="preserve"> </w:t>
      </w:r>
      <w:r>
        <w:rPr>
          <w:color w:val="545456"/>
          <w:w w:val="95"/>
        </w:rPr>
        <w:t>Paola</w:t>
      </w:r>
      <w:r>
        <w:rPr>
          <w:color w:val="545456"/>
          <w:spacing w:val="-7"/>
          <w:w w:val="95"/>
        </w:rPr>
        <w:t xml:space="preserve"> </w:t>
      </w:r>
      <w:r>
        <w:rPr>
          <w:color w:val="545456"/>
          <w:w w:val="95"/>
        </w:rPr>
        <w:t>Kistler,</w:t>
      </w:r>
      <w:r>
        <w:rPr>
          <w:color w:val="545456"/>
          <w:spacing w:val="-7"/>
          <w:w w:val="95"/>
        </w:rPr>
        <w:t xml:space="preserve"> </w:t>
      </w:r>
      <w:r>
        <w:rPr>
          <w:color w:val="545456"/>
          <w:w w:val="95"/>
        </w:rPr>
        <w:t>Alcan</w:t>
      </w:r>
    </w:p>
    <w:p w14:paraId="6BDDFCBB" w14:textId="77777777" w:rsidR="0055291C" w:rsidRDefault="00F23C61">
      <w:pPr>
        <w:pStyle w:val="a3"/>
        <w:spacing w:before="1" w:line="312" w:lineRule="auto"/>
        <w:ind w:left="1133" w:right="1970"/>
      </w:pPr>
      <w:r>
        <w:rPr>
          <w:color w:val="545456"/>
          <w:w w:val="95"/>
        </w:rPr>
        <w:t>Tony</w:t>
      </w:r>
      <w:r>
        <w:rPr>
          <w:color w:val="545456"/>
          <w:spacing w:val="6"/>
          <w:w w:val="95"/>
        </w:rPr>
        <w:t xml:space="preserve"> </w:t>
      </w:r>
      <w:r>
        <w:rPr>
          <w:color w:val="545456"/>
          <w:w w:val="95"/>
        </w:rPr>
        <w:t>Christopher,</w:t>
      </w:r>
      <w:r>
        <w:rPr>
          <w:color w:val="545456"/>
          <w:spacing w:val="7"/>
          <w:w w:val="95"/>
        </w:rPr>
        <w:t xml:space="preserve"> </w:t>
      </w:r>
      <w:r>
        <w:rPr>
          <w:color w:val="545456"/>
          <w:w w:val="95"/>
        </w:rPr>
        <w:t>Alcoa</w:t>
      </w:r>
      <w:r>
        <w:rPr>
          <w:color w:val="545456"/>
          <w:spacing w:val="-45"/>
          <w:w w:val="95"/>
        </w:rPr>
        <w:t xml:space="preserve"> </w:t>
      </w:r>
      <w:r>
        <w:rPr>
          <w:color w:val="545456"/>
          <w:w w:val="95"/>
        </w:rPr>
        <w:t>Casey Wagner, Alcoa</w:t>
      </w:r>
      <w:r>
        <w:rPr>
          <w:color w:val="545456"/>
          <w:spacing w:val="1"/>
          <w:w w:val="95"/>
        </w:rPr>
        <w:t xml:space="preserve"> </w:t>
      </w:r>
      <w:r>
        <w:rPr>
          <w:color w:val="545456"/>
          <w:w w:val="95"/>
        </w:rPr>
        <w:t>Fabio</w:t>
      </w:r>
      <w:r>
        <w:rPr>
          <w:color w:val="545456"/>
          <w:spacing w:val="3"/>
          <w:w w:val="95"/>
        </w:rPr>
        <w:t xml:space="preserve"> </w:t>
      </w:r>
      <w:r>
        <w:rPr>
          <w:color w:val="545456"/>
          <w:w w:val="95"/>
        </w:rPr>
        <w:t>Peyer,</w:t>
      </w:r>
      <w:r>
        <w:rPr>
          <w:color w:val="545456"/>
          <w:spacing w:val="3"/>
          <w:w w:val="95"/>
        </w:rPr>
        <w:t xml:space="preserve"> </w:t>
      </w:r>
      <w:r>
        <w:rPr>
          <w:color w:val="545456"/>
          <w:w w:val="95"/>
        </w:rPr>
        <w:t>Amcor</w:t>
      </w:r>
      <w:r>
        <w:rPr>
          <w:color w:val="545456"/>
          <w:spacing w:val="3"/>
          <w:w w:val="95"/>
        </w:rPr>
        <w:t xml:space="preserve"> </w:t>
      </w:r>
      <w:r>
        <w:rPr>
          <w:color w:val="545456"/>
          <w:w w:val="95"/>
        </w:rPr>
        <w:t>Ltd.</w:t>
      </w:r>
    </w:p>
    <w:p w14:paraId="3E357105" w14:textId="77777777" w:rsidR="0055291C" w:rsidRDefault="00F23C61">
      <w:pPr>
        <w:pStyle w:val="a3"/>
        <w:spacing w:before="1" w:line="312" w:lineRule="auto"/>
        <w:ind w:left="1133" w:right="1297"/>
      </w:pPr>
      <w:r>
        <w:rPr>
          <w:color w:val="545456"/>
        </w:rPr>
        <w:t xml:space="preserve">Gerald </w:t>
      </w:r>
      <w:proofErr w:type="spellStart"/>
      <w:r>
        <w:rPr>
          <w:color w:val="545456"/>
        </w:rPr>
        <w:t>Rebitzer</w:t>
      </w:r>
      <w:proofErr w:type="spellEnd"/>
      <w:r>
        <w:rPr>
          <w:color w:val="545456"/>
        </w:rPr>
        <w:t>, Amcor Ltd.</w:t>
      </w:r>
      <w:r>
        <w:rPr>
          <w:color w:val="545456"/>
          <w:spacing w:val="1"/>
        </w:rPr>
        <w:t xml:space="preserve"> </w:t>
      </w:r>
      <w:r>
        <w:rPr>
          <w:color w:val="545456"/>
          <w:spacing w:val="-1"/>
        </w:rPr>
        <w:t>Caterina</w:t>
      </w:r>
      <w:r>
        <w:rPr>
          <w:color w:val="545456"/>
          <w:spacing w:val="-10"/>
        </w:rPr>
        <w:t xml:space="preserve"> </w:t>
      </w:r>
      <w:r>
        <w:rPr>
          <w:color w:val="545456"/>
          <w:spacing w:val="-1"/>
        </w:rPr>
        <w:t>A.</w:t>
      </w:r>
      <w:r>
        <w:rPr>
          <w:color w:val="545456"/>
          <w:spacing w:val="-10"/>
        </w:rPr>
        <w:t xml:space="preserve"> </w:t>
      </w:r>
      <w:r>
        <w:rPr>
          <w:color w:val="545456"/>
          <w:spacing w:val="-1"/>
        </w:rPr>
        <w:t>Conti,</w:t>
      </w:r>
      <w:r>
        <w:rPr>
          <w:color w:val="545456"/>
          <w:spacing w:val="-10"/>
        </w:rPr>
        <w:t xml:space="preserve"> </w:t>
      </w:r>
      <w:r>
        <w:rPr>
          <w:color w:val="545456"/>
          <w:spacing w:val="-1"/>
        </w:rPr>
        <w:t>Anvil</w:t>
      </w:r>
      <w:r>
        <w:rPr>
          <w:color w:val="545456"/>
          <w:spacing w:val="-10"/>
        </w:rPr>
        <w:t xml:space="preserve"> </w:t>
      </w:r>
      <w:r>
        <w:rPr>
          <w:color w:val="545456"/>
          <w:spacing w:val="-1"/>
        </w:rPr>
        <w:t>Knitwear</w:t>
      </w:r>
      <w:r>
        <w:rPr>
          <w:color w:val="545456"/>
          <w:spacing w:val="-48"/>
        </w:rPr>
        <w:t xml:space="preserve"> </w:t>
      </w:r>
      <w:r>
        <w:rPr>
          <w:color w:val="545456"/>
        </w:rPr>
        <w:t>Arturo</w:t>
      </w:r>
      <w:r>
        <w:rPr>
          <w:color w:val="545456"/>
          <w:spacing w:val="-9"/>
        </w:rPr>
        <w:t xml:space="preserve"> </w:t>
      </w:r>
      <w:r>
        <w:rPr>
          <w:color w:val="545456"/>
        </w:rPr>
        <w:t>Cepeda,</w:t>
      </w:r>
      <w:r>
        <w:rPr>
          <w:color w:val="545456"/>
          <w:spacing w:val="-8"/>
        </w:rPr>
        <w:t xml:space="preserve"> </w:t>
      </w:r>
      <w:proofErr w:type="spellStart"/>
      <w:r>
        <w:rPr>
          <w:color w:val="545456"/>
        </w:rPr>
        <w:t>Artequim</w:t>
      </w:r>
      <w:proofErr w:type="spellEnd"/>
    </w:p>
    <w:p w14:paraId="233D93A0" w14:textId="77777777" w:rsidR="0055291C" w:rsidRDefault="00F23C61">
      <w:pPr>
        <w:pStyle w:val="a3"/>
        <w:spacing w:before="2" w:line="312" w:lineRule="auto"/>
        <w:ind w:left="1133" w:right="769"/>
      </w:pPr>
      <w:proofErr w:type="spellStart"/>
      <w:r>
        <w:rPr>
          <w:color w:val="545456"/>
          <w:w w:val="95"/>
        </w:rPr>
        <w:t>Shuichiro</w:t>
      </w:r>
      <w:proofErr w:type="spellEnd"/>
      <w:r>
        <w:rPr>
          <w:color w:val="545456"/>
          <w:w w:val="95"/>
        </w:rPr>
        <w:t xml:space="preserve"> Sugimoto, Asahi Glass Co., Ltd.</w:t>
      </w:r>
      <w:r>
        <w:rPr>
          <w:color w:val="545456"/>
          <w:spacing w:val="-45"/>
          <w:w w:val="95"/>
        </w:rPr>
        <w:t xml:space="preserve"> </w:t>
      </w:r>
      <w:proofErr w:type="spellStart"/>
      <w:r>
        <w:rPr>
          <w:color w:val="545456"/>
          <w:w w:val="95"/>
        </w:rPr>
        <w:t>Hiroo</w:t>
      </w:r>
      <w:proofErr w:type="spellEnd"/>
      <w:r>
        <w:rPr>
          <w:color w:val="545456"/>
          <w:spacing w:val="-9"/>
          <w:w w:val="95"/>
        </w:rPr>
        <w:t xml:space="preserve"> </w:t>
      </w:r>
      <w:r>
        <w:rPr>
          <w:color w:val="545456"/>
          <w:w w:val="95"/>
        </w:rPr>
        <w:t>Takahashi,</w:t>
      </w:r>
      <w:r>
        <w:rPr>
          <w:color w:val="545456"/>
          <w:spacing w:val="-9"/>
          <w:w w:val="95"/>
        </w:rPr>
        <w:t xml:space="preserve"> </w:t>
      </w:r>
      <w:r>
        <w:rPr>
          <w:color w:val="545456"/>
          <w:w w:val="95"/>
        </w:rPr>
        <w:t>Asahi</w:t>
      </w:r>
      <w:r>
        <w:rPr>
          <w:color w:val="545456"/>
          <w:spacing w:val="-9"/>
          <w:w w:val="95"/>
        </w:rPr>
        <w:t xml:space="preserve"> </w:t>
      </w:r>
      <w:r>
        <w:rPr>
          <w:color w:val="545456"/>
          <w:w w:val="95"/>
        </w:rPr>
        <w:t>Glass</w:t>
      </w:r>
      <w:r>
        <w:rPr>
          <w:color w:val="545456"/>
          <w:spacing w:val="-9"/>
          <w:w w:val="95"/>
        </w:rPr>
        <w:t xml:space="preserve"> </w:t>
      </w:r>
      <w:r>
        <w:rPr>
          <w:color w:val="545456"/>
          <w:w w:val="95"/>
        </w:rPr>
        <w:t>Co.,</w:t>
      </w:r>
      <w:r>
        <w:rPr>
          <w:color w:val="545456"/>
          <w:spacing w:val="-9"/>
          <w:w w:val="95"/>
        </w:rPr>
        <w:t xml:space="preserve"> </w:t>
      </w:r>
      <w:r>
        <w:rPr>
          <w:color w:val="545456"/>
          <w:w w:val="95"/>
        </w:rPr>
        <w:t>Ltd.</w:t>
      </w:r>
    </w:p>
    <w:p w14:paraId="0C552D8E" w14:textId="77777777" w:rsidR="0055291C" w:rsidRDefault="00F23C61">
      <w:pPr>
        <w:pStyle w:val="a3"/>
        <w:spacing w:before="1" w:line="312" w:lineRule="auto"/>
        <w:ind w:left="1133" w:right="720"/>
      </w:pPr>
      <w:r>
        <w:rPr>
          <w:color w:val="545456"/>
          <w:spacing w:val="-1"/>
        </w:rPr>
        <w:t xml:space="preserve">Tao Liu, </w:t>
      </w:r>
      <w:proofErr w:type="spellStart"/>
      <w:r>
        <w:rPr>
          <w:color w:val="545456"/>
          <w:spacing w:val="-1"/>
        </w:rPr>
        <w:t>Baosteel</w:t>
      </w:r>
      <w:proofErr w:type="spellEnd"/>
      <w:r>
        <w:rPr>
          <w:color w:val="545456"/>
          <w:spacing w:val="-1"/>
        </w:rPr>
        <w:t xml:space="preserve"> </w:t>
      </w:r>
      <w:r>
        <w:rPr>
          <w:color w:val="545456"/>
        </w:rPr>
        <w:t>Group Corporation</w:t>
      </w:r>
      <w:r>
        <w:rPr>
          <w:color w:val="545456"/>
          <w:spacing w:val="1"/>
        </w:rPr>
        <w:t xml:space="preserve"> </w:t>
      </w:r>
      <w:proofErr w:type="spellStart"/>
      <w:r>
        <w:rPr>
          <w:color w:val="545456"/>
          <w:spacing w:val="-1"/>
        </w:rPr>
        <w:t>Yinghao</w:t>
      </w:r>
      <w:proofErr w:type="spellEnd"/>
      <w:r>
        <w:rPr>
          <w:color w:val="545456"/>
          <w:spacing w:val="-12"/>
        </w:rPr>
        <w:t xml:space="preserve"> </w:t>
      </w:r>
      <w:r>
        <w:rPr>
          <w:color w:val="545456"/>
          <w:spacing w:val="-1"/>
        </w:rPr>
        <w:t>Liu,</w:t>
      </w:r>
      <w:r>
        <w:rPr>
          <w:color w:val="545456"/>
          <w:spacing w:val="-11"/>
        </w:rPr>
        <w:t xml:space="preserve"> </w:t>
      </w:r>
      <w:proofErr w:type="spellStart"/>
      <w:r>
        <w:rPr>
          <w:color w:val="545456"/>
          <w:spacing w:val="-1"/>
        </w:rPr>
        <w:t>Baosteel</w:t>
      </w:r>
      <w:proofErr w:type="spellEnd"/>
      <w:r>
        <w:rPr>
          <w:color w:val="545456"/>
          <w:spacing w:val="-12"/>
        </w:rPr>
        <w:t xml:space="preserve"> </w:t>
      </w:r>
      <w:r>
        <w:rPr>
          <w:color w:val="545456"/>
          <w:spacing w:val="-1"/>
        </w:rPr>
        <w:t>Group</w:t>
      </w:r>
      <w:r>
        <w:rPr>
          <w:color w:val="545456"/>
          <w:spacing w:val="-11"/>
        </w:rPr>
        <w:t xml:space="preserve"> </w:t>
      </w:r>
      <w:r>
        <w:rPr>
          <w:color w:val="545456"/>
        </w:rPr>
        <w:t>Corporation</w:t>
      </w:r>
      <w:r>
        <w:rPr>
          <w:color w:val="545456"/>
          <w:spacing w:val="-48"/>
        </w:rPr>
        <w:t xml:space="preserve"> </w:t>
      </w:r>
      <w:r>
        <w:rPr>
          <w:color w:val="545456"/>
          <w:spacing w:val="-2"/>
        </w:rPr>
        <w:t>Hongzhi</w:t>
      </w:r>
      <w:r>
        <w:rPr>
          <w:color w:val="545456"/>
          <w:spacing w:val="-11"/>
        </w:rPr>
        <w:t xml:space="preserve"> </w:t>
      </w:r>
      <w:r>
        <w:rPr>
          <w:color w:val="545456"/>
          <w:spacing w:val="-2"/>
        </w:rPr>
        <w:t>Shi,</w:t>
      </w:r>
      <w:r>
        <w:rPr>
          <w:color w:val="545456"/>
          <w:spacing w:val="-10"/>
        </w:rPr>
        <w:t xml:space="preserve"> </w:t>
      </w:r>
      <w:proofErr w:type="spellStart"/>
      <w:r>
        <w:rPr>
          <w:color w:val="545456"/>
          <w:spacing w:val="-1"/>
        </w:rPr>
        <w:t>Baosteel</w:t>
      </w:r>
      <w:proofErr w:type="spellEnd"/>
      <w:r>
        <w:rPr>
          <w:color w:val="545456"/>
          <w:spacing w:val="-10"/>
        </w:rPr>
        <w:t xml:space="preserve"> </w:t>
      </w:r>
      <w:r>
        <w:rPr>
          <w:color w:val="545456"/>
          <w:spacing w:val="-1"/>
        </w:rPr>
        <w:t>Group</w:t>
      </w:r>
      <w:r>
        <w:rPr>
          <w:color w:val="545456"/>
          <w:spacing w:val="-10"/>
        </w:rPr>
        <w:t xml:space="preserve"> </w:t>
      </w:r>
      <w:r>
        <w:rPr>
          <w:color w:val="545456"/>
          <w:spacing w:val="-1"/>
        </w:rPr>
        <w:t>Corporation</w:t>
      </w:r>
      <w:r>
        <w:rPr>
          <w:color w:val="545456"/>
          <w:spacing w:val="-48"/>
        </w:rPr>
        <w:t xml:space="preserve"> </w:t>
      </w:r>
      <w:r>
        <w:rPr>
          <w:color w:val="545456"/>
          <w:w w:val="95"/>
        </w:rPr>
        <w:t>Giuliana</w:t>
      </w:r>
      <w:r>
        <w:rPr>
          <w:color w:val="545456"/>
          <w:spacing w:val="-5"/>
          <w:w w:val="95"/>
        </w:rPr>
        <w:t xml:space="preserve"> </w:t>
      </w:r>
      <w:proofErr w:type="spellStart"/>
      <w:r>
        <w:rPr>
          <w:color w:val="545456"/>
          <w:w w:val="95"/>
        </w:rPr>
        <w:t>Angonoa-Doehnert</w:t>
      </w:r>
      <w:proofErr w:type="spellEnd"/>
      <w:r>
        <w:rPr>
          <w:color w:val="545456"/>
          <w:w w:val="95"/>
        </w:rPr>
        <w:t>,</w:t>
      </w:r>
      <w:r>
        <w:rPr>
          <w:color w:val="545456"/>
          <w:spacing w:val="-4"/>
          <w:w w:val="95"/>
        </w:rPr>
        <w:t xml:space="preserve"> </w:t>
      </w:r>
      <w:r>
        <w:rPr>
          <w:color w:val="545456"/>
          <w:w w:val="95"/>
        </w:rPr>
        <w:t>BASF</w:t>
      </w:r>
    </w:p>
    <w:p w14:paraId="3AC15E8D" w14:textId="77777777" w:rsidR="0055291C" w:rsidRDefault="00F23C61">
      <w:pPr>
        <w:pStyle w:val="a3"/>
        <w:spacing w:before="1"/>
        <w:ind w:left="1133"/>
      </w:pPr>
      <w:r>
        <w:rPr>
          <w:color w:val="545456"/>
          <w:spacing w:val="-2"/>
          <w:w w:val="95"/>
        </w:rPr>
        <w:t>Nicola</w:t>
      </w:r>
      <w:r>
        <w:rPr>
          <w:color w:val="545456"/>
          <w:spacing w:val="-8"/>
          <w:w w:val="95"/>
        </w:rPr>
        <w:t xml:space="preserve"> </w:t>
      </w:r>
      <w:r>
        <w:rPr>
          <w:color w:val="545456"/>
          <w:spacing w:val="-1"/>
          <w:w w:val="95"/>
        </w:rPr>
        <w:t>Paczkowski,</w:t>
      </w:r>
      <w:r>
        <w:rPr>
          <w:color w:val="545456"/>
          <w:spacing w:val="-8"/>
          <w:w w:val="95"/>
        </w:rPr>
        <w:t xml:space="preserve"> </w:t>
      </w:r>
      <w:r>
        <w:rPr>
          <w:color w:val="545456"/>
          <w:spacing w:val="-1"/>
          <w:w w:val="95"/>
        </w:rPr>
        <w:t>BASF</w:t>
      </w:r>
    </w:p>
    <w:p w14:paraId="27552961" w14:textId="77777777" w:rsidR="0055291C" w:rsidRDefault="00F23C61">
      <w:pPr>
        <w:pStyle w:val="a3"/>
        <w:spacing w:before="65" w:line="312" w:lineRule="auto"/>
        <w:ind w:left="1133" w:right="563"/>
      </w:pPr>
      <w:r>
        <w:rPr>
          <w:color w:val="545456"/>
          <w:spacing w:val="-1"/>
        </w:rPr>
        <w:t>Anthony</w:t>
      </w:r>
      <w:r>
        <w:rPr>
          <w:color w:val="545456"/>
          <w:spacing w:val="-11"/>
        </w:rPr>
        <w:t xml:space="preserve"> </w:t>
      </w:r>
      <w:r>
        <w:rPr>
          <w:color w:val="545456"/>
          <w:spacing w:val="-1"/>
        </w:rPr>
        <w:t>Edwards,</w:t>
      </w:r>
      <w:r>
        <w:rPr>
          <w:color w:val="545456"/>
          <w:spacing w:val="-10"/>
        </w:rPr>
        <w:t xml:space="preserve"> </w:t>
      </w:r>
      <w:r>
        <w:rPr>
          <w:color w:val="545456"/>
        </w:rPr>
        <w:t>Belkin</w:t>
      </w:r>
      <w:r>
        <w:rPr>
          <w:color w:val="545456"/>
          <w:spacing w:val="-10"/>
        </w:rPr>
        <w:t xml:space="preserve"> </w:t>
      </w:r>
      <w:r>
        <w:rPr>
          <w:color w:val="545456"/>
        </w:rPr>
        <w:t>International,</w:t>
      </w:r>
      <w:r>
        <w:rPr>
          <w:color w:val="545456"/>
          <w:spacing w:val="-10"/>
        </w:rPr>
        <w:t xml:space="preserve"> </w:t>
      </w:r>
      <w:r>
        <w:rPr>
          <w:color w:val="545456"/>
        </w:rPr>
        <w:t>Inc.</w:t>
      </w:r>
      <w:r>
        <w:rPr>
          <w:color w:val="545456"/>
          <w:spacing w:val="-48"/>
        </w:rPr>
        <w:t xml:space="preserve"> </w:t>
      </w:r>
      <w:r>
        <w:rPr>
          <w:color w:val="545456"/>
          <w:w w:val="95"/>
        </w:rPr>
        <w:t>Gregory</w:t>
      </w:r>
      <w:r>
        <w:rPr>
          <w:color w:val="545456"/>
          <w:spacing w:val="-4"/>
          <w:w w:val="95"/>
        </w:rPr>
        <w:t xml:space="preserve"> </w:t>
      </w:r>
      <w:r>
        <w:rPr>
          <w:color w:val="545456"/>
          <w:w w:val="95"/>
        </w:rPr>
        <w:t>LeMay,</w:t>
      </w:r>
      <w:r>
        <w:rPr>
          <w:color w:val="545456"/>
          <w:spacing w:val="-3"/>
          <w:w w:val="95"/>
        </w:rPr>
        <w:t xml:space="preserve"> </w:t>
      </w:r>
      <w:r>
        <w:rPr>
          <w:color w:val="545456"/>
          <w:w w:val="95"/>
        </w:rPr>
        <w:t>Beverage</w:t>
      </w:r>
      <w:r>
        <w:rPr>
          <w:color w:val="545456"/>
          <w:spacing w:val="-3"/>
          <w:w w:val="95"/>
        </w:rPr>
        <w:t xml:space="preserve"> </w:t>
      </w:r>
      <w:r>
        <w:rPr>
          <w:color w:val="545456"/>
          <w:w w:val="95"/>
        </w:rPr>
        <w:t>Industry</w:t>
      </w:r>
    </w:p>
    <w:p w14:paraId="09214622" w14:textId="77777777" w:rsidR="0055291C" w:rsidRDefault="00F23C61">
      <w:pPr>
        <w:pStyle w:val="a3"/>
        <w:spacing w:before="1" w:line="312" w:lineRule="auto"/>
        <w:ind w:left="1133" w:right="1297" w:firstLine="226"/>
      </w:pPr>
      <w:r>
        <w:rPr>
          <w:color w:val="545456"/>
        </w:rPr>
        <w:t>Environmental Roundtable</w:t>
      </w:r>
      <w:r>
        <w:rPr>
          <w:color w:val="545456"/>
          <w:spacing w:val="1"/>
        </w:rPr>
        <w:t xml:space="preserve"> </w:t>
      </w:r>
      <w:r>
        <w:rPr>
          <w:color w:val="545456"/>
          <w:w w:val="95"/>
        </w:rPr>
        <w:t>Hans</w:t>
      </w:r>
      <w:r>
        <w:rPr>
          <w:color w:val="545456"/>
          <w:spacing w:val="7"/>
          <w:w w:val="95"/>
        </w:rPr>
        <w:t xml:space="preserve"> </w:t>
      </w:r>
      <w:proofErr w:type="spellStart"/>
      <w:r>
        <w:rPr>
          <w:color w:val="545456"/>
          <w:w w:val="95"/>
        </w:rPr>
        <w:t>Blonk</w:t>
      </w:r>
      <w:proofErr w:type="spellEnd"/>
      <w:r>
        <w:rPr>
          <w:color w:val="545456"/>
          <w:w w:val="95"/>
        </w:rPr>
        <w:t>,</w:t>
      </w:r>
      <w:r>
        <w:rPr>
          <w:color w:val="545456"/>
          <w:spacing w:val="7"/>
          <w:w w:val="95"/>
        </w:rPr>
        <w:t xml:space="preserve"> </w:t>
      </w:r>
      <w:proofErr w:type="spellStart"/>
      <w:r>
        <w:rPr>
          <w:color w:val="545456"/>
          <w:w w:val="95"/>
        </w:rPr>
        <w:t>Blonk</w:t>
      </w:r>
      <w:proofErr w:type="spellEnd"/>
      <w:r>
        <w:rPr>
          <w:color w:val="545456"/>
          <w:spacing w:val="8"/>
          <w:w w:val="95"/>
        </w:rPr>
        <w:t xml:space="preserve"> </w:t>
      </w:r>
      <w:r>
        <w:rPr>
          <w:color w:val="545456"/>
          <w:w w:val="95"/>
        </w:rPr>
        <w:t>Milieu</w:t>
      </w:r>
      <w:r>
        <w:rPr>
          <w:color w:val="545456"/>
          <w:spacing w:val="7"/>
          <w:w w:val="95"/>
        </w:rPr>
        <w:t xml:space="preserve"> </w:t>
      </w:r>
      <w:proofErr w:type="spellStart"/>
      <w:r>
        <w:rPr>
          <w:color w:val="545456"/>
          <w:w w:val="95"/>
        </w:rPr>
        <w:t>Advies</w:t>
      </w:r>
      <w:proofErr w:type="spellEnd"/>
      <w:r>
        <w:rPr>
          <w:color w:val="545456"/>
          <w:spacing w:val="-45"/>
          <w:w w:val="95"/>
        </w:rPr>
        <w:t xml:space="preserve"> </w:t>
      </w:r>
      <w:r>
        <w:rPr>
          <w:color w:val="545456"/>
        </w:rPr>
        <w:t xml:space="preserve">Lee </w:t>
      </w:r>
      <w:proofErr w:type="spellStart"/>
      <w:r>
        <w:rPr>
          <w:color w:val="545456"/>
        </w:rPr>
        <w:t>Ballin</w:t>
      </w:r>
      <w:proofErr w:type="spellEnd"/>
      <w:r>
        <w:rPr>
          <w:color w:val="545456"/>
        </w:rPr>
        <w:t>, Bloomberg LP</w:t>
      </w:r>
      <w:r>
        <w:rPr>
          <w:color w:val="545456"/>
          <w:spacing w:val="1"/>
        </w:rPr>
        <w:t xml:space="preserve"> </w:t>
      </w:r>
      <w:r>
        <w:rPr>
          <w:color w:val="545456"/>
          <w:w w:val="95"/>
        </w:rPr>
        <w:t>Gabrielle</w:t>
      </w:r>
      <w:r>
        <w:rPr>
          <w:color w:val="545456"/>
          <w:spacing w:val="-7"/>
          <w:w w:val="95"/>
        </w:rPr>
        <w:t xml:space="preserve"> </w:t>
      </w:r>
      <w:proofErr w:type="spellStart"/>
      <w:r>
        <w:rPr>
          <w:color w:val="545456"/>
          <w:w w:val="95"/>
        </w:rPr>
        <w:t>Ginér</w:t>
      </w:r>
      <w:proofErr w:type="spellEnd"/>
      <w:r>
        <w:rPr>
          <w:color w:val="545456"/>
          <w:w w:val="95"/>
        </w:rPr>
        <w:t>,</w:t>
      </w:r>
      <w:r>
        <w:rPr>
          <w:color w:val="545456"/>
          <w:spacing w:val="-7"/>
          <w:w w:val="95"/>
        </w:rPr>
        <w:t xml:space="preserve"> </w:t>
      </w:r>
      <w:r>
        <w:rPr>
          <w:color w:val="545456"/>
          <w:w w:val="95"/>
        </w:rPr>
        <w:t>BT</w:t>
      </w:r>
      <w:r>
        <w:rPr>
          <w:color w:val="545456"/>
          <w:spacing w:val="-7"/>
          <w:w w:val="95"/>
        </w:rPr>
        <w:t xml:space="preserve"> </w:t>
      </w:r>
      <w:r>
        <w:rPr>
          <w:color w:val="545456"/>
          <w:w w:val="95"/>
        </w:rPr>
        <w:t>plc</w:t>
      </w:r>
    </w:p>
    <w:p w14:paraId="5C8C3C4C" w14:textId="77777777" w:rsidR="0055291C" w:rsidRDefault="00F23C61">
      <w:pPr>
        <w:pStyle w:val="a3"/>
        <w:spacing w:before="2"/>
        <w:ind w:left="1133"/>
      </w:pPr>
      <w:r>
        <w:rPr>
          <w:color w:val="545456"/>
          <w:w w:val="95"/>
        </w:rPr>
        <w:t>Glyn</w:t>
      </w:r>
      <w:r>
        <w:rPr>
          <w:color w:val="545456"/>
          <w:spacing w:val="-7"/>
          <w:w w:val="95"/>
        </w:rPr>
        <w:t xml:space="preserve"> </w:t>
      </w:r>
      <w:r>
        <w:rPr>
          <w:color w:val="545456"/>
          <w:w w:val="95"/>
        </w:rPr>
        <w:t>Stacey,</w:t>
      </w:r>
      <w:r>
        <w:rPr>
          <w:color w:val="545456"/>
          <w:spacing w:val="-6"/>
          <w:w w:val="95"/>
        </w:rPr>
        <w:t xml:space="preserve"> </w:t>
      </w:r>
      <w:r>
        <w:rPr>
          <w:color w:val="545456"/>
          <w:w w:val="95"/>
        </w:rPr>
        <w:t>BT</w:t>
      </w:r>
      <w:r>
        <w:rPr>
          <w:color w:val="545456"/>
          <w:spacing w:val="-7"/>
          <w:w w:val="95"/>
        </w:rPr>
        <w:t xml:space="preserve"> </w:t>
      </w:r>
      <w:r>
        <w:rPr>
          <w:color w:val="545456"/>
          <w:w w:val="95"/>
        </w:rPr>
        <w:t>Group</w:t>
      </w:r>
      <w:r>
        <w:rPr>
          <w:color w:val="545456"/>
          <w:spacing w:val="-6"/>
          <w:w w:val="95"/>
        </w:rPr>
        <w:t xml:space="preserve"> </w:t>
      </w:r>
      <w:r>
        <w:rPr>
          <w:color w:val="545456"/>
          <w:w w:val="95"/>
        </w:rPr>
        <w:t>plc</w:t>
      </w:r>
    </w:p>
    <w:p w14:paraId="0AF2276C" w14:textId="77777777" w:rsidR="0055291C" w:rsidRDefault="00F23C61">
      <w:pPr>
        <w:pStyle w:val="a3"/>
        <w:spacing w:before="65" w:line="312" w:lineRule="auto"/>
        <w:ind w:left="1133"/>
      </w:pPr>
      <w:r>
        <w:rPr>
          <w:color w:val="545456"/>
          <w:w w:val="95"/>
        </w:rPr>
        <w:t xml:space="preserve">Ryan </w:t>
      </w:r>
      <w:proofErr w:type="spellStart"/>
      <w:r>
        <w:rPr>
          <w:color w:val="545456"/>
          <w:w w:val="95"/>
        </w:rPr>
        <w:t>Schuchard</w:t>
      </w:r>
      <w:proofErr w:type="spellEnd"/>
      <w:r>
        <w:rPr>
          <w:color w:val="545456"/>
          <w:w w:val="95"/>
        </w:rPr>
        <w:t>, Business for Social Responsibility</w:t>
      </w:r>
      <w:r>
        <w:rPr>
          <w:color w:val="545456"/>
          <w:spacing w:val="-45"/>
          <w:w w:val="95"/>
        </w:rPr>
        <w:t xml:space="preserve"> </w:t>
      </w:r>
      <w:r>
        <w:rPr>
          <w:color w:val="545456"/>
          <w:w w:val="95"/>
        </w:rPr>
        <w:t>Annalisa</w:t>
      </w:r>
      <w:r>
        <w:rPr>
          <w:color w:val="545456"/>
          <w:spacing w:val="6"/>
          <w:w w:val="95"/>
        </w:rPr>
        <w:t xml:space="preserve"> </w:t>
      </w:r>
      <w:proofErr w:type="spellStart"/>
      <w:r>
        <w:rPr>
          <w:color w:val="545456"/>
          <w:w w:val="95"/>
        </w:rPr>
        <w:t>Schilla</w:t>
      </w:r>
      <w:proofErr w:type="spellEnd"/>
      <w:r>
        <w:rPr>
          <w:color w:val="545456"/>
          <w:w w:val="95"/>
        </w:rPr>
        <w:t>,</w:t>
      </w:r>
      <w:r>
        <w:rPr>
          <w:color w:val="545456"/>
          <w:spacing w:val="7"/>
          <w:w w:val="95"/>
        </w:rPr>
        <w:t xml:space="preserve"> </w:t>
      </w:r>
      <w:r>
        <w:rPr>
          <w:color w:val="545456"/>
          <w:w w:val="95"/>
        </w:rPr>
        <w:t>California</w:t>
      </w:r>
      <w:r>
        <w:rPr>
          <w:color w:val="545456"/>
          <w:spacing w:val="6"/>
          <w:w w:val="95"/>
        </w:rPr>
        <w:t xml:space="preserve"> </w:t>
      </w:r>
      <w:r>
        <w:rPr>
          <w:color w:val="545456"/>
          <w:w w:val="95"/>
        </w:rPr>
        <w:t>Air</w:t>
      </w:r>
      <w:r>
        <w:rPr>
          <w:color w:val="545456"/>
          <w:spacing w:val="7"/>
          <w:w w:val="95"/>
        </w:rPr>
        <w:t xml:space="preserve"> </w:t>
      </w:r>
      <w:r>
        <w:rPr>
          <w:color w:val="545456"/>
          <w:w w:val="95"/>
        </w:rPr>
        <w:t>Resources</w:t>
      </w:r>
      <w:r>
        <w:rPr>
          <w:color w:val="545456"/>
          <w:spacing w:val="6"/>
          <w:w w:val="95"/>
        </w:rPr>
        <w:t xml:space="preserve"> </w:t>
      </w:r>
      <w:r>
        <w:rPr>
          <w:color w:val="545456"/>
          <w:w w:val="95"/>
        </w:rPr>
        <w:t>Board</w:t>
      </w:r>
      <w:r>
        <w:rPr>
          <w:color w:val="545456"/>
          <w:spacing w:val="1"/>
          <w:w w:val="95"/>
        </w:rPr>
        <w:t xml:space="preserve"> </w:t>
      </w:r>
      <w:r>
        <w:rPr>
          <w:color w:val="545456"/>
          <w:spacing w:val="-1"/>
        </w:rPr>
        <w:t xml:space="preserve">Ian Lipton, The Carbon Accounting </w:t>
      </w:r>
      <w:r>
        <w:rPr>
          <w:color w:val="545456"/>
        </w:rPr>
        <w:t>Company</w:t>
      </w:r>
      <w:r>
        <w:rPr>
          <w:color w:val="545456"/>
          <w:spacing w:val="1"/>
        </w:rPr>
        <w:t xml:space="preserve"> </w:t>
      </w:r>
      <w:r>
        <w:rPr>
          <w:color w:val="545456"/>
          <w:w w:val="95"/>
        </w:rPr>
        <w:t>James</w:t>
      </w:r>
      <w:r>
        <w:rPr>
          <w:color w:val="545456"/>
          <w:spacing w:val="-4"/>
          <w:w w:val="95"/>
        </w:rPr>
        <w:t xml:space="preserve"> </w:t>
      </w:r>
      <w:proofErr w:type="spellStart"/>
      <w:r>
        <w:rPr>
          <w:color w:val="545456"/>
          <w:w w:val="95"/>
        </w:rPr>
        <w:t>Leaton</w:t>
      </w:r>
      <w:proofErr w:type="spellEnd"/>
      <w:r>
        <w:rPr>
          <w:color w:val="545456"/>
          <w:w w:val="95"/>
        </w:rPr>
        <w:t>,</w:t>
      </w:r>
      <w:r>
        <w:rPr>
          <w:color w:val="545456"/>
          <w:spacing w:val="-4"/>
          <w:w w:val="95"/>
        </w:rPr>
        <w:t xml:space="preserve"> </w:t>
      </w:r>
      <w:r>
        <w:rPr>
          <w:color w:val="545456"/>
          <w:w w:val="95"/>
        </w:rPr>
        <w:t>Carbon</w:t>
      </w:r>
      <w:r>
        <w:rPr>
          <w:color w:val="545456"/>
          <w:spacing w:val="-3"/>
          <w:w w:val="95"/>
        </w:rPr>
        <w:t xml:space="preserve"> </w:t>
      </w:r>
      <w:r>
        <w:rPr>
          <w:color w:val="545456"/>
          <w:w w:val="95"/>
        </w:rPr>
        <w:t>Tracker</w:t>
      </w:r>
      <w:r>
        <w:rPr>
          <w:color w:val="545456"/>
          <w:spacing w:val="-4"/>
          <w:w w:val="95"/>
        </w:rPr>
        <w:t xml:space="preserve"> </w:t>
      </w:r>
      <w:r>
        <w:rPr>
          <w:color w:val="545456"/>
          <w:w w:val="95"/>
        </w:rPr>
        <w:t>Initiative</w:t>
      </w:r>
    </w:p>
    <w:p w14:paraId="06DF1EB9" w14:textId="77777777" w:rsidR="0055291C" w:rsidRDefault="00F23C61">
      <w:pPr>
        <w:rPr>
          <w:sz w:val="20"/>
        </w:rPr>
      </w:pPr>
      <w:r>
        <w:br w:type="column"/>
      </w:r>
    </w:p>
    <w:p w14:paraId="38AA536F" w14:textId="77777777" w:rsidR="0055291C" w:rsidRDefault="0055291C">
      <w:pPr>
        <w:pStyle w:val="a3"/>
        <w:rPr>
          <w:sz w:val="20"/>
        </w:rPr>
      </w:pPr>
    </w:p>
    <w:p w14:paraId="794F93F3" w14:textId="77777777" w:rsidR="0055291C" w:rsidRDefault="00F23C61">
      <w:pPr>
        <w:pStyle w:val="a3"/>
        <w:spacing w:before="116" w:line="312" w:lineRule="auto"/>
        <w:ind w:left="943" w:right="3641"/>
      </w:pPr>
      <w:r>
        <w:rPr>
          <w:color w:val="545456"/>
          <w:spacing w:val="-1"/>
        </w:rPr>
        <w:t>Patricia</w:t>
      </w:r>
      <w:r>
        <w:rPr>
          <w:color w:val="545456"/>
          <w:spacing w:val="-12"/>
        </w:rPr>
        <w:t xml:space="preserve"> </w:t>
      </w:r>
      <w:proofErr w:type="spellStart"/>
      <w:r>
        <w:rPr>
          <w:color w:val="545456"/>
          <w:spacing w:val="-1"/>
        </w:rPr>
        <w:t>Ludewig</w:t>
      </w:r>
      <w:proofErr w:type="spellEnd"/>
      <w:r>
        <w:rPr>
          <w:color w:val="545456"/>
          <w:spacing w:val="-1"/>
        </w:rPr>
        <w:t>,</w:t>
      </w:r>
      <w:r>
        <w:rPr>
          <w:color w:val="545456"/>
          <w:spacing w:val="-11"/>
        </w:rPr>
        <w:t xml:space="preserve"> </w:t>
      </w:r>
      <w:r>
        <w:rPr>
          <w:color w:val="545456"/>
          <w:spacing w:val="-1"/>
        </w:rPr>
        <w:t>Caterpillar</w:t>
      </w:r>
      <w:r>
        <w:rPr>
          <w:color w:val="545456"/>
          <w:spacing w:val="-48"/>
        </w:rPr>
        <w:t xml:space="preserve"> </w:t>
      </w:r>
      <w:r>
        <w:rPr>
          <w:color w:val="545456"/>
          <w:w w:val="90"/>
        </w:rPr>
        <w:t>Claude</w:t>
      </w:r>
      <w:r>
        <w:rPr>
          <w:color w:val="545456"/>
          <w:spacing w:val="18"/>
          <w:w w:val="90"/>
        </w:rPr>
        <w:t xml:space="preserve"> </w:t>
      </w:r>
      <w:proofErr w:type="spellStart"/>
      <w:r>
        <w:rPr>
          <w:color w:val="545456"/>
          <w:w w:val="90"/>
        </w:rPr>
        <w:t>Loréa</w:t>
      </w:r>
      <w:proofErr w:type="spellEnd"/>
      <w:r>
        <w:rPr>
          <w:color w:val="545456"/>
          <w:w w:val="90"/>
        </w:rPr>
        <w:t>,</w:t>
      </w:r>
      <w:r>
        <w:rPr>
          <w:color w:val="545456"/>
          <w:spacing w:val="19"/>
          <w:w w:val="90"/>
        </w:rPr>
        <w:t xml:space="preserve"> </w:t>
      </w:r>
      <w:r>
        <w:rPr>
          <w:color w:val="545456"/>
          <w:w w:val="90"/>
        </w:rPr>
        <w:t>CEMBUREAU</w:t>
      </w:r>
    </w:p>
    <w:p w14:paraId="7CEBCE2E" w14:textId="77777777" w:rsidR="0055291C" w:rsidRDefault="00F23C61">
      <w:pPr>
        <w:pStyle w:val="a3"/>
        <w:spacing w:before="1" w:line="312" w:lineRule="auto"/>
        <w:ind w:left="943" w:right="859"/>
      </w:pPr>
      <w:r>
        <w:rPr>
          <w:color w:val="545456"/>
          <w:spacing w:val="-5"/>
        </w:rPr>
        <w:t>Thomas</w:t>
      </w:r>
      <w:r>
        <w:rPr>
          <w:color w:val="545456"/>
          <w:spacing w:val="-18"/>
        </w:rPr>
        <w:t xml:space="preserve"> </w:t>
      </w:r>
      <w:proofErr w:type="spellStart"/>
      <w:r>
        <w:rPr>
          <w:color w:val="545456"/>
          <w:spacing w:val="-5"/>
        </w:rPr>
        <w:t>Wiedmann</w:t>
      </w:r>
      <w:proofErr w:type="spellEnd"/>
      <w:r>
        <w:rPr>
          <w:color w:val="545456"/>
          <w:spacing w:val="-5"/>
        </w:rPr>
        <w:t>,</w:t>
      </w:r>
      <w:r>
        <w:rPr>
          <w:color w:val="545456"/>
          <w:spacing w:val="-19"/>
        </w:rPr>
        <w:t xml:space="preserve"> </w:t>
      </w:r>
      <w:r>
        <w:rPr>
          <w:color w:val="545456"/>
          <w:spacing w:val="-5"/>
        </w:rPr>
        <w:t>Centre</w:t>
      </w:r>
      <w:r>
        <w:rPr>
          <w:color w:val="545456"/>
          <w:spacing w:val="-18"/>
        </w:rPr>
        <w:t xml:space="preserve"> </w:t>
      </w:r>
      <w:r>
        <w:rPr>
          <w:color w:val="545456"/>
          <w:spacing w:val="-5"/>
        </w:rPr>
        <w:t>for</w:t>
      </w:r>
      <w:r>
        <w:rPr>
          <w:color w:val="545456"/>
          <w:spacing w:val="-18"/>
        </w:rPr>
        <w:t xml:space="preserve"> </w:t>
      </w:r>
      <w:r>
        <w:rPr>
          <w:color w:val="545456"/>
          <w:spacing w:val="-5"/>
        </w:rPr>
        <w:t>Sustainability</w:t>
      </w:r>
      <w:r>
        <w:rPr>
          <w:color w:val="545456"/>
          <w:spacing w:val="-18"/>
        </w:rPr>
        <w:t xml:space="preserve"> </w:t>
      </w:r>
      <w:r>
        <w:rPr>
          <w:color w:val="545456"/>
          <w:spacing w:val="-4"/>
        </w:rPr>
        <w:t>Accounting</w:t>
      </w:r>
      <w:r>
        <w:rPr>
          <w:color w:val="545456"/>
          <w:spacing w:val="-18"/>
        </w:rPr>
        <w:t xml:space="preserve"> </w:t>
      </w:r>
      <w:r>
        <w:rPr>
          <w:color w:val="545456"/>
          <w:spacing w:val="-4"/>
        </w:rPr>
        <w:t>Ltd.</w:t>
      </w:r>
      <w:r>
        <w:rPr>
          <w:color w:val="545456"/>
          <w:spacing w:val="-47"/>
        </w:rPr>
        <w:t xml:space="preserve"> </w:t>
      </w:r>
      <w:r>
        <w:rPr>
          <w:color w:val="545456"/>
        </w:rPr>
        <w:t>Meg</w:t>
      </w:r>
      <w:r>
        <w:rPr>
          <w:color w:val="545456"/>
          <w:spacing w:val="-12"/>
        </w:rPr>
        <w:t xml:space="preserve"> </w:t>
      </w:r>
      <w:r>
        <w:rPr>
          <w:color w:val="545456"/>
        </w:rPr>
        <w:t>Crawford,</w:t>
      </w:r>
      <w:r>
        <w:rPr>
          <w:color w:val="545456"/>
          <w:spacing w:val="-11"/>
        </w:rPr>
        <w:t xml:space="preserve"> </w:t>
      </w:r>
      <w:r>
        <w:rPr>
          <w:color w:val="545456"/>
        </w:rPr>
        <w:t>CERES</w:t>
      </w:r>
    </w:p>
    <w:p w14:paraId="7D51B31E" w14:textId="77777777" w:rsidR="0055291C" w:rsidRDefault="00F23C61">
      <w:pPr>
        <w:pStyle w:val="a3"/>
        <w:spacing w:line="312" w:lineRule="auto"/>
        <w:ind w:left="943" w:right="1208"/>
      </w:pPr>
      <w:r>
        <w:rPr>
          <w:color w:val="545456"/>
        </w:rPr>
        <w:t>Jianhua</w:t>
      </w:r>
      <w:r>
        <w:rPr>
          <w:color w:val="545456"/>
          <w:spacing w:val="-12"/>
        </w:rPr>
        <w:t xml:space="preserve"> </w:t>
      </w:r>
      <w:r>
        <w:rPr>
          <w:color w:val="545456"/>
        </w:rPr>
        <w:t>Chen,</w:t>
      </w:r>
      <w:r>
        <w:rPr>
          <w:color w:val="545456"/>
          <w:spacing w:val="-12"/>
        </w:rPr>
        <w:t xml:space="preserve"> </w:t>
      </w:r>
      <w:r>
        <w:rPr>
          <w:color w:val="545456"/>
        </w:rPr>
        <w:t>China</w:t>
      </w:r>
      <w:r>
        <w:rPr>
          <w:color w:val="545456"/>
          <w:spacing w:val="-11"/>
        </w:rPr>
        <w:t xml:space="preserve"> </w:t>
      </w:r>
      <w:r>
        <w:rPr>
          <w:color w:val="545456"/>
        </w:rPr>
        <w:t>National</w:t>
      </w:r>
      <w:r>
        <w:rPr>
          <w:color w:val="545456"/>
          <w:spacing w:val="-12"/>
        </w:rPr>
        <w:t xml:space="preserve"> </w:t>
      </w:r>
      <w:r>
        <w:rPr>
          <w:color w:val="545456"/>
        </w:rPr>
        <w:t>Institute</w:t>
      </w:r>
      <w:r>
        <w:rPr>
          <w:color w:val="545456"/>
          <w:spacing w:val="-11"/>
        </w:rPr>
        <w:t xml:space="preserve"> </w:t>
      </w:r>
      <w:r>
        <w:rPr>
          <w:color w:val="545456"/>
        </w:rPr>
        <w:t>of</w:t>
      </w:r>
      <w:r>
        <w:rPr>
          <w:color w:val="545456"/>
          <w:spacing w:val="-12"/>
        </w:rPr>
        <w:t xml:space="preserve"> </w:t>
      </w:r>
      <w:r>
        <w:rPr>
          <w:color w:val="545456"/>
        </w:rPr>
        <w:t>Standardization</w:t>
      </w:r>
      <w:r>
        <w:rPr>
          <w:color w:val="545456"/>
          <w:spacing w:val="-47"/>
        </w:rPr>
        <w:t xml:space="preserve"> </w:t>
      </w:r>
      <w:r>
        <w:rPr>
          <w:color w:val="545456"/>
        </w:rPr>
        <w:t>Liang Chen, China National Institute of Standardization</w:t>
      </w:r>
      <w:r>
        <w:rPr>
          <w:color w:val="545456"/>
          <w:spacing w:val="1"/>
        </w:rPr>
        <w:t xml:space="preserve"> </w:t>
      </w:r>
      <w:r>
        <w:rPr>
          <w:color w:val="545456"/>
        </w:rPr>
        <w:t>Mei Liu, China National Institute of Standardization</w:t>
      </w:r>
      <w:r>
        <w:rPr>
          <w:color w:val="545456"/>
          <w:spacing w:val="1"/>
        </w:rPr>
        <w:t xml:space="preserve"> </w:t>
      </w:r>
      <w:r>
        <w:rPr>
          <w:color w:val="545456"/>
          <w:w w:val="95"/>
        </w:rPr>
        <w:t>Corinne</w:t>
      </w:r>
      <w:r>
        <w:rPr>
          <w:color w:val="545456"/>
          <w:spacing w:val="-7"/>
          <w:w w:val="95"/>
        </w:rPr>
        <w:t xml:space="preserve"> </w:t>
      </w:r>
      <w:r>
        <w:rPr>
          <w:color w:val="545456"/>
          <w:w w:val="95"/>
        </w:rPr>
        <w:t>Reich-Weiser,</w:t>
      </w:r>
      <w:r>
        <w:rPr>
          <w:color w:val="545456"/>
          <w:spacing w:val="-6"/>
          <w:w w:val="95"/>
        </w:rPr>
        <w:t xml:space="preserve"> </w:t>
      </w:r>
      <w:r>
        <w:rPr>
          <w:color w:val="545456"/>
          <w:w w:val="95"/>
        </w:rPr>
        <w:t>Climate</w:t>
      </w:r>
      <w:r>
        <w:rPr>
          <w:color w:val="545456"/>
          <w:spacing w:val="-7"/>
          <w:w w:val="95"/>
        </w:rPr>
        <w:t xml:space="preserve"> </w:t>
      </w:r>
      <w:r>
        <w:rPr>
          <w:color w:val="545456"/>
          <w:w w:val="95"/>
        </w:rPr>
        <w:t>Earth</w:t>
      </w:r>
    </w:p>
    <w:p w14:paraId="42518234" w14:textId="77777777" w:rsidR="0055291C" w:rsidRDefault="00F23C61">
      <w:pPr>
        <w:pStyle w:val="a3"/>
        <w:spacing w:before="2" w:line="312" w:lineRule="auto"/>
        <w:ind w:left="943" w:right="2367"/>
        <w:jc w:val="both"/>
      </w:pPr>
      <w:r>
        <w:rPr>
          <w:color w:val="545456"/>
          <w:w w:val="95"/>
        </w:rPr>
        <w:t>Christopher Gleadle, The CMG Consultancy</w:t>
      </w:r>
      <w:r>
        <w:rPr>
          <w:color w:val="545456"/>
          <w:spacing w:val="1"/>
          <w:w w:val="95"/>
        </w:rPr>
        <w:t xml:space="preserve"> </w:t>
      </w:r>
      <w:r>
        <w:rPr>
          <w:color w:val="545456"/>
          <w:spacing w:val="-1"/>
        </w:rPr>
        <w:t>Christoph</w:t>
      </w:r>
      <w:r>
        <w:rPr>
          <w:color w:val="545456"/>
          <w:spacing w:val="-11"/>
        </w:rPr>
        <w:t xml:space="preserve"> </w:t>
      </w:r>
      <w:proofErr w:type="spellStart"/>
      <w:r>
        <w:rPr>
          <w:color w:val="545456"/>
          <w:spacing w:val="-1"/>
        </w:rPr>
        <w:t>Meinrenken</w:t>
      </w:r>
      <w:proofErr w:type="spellEnd"/>
      <w:r>
        <w:rPr>
          <w:color w:val="545456"/>
          <w:spacing w:val="-1"/>
        </w:rPr>
        <w:t>,</w:t>
      </w:r>
      <w:r>
        <w:rPr>
          <w:color w:val="545456"/>
          <w:spacing w:val="-11"/>
        </w:rPr>
        <w:t xml:space="preserve"> </w:t>
      </w:r>
      <w:r>
        <w:rPr>
          <w:color w:val="545456"/>
          <w:spacing w:val="-1"/>
        </w:rPr>
        <w:t>Columbia</w:t>
      </w:r>
      <w:r>
        <w:rPr>
          <w:color w:val="545456"/>
          <w:spacing w:val="-11"/>
        </w:rPr>
        <w:t xml:space="preserve"> </w:t>
      </w:r>
      <w:r>
        <w:rPr>
          <w:color w:val="545456"/>
        </w:rPr>
        <w:t>University</w:t>
      </w:r>
      <w:r>
        <w:rPr>
          <w:color w:val="545456"/>
          <w:spacing w:val="-48"/>
        </w:rPr>
        <w:t xml:space="preserve"> </w:t>
      </w:r>
      <w:r>
        <w:rPr>
          <w:color w:val="545456"/>
          <w:w w:val="95"/>
        </w:rPr>
        <w:t>Tony</w:t>
      </w:r>
      <w:r>
        <w:rPr>
          <w:color w:val="545456"/>
          <w:spacing w:val="-6"/>
          <w:w w:val="95"/>
        </w:rPr>
        <w:t xml:space="preserve"> </w:t>
      </w:r>
      <w:proofErr w:type="spellStart"/>
      <w:r>
        <w:rPr>
          <w:color w:val="545456"/>
          <w:w w:val="95"/>
        </w:rPr>
        <w:t>Siantonas</w:t>
      </w:r>
      <w:proofErr w:type="spellEnd"/>
      <w:r>
        <w:rPr>
          <w:color w:val="545456"/>
          <w:w w:val="95"/>
        </w:rPr>
        <w:t>,</w:t>
      </w:r>
      <w:r>
        <w:rPr>
          <w:color w:val="545456"/>
          <w:spacing w:val="-5"/>
          <w:w w:val="95"/>
        </w:rPr>
        <w:t xml:space="preserve"> </w:t>
      </w:r>
      <w:r>
        <w:rPr>
          <w:color w:val="545456"/>
          <w:w w:val="95"/>
        </w:rPr>
        <w:t>dcarbon8</w:t>
      </w:r>
      <w:r>
        <w:rPr>
          <w:color w:val="545456"/>
          <w:spacing w:val="-6"/>
          <w:w w:val="95"/>
        </w:rPr>
        <w:t xml:space="preserve"> </w:t>
      </w:r>
      <w:r>
        <w:rPr>
          <w:color w:val="545456"/>
          <w:w w:val="95"/>
        </w:rPr>
        <w:t>Ltd.</w:t>
      </w:r>
    </w:p>
    <w:p w14:paraId="4BFCEBEB" w14:textId="77777777" w:rsidR="0055291C" w:rsidRDefault="00F23C61">
      <w:pPr>
        <w:pStyle w:val="a3"/>
        <w:spacing w:before="1" w:line="312" w:lineRule="auto"/>
        <w:ind w:left="943" w:right="1825"/>
      </w:pPr>
      <w:r>
        <w:rPr>
          <w:color w:val="545456"/>
        </w:rPr>
        <w:t>Steven</w:t>
      </w:r>
      <w:r>
        <w:rPr>
          <w:color w:val="545456"/>
          <w:spacing w:val="-9"/>
        </w:rPr>
        <w:t xml:space="preserve"> </w:t>
      </w:r>
      <w:r>
        <w:rPr>
          <w:color w:val="545456"/>
        </w:rPr>
        <w:t>Moore,</w:t>
      </w:r>
      <w:r>
        <w:rPr>
          <w:color w:val="545456"/>
          <w:spacing w:val="-8"/>
        </w:rPr>
        <w:t xml:space="preserve"> </w:t>
      </w:r>
      <w:r>
        <w:rPr>
          <w:color w:val="545456"/>
        </w:rPr>
        <w:t>Deloitte</w:t>
      </w:r>
      <w:r>
        <w:rPr>
          <w:color w:val="545456"/>
          <w:spacing w:val="-8"/>
        </w:rPr>
        <w:t xml:space="preserve"> </w:t>
      </w:r>
      <w:proofErr w:type="spellStart"/>
      <w:r>
        <w:rPr>
          <w:color w:val="545456"/>
        </w:rPr>
        <w:t>Touche</w:t>
      </w:r>
      <w:proofErr w:type="spellEnd"/>
      <w:r>
        <w:rPr>
          <w:color w:val="545456"/>
          <w:spacing w:val="-8"/>
        </w:rPr>
        <w:t xml:space="preserve"> </w:t>
      </w:r>
      <w:r>
        <w:rPr>
          <w:color w:val="545456"/>
        </w:rPr>
        <w:t>Tohmatsu</w:t>
      </w:r>
      <w:r>
        <w:rPr>
          <w:color w:val="545456"/>
          <w:spacing w:val="-8"/>
        </w:rPr>
        <w:t xml:space="preserve"> </w:t>
      </w:r>
      <w:r>
        <w:rPr>
          <w:color w:val="545456"/>
        </w:rPr>
        <w:t>Limited</w:t>
      </w:r>
      <w:r>
        <w:rPr>
          <w:color w:val="545456"/>
          <w:spacing w:val="-48"/>
        </w:rPr>
        <w:t xml:space="preserve"> </w:t>
      </w:r>
      <w:r>
        <w:rPr>
          <w:color w:val="545456"/>
          <w:w w:val="95"/>
        </w:rPr>
        <w:t>Björn</w:t>
      </w:r>
      <w:r>
        <w:rPr>
          <w:color w:val="545456"/>
          <w:spacing w:val="-5"/>
          <w:w w:val="95"/>
        </w:rPr>
        <w:t xml:space="preserve"> </w:t>
      </w:r>
      <w:proofErr w:type="spellStart"/>
      <w:r>
        <w:rPr>
          <w:color w:val="545456"/>
          <w:w w:val="95"/>
        </w:rPr>
        <w:t>Hannappel</w:t>
      </w:r>
      <w:proofErr w:type="spellEnd"/>
      <w:r>
        <w:rPr>
          <w:color w:val="545456"/>
          <w:w w:val="95"/>
        </w:rPr>
        <w:t>,</w:t>
      </w:r>
      <w:r>
        <w:rPr>
          <w:color w:val="545456"/>
          <w:spacing w:val="-4"/>
          <w:w w:val="95"/>
        </w:rPr>
        <w:t xml:space="preserve"> </w:t>
      </w:r>
      <w:r>
        <w:rPr>
          <w:color w:val="545456"/>
          <w:w w:val="95"/>
        </w:rPr>
        <w:t>Deutsche</w:t>
      </w:r>
      <w:r>
        <w:rPr>
          <w:color w:val="545456"/>
          <w:spacing w:val="-4"/>
          <w:w w:val="95"/>
        </w:rPr>
        <w:t xml:space="preserve"> </w:t>
      </w:r>
      <w:r>
        <w:rPr>
          <w:color w:val="545456"/>
          <w:w w:val="95"/>
        </w:rPr>
        <w:t>Post</w:t>
      </w:r>
      <w:r>
        <w:rPr>
          <w:color w:val="545456"/>
          <w:spacing w:val="-5"/>
          <w:w w:val="95"/>
        </w:rPr>
        <w:t xml:space="preserve"> </w:t>
      </w:r>
      <w:r>
        <w:rPr>
          <w:color w:val="545456"/>
          <w:w w:val="95"/>
        </w:rPr>
        <w:t>DHL</w:t>
      </w:r>
    </w:p>
    <w:p w14:paraId="40F366D8" w14:textId="77777777" w:rsidR="0055291C" w:rsidRDefault="00F23C61">
      <w:pPr>
        <w:pStyle w:val="a3"/>
        <w:spacing w:before="1" w:line="312" w:lineRule="auto"/>
        <w:ind w:left="943" w:right="2418"/>
      </w:pPr>
      <w:r>
        <w:rPr>
          <w:color w:val="545456"/>
          <w:w w:val="95"/>
        </w:rPr>
        <w:t>Klaus</w:t>
      </w:r>
      <w:r>
        <w:rPr>
          <w:color w:val="545456"/>
          <w:spacing w:val="2"/>
          <w:w w:val="95"/>
        </w:rPr>
        <w:t xml:space="preserve"> </w:t>
      </w:r>
      <w:proofErr w:type="spellStart"/>
      <w:r>
        <w:rPr>
          <w:color w:val="545456"/>
          <w:w w:val="95"/>
        </w:rPr>
        <w:t>Hufschlag</w:t>
      </w:r>
      <w:proofErr w:type="spellEnd"/>
      <w:r>
        <w:rPr>
          <w:color w:val="545456"/>
          <w:w w:val="95"/>
        </w:rPr>
        <w:t>,</w:t>
      </w:r>
      <w:r>
        <w:rPr>
          <w:color w:val="545456"/>
          <w:spacing w:val="3"/>
          <w:w w:val="95"/>
        </w:rPr>
        <w:t xml:space="preserve"> </w:t>
      </w:r>
      <w:r>
        <w:rPr>
          <w:color w:val="545456"/>
          <w:w w:val="95"/>
        </w:rPr>
        <w:t>Deutsche</w:t>
      </w:r>
      <w:r>
        <w:rPr>
          <w:color w:val="545456"/>
          <w:spacing w:val="2"/>
          <w:w w:val="95"/>
        </w:rPr>
        <w:t xml:space="preserve"> </w:t>
      </w:r>
      <w:r>
        <w:rPr>
          <w:color w:val="545456"/>
          <w:w w:val="95"/>
        </w:rPr>
        <w:t>Post</w:t>
      </w:r>
      <w:r>
        <w:rPr>
          <w:color w:val="545456"/>
          <w:spacing w:val="3"/>
          <w:w w:val="95"/>
        </w:rPr>
        <w:t xml:space="preserve"> </w:t>
      </w:r>
      <w:r>
        <w:rPr>
          <w:color w:val="545456"/>
          <w:w w:val="95"/>
        </w:rPr>
        <w:t>DHL</w:t>
      </w:r>
      <w:r>
        <w:rPr>
          <w:color w:val="545456"/>
          <w:spacing w:val="-45"/>
          <w:w w:val="95"/>
        </w:rPr>
        <w:t xml:space="preserve"> </w:t>
      </w:r>
      <w:r>
        <w:rPr>
          <w:color w:val="545456"/>
          <w:w w:val="95"/>
        </w:rPr>
        <w:t>Markus</w:t>
      </w:r>
      <w:r>
        <w:rPr>
          <w:color w:val="545456"/>
          <w:spacing w:val="-3"/>
          <w:w w:val="95"/>
        </w:rPr>
        <w:t xml:space="preserve"> </w:t>
      </w:r>
      <w:proofErr w:type="spellStart"/>
      <w:r>
        <w:rPr>
          <w:color w:val="545456"/>
          <w:w w:val="95"/>
        </w:rPr>
        <w:t>Igel</w:t>
      </w:r>
      <w:proofErr w:type="spellEnd"/>
      <w:r>
        <w:rPr>
          <w:color w:val="545456"/>
          <w:w w:val="95"/>
        </w:rPr>
        <w:t>,</w:t>
      </w:r>
      <w:r>
        <w:rPr>
          <w:color w:val="545456"/>
          <w:spacing w:val="-2"/>
          <w:w w:val="95"/>
        </w:rPr>
        <w:t xml:space="preserve"> </w:t>
      </w:r>
      <w:r>
        <w:rPr>
          <w:color w:val="545456"/>
          <w:w w:val="95"/>
        </w:rPr>
        <w:t>Deutsche</w:t>
      </w:r>
      <w:r>
        <w:rPr>
          <w:color w:val="545456"/>
          <w:spacing w:val="-3"/>
          <w:w w:val="95"/>
        </w:rPr>
        <w:t xml:space="preserve"> </w:t>
      </w:r>
      <w:r>
        <w:rPr>
          <w:color w:val="545456"/>
          <w:w w:val="95"/>
        </w:rPr>
        <w:t>Post</w:t>
      </w:r>
      <w:r>
        <w:rPr>
          <w:color w:val="545456"/>
          <w:spacing w:val="-2"/>
          <w:w w:val="95"/>
        </w:rPr>
        <w:t xml:space="preserve"> </w:t>
      </w:r>
      <w:r>
        <w:rPr>
          <w:color w:val="545456"/>
          <w:w w:val="95"/>
        </w:rPr>
        <w:t>DHL</w:t>
      </w:r>
    </w:p>
    <w:p w14:paraId="54BD4974" w14:textId="77777777" w:rsidR="0055291C" w:rsidRDefault="00F23C61">
      <w:pPr>
        <w:pStyle w:val="a3"/>
        <w:spacing w:before="1" w:line="312" w:lineRule="auto"/>
        <w:ind w:left="943" w:right="2418"/>
      </w:pPr>
      <w:r>
        <w:rPr>
          <w:color w:val="545456"/>
          <w:w w:val="95"/>
        </w:rPr>
        <w:t>Mathis</w:t>
      </w:r>
      <w:r>
        <w:rPr>
          <w:color w:val="545456"/>
          <w:spacing w:val="13"/>
          <w:w w:val="95"/>
        </w:rPr>
        <w:t xml:space="preserve"> </w:t>
      </w:r>
      <w:proofErr w:type="spellStart"/>
      <w:r>
        <w:rPr>
          <w:color w:val="545456"/>
          <w:w w:val="95"/>
        </w:rPr>
        <w:t>Lapenküpper</w:t>
      </w:r>
      <w:proofErr w:type="spellEnd"/>
      <w:r>
        <w:rPr>
          <w:color w:val="545456"/>
          <w:w w:val="95"/>
        </w:rPr>
        <w:t>,</w:t>
      </w:r>
      <w:r>
        <w:rPr>
          <w:color w:val="545456"/>
          <w:spacing w:val="14"/>
          <w:w w:val="95"/>
        </w:rPr>
        <w:t xml:space="preserve"> </w:t>
      </w:r>
      <w:r>
        <w:rPr>
          <w:color w:val="545456"/>
          <w:w w:val="95"/>
        </w:rPr>
        <w:t>Deutsche</w:t>
      </w:r>
      <w:r>
        <w:rPr>
          <w:color w:val="545456"/>
          <w:spacing w:val="14"/>
          <w:w w:val="95"/>
        </w:rPr>
        <w:t xml:space="preserve"> </w:t>
      </w:r>
      <w:r>
        <w:rPr>
          <w:color w:val="545456"/>
          <w:w w:val="95"/>
        </w:rPr>
        <w:t>Post</w:t>
      </w:r>
      <w:r>
        <w:rPr>
          <w:color w:val="545456"/>
          <w:spacing w:val="14"/>
          <w:w w:val="95"/>
        </w:rPr>
        <w:t xml:space="preserve"> </w:t>
      </w:r>
      <w:r>
        <w:rPr>
          <w:color w:val="545456"/>
          <w:w w:val="95"/>
        </w:rPr>
        <w:t>DHL</w:t>
      </w:r>
      <w:r>
        <w:rPr>
          <w:color w:val="545456"/>
          <w:spacing w:val="-45"/>
          <w:w w:val="95"/>
        </w:rPr>
        <w:t xml:space="preserve"> </w:t>
      </w:r>
      <w:proofErr w:type="spellStart"/>
      <w:r>
        <w:rPr>
          <w:color w:val="545456"/>
          <w:w w:val="95"/>
        </w:rPr>
        <w:t>Patric</w:t>
      </w:r>
      <w:proofErr w:type="spellEnd"/>
      <w:r>
        <w:rPr>
          <w:color w:val="545456"/>
          <w:spacing w:val="-5"/>
          <w:w w:val="95"/>
        </w:rPr>
        <w:t xml:space="preserve"> </w:t>
      </w:r>
      <w:proofErr w:type="spellStart"/>
      <w:r>
        <w:rPr>
          <w:color w:val="545456"/>
          <w:w w:val="95"/>
        </w:rPr>
        <w:t>Pütz</w:t>
      </w:r>
      <w:proofErr w:type="spellEnd"/>
      <w:r>
        <w:rPr>
          <w:color w:val="545456"/>
          <w:w w:val="95"/>
        </w:rPr>
        <w:t>,</w:t>
      </w:r>
      <w:r>
        <w:rPr>
          <w:color w:val="545456"/>
          <w:spacing w:val="-5"/>
          <w:w w:val="95"/>
        </w:rPr>
        <w:t xml:space="preserve"> </w:t>
      </w:r>
      <w:r>
        <w:rPr>
          <w:color w:val="545456"/>
          <w:w w:val="95"/>
        </w:rPr>
        <w:t>Deutsche</w:t>
      </w:r>
      <w:r>
        <w:rPr>
          <w:color w:val="545456"/>
          <w:spacing w:val="-5"/>
          <w:w w:val="95"/>
        </w:rPr>
        <w:t xml:space="preserve"> </w:t>
      </w:r>
      <w:r>
        <w:rPr>
          <w:color w:val="545456"/>
          <w:w w:val="95"/>
        </w:rPr>
        <w:t>Post</w:t>
      </w:r>
      <w:r>
        <w:rPr>
          <w:color w:val="545456"/>
          <w:spacing w:val="-4"/>
          <w:w w:val="95"/>
        </w:rPr>
        <w:t xml:space="preserve"> </w:t>
      </w:r>
      <w:r>
        <w:rPr>
          <w:color w:val="545456"/>
          <w:w w:val="95"/>
        </w:rPr>
        <w:t>DHL</w:t>
      </w:r>
    </w:p>
    <w:p w14:paraId="7CB7D0F0" w14:textId="77777777" w:rsidR="0055291C" w:rsidRDefault="00F23C61">
      <w:pPr>
        <w:pStyle w:val="a3"/>
        <w:spacing w:before="1" w:line="312" w:lineRule="auto"/>
        <w:ind w:left="943" w:right="2195"/>
      </w:pPr>
      <w:r>
        <w:rPr>
          <w:color w:val="545456"/>
          <w:w w:val="95"/>
        </w:rPr>
        <w:t xml:space="preserve">Stephan </w:t>
      </w:r>
      <w:proofErr w:type="spellStart"/>
      <w:r>
        <w:rPr>
          <w:color w:val="545456"/>
          <w:w w:val="95"/>
        </w:rPr>
        <w:t>Schlabinski</w:t>
      </w:r>
      <w:proofErr w:type="spellEnd"/>
      <w:r>
        <w:rPr>
          <w:color w:val="545456"/>
          <w:w w:val="95"/>
        </w:rPr>
        <w:t>, Deutsche Post DHL</w:t>
      </w:r>
      <w:r>
        <w:rPr>
          <w:color w:val="545456"/>
          <w:spacing w:val="1"/>
          <w:w w:val="95"/>
        </w:rPr>
        <w:t xml:space="preserve"> </w:t>
      </w:r>
      <w:r>
        <w:rPr>
          <w:color w:val="545456"/>
          <w:w w:val="95"/>
        </w:rPr>
        <w:t>Hans-Jürgen</w:t>
      </w:r>
      <w:r>
        <w:rPr>
          <w:color w:val="545456"/>
          <w:spacing w:val="5"/>
          <w:w w:val="95"/>
        </w:rPr>
        <w:t xml:space="preserve"> </w:t>
      </w:r>
      <w:proofErr w:type="spellStart"/>
      <w:r>
        <w:rPr>
          <w:color w:val="545456"/>
          <w:w w:val="95"/>
        </w:rPr>
        <w:t>Gerhardy</w:t>
      </w:r>
      <w:proofErr w:type="spellEnd"/>
      <w:r>
        <w:rPr>
          <w:color w:val="545456"/>
          <w:w w:val="95"/>
        </w:rPr>
        <w:t>,</w:t>
      </w:r>
      <w:r>
        <w:rPr>
          <w:color w:val="545456"/>
          <w:spacing w:val="6"/>
          <w:w w:val="95"/>
        </w:rPr>
        <w:t xml:space="preserve"> </w:t>
      </w:r>
      <w:r>
        <w:rPr>
          <w:color w:val="545456"/>
          <w:w w:val="95"/>
        </w:rPr>
        <w:t>Deutsche</w:t>
      </w:r>
      <w:r>
        <w:rPr>
          <w:color w:val="545456"/>
          <w:spacing w:val="6"/>
          <w:w w:val="95"/>
        </w:rPr>
        <w:t xml:space="preserve"> </w:t>
      </w:r>
      <w:r>
        <w:rPr>
          <w:color w:val="545456"/>
          <w:w w:val="95"/>
        </w:rPr>
        <w:t>Telekom</w:t>
      </w:r>
      <w:r>
        <w:rPr>
          <w:color w:val="545456"/>
          <w:spacing w:val="6"/>
          <w:w w:val="95"/>
        </w:rPr>
        <w:t xml:space="preserve"> </w:t>
      </w:r>
      <w:r>
        <w:rPr>
          <w:color w:val="545456"/>
          <w:w w:val="95"/>
        </w:rPr>
        <w:t>AG</w:t>
      </w:r>
      <w:r>
        <w:rPr>
          <w:color w:val="545456"/>
          <w:spacing w:val="-45"/>
          <w:w w:val="95"/>
        </w:rPr>
        <w:t xml:space="preserve"> </w:t>
      </w:r>
      <w:r>
        <w:rPr>
          <w:color w:val="545456"/>
          <w:w w:val="95"/>
        </w:rPr>
        <w:t>Reiner</w:t>
      </w:r>
      <w:r>
        <w:rPr>
          <w:color w:val="545456"/>
          <w:spacing w:val="-6"/>
          <w:w w:val="95"/>
        </w:rPr>
        <w:t xml:space="preserve"> </w:t>
      </w:r>
      <w:r>
        <w:rPr>
          <w:color w:val="545456"/>
          <w:w w:val="95"/>
        </w:rPr>
        <w:t>Lemke,</w:t>
      </w:r>
      <w:r>
        <w:rPr>
          <w:color w:val="545456"/>
          <w:spacing w:val="-5"/>
          <w:w w:val="95"/>
        </w:rPr>
        <w:t xml:space="preserve"> </w:t>
      </w:r>
      <w:r>
        <w:rPr>
          <w:color w:val="545456"/>
          <w:w w:val="95"/>
        </w:rPr>
        <w:t>Deutsche</w:t>
      </w:r>
      <w:r>
        <w:rPr>
          <w:color w:val="545456"/>
          <w:spacing w:val="-5"/>
          <w:w w:val="95"/>
        </w:rPr>
        <w:t xml:space="preserve"> </w:t>
      </w:r>
      <w:r>
        <w:rPr>
          <w:color w:val="545456"/>
          <w:w w:val="95"/>
        </w:rPr>
        <w:t>Telekom</w:t>
      </w:r>
      <w:r>
        <w:rPr>
          <w:color w:val="545456"/>
          <w:spacing w:val="-5"/>
          <w:w w:val="95"/>
        </w:rPr>
        <w:t xml:space="preserve"> </w:t>
      </w:r>
      <w:r>
        <w:rPr>
          <w:color w:val="545456"/>
          <w:w w:val="95"/>
        </w:rPr>
        <w:t>AG</w:t>
      </w:r>
    </w:p>
    <w:p w14:paraId="32D7734F" w14:textId="77777777" w:rsidR="0055291C" w:rsidRDefault="00F23C61">
      <w:pPr>
        <w:pStyle w:val="a3"/>
        <w:spacing w:before="1" w:line="312" w:lineRule="auto"/>
        <w:ind w:left="943" w:right="2418"/>
      </w:pPr>
      <w:r>
        <w:rPr>
          <w:color w:val="545456"/>
          <w:w w:val="95"/>
        </w:rPr>
        <w:t>Michael</w:t>
      </w:r>
      <w:r>
        <w:rPr>
          <w:color w:val="545456"/>
          <w:spacing w:val="1"/>
          <w:w w:val="95"/>
        </w:rPr>
        <w:t xml:space="preserve"> </w:t>
      </w:r>
      <w:proofErr w:type="spellStart"/>
      <w:r>
        <w:rPr>
          <w:color w:val="545456"/>
          <w:w w:val="95"/>
        </w:rPr>
        <w:t>Zalan</w:t>
      </w:r>
      <w:proofErr w:type="spellEnd"/>
      <w:r>
        <w:rPr>
          <w:color w:val="545456"/>
          <w:w w:val="95"/>
        </w:rPr>
        <w:t>,</w:t>
      </w:r>
      <w:r>
        <w:rPr>
          <w:color w:val="545456"/>
          <w:spacing w:val="1"/>
          <w:w w:val="95"/>
        </w:rPr>
        <w:t xml:space="preserve"> </w:t>
      </w:r>
      <w:r>
        <w:rPr>
          <w:color w:val="545456"/>
          <w:w w:val="95"/>
        </w:rPr>
        <w:t>Deutsche</w:t>
      </w:r>
      <w:r>
        <w:rPr>
          <w:color w:val="545456"/>
          <w:spacing w:val="2"/>
          <w:w w:val="95"/>
        </w:rPr>
        <w:t xml:space="preserve"> </w:t>
      </w:r>
      <w:r>
        <w:rPr>
          <w:color w:val="545456"/>
          <w:w w:val="95"/>
        </w:rPr>
        <w:t>Telekom</w:t>
      </w:r>
      <w:r>
        <w:rPr>
          <w:color w:val="545456"/>
          <w:spacing w:val="1"/>
          <w:w w:val="95"/>
        </w:rPr>
        <w:t xml:space="preserve"> </w:t>
      </w:r>
      <w:r>
        <w:rPr>
          <w:color w:val="545456"/>
          <w:w w:val="95"/>
        </w:rPr>
        <w:t>AG</w:t>
      </w:r>
      <w:r>
        <w:rPr>
          <w:color w:val="545456"/>
          <w:spacing w:val="-45"/>
          <w:w w:val="95"/>
        </w:rPr>
        <w:t xml:space="preserve"> </w:t>
      </w:r>
      <w:r>
        <w:rPr>
          <w:color w:val="545456"/>
        </w:rPr>
        <w:t>Daniel</w:t>
      </w:r>
      <w:r>
        <w:rPr>
          <w:color w:val="545456"/>
          <w:spacing w:val="-12"/>
        </w:rPr>
        <w:t xml:space="preserve"> </w:t>
      </w:r>
      <w:r>
        <w:rPr>
          <w:color w:val="545456"/>
        </w:rPr>
        <w:t>A.</w:t>
      </w:r>
      <w:r>
        <w:rPr>
          <w:color w:val="545456"/>
          <w:spacing w:val="-11"/>
        </w:rPr>
        <w:t xml:space="preserve"> </w:t>
      </w:r>
      <w:r>
        <w:rPr>
          <w:color w:val="545456"/>
        </w:rPr>
        <w:t>Daggett,</w:t>
      </w:r>
      <w:r>
        <w:rPr>
          <w:color w:val="545456"/>
          <w:spacing w:val="-11"/>
        </w:rPr>
        <w:t xml:space="preserve"> </w:t>
      </w:r>
      <w:r>
        <w:rPr>
          <w:color w:val="545456"/>
        </w:rPr>
        <w:t>Diversey</w:t>
      </w:r>
    </w:p>
    <w:p w14:paraId="0E6F7BBD" w14:textId="77777777" w:rsidR="0055291C" w:rsidRDefault="00F23C61">
      <w:pPr>
        <w:pStyle w:val="a3"/>
        <w:spacing w:before="1"/>
        <w:ind w:left="943"/>
      </w:pPr>
      <w:r>
        <w:rPr>
          <w:color w:val="545456"/>
          <w:w w:val="95"/>
        </w:rPr>
        <w:t>Carina</w:t>
      </w:r>
      <w:r>
        <w:rPr>
          <w:color w:val="545456"/>
          <w:spacing w:val="2"/>
          <w:w w:val="95"/>
        </w:rPr>
        <w:t xml:space="preserve"> </w:t>
      </w:r>
      <w:proofErr w:type="spellStart"/>
      <w:r>
        <w:rPr>
          <w:color w:val="545456"/>
          <w:w w:val="95"/>
        </w:rPr>
        <w:t>Alles</w:t>
      </w:r>
      <w:proofErr w:type="spellEnd"/>
      <w:r>
        <w:rPr>
          <w:color w:val="545456"/>
          <w:w w:val="95"/>
        </w:rPr>
        <w:t>,</w:t>
      </w:r>
      <w:r>
        <w:rPr>
          <w:color w:val="545456"/>
          <w:spacing w:val="2"/>
          <w:w w:val="95"/>
        </w:rPr>
        <w:t xml:space="preserve"> </w:t>
      </w:r>
      <w:r>
        <w:rPr>
          <w:color w:val="545456"/>
          <w:w w:val="95"/>
        </w:rPr>
        <w:t>DuPont</w:t>
      </w:r>
    </w:p>
    <w:p w14:paraId="65EAB38F" w14:textId="77777777" w:rsidR="0055291C" w:rsidRDefault="00F23C61">
      <w:pPr>
        <w:pStyle w:val="a3"/>
        <w:spacing w:before="65" w:line="312" w:lineRule="auto"/>
        <w:ind w:left="943" w:right="3688"/>
      </w:pPr>
      <w:r>
        <w:rPr>
          <w:color w:val="545456"/>
          <w:spacing w:val="-1"/>
        </w:rPr>
        <w:t xml:space="preserve">Dawn Rittenhouse, </w:t>
      </w:r>
      <w:r>
        <w:rPr>
          <w:color w:val="545456"/>
        </w:rPr>
        <w:t>DuPont</w:t>
      </w:r>
      <w:r>
        <w:rPr>
          <w:color w:val="545456"/>
          <w:spacing w:val="-48"/>
        </w:rPr>
        <w:t xml:space="preserve"> </w:t>
      </w:r>
      <w:r>
        <w:rPr>
          <w:color w:val="545456"/>
          <w:w w:val="95"/>
        </w:rPr>
        <w:t>Susanne</w:t>
      </w:r>
      <w:r>
        <w:rPr>
          <w:color w:val="545456"/>
          <w:spacing w:val="-4"/>
          <w:w w:val="95"/>
        </w:rPr>
        <w:t xml:space="preserve"> </w:t>
      </w:r>
      <w:proofErr w:type="spellStart"/>
      <w:r>
        <w:rPr>
          <w:color w:val="545456"/>
          <w:w w:val="95"/>
        </w:rPr>
        <w:t>Veith</w:t>
      </w:r>
      <w:proofErr w:type="spellEnd"/>
      <w:r>
        <w:rPr>
          <w:color w:val="545456"/>
          <w:w w:val="95"/>
        </w:rPr>
        <w:t>,</w:t>
      </w:r>
      <w:r>
        <w:rPr>
          <w:color w:val="545456"/>
          <w:spacing w:val="-4"/>
          <w:w w:val="95"/>
        </w:rPr>
        <w:t xml:space="preserve"> </w:t>
      </w:r>
      <w:r>
        <w:rPr>
          <w:color w:val="545456"/>
          <w:w w:val="95"/>
        </w:rPr>
        <w:t>DuPont</w:t>
      </w:r>
    </w:p>
    <w:p w14:paraId="77F77419" w14:textId="77777777" w:rsidR="0055291C" w:rsidRDefault="00F23C61">
      <w:pPr>
        <w:pStyle w:val="a3"/>
        <w:spacing w:before="1" w:line="312" w:lineRule="auto"/>
        <w:ind w:left="943" w:right="3737"/>
      </w:pPr>
      <w:r>
        <w:rPr>
          <w:color w:val="545456"/>
          <w:w w:val="95"/>
        </w:rPr>
        <w:t xml:space="preserve">Bo </w:t>
      </w:r>
      <w:proofErr w:type="spellStart"/>
      <w:r>
        <w:rPr>
          <w:color w:val="545456"/>
          <w:w w:val="95"/>
        </w:rPr>
        <w:t>Weidema</w:t>
      </w:r>
      <w:proofErr w:type="spellEnd"/>
      <w:r>
        <w:rPr>
          <w:color w:val="545456"/>
          <w:w w:val="95"/>
        </w:rPr>
        <w:t xml:space="preserve">, </w:t>
      </w:r>
      <w:proofErr w:type="spellStart"/>
      <w:r>
        <w:rPr>
          <w:color w:val="545456"/>
          <w:w w:val="95"/>
        </w:rPr>
        <w:t>Ecoinvent</w:t>
      </w:r>
      <w:proofErr w:type="spellEnd"/>
      <w:r>
        <w:rPr>
          <w:color w:val="545456"/>
          <w:spacing w:val="1"/>
          <w:w w:val="95"/>
        </w:rPr>
        <w:t xml:space="preserve"> </w:t>
      </w:r>
      <w:r>
        <w:rPr>
          <w:color w:val="545456"/>
          <w:spacing w:val="-1"/>
        </w:rPr>
        <w:t>Matt</w:t>
      </w:r>
      <w:r>
        <w:rPr>
          <w:color w:val="545456"/>
          <w:spacing w:val="-10"/>
        </w:rPr>
        <w:t xml:space="preserve"> </w:t>
      </w:r>
      <w:r>
        <w:rPr>
          <w:color w:val="545456"/>
          <w:spacing w:val="-1"/>
        </w:rPr>
        <w:t>Molinaro,</w:t>
      </w:r>
      <w:r>
        <w:rPr>
          <w:color w:val="545456"/>
          <w:spacing w:val="-10"/>
        </w:rPr>
        <w:t xml:space="preserve"> </w:t>
      </w:r>
      <w:r>
        <w:rPr>
          <w:color w:val="545456"/>
          <w:spacing w:val="-1"/>
        </w:rPr>
        <w:t>Ecolab,</w:t>
      </w:r>
      <w:r>
        <w:rPr>
          <w:color w:val="545456"/>
          <w:spacing w:val="-10"/>
        </w:rPr>
        <w:t xml:space="preserve"> </w:t>
      </w:r>
      <w:r>
        <w:rPr>
          <w:color w:val="545456"/>
        </w:rPr>
        <w:t>Inc.</w:t>
      </w:r>
      <w:r>
        <w:rPr>
          <w:color w:val="545456"/>
          <w:spacing w:val="-48"/>
        </w:rPr>
        <w:t xml:space="preserve"> </w:t>
      </w:r>
      <w:r>
        <w:rPr>
          <w:color w:val="545456"/>
          <w:w w:val="95"/>
        </w:rPr>
        <w:t>Ali</w:t>
      </w:r>
      <w:r>
        <w:rPr>
          <w:color w:val="545456"/>
          <w:spacing w:val="45"/>
        </w:rPr>
        <w:t xml:space="preserve"> </w:t>
      </w:r>
      <w:r>
        <w:rPr>
          <w:color w:val="545456"/>
          <w:w w:val="95"/>
        </w:rPr>
        <w:t>Rivers,</w:t>
      </w:r>
      <w:r>
        <w:rPr>
          <w:color w:val="545456"/>
          <w:spacing w:val="45"/>
        </w:rPr>
        <w:t xml:space="preserve"> </w:t>
      </w:r>
      <w:proofErr w:type="spellStart"/>
      <w:r>
        <w:rPr>
          <w:color w:val="545456"/>
          <w:w w:val="95"/>
        </w:rPr>
        <w:t>Ecometrica</w:t>
      </w:r>
      <w:proofErr w:type="spellEnd"/>
      <w:r>
        <w:rPr>
          <w:color w:val="545456"/>
          <w:spacing w:val="1"/>
          <w:w w:val="95"/>
        </w:rPr>
        <w:t xml:space="preserve"> </w:t>
      </w:r>
      <w:r>
        <w:rPr>
          <w:color w:val="545456"/>
          <w:w w:val="95"/>
        </w:rPr>
        <w:t xml:space="preserve">Marc </w:t>
      </w:r>
      <w:proofErr w:type="spellStart"/>
      <w:r>
        <w:rPr>
          <w:color w:val="545456"/>
          <w:w w:val="95"/>
        </w:rPr>
        <w:t>Zanter</w:t>
      </w:r>
      <w:proofErr w:type="spellEnd"/>
      <w:r>
        <w:rPr>
          <w:color w:val="545456"/>
          <w:w w:val="95"/>
        </w:rPr>
        <w:t>, Edelweiss</w:t>
      </w:r>
      <w:r>
        <w:rPr>
          <w:color w:val="545456"/>
          <w:spacing w:val="1"/>
          <w:w w:val="95"/>
        </w:rPr>
        <w:t xml:space="preserve"> </w:t>
      </w:r>
      <w:r>
        <w:rPr>
          <w:color w:val="545456"/>
          <w:spacing w:val="-2"/>
        </w:rPr>
        <w:t>Nigel</w:t>
      </w:r>
      <w:r>
        <w:rPr>
          <w:color w:val="545456"/>
          <w:spacing w:val="-11"/>
        </w:rPr>
        <w:t xml:space="preserve"> </w:t>
      </w:r>
      <w:r>
        <w:rPr>
          <w:color w:val="545456"/>
          <w:spacing w:val="-2"/>
        </w:rPr>
        <w:t>Carter,</w:t>
      </w:r>
      <w:r>
        <w:rPr>
          <w:color w:val="545456"/>
          <w:spacing w:val="-11"/>
        </w:rPr>
        <w:t xml:space="preserve"> </w:t>
      </w:r>
      <w:proofErr w:type="spellStart"/>
      <w:r>
        <w:rPr>
          <w:color w:val="545456"/>
          <w:spacing w:val="-1"/>
        </w:rPr>
        <w:t>En</w:t>
      </w:r>
      <w:proofErr w:type="spellEnd"/>
      <w:r>
        <w:rPr>
          <w:color w:val="545456"/>
          <w:spacing w:val="-1"/>
        </w:rPr>
        <w:t>-Venture</w:t>
      </w:r>
    </w:p>
    <w:p w14:paraId="6B2DECA6" w14:textId="77777777" w:rsidR="0055291C" w:rsidRDefault="00F23C61">
      <w:pPr>
        <w:pStyle w:val="a3"/>
        <w:spacing w:before="2"/>
        <w:ind w:left="943"/>
      </w:pPr>
      <w:proofErr w:type="spellStart"/>
      <w:r>
        <w:rPr>
          <w:color w:val="545456"/>
          <w:w w:val="95"/>
        </w:rPr>
        <w:t>Lixiao</w:t>
      </w:r>
      <w:proofErr w:type="spellEnd"/>
      <w:r>
        <w:rPr>
          <w:color w:val="545456"/>
          <w:spacing w:val="9"/>
          <w:w w:val="95"/>
        </w:rPr>
        <w:t xml:space="preserve"> </w:t>
      </w:r>
      <w:r>
        <w:rPr>
          <w:color w:val="545456"/>
          <w:w w:val="95"/>
        </w:rPr>
        <w:t>Hu,</w:t>
      </w:r>
      <w:r>
        <w:rPr>
          <w:color w:val="545456"/>
          <w:spacing w:val="10"/>
          <w:w w:val="95"/>
        </w:rPr>
        <w:t xml:space="preserve"> </w:t>
      </w:r>
      <w:r>
        <w:rPr>
          <w:color w:val="545456"/>
          <w:w w:val="95"/>
        </w:rPr>
        <w:t>Energy</w:t>
      </w:r>
      <w:r>
        <w:rPr>
          <w:color w:val="545456"/>
          <w:spacing w:val="10"/>
          <w:w w:val="95"/>
        </w:rPr>
        <w:t xml:space="preserve"> </w:t>
      </w:r>
      <w:r>
        <w:rPr>
          <w:color w:val="545456"/>
          <w:w w:val="95"/>
        </w:rPr>
        <w:t>Systems</w:t>
      </w:r>
      <w:r>
        <w:rPr>
          <w:color w:val="545456"/>
          <w:spacing w:val="10"/>
          <w:w w:val="95"/>
        </w:rPr>
        <w:t xml:space="preserve"> </w:t>
      </w:r>
      <w:r>
        <w:rPr>
          <w:color w:val="545456"/>
          <w:w w:val="95"/>
        </w:rPr>
        <w:t>International</w:t>
      </w:r>
    </w:p>
    <w:p w14:paraId="5BDC8906" w14:textId="77777777" w:rsidR="0055291C" w:rsidRDefault="0055291C">
      <w:pPr>
        <w:sectPr w:rsidR="0055291C">
          <w:type w:val="continuous"/>
          <w:pgSz w:w="12240" w:h="15840"/>
          <w:pgMar w:top="740" w:right="0" w:bottom="280" w:left="0" w:header="0" w:footer="859" w:gutter="0"/>
          <w:cols w:num="2" w:space="720" w:equalWidth="0">
            <w:col w:w="5278" w:space="40"/>
            <w:col w:w="6922"/>
          </w:cols>
        </w:sectPr>
      </w:pPr>
    </w:p>
    <w:p w14:paraId="36819A99" w14:textId="77777777" w:rsidR="0055291C" w:rsidRDefault="0055291C">
      <w:pPr>
        <w:pStyle w:val="a3"/>
        <w:rPr>
          <w:sz w:val="20"/>
        </w:rPr>
      </w:pPr>
    </w:p>
    <w:p w14:paraId="2514BD3F" w14:textId="77777777" w:rsidR="0055291C" w:rsidRDefault="0055291C">
      <w:pPr>
        <w:rPr>
          <w:sz w:val="20"/>
        </w:rPr>
        <w:sectPr w:rsidR="0055291C">
          <w:headerReference w:type="default" r:id="rId408"/>
          <w:footerReference w:type="default" r:id="rId409"/>
          <w:pgSz w:w="12240" w:h="15840"/>
          <w:pgMar w:top="1160" w:right="0" w:bottom="1040" w:left="0" w:header="957" w:footer="859" w:gutter="0"/>
          <w:pgNumType w:start="143"/>
          <w:cols w:space="720"/>
        </w:sectPr>
      </w:pPr>
    </w:p>
    <w:p w14:paraId="27ACCF50" w14:textId="77777777" w:rsidR="0055291C" w:rsidRDefault="00000000">
      <w:pPr>
        <w:pStyle w:val="3"/>
        <w:spacing w:before="212"/>
        <w:ind w:left="1127"/>
      </w:pPr>
      <w:r>
        <w:pict w14:anchorId="645A0B4C">
          <v:shape id="docshape1742" o:spid="_x0000_s2080" style="position:absolute;left:0;text-align:left;margin-left:580.75pt;margin-top:0;width:31.3pt;height:285.85pt;z-index:251696640;mso-position-horizontal-relative:page;mso-position-vertical-relative:page" coordorigin="11615" coordsize="626,5717" path="m12240,r-625,l11615,5489r3,131l11643,5688r67,25l11842,5716r398,l12240,xe" fillcolor="#00aca1" stroked="f">
            <v:path arrowok="t"/>
            <w10:wrap anchorx="page" anchory="page"/>
          </v:shape>
        </w:pict>
      </w:r>
      <w:r>
        <w:pict w14:anchorId="6D704CC8">
          <v:line id="_x0000_s2079" style="position:absolute;left:0;text-align:left;z-index:251697664;mso-position-horizontal-relative:page" from="56.7pt,28.45pt" to="555.3pt,28.45pt" strokecolor="#00aca1" strokeweight="1pt">
            <w10:wrap anchorx="page"/>
          </v:line>
        </w:pict>
      </w:r>
      <w:r w:rsidR="00F23C61">
        <w:rPr>
          <w:color w:val="00ACA1"/>
          <w:w w:val="95"/>
        </w:rPr>
        <w:t>Contributors</w:t>
      </w:r>
      <w:r w:rsidR="00F23C61">
        <w:rPr>
          <w:color w:val="00ACA1"/>
          <w:spacing w:val="14"/>
          <w:w w:val="95"/>
        </w:rPr>
        <w:t xml:space="preserve"> </w:t>
      </w:r>
      <w:r w:rsidR="00F23C61">
        <w:rPr>
          <w:color w:val="00ACA1"/>
          <w:w w:val="95"/>
        </w:rPr>
        <w:t>(continued)</w:t>
      </w:r>
    </w:p>
    <w:p w14:paraId="2B99F719" w14:textId="77777777" w:rsidR="0055291C" w:rsidRDefault="00F23C61">
      <w:pPr>
        <w:pStyle w:val="a3"/>
        <w:spacing w:before="194"/>
        <w:ind w:left="1133"/>
      </w:pPr>
      <w:r>
        <w:rPr>
          <w:color w:val="545456"/>
          <w:w w:val="90"/>
        </w:rPr>
        <w:t>Ines</w:t>
      </w:r>
      <w:r>
        <w:rPr>
          <w:color w:val="545456"/>
          <w:spacing w:val="-7"/>
          <w:w w:val="90"/>
        </w:rPr>
        <w:t xml:space="preserve"> </w:t>
      </w:r>
      <w:r>
        <w:rPr>
          <w:color w:val="545456"/>
          <w:w w:val="90"/>
        </w:rPr>
        <w:t>Sousa,</w:t>
      </w:r>
      <w:r>
        <w:rPr>
          <w:color w:val="545456"/>
          <w:spacing w:val="-6"/>
          <w:w w:val="90"/>
        </w:rPr>
        <w:t xml:space="preserve"> </w:t>
      </w:r>
      <w:r>
        <w:rPr>
          <w:color w:val="545456"/>
          <w:w w:val="90"/>
        </w:rPr>
        <w:t>ENXSUITE</w:t>
      </w:r>
    </w:p>
    <w:p w14:paraId="4CA9350D" w14:textId="77777777" w:rsidR="0055291C" w:rsidRDefault="00F23C61">
      <w:pPr>
        <w:pStyle w:val="a3"/>
        <w:spacing w:before="65" w:line="312" w:lineRule="auto"/>
        <w:ind w:left="1133" w:right="798"/>
      </w:pPr>
      <w:r>
        <w:rPr>
          <w:color w:val="545456"/>
          <w:spacing w:val="-2"/>
        </w:rPr>
        <w:t>Camile</w:t>
      </w:r>
      <w:r>
        <w:rPr>
          <w:color w:val="545456"/>
          <w:spacing w:val="-11"/>
        </w:rPr>
        <w:t xml:space="preserve"> </w:t>
      </w:r>
      <w:r>
        <w:rPr>
          <w:color w:val="545456"/>
          <w:spacing w:val="-2"/>
        </w:rPr>
        <w:t>Burel,</w:t>
      </w:r>
      <w:r>
        <w:rPr>
          <w:color w:val="545456"/>
          <w:spacing w:val="-10"/>
        </w:rPr>
        <w:t xml:space="preserve"> </w:t>
      </w:r>
      <w:r>
        <w:rPr>
          <w:color w:val="545456"/>
          <w:spacing w:val="-2"/>
        </w:rPr>
        <w:t>European</w:t>
      </w:r>
      <w:r>
        <w:rPr>
          <w:color w:val="545456"/>
          <w:spacing w:val="-10"/>
        </w:rPr>
        <w:t xml:space="preserve"> </w:t>
      </w:r>
      <w:r>
        <w:rPr>
          <w:color w:val="545456"/>
          <w:spacing w:val="-1"/>
        </w:rPr>
        <w:t>Bioindustry</w:t>
      </w:r>
      <w:r>
        <w:rPr>
          <w:color w:val="545456"/>
          <w:spacing w:val="-11"/>
        </w:rPr>
        <w:t xml:space="preserve"> </w:t>
      </w:r>
      <w:r>
        <w:rPr>
          <w:color w:val="545456"/>
          <w:spacing w:val="-1"/>
        </w:rPr>
        <w:t>Association</w:t>
      </w:r>
      <w:r>
        <w:rPr>
          <w:color w:val="545456"/>
          <w:spacing w:val="-47"/>
        </w:rPr>
        <w:t xml:space="preserve"> </w:t>
      </w:r>
      <w:r>
        <w:rPr>
          <w:color w:val="545456"/>
        </w:rPr>
        <w:t>Jonathan Newton, Ford Motor Company</w:t>
      </w:r>
      <w:r>
        <w:rPr>
          <w:color w:val="545456"/>
          <w:spacing w:val="1"/>
        </w:rPr>
        <w:t xml:space="preserve"> </w:t>
      </w:r>
      <w:r>
        <w:rPr>
          <w:color w:val="545456"/>
          <w:w w:val="95"/>
        </w:rPr>
        <w:t>William</w:t>
      </w:r>
      <w:r>
        <w:rPr>
          <w:color w:val="545456"/>
          <w:spacing w:val="-8"/>
          <w:w w:val="95"/>
        </w:rPr>
        <w:t xml:space="preserve"> </w:t>
      </w:r>
      <w:r>
        <w:rPr>
          <w:color w:val="545456"/>
          <w:w w:val="95"/>
        </w:rPr>
        <w:t>Flanagan,</w:t>
      </w:r>
      <w:r>
        <w:rPr>
          <w:color w:val="545456"/>
          <w:spacing w:val="-8"/>
          <w:w w:val="95"/>
        </w:rPr>
        <w:t xml:space="preserve"> </w:t>
      </w:r>
      <w:r>
        <w:rPr>
          <w:color w:val="545456"/>
          <w:w w:val="95"/>
        </w:rPr>
        <w:t>GE</w:t>
      </w:r>
      <w:r>
        <w:rPr>
          <w:color w:val="545456"/>
          <w:spacing w:val="-7"/>
          <w:w w:val="95"/>
        </w:rPr>
        <w:t xml:space="preserve"> </w:t>
      </w:r>
      <w:r>
        <w:rPr>
          <w:color w:val="545456"/>
          <w:w w:val="95"/>
        </w:rPr>
        <w:t>Global</w:t>
      </w:r>
      <w:r>
        <w:rPr>
          <w:color w:val="545456"/>
          <w:spacing w:val="-8"/>
          <w:w w:val="95"/>
        </w:rPr>
        <w:t xml:space="preserve"> </w:t>
      </w:r>
      <w:r>
        <w:rPr>
          <w:color w:val="545456"/>
          <w:w w:val="95"/>
        </w:rPr>
        <w:t>Research</w:t>
      </w:r>
    </w:p>
    <w:p w14:paraId="12650BB1" w14:textId="77777777" w:rsidR="0055291C" w:rsidRDefault="00F23C61">
      <w:pPr>
        <w:pStyle w:val="a3"/>
        <w:spacing w:before="2" w:line="312" w:lineRule="auto"/>
        <w:ind w:left="1133" w:right="1667"/>
      </w:pPr>
      <w:r>
        <w:rPr>
          <w:color w:val="545456"/>
          <w:spacing w:val="-1"/>
          <w:w w:val="95"/>
        </w:rPr>
        <w:t>Angela</w:t>
      </w:r>
      <w:r>
        <w:rPr>
          <w:color w:val="545456"/>
          <w:spacing w:val="-9"/>
          <w:w w:val="95"/>
        </w:rPr>
        <w:t xml:space="preserve"> </w:t>
      </w:r>
      <w:r>
        <w:rPr>
          <w:color w:val="545456"/>
          <w:spacing w:val="-1"/>
          <w:w w:val="95"/>
        </w:rPr>
        <w:t>Fisher,</w:t>
      </w:r>
      <w:r>
        <w:rPr>
          <w:color w:val="545456"/>
          <w:spacing w:val="-9"/>
          <w:w w:val="95"/>
        </w:rPr>
        <w:t xml:space="preserve"> </w:t>
      </w:r>
      <w:r>
        <w:rPr>
          <w:color w:val="545456"/>
          <w:spacing w:val="-1"/>
          <w:w w:val="95"/>
        </w:rPr>
        <w:t>GE</w:t>
      </w:r>
      <w:r>
        <w:rPr>
          <w:color w:val="545456"/>
          <w:spacing w:val="-8"/>
          <w:w w:val="95"/>
        </w:rPr>
        <w:t xml:space="preserve"> </w:t>
      </w:r>
      <w:r>
        <w:rPr>
          <w:color w:val="545456"/>
          <w:spacing w:val="-1"/>
          <w:w w:val="95"/>
        </w:rPr>
        <w:t>Global</w:t>
      </w:r>
      <w:r>
        <w:rPr>
          <w:color w:val="545456"/>
          <w:spacing w:val="-9"/>
          <w:w w:val="95"/>
        </w:rPr>
        <w:t xml:space="preserve"> </w:t>
      </w:r>
      <w:r>
        <w:rPr>
          <w:color w:val="545456"/>
          <w:spacing w:val="-1"/>
          <w:w w:val="95"/>
        </w:rPr>
        <w:t>Research</w:t>
      </w:r>
      <w:r>
        <w:rPr>
          <w:color w:val="545456"/>
          <w:spacing w:val="-45"/>
          <w:w w:val="95"/>
        </w:rPr>
        <w:t xml:space="preserve"> </w:t>
      </w:r>
      <w:r>
        <w:rPr>
          <w:color w:val="545456"/>
          <w:w w:val="95"/>
        </w:rPr>
        <w:t>Paul</w:t>
      </w:r>
      <w:r>
        <w:rPr>
          <w:color w:val="545456"/>
          <w:spacing w:val="-7"/>
          <w:w w:val="95"/>
        </w:rPr>
        <w:t xml:space="preserve"> </w:t>
      </w:r>
      <w:r>
        <w:rPr>
          <w:color w:val="545456"/>
          <w:w w:val="95"/>
        </w:rPr>
        <w:t>Helgeson,</w:t>
      </w:r>
      <w:r>
        <w:rPr>
          <w:color w:val="545456"/>
          <w:spacing w:val="-6"/>
          <w:w w:val="95"/>
        </w:rPr>
        <w:t xml:space="preserve"> </w:t>
      </w:r>
      <w:r>
        <w:rPr>
          <w:color w:val="545456"/>
          <w:w w:val="95"/>
        </w:rPr>
        <w:t>GNP</w:t>
      </w:r>
      <w:r>
        <w:rPr>
          <w:color w:val="545456"/>
          <w:spacing w:val="-6"/>
          <w:w w:val="95"/>
        </w:rPr>
        <w:t xml:space="preserve"> </w:t>
      </w:r>
      <w:r>
        <w:rPr>
          <w:color w:val="545456"/>
          <w:w w:val="95"/>
        </w:rPr>
        <w:t>Company</w:t>
      </w:r>
    </w:p>
    <w:p w14:paraId="497E4238" w14:textId="77777777" w:rsidR="0055291C" w:rsidRDefault="00F23C61">
      <w:pPr>
        <w:pStyle w:val="a3"/>
        <w:spacing w:line="312" w:lineRule="auto"/>
        <w:ind w:left="1133" w:right="798"/>
      </w:pPr>
      <w:r>
        <w:rPr>
          <w:color w:val="545456"/>
          <w:w w:val="95"/>
        </w:rPr>
        <w:t>Juergen</w:t>
      </w:r>
      <w:r>
        <w:rPr>
          <w:color w:val="545456"/>
          <w:spacing w:val="20"/>
          <w:w w:val="95"/>
        </w:rPr>
        <w:t xml:space="preserve"> </w:t>
      </w:r>
      <w:proofErr w:type="spellStart"/>
      <w:r>
        <w:rPr>
          <w:color w:val="545456"/>
          <w:w w:val="95"/>
        </w:rPr>
        <w:t>Ritzek</w:t>
      </w:r>
      <w:proofErr w:type="spellEnd"/>
      <w:r>
        <w:rPr>
          <w:color w:val="545456"/>
          <w:w w:val="95"/>
        </w:rPr>
        <w:t>,</w:t>
      </w:r>
      <w:r>
        <w:rPr>
          <w:color w:val="545456"/>
          <w:spacing w:val="20"/>
          <w:w w:val="95"/>
        </w:rPr>
        <w:t xml:space="preserve"> </w:t>
      </w:r>
      <w:proofErr w:type="spellStart"/>
      <w:r>
        <w:rPr>
          <w:color w:val="545456"/>
          <w:w w:val="95"/>
        </w:rPr>
        <w:t>GreenBusinessConsulting</w:t>
      </w:r>
      <w:proofErr w:type="spellEnd"/>
      <w:r>
        <w:rPr>
          <w:color w:val="545456"/>
          <w:spacing w:val="-45"/>
          <w:w w:val="95"/>
        </w:rPr>
        <w:t xml:space="preserve"> </w:t>
      </w:r>
      <w:r>
        <w:rPr>
          <w:color w:val="545456"/>
          <w:w w:val="95"/>
        </w:rPr>
        <w:t>Thaddeus</w:t>
      </w:r>
      <w:r>
        <w:rPr>
          <w:color w:val="545456"/>
          <w:spacing w:val="-2"/>
          <w:w w:val="95"/>
        </w:rPr>
        <w:t xml:space="preserve"> </w:t>
      </w:r>
      <w:r>
        <w:rPr>
          <w:color w:val="545456"/>
          <w:w w:val="95"/>
        </w:rPr>
        <w:t>Owen,</w:t>
      </w:r>
      <w:r>
        <w:rPr>
          <w:color w:val="545456"/>
          <w:spacing w:val="-1"/>
          <w:w w:val="95"/>
        </w:rPr>
        <w:t xml:space="preserve"> </w:t>
      </w:r>
      <w:r>
        <w:rPr>
          <w:color w:val="545456"/>
          <w:w w:val="95"/>
        </w:rPr>
        <w:t>Herman</w:t>
      </w:r>
      <w:r>
        <w:rPr>
          <w:color w:val="545456"/>
          <w:spacing w:val="-1"/>
          <w:w w:val="95"/>
        </w:rPr>
        <w:t xml:space="preserve"> </w:t>
      </w:r>
      <w:r>
        <w:rPr>
          <w:color w:val="545456"/>
          <w:w w:val="95"/>
        </w:rPr>
        <w:t>Miller,</w:t>
      </w:r>
      <w:r>
        <w:rPr>
          <w:color w:val="545456"/>
          <w:spacing w:val="-2"/>
          <w:w w:val="95"/>
        </w:rPr>
        <w:t xml:space="preserve"> </w:t>
      </w:r>
      <w:r>
        <w:rPr>
          <w:color w:val="545456"/>
          <w:w w:val="95"/>
        </w:rPr>
        <w:t>Inc.</w:t>
      </w:r>
    </w:p>
    <w:p w14:paraId="0BBF2BAC" w14:textId="77777777" w:rsidR="0055291C" w:rsidRDefault="00F23C61">
      <w:pPr>
        <w:pStyle w:val="a3"/>
        <w:spacing w:before="1"/>
        <w:ind w:left="1133"/>
      </w:pPr>
      <w:r>
        <w:rPr>
          <w:color w:val="545456"/>
          <w:w w:val="95"/>
        </w:rPr>
        <w:t>Yoshiaki</w:t>
      </w:r>
      <w:r>
        <w:rPr>
          <w:color w:val="545456"/>
          <w:spacing w:val="1"/>
          <w:w w:val="95"/>
        </w:rPr>
        <w:t xml:space="preserve"> </w:t>
      </w:r>
      <w:r>
        <w:rPr>
          <w:color w:val="545456"/>
          <w:w w:val="95"/>
        </w:rPr>
        <w:t>Ichikawa,</w:t>
      </w:r>
      <w:r>
        <w:rPr>
          <w:color w:val="545456"/>
          <w:spacing w:val="2"/>
          <w:w w:val="95"/>
        </w:rPr>
        <w:t xml:space="preserve"> </w:t>
      </w:r>
      <w:r>
        <w:rPr>
          <w:color w:val="545456"/>
          <w:w w:val="95"/>
        </w:rPr>
        <w:t>Hitachi,</w:t>
      </w:r>
      <w:r>
        <w:rPr>
          <w:color w:val="545456"/>
          <w:spacing w:val="1"/>
          <w:w w:val="95"/>
        </w:rPr>
        <w:t xml:space="preserve"> </w:t>
      </w:r>
      <w:r>
        <w:rPr>
          <w:color w:val="545456"/>
          <w:w w:val="95"/>
        </w:rPr>
        <w:t>Ltd.</w:t>
      </w:r>
    </w:p>
    <w:p w14:paraId="3FFB2A58" w14:textId="77777777" w:rsidR="0055291C" w:rsidRDefault="00F23C61">
      <w:pPr>
        <w:pStyle w:val="a3"/>
        <w:spacing w:before="65" w:line="312" w:lineRule="auto"/>
        <w:ind w:left="1133" w:right="1490"/>
      </w:pPr>
      <w:r>
        <w:rPr>
          <w:color w:val="545456"/>
          <w:w w:val="95"/>
        </w:rPr>
        <w:t>Hemant</w:t>
      </w:r>
      <w:r>
        <w:rPr>
          <w:color w:val="545456"/>
          <w:spacing w:val="13"/>
          <w:w w:val="95"/>
        </w:rPr>
        <w:t xml:space="preserve"> </w:t>
      </w:r>
      <w:proofErr w:type="spellStart"/>
      <w:r>
        <w:rPr>
          <w:color w:val="545456"/>
          <w:w w:val="95"/>
        </w:rPr>
        <w:t>Bundele</w:t>
      </w:r>
      <w:proofErr w:type="spellEnd"/>
      <w:r>
        <w:rPr>
          <w:color w:val="545456"/>
          <w:w w:val="95"/>
        </w:rPr>
        <w:t>,</w:t>
      </w:r>
      <w:r>
        <w:rPr>
          <w:color w:val="545456"/>
          <w:spacing w:val="13"/>
          <w:w w:val="95"/>
        </w:rPr>
        <w:t xml:space="preserve"> </w:t>
      </w:r>
      <w:proofErr w:type="spellStart"/>
      <w:r>
        <w:rPr>
          <w:color w:val="545456"/>
          <w:w w:val="95"/>
        </w:rPr>
        <w:t>ibLaunch</w:t>
      </w:r>
      <w:proofErr w:type="spellEnd"/>
      <w:r>
        <w:rPr>
          <w:color w:val="545456"/>
          <w:spacing w:val="14"/>
          <w:w w:val="95"/>
        </w:rPr>
        <w:t xml:space="preserve"> </w:t>
      </w:r>
      <w:r>
        <w:rPr>
          <w:color w:val="545456"/>
          <w:w w:val="95"/>
        </w:rPr>
        <w:t>Energy,</w:t>
      </w:r>
      <w:r>
        <w:rPr>
          <w:color w:val="545456"/>
          <w:spacing w:val="13"/>
          <w:w w:val="95"/>
        </w:rPr>
        <w:t xml:space="preserve"> </w:t>
      </w:r>
      <w:r>
        <w:rPr>
          <w:color w:val="545456"/>
          <w:w w:val="95"/>
        </w:rPr>
        <w:t>Inc.</w:t>
      </w:r>
      <w:r>
        <w:rPr>
          <w:color w:val="545456"/>
          <w:spacing w:val="-45"/>
          <w:w w:val="95"/>
        </w:rPr>
        <w:t xml:space="preserve"> </w:t>
      </w:r>
      <w:r>
        <w:rPr>
          <w:color w:val="545456"/>
        </w:rPr>
        <w:t>Tim</w:t>
      </w:r>
      <w:r>
        <w:rPr>
          <w:color w:val="545456"/>
          <w:spacing w:val="-11"/>
        </w:rPr>
        <w:t xml:space="preserve"> </w:t>
      </w:r>
      <w:r>
        <w:rPr>
          <w:color w:val="545456"/>
        </w:rPr>
        <w:t>Higgs,</w:t>
      </w:r>
      <w:r>
        <w:rPr>
          <w:color w:val="545456"/>
          <w:spacing w:val="-10"/>
        </w:rPr>
        <w:t xml:space="preserve"> </w:t>
      </w:r>
      <w:r>
        <w:rPr>
          <w:color w:val="545456"/>
        </w:rPr>
        <w:t>Intel</w:t>
      </w:r>
    </w:p>
    <w:p w14:paraId="2194490A" w14:textId="77777777" w:rsidR="0055291C" w:rsidRDefault="00F23C61">
      <w:pPr>
        <w:pStyle w:val="a3"/>
        <w:spacing w:before="1"/>
        <w:ind w:left="1133"/>
      </w:pPr>
      <w:r>
        <w:rPr>
          <w:color w:val="545456"/>
          <w:spacing w:val="-1"/>
        </w:rPr>
        <w:t>Ted</w:t>
      </w:r>
      <w:r>
        <w:rPr>
          <w:color w:val="545456"/>
          <w:spacing w:val="-12"/>
        </w:rPr>
        <w:t xml:space="preserve"> </w:t>
      </w:r>
      <w:proofErr w:type="spellStart"/>
      <w:r>
        <w:rPr>
          <w:color w:val="545456"/>
          <w:spacing w:val="-1"/>
        </w:rPr>
        <w:t>Reichelt</w:t>
      </w:r>
      <w:proofErr w:type="spellEnd"/>
      <w:r>
        <w:rPr>
          <w:color w:val="545456"/>
          <w:spacing w:val="-1"/>
        </w:rPr>
        <w:t>,</w:t>
      </w:r>
      <w:r>
        <w:rPr>
          <w:color w:val="545456"/>
          <w:spacing w:val="-11"/>
        </w:rPr>
        <w:t xml:space="preserve"> </w:t>
      </w:r>
      <w:r>
        <w:rPr>
          <w:color w:val="545456"/>
        </w:rPr>
        <w:t>Intel</w:t>
      </w:r>
    </w:p>
    <w:p w14:paraId="50C2BAA8" w14:textId="77777777" w:rsidR="0055291C" w:rsidRDefault="00F23C61">
      <w:pPr>
        <w:pStyle w:val="a3"/>
        <w:spacing w:before="65" w:line="312" w:lineRule="auto"/>
        <w:ind w:left="1133" w:right="614"/>
      </w:pPr>
      <w:r>
        <w:rPr>
          <w:color w:val="545456"/>
          <w:w w:val="95"/>
        </w:rPr>
        <w:t>Silvana</w:t>
      </w:r>
      <w:r>
        <w:rPr>
          <w:color w:val="545456"/>
          <w:spacing w:val="12"/>
          <w:w w:val="95"/>
        </w:rPr>
        <w:t xml:space="preserve"> </w:t>
      </w:r>
      <w:r>
        <w:rPr>
          <w:color w:val="545456"/>
          <w:w w:val="95"/>
        </w:rPr>
        <w:t>Paniagua</w:t>
      </w:r>
      <w:r>
        <w:rPr>
          <w:color w:val="545456"/>
          <w:spacing w:val="12"/>
          <w:w w:val="95"/>
        </w:rPr>
        <w:t xml:space="preserve"> </w:t>
      </w:r>
      <w:proofErr w:type="spellStart"/>
      <w:r>
        <w:rPr>
          <w:color w:val="545456"/>
          <w:w w:val="95"/>
        </w:rPr>
        <w:t>Tufinio</w:t>
      </w:r>
      <w:proofErr w:type="spellEnd"/>
      <w:r>
        <w:rPr>
          <w:color w:val="545456"/>
          <w:w w:val="95"/>
        </w:rPr>
        <w:t>,</w:t>
      </w:r>
      <w:r>
        <w:rPr>
          <w:color w:val="545456"/>
          <w:spacing w:val="13"/>
          <w:w w:val="95"/>
        </w:rPr>
        <w:t xml:space="preserve"> </w:t>
      </w:r>
      <w:r>
        <w:rPr>
          <w:color w:val="545456"/>
          <w:w w:val="95"/>
        </w:rPr>
        <w:t>Intelligence</w:t>
      </w:r>
      <w:r>
        <w:rPr>
          <w:color w:val="545456"/>
          <w:spacing w:val="12"/>
          <w:w w:val="95"/>
        </w:rPr>
        <w:t xml:space="preserve"> </w:t>
      </w:r>
      <w:r>
        <w:rPr>
          <w:color w:val="545456"/>
          <w:w w:val="95"/>
        </w:rPr>
        <w:t>for</w:t>
      </w:r>
      <w:r>
        <w:rPr>
          <w:color w:val="545456"/>
          <w:spacing w:val="12"/>
          <w:w w:val="95"/>
        </w:rPr>
        <w:t xml:space="preserve"> </w:t>
      </w:r>
      <w:r>
        <w:rPr>
          <w:color w:val="545456"/>
          <w:w w:val="95"/>
        </w:rPr>
        <w:t>Business</w:t>
      </w:r>
      <w:r>
        <w:rPr>
          <w:color w:val="545456"/>
          <w:spacing w:val="-45"/>
          <w:w w:val="95"/>
        </w:rPr>
        <w:t xml:space="preserve"> </w:t>
      </w:r>
      <w:r>
        <w:rPr>
          <w:color w:val="545456"/>
        </w:rPr>
        <w:t xml:space="preserve">Chris Bayliss, International </w:t>
      </w:r>
      <w:proofErr w:type="spellStart"/>
      <w:r>
        <w:rPr>
          <w:color w:val="545456"/>
        </w:rPr>
        <w:t>Aluminium</w:t>
      </w:r>
      <w:proofErr w:type="spellEnd"/>
      <w:r>
        <w:rPr>
          <w:color w:val="545456"/>
        </w:rPr>
        <w:t xml:space="preserve"> Institute</w:t>
      </w:r>
      <w:r>
        <w:rPr>
          <w:color w:val="545456"/>
          <w:spacing w:val="1"/>
        </w:rPr>
        <w:t xml:space="preserve"> </w:t>
      </w:r>
      <w:r>
        <w:rPr>
          <w:color w:val="545456"/>
          <w:spacing w:val="-1"/>
        </w:rPr>
        <w:t xml:space="preserve">Rose </w:t>
      </w:r>
      <w:proofErr w:type="spellStart"/>
      <w:r>
        <w:rPr>
          <w:color w:val="545456"/>
          <w:spacing w:val="-1"/>
        </w:rPr>
        <w:t>Nangah</w:t>
      </w:r>
      <w:proofErr w:type="spellEnd"/>
      <w:r>
        <w:rPr>
          <w:color w:val="545456"/>
          <w:spacing w:val="-1"/>
        </w:rPr>
        <w:t xml:space="preserve"> </w:t>
      </w:r>
      <w:proofErr w:type="spellStart"/>
      <w:r>
        <w:rPr>
          <w:color w:val="545456"/>
          <w:spacing w:val="-1"/>
        </w:rPr>
        <w:t>Mankaa</w:t>
      </w:r>
      <w:proofErr w:type="spellEnd"/>
      <w:r>
        <w:rPr>
          <w:color w:val="545456"/>
          <w:spacing w:val="-1"/>
        </w:rPr>
        <w:t xml:space="preserve">, </w:t>
      </w:r>
      <w:proofErr w:type="spellStart"/>
      <w:r>
        <w:rPr>
          <w:color w:val="545456"/>
          <w:spacing w:val="-1"/>
        </w:rPr>
        <w:t>Italcementi</w:t>
      </w:r>
      <w:proofErr w:type="spellEnd"/>
      <w:r>
        <w:rPr>
          <w:color w:val="545456"/>
          <w:spacing w:val="-1"/>
        </w:rPr>
        <w:t xml:space="preserve"> Group</w:t>
      </w:r>
      <w:r>
        <w:rPr>
          <w:color w:val="545456"/>
        </w:rPr>
        <w:t xml:space="preserve"> Manuela</w:t>
      </w:r>
      <w:r>
        <w:rPr>
          <w:color w:val="545456"/>
          <w:spacing w:val="-11"/>
        </w:rPr>
        <w:t xml:space="preserve"> </w:t>
      </w:r>
      <w:proofErr w:type="spellStart"/>
      <w:r>
        <w:rPr>
          <w:color w:val="545456"/>
        </w:rPr>
        <w:t>Ojan</w:t>
      </w:r>
      <w:proofErr w:type="spellEnd"/>
      <w:r>
        <w:rPr>
          <w:color w:val="545456"/>
        </w:rPr>
        <w:t>,</w:t>
      </w:r>
      <w:r>
        <w:rPr>
          <w:color w:val="545456"/>
          <w:spacing w:val="-10"/>
        </w:rPr>
        <w:t xml:space="preserve"> </w:t>
      </w:r>
      <w:proofErr w:type="spellStart"/>
      <w:r>
        <w:rPr>
          <w:color w:val="545456"/>
        </w:rPr>
        <w:t>Italcementi</w:t>
      </w:r>
      <w:proofErr w:type="spellEnd"/>
      <w:r>
        <w:rPr>
          <w:color w:val="545456"/>
          <w:spacing w:val="-10"/>
        </w:rPr>
        <w:t xml:space="preserve"> </w:t>
      </w:r>
      <w:r>
        <w:rPr>
          <w:color w:val="545456"/>
        </w:rPr>
        <w:t>Group</w:t>
      </w:r>
    </w:p>
    <w:p w14:paraId="597F9772" w14:textId="77777777" w:rsidR="0055291C" w:rsidRDefault="00F23C61">
      <w:pPr>
        <w:pStyle w:val="a3"/>
        <w:spacing w:before="2"/>
        <w:ind w:left="1133"/>
      </w:pPr>
      <w:r>
        <w:rPr>
          <w:color w:val="545456"/>
          <w:spacing w:val="-2"/>
          <w:w w:val="95"/>
        </w:rPr>
        <w:t>Sunil</w:t>
      </w:r>
      <w:r>
        <w:rPr>
          <w:color w:val="545456"/>
          <w:spacing w:val="-8"/>
          <w:w w:val="95"/>
        </w:rPr>
        <w:t xml:space="preserve"> </w:t>
      </w:r>
      <w:r>
        <w:rPr>
          <w:color w:val="545456"/>
          <w:spacing w:val="-2"/>
          <w:w w:val="95"/>
        </w:rPr>
        <w:t>Kumar,</w:t>
      </w:r>
      <w:r>
        <w:rPr>
          <w:color w:val="545456"/>
          <w:spacing w:val="-7"/>
          <w:w w:val="95"/>
        </w:rPr>
        <w:t xml:space="preserve"> </w:t>
      </w:r>
      <w:r>
        <w:rPr>
          <w:color w:val="545456"/>
          <w:spacing w:val="-1"/>
          <w:w w:val="95"/>
        </w:rPr>
        <w:t>ITC</w:t>
      </w:r>
    </w:p>
    <w:p w14:paraId="0EE1D725" w14:textId="77777777" w:rsidR="0055291C" w:rsidRDefault="00F23C61">
      <w:pPr>
        <w:pStyle w:val="a3"/>
        <w:spacing w:before="65" w:line="312" w:lineRule="auto"/>
        <w:ind w:left="1133" w:right="1206"/>
      </w:pPr>
      <w:r>
        <w:rPr>
          <w:color w:val="545456"/>
          <w:w w:val="95"/>
        </w:rPr>
        <w:t>Yoshikazu</w:t>
      </w:r>
      <w:r>
        <w:rPr>
          <w:color w:val="545456"/>
          <w:spacing w:val="-5"/>
          <w:w w:val="95"/>
        </w:rPr>
        <w:t xml:space="preserve"> </w:t>
      </w:r>
      <w:r>
        <w:rPr>
          <w:color w:val="545456"/>
          <w:w w:val="95"/>
        </w:rPr>
        <w:t>Kato,</w:t>
      </w:r>
      <w:r>
        <w:rPr>
          <w:color w:val="545456"/>
          <w:spacing w:val="-5"/>
          <w:w w:val="95"/>
        </w:rPr>
        <w:t xml:space="preserve"> </w:t>
      </w:r>
      <w:r>
        <w:rPr>
          <w:color w:val="545456"/>
          <w:w w:val="95"/>
        </w:rPr>
        <w:t>The</w:t>
      </w:r>
      <w:r>
        <w:rPr>
          <w:color w:val="545456"/>
          <w:spacing w:val="-5"/>
          <w:w w:val="95"/>
        </w:rPr>
        <w:t xml:space="preserve"> </w:t>
      </w:r>
      <w:r>
        <w:rPr>
          <w:color w:val="545456"/>
          <w:w w:val="95"/>
        </w:rPr>
        <w:t>Japan</w:t>
      </w:r>
      <w:r>
        <w:rPr>
          <w:color w:val="545456"/>
          <w:spacing w:val="-5"/>
          <w:w w:val="95"/>
        </w:rPr>
        <w:t xml:space="preserve"> </w:t>
      </w:r>
      <w:r>
        <w:rPr>
          <w:color w:val="545456"/>
          <w:w w:val="95"/>
        </w:rPr>
        <w:t>Gas</w:t>
      </w:r>
      <w:r>
        <w:rPr>
          <w:color w:val="545456"/>
          <w:spacing w:val="-4"/>
          <w:w w:val="95"/>
        </w:rPr>
        <w:t xml:space="preserve"> </w:t>
      </w:r>
      <w:r>
        <w:rPr>
          <w:color w:val="545456"/>
          <w:w w:val="95"/>
        </w:rPr>
        <w:t>Association</w:t>
      </w:r>
      <w:r>
        <w:rPr>
          <w:color w:val="545456"/>
          <w:spacing w:val="-45"/>
          <w:w w:val="95"/>
        </w:rPr>
        <w:t xml:space="preserve"> </w:t>
      </w:r>
      <w:proofErr w:type="spellStart"/>
      <w:r>
        <w:rPr>
          <w:color w:val="545456"/>
          <w:w w:val="95"/>
        </w:rPr>
        <w:t>Wenlin</w:t>
      </w:r>
      <w:proofErr w:type="spellEnd"/>
      <w:r>
        <w:rPr>
          <w:color w:val="545456"/>
          <w:spacing w:val="8"/>
          <w:w w:val="95"/>
        </w:rPr>
        <w:t xml:space="preserve"> </w:t>
      </w:r>
      <w:r>
        <w:rPr>
          <w:color w:val="545456"/>
          <w:w w:val="95"/>
        </w:rPr>
        <w:t>Wang</w:t>
      </w:r>
      <w:r>
        <w:rPr>
          <w:color w:val="545456"/>
          <w:spacing w:val="8"/>
          <w:w w:val="95"/>
        </w:rPr>
        <w:t xml:space="preserve"> </w:t>
      </w:r>
      <w:r>
        <w:rPr>
          <w:color w:val="545456"/>
          <w:w w:val="95"/>
        </w:rPr>
        <w:t>,</w:t>
      </w:r>
      <w:r>
        <w:rPr>
          <w:color w:val="545456"/>
          <w:spacing w:val="8"/>
          <w:w w:val="95"/>
        </w:rPr>
        <w:t xml:space="preserve"> </w:t>
      </w:r>
      <w:r>
        <w:rPr>
          <w:color w:val="545456"/>
          <w:w w:val="95"/>
        </w:rPr>
        <w:t>Kunshan</w:t>
      </w:r>
      <w:r>
        <w:rPr>
          <w:color w:val="545456"/>
          <w:spacing w:val="8"/>
          <w:w w:val="95"/>
        </w:rPr>
        <w:t xml:space="preserve"> </w:t>
      </w:r>
      <w:r>
        <w:rPr>
          <w:color w:val="545456"/>
          <w:w w:val="95"/>
        </w:rPr>
        <w:t>Tai</w:t>
      </w:r>
      <w:r>
        <w:rPr>
          <w:color w:val="545456"/>
          <w:spacing w:val="8"/>
          <w:w w:val="95"/>
        </w:rPr>
        <w:t xml:space="preserve"> </w:t>
      </w:r>
      <w:r>
        <w:rPr>
          <w:color w:val="545456"/>
          <w:w w:val="95"/>
        </w:rPr>
        <w:t>Ying</w:t>
      </w:r>
      <w:r>
        <w:rPr>
          <w:color w:val="545456"/>
          <w:spacing w:val="8"/>
          <w:w w:val="95"/>
        </w:rPr>
        <w:t xml:space="preserve"> </w:t>
      </w:r>
      <w:r>
        <w:rPr>
          <w:color w:val="545456"/>
          <w:w w:val="95"/>
        </w:rPr>
        <w:t>Paint</w:t>
      </w:r>
      <w:r>
        <w:rPr>
          <w:color w:val="545456"/>
          <w:spacing w:val="1"/>
          <w:w w:val="95"/>
        </w:rPr>
        <w:t xml:space="preserve"> </w:t>
      </w:r>
      <w:r>
        <w:rPr>
          <w:color w:val="545456"/>
          <w:w w:val="95"/>
        </w:rPr>
        <w:t>John</w:t>
      </w:r>
      <w:r>
        <w:rPr>
          <w:color w:val="545456"/>
          <w:spacing w:val="2"/>
          <w:w w:val="95"/>
        </w:rPr>
        <w:t xml:space="preserve"> </w:t>
      </w:r>
      <w:r>
        <w:rPr>
          <w:color w:val="545456"/>
          <w:w w:val="95"/>
        </w:rPr>
        <w:t>Andrews,</w:t>
      </w:r>
      <w:r>
        <w:rPr>
          <w:color w:val="545456"/>
          <w:spacing w:val="2"/>
          <w:w w:val="95"/>
        </w:rPr>
        <w:t xml:space="preserve"> </w:t>
      </w:r>
      <w:r>
        <w:rPr>
          <w:color w:val="545456"/>
          <w:w w:val="95"/>
        </w:rPr>
        <w:t>Landcare</w:t>
      </w:r>
      <w:r>
        <w:rPr>
          <w:color w:val="545456"/>
          <w:spacing w:val="2"/>
          <w:w w:val="95"/>
        </w:rPr>
        <w:t xml:space="preserve"> </w:t>
      </w:r>
      <w:r>
        <w:rPr>
          <w:color w:val="545456"/>
          <w:w w:val="95"/>
        </w:rPr>
        <w:t>Research</w:t>
      </w:r>
      <w:r>
        <w:rPr>
          <w:color w:val="545456"/>
          <w:spacing w:val="2"/>
          <w:w w:val="95"/>
        </w:rPr>
        <w:t xml:space="preserve"> </w:t>
      </w:r>
      <w:r>
        <w:rPr>
          <w:color w:val="545456"/>
          <w:w w:val="95"/>
        </w:rPr>
        <w:t>NZ</w:t>
      </w:r>
      <w:r>
        <w:rPr>
          <w:color w:val="545456"/>
          <w:spacing w:val="1"/>
          <w:w w:val="95"/>
        </w:rPr>
        <w:t xml:space="preserve"> </w:t>
      </w:r>
      <w:r>
        <w:rPr>
          <w:color w:val="545456"/>
          <w:w w:val="95"/>
        </w:rPr>
        <w:t>Craig McCutcheon, Landcare Research NZ</w:t>
      </w:r>
      <w:r>
        <w:rPr>
          <w:color w:val="545456"/>
          <w:spacing w:val="1"/>
          <w:w w:val="95"/>
        </w:rPr>
        <w:t xml:space="preserve"> </w:t>
      </w:r>
      <w:proofErr w:type="spellStart"/>
      <w:r>
        <w:rPr>
          <w:color w:val="545456"/>
          <w:w w:val="95"/>
        </w:rPr>
        <w:t>Barruch</w:t>
      </w:r>
      <w:proofErr w:type="spellEnd"/>
      <w:r>
        <w:rPr>
          <w:color w:val="545456"/>
          <w:spacing w:val="-7"/>
          <w:w w:val="95"/>
        </w:rPr>
        <w:t xml:space="preserve"> </w:t>
      </w:r>
      <w:r>
        <w:rPr>
          <w:color w:val="545456"/>
          <w:w w:val="95"/>
        </w:rPr>
        <w:t>Ben-</w:t>
      </w:r>
      <w:proofErr w:type="spellStart"/>
      <w:r>
        <w:rPr>
          <w:color w:val="545456"/>
          <w:w w:val="95"/>
        </w:rPr>
        <w:t>Zekry</w:t>
      </w:r>
      <w:proofErr w:type="spellEnd"/>
      <w:r>
        <w:rPr>
          <w:color w:val="545456"/>
          <w:w w:val="95"/>
        </w:rPr>
        <w:t>,</w:t>
      </w:r>
      <w:r>
        <w:rPr>
          <w:color w:val="545456"/>
          <w:spacing w:val="-6"/>
          <w:w w:val="95"/>
        </w:rPr>
        <w:t xml:space="preserve"> </w:t>
      </w:r>
      <w:r>
        <w:rPr>
          <w:color w:val="545456"/>
          <w:w w:val="95"/>
        </w:rPr>
        <w:t>Levi</w:t>
      </w:r>
      <w:r>
        <w:rPr>
          <w:color w:val="545456"/>
          <w:spacing w:val="-7"/>
          <w:w w:val="95"/>
        </w:rPr>
        <w:t xml:space="preserve"> </w:t>
      </w:r>
      <w:r>
        <w:rPr>
          <w:color w:val="545456"/>
          <w:w w:val="95"/>
        </w:rPr>
        <w:t>Strauss</w:t>
      </w:r>
      <w:r>
        <w:rPr>
          <w:color w:val="545456"/>
          <w:spacing w:val="-6"/>
          <w:w w:val="95"/>
        </w:rPr>
        <w:t xml:space="preserve"> </w:t>
      </w:r>
      <w:r>
        <w:rPr>
          <w:color w:val="545456"/>
          <w:w w:val="95"/>
        </w:rPr>
        <w:t>&amp;</w:t>
      </w:r>
      <w:r>
        <w:rPr>
          <w:color w:val="545456"/>
          <w:spacing w:val="-7"/>
          <w:w w:val="95"/>
        </w:rPr>
        <w:t xml:space="preserve"> </w:t>
      </w:r>
      <w:r>
        <w:rPr>
          <w:color w:val="545456"/>
          <w:w w:val="95"/>
        </w:rPr>
        <w:t>Co.</w:t>
      </w:r>
    </w:p>
    <w:p w14:paraId="09075B0B" w14:textId="77777777" w:rsidR="0055291C" w:rsidRDefault="00F23C61">
      <w:pPr>
        <w:pStyle w:val="a3"/>
        <w:spacing w:before="2" w:line="312" w:lineRule="auto"/>
        <w:ind w:left="1133" w:right="1667"/>
      </w:pPr>
      <w:r>
        <w:rPr>
          <w:color w:val="545456"/>
          <w:w w:val="95"/>
        </w:rPr>
        <w:t>Colleen</w:t>
      </w:r>
      <w:r>
        <w:rPr>
          <w:color w:val="545456"/>
          <w:spacing w:val="-7"/>
          <w:w w:val="95"/>
        </w:rPr>
        <w:t xml:space="preserve"> </w:t>
      </w:r>
      <w:proofErr w:type="spellStart"/>
      <w:r>
        <w:rPr>
          <w:color w:val="545456"/>
          <w:w w:val="95"/>
        </w:rPr>
        <w:t>Kohlsaat</w:t>
      </w:r>
      <w:proofErr w:type="spellEnd"/>
      <w:r>
        <w:rPr>
          <w:color w:val="545456"/>
          <w:w w:val="95"/>
        </w:rPr>
        <w:t>,</w:t>
      </w:r>
      <w:r>
        <w:rPr>
          <w:color w:val="545456"/>
          <w:spacing w:val="-6"/>
          <w:w w:val="95"/>
        </w:rPr>
        <w:t xml:space="preserve"> </w:t>
      </w:r>
      <w:r>
        <w:rPr>
          <w:color w:val="545456"/>
          <w:w w:val="95"/>
        </w:rPr>
        <w:t>Levi</w:t>
      </w:r>
      <w:r>
        <w:rPr>
          <w:color w:val="545456"/>
          <w:spacing w:val="-6"/>
          <w:w w:val="95"/>
        </w:rPr>
        <w:t xml:space="preserve"> </w:t>
      </w:r>
      <w:r>
        <w:rPr>
          <w:color w:val="545456"/>
          <w:w w:val="95"/>
        </w:rPr>
        <w:t>Strauss</w:t>
      </w:r>
      <w:r>
        <w:rPr>
          <w:color w:val="545456"/>
          <w:spacing w:val="-6"/>
          <w:w w:val="95"/>
        </w:rPr>
        <w:t xml:space="preserve"> </w:t>
      </w:r>
      <w:r>
        <w:rPr>
          <w:color w:val="545456"/>
          <w:w w:val="95"/>
        </w:rPr>
        <w:t>&amp;</w:t>
      </w:r>
      <w:r>
        <w:rPr>
          <w:color w:val="545456"/>
          <w:spacing w:val="-6"/>
          <w:w w:val="95"/>
        </w:rPr>
        <w:t xml:space="preserve"> </w:t>
      </w:r>
      <w:r>
        <w:rPr>
          <w:color w:val="545456"/>
          <w:w w:val="95"/>
        </w:rPr>
        <w:t>Co.</w:t>
      </w:r>
      <w:r>
        <w:rPr>
          <w:color w:val="545456"/>
          <w:spacing w:val="-45"/>
          <w:w w:val="95"/>
        </w:rPr>
        <w:t xml:space="preserve"> </w:t>
      </w:r>
      <w:proofErr w:type="spellStart"/>
      <w:r>
        <w:rPr>
          <w:color w:val="545456"/>
        </w:rPr>
        <w:t>Xun</w:t>
      </w:r>
      <w:proofErr w:type="spellEnd"/>
      <w:r>
        <w:rPr>
          <w:color w:val="545456"/>
          <w:spacing w:val="-12"/>
        </w:rPr>
        <w:t xml:space="preserve"> </w:t>
      </w:r>
      <w:r>
        <w:rPr>
          <w:color w:val="545456"/>
        </w:rPr>
        <w:t>Gong,</w:t>
      </w:r>
      <w:r>
        <w:rPr>
          <w:color w:val="545456"/>
          <w:spacing w:val="-11"/>
        </w:rPr>
        <w:t xml:space="preserve"> </w:t>
      </w:r>
      <w:r>
        <w:rPr>
          <w:color w:val="545456"/>
        </w:rPr>
        <w:t>Lenovo</w:t>
      </w:r>
    </w:p>
    <w:p w14:paraId="7A3C7C1A" w14:textId="77777777" w:rsidR="0055291C" w:rsidRDefault="00F23C61">
      <w:pPr>
        <w:pStyle w:val="a3"/>
        <w:spacing w:before="1" w:line="312" w:lineRule="auto"/>
        <w:ind w:left="1133" w:right="2308"/>
      </w:pPr>
      <w:r>
        <w:rPr>
          <w:color w:val="545456"/>
        </w:rPr>
        <w:t>William Guthrie, Lenovo</w:t>
      </w:r>
      <w:r>
        <w:rPr>
          <w:color w:val="545456"/>
          <w:spacing w:val="1"/>
        </w:rPr>
        <w:t xml:space="preserve"> </w:t>
      </w:r>
      <w:r>
        <w:rPr>
          <w:color w:val="545456"/>
          <w:w w:val="95"/>
        </w:rPr>
        <w:t>Mads</w:t>
      </w:r>
      <w:r>
        <w:rPr>
          <w:color w:val="545456"/>
          <w:spacing w:val="-2"/>
          <w:w w:val="95"/>
        </w:rPr>
        <w:t xml:space="preserve"> </w:t>
      </w:r>
      <w:proofErr w:type="spellStart"/>
      <w:r>
        <w:rPr>
          <w:color w:val="545456"/>
          <w:w w:val="95"/>
        </w:rPr>
        <w:t>Stensen</w:t>
      </w:r>
      <w:proofErr w:type="spellEnd"/>
      <w:r>
        <w:rPr>
          <w:color w:val="545456"/>
          <w:w w:val="95"/>
        </w:rPr>
        <w:t>,</w:t>
      </w:r>
      <w:r>
        <w:rPr>
          <w:color w:val="545456"/>
          <w:spacing w:val="-1"/>
          <w:w w:val="95"/>
        </w:rPr>
        <w:t xml:space="preserve"> </w:t>
      </w:r>
      <w:r>
        <w:rPr>
          <w:color w:val="545456"/>
          <w:w w:val="95"/>
        </w:rPr>
        <w:t>Maersk</w:t>
      </w:r>
      <w:r>
        <w:rPr>
          <w:color w:val="545456"/>
          <w:spacing w:val="-1"/>
          <w:w w:val="95"/>
        </w:rPr>
        <w:t xml:space="preserve"> </w:t>
      </w:r>
      <w:r>
        <w:rPr>
          <w:color w:val="545456"/>
          <w:w w:val="95"/>
        </w:rPr>
        <w:t>Line</w:t>
      </w:r>
    </w:p>
    <w:p w14:paraId="7D71D9BE" w14:textId="77777777" w:rsidR="0055291C" w:rsidRDefault="00F23C61">
      <w:pPr>
        <w:pStyle w:val="a3"/>
        <w:spacing w:before="1" w:line="312" w:lineRule="auto"/>
        <w:ind w:left="1133" w:right="53"/>
      </w:pPr>
      <w:r>
        <w:rPr>
          <w:color w:val="545456"/>
          <w:w w:val="95"/>
        </w:rPr>
        <w:t>Kara</w:t>
      </w:r>
      <w:r>
        <w:rPr>
          <w:color w:val="545456"/>
          <w:spacing w:val="5"/>
          <w:w w:val="95"/>
        </w:rPr>
        <w:t xml:space="preserve"> </w:t>
      </w:r>
      <w:proofErr w:type="spellStart"/>
      <w:r>
        <w:rPr>
          <w:color w:val="545456"/>
          <w:w w:val="95"/>
        </w:rPr>
        <w:t>E.Reeve</w:t>
      </w:r>
      <w:proofErr w:type="spellEnd"/>
      <w:r>
        <w:rPr>
          <w:color w:val="545456"/>
          <w:w w:val="95"/>
        </w:rPr>
        <w:t>,</w:t>
      </w:r>
      <w:r>
        <w:rPr>
          <w:color w:val="545456"/>
          <w:spacing w:val="5"/>
          <w:w w:val="95"/>
        </w:rPr>
        <w:t xml:space="preserve"> </w:t>
      </w:r>
      <w:r>
        <w:rPr>
          <w:color w:val="545456"/>
          <w:w w:val="95"/>
        </w:rPr>
        <w:t>Massachusetts</w:t>
      </w:r>
      <w:r>
        <w:rPr>
          <w:color w:val="545456"/>
          <w:spacing w:val="5"/>
          <w:w w:val="95"/>
        </w:rPr>
        <w:t xml:space="preserve"> </w:t>
      </w:r>
      <w:r>
        <w:rPr>
          <w:color w:val="545456"/>
          <w:w w:val="95"/>
        </w:rPr>
        <w:t>Institute</w:t>
      </w:r>
      <w:r>
        <w:rPr>
          <w:color w:val="545456"/>
          <w:spacing w:val="6"/>
          <w:w w:val="95"/>
        </w:rPr>
        <w:t xml:space="preserve"> </w:t>
      </w:r>
      <w:r>
        <w:rPr>
          <w:color w:val="545456"/>
          <w:w w:val="95"/>
        </w:rPr>
        <w:t>of</w:t>
      </w:r>
      <w:r>
        <w:rPr>
          <w:color w:val="545456"/>
          <w:spacing w:val="5"/>
          <w:w w:val="95"/>
        </w:rPr>
        <w:t xml:space="preserve"> </w:t>
      </w:r>
      <w:r>
        <w:rPr>
          <w:color w:val="545456"/>
          <w:w w:val="95"/>
        </w:rPr>
        <w:t>Technology</w:t>
      </w:r>
      <w:r>
        <w:rPr>
          <w:color w:val="545456"/>
          <w:spacing w:val="1"/>
          <w:w w:val="95"/>
        </w:rPr>
        <w:t xml:space="preserve"> </w:t>
      </w:r>
      <w:r>
        <w:rPr>
          <w:color w:val="545456"/>
          <w:w w:val="95"/>
        </w:rPr>
        <w:t>Kenji</w:t>
      </w:r>
      <w:r>
        <w:rPr>
          <w:color w:val="545456"/>
          <w:spacing w:val="21"/>
          <w:w w:val="95"/>
        </w:rPr>
        <w:t xml:space="preserve"> </w:t>
      </w:r>
      <w:proofErr w:type="spellStart"/>
      <w:r>
        <w:rPr>
          <w:color w:val="545456"/>
          <w:w w:val="95"/>
        </w:rPr>
        <w:t>Shima</w:t>
      </w:r>
      <w:proofErr w:type="spellEnd"/>
      <w:r>
        <w:rPr>
          <w:color w:val="545456"/>
          <w:w w:val="95"/>
        </w:rPr>
        <w:t>,</w:t>
      </w:r>
      <w:r>
        <w:rPr>
          <w:color w:val="545456"/>
          <w:spacing w:val="22"/>
          <w:w w:val="95"/>
        </w:rPr>
        <w:t xml:space="preserve"> </w:t>
      </w:r>
      <w:r>
        <w:rPr>
          <w:color w:val="545456"/>
          <w:w w:val="95"/>
        </w:rPr>
        <w:t>Mitsubishi</w:t>
      </w:r>
      <w:r>
        <w:rPr>
          <w:color w:val="545456"/>
          <w:spacing w:val="22"/>
          <w:w w:val="95"/>
        </w:rPr>
        <w:t xml:space="preserve"> </w:t>
      </w:r>
      <w:r>
        <w:rPr>
          <w:color w:val="545456"/>
          <w:w w:val="95"/>
        </w:rPr>
        <w:t>Chemical</w:t>
      </w:r>
      <w:r>
        <w:rPr>
          <w:color w:val="545456"/>
          <w:spacing w:val="22"/>
          <w:w w:val="95"/>
        </w:rPr>
        <w:t xml:space="preserve"> </w:t>
      </w:r>
      <w:r>
        <w:rPr>
          <w:color w:val="545456"/>
          <w:w w:val="95"/>
        </w:rPr>
        <w:t>Holdings</w:t>
      </w:r>
      <w:r>
        <w:rPr>
          <w:color w:val="545456"/>
          <w:spacing w:val="22"/>
          <w:w w:val="95"/>
        </w:rPr>
        <w:t xml:space="preserve"> </w:t>
      </w:r>
      <w:r>
        <w:rPr>
          <w:color w:val="545456"/>
          <w:w w:val="95"/>
        </w:rPr>
        <w:t>Corporation</w:t>
      </w:r>
      <w:r>
        <w:rPr>
          <w:color w:val="545456"/>
          <w:spacing w:val="-45"/>
          <w:w w:val="95"/>
        </w:rPr>
        <w:t xml:space="preserve"> </w:t>
      </w:r>
      <w:r>
        <w:rPr>
          <w:color w:val="545456"/>
        </w:rPr>
        <w:t>Leah</w:t>
      </w:r>
      <w:r>
        <w:rPr>
          <w:color w:val="545456"/>
          <w:spacing w:val="-11"/>
        </w:rPr>
        <w:t xml:space="preserve"> </w:t>
      </w:r>
      <w:r>
        <w:rPr>
          <w:color w:val="545456"/>
        </w:rPr>
        <w:t>Fry,</w:t>
      </w:r>
      <w:r>
        <w:rPr>
          <w:color w:val="545456"/>
          <w:spacing w:val="-11"/>
        </w:rPr>
        <w:t xml:space="preserve"> </w:t>
      </w:r>
      <w:r>
        <w:rPr>
          <w:color w:val="545456"/>
        </w:rPr>
        <w:t>National</w:t>
      </w:r>
      <w:r>
        <w:rPr>
          <w:color w:val="545456"/>
          <w:spacing w:val="-11"/>
        </w:rPr>
        <w:t xml:space="preserve"> </w:t>
      </w:r>
      <w:r>
        <w:rPr>
          <w:color w:val="545456"/>
        </w:rPr>
        <w:t>Grid</w:t>
      </w:r>
    </w:p>
    <w:p w14:paraId="13BB483C" w14:textId="77777777" w:rsidR="0055291C" w:rsidRDefault="00F23C61">
      <w:pPr>
        <w:pStyle w:val="a3"/>
        <w:spacing w:before="1" w:line="312" w:lineRule="auto"/>
        <w:ind w:left="1133" w:right="209"/>
      </w:pPr>
      <w:r>
        <w:rPr>
          <w:color w:val="545456"/>
          <w:w w:val="95"/>
        </w:rPr>
        <w:t>David</w:t>
      </w:r>
      <w:r>
        <w:rPr>
          <w:color w:val="545456"/>
          <w:spacing w:val="10"/>
          <w:w w:val="95"/>
        </w:rPr>
        <w:t xml:space="preserve"> </w:t>
      </w:r>
      <w:r>
        <w:rPr>
          <w:color w:val="545456"/>
          <w:w w:val="95"/>
        </w:rPr>
        <w:t>B.</w:t>
      </w:r>
      <w:r>
        <w:rPr>
          <w:color w:val="545456"/>
          <w:spacing w:val="10"/>
          <w:w w:val="95"/>
        </w:rPr>
        <w:t xml:space="preserve"> </w:t>
      </w:r>
      <w:r>
        <w:rPr>
          <w:color w:val="545456"/>
          <w:w w:val="95"/>
        </w:rPr>
        <w:t>Goldstein,</w:t>
      </w:r>
      <w:r>
        <w:rPr>
          <w:color w:val="545456"/>
          <w:spacing w:val="10"/>
          <w:w w:val="95"/>
        </w:rPr>
        <w:t xml:space="preserve"> </w:t>
      </w:r>
      <w:r>
        <w:rPr>
          <w:color w:val="545456"/>
          <w:w w:val="95"/>
        </w:rPr>
        <w:t>Natural</w:t>
      </w:r>
      <w:r>
        <w:rPr>
          <w:color w:val="545456"/>
          <w:spacing w:val="10"/>
          <w:w w:val="95"/>
        </w:rPr>
        <w:t xml:space="preserve"> </w:t>
      </w:r>
      <w:r>
        <w:rPr>
          <w:color w:val="545456"/>
          <w:w w:val="95"/>
        </w:rPr>
        <w:t>Resources</w:t>
      </w:r>
      <w:r>
        <w:rPr>
          <w:color w:val="545456"/>
          <w:spacing w:val="11"/>
          <w:w w:val="95"/>
        </w:rPr>
        <w:t xml:space="preserve"> </w:t>
      </w:r>
      <w:r>
        <w:rPr>
          <w:color w:val="545456"/>
          <w:w w:val="95"/>
        </w:rPr>
        <w:t>Defense</w:t>
      </w:r>
      <w:r>
        <w:rPr>
          <w:color w:val="545456"/>
          <w:spacing w:val="10"/>
          <w:w w:val="95"/>
        </w:rPr>
        <w:t xml:space="preserve"> </w:t>
      </w:r>
      <w:r>
        <w:rPr>
          <w:color w:val="545456"/>
          <w:w w:val="95"/>
        </w:rPr>
        <w:t>Council</w:t>
      </w:r>
      <w:r>
        <w:rPr>
          <w:color w:val="545456"/>
          <w:spacing w:val="-45"/>
          <w:w w:val="95"/>
        </w:rPr>
        <w:t xml:space="preserve"> </w:t>
      </w:r>
      <w:r>
        <w:rPr>
          <w:color w:val="545456"/>
        </w:rPr>
        <w:t>Jenn</w:t>
      </w:r>
      <w:r>
        <w:rPr>
          <w:color w:val="545456"/>
          <w:spacing w:val="-10"/>
        </w:rPr>
        <w:t xml:space="preserve"> </w:t>
      </w:r>
      <w:proofErr w:type="spellStart"/>
      <w:r>
        <w:rPr>
          <w:color w:val="545456"/>
        </w:rPr>
        <w:t>Orgolini</w:t>
      </w:r>
      <w:proofErr w:type="spellEnd"/>
      <w:r>
        <w:rPr>
          <w:color w:val="545456"/>
        </w:rPr>
        <w:t>,</w:t>
      </w:r>
      <w:r>
        <w:rPr>
          <w:color w:val="545456"/>
          <w:spacing w:val="-9"/>
        </w:rPr>
        <w:t xml:space="preserve"> </w:t>
      </w:r>
      <w:r>
        <w:rPr>
          <w:color w:val="545456"/>
        </w:rPr>
        <w:t>New</w:t>
      </w:r>
      <w:r>
        <w:rPr>
          <w:color w:val="545456"/>
          <w:spacing w:val="-9"/>
        </w:rPr>
        <w:t xml:space="preserve"> </w:t>
      </w:r>
      <w:r>
        <w:rPr>
          <w:color w:val="545456"/>
        </w:rPr>
        <w:t>Belgium</w:t>
      </w:r>
      <w:r>
        <w:rPr>
          <w:color w:val="545456"/>
          <w:spacing w:val="-10"/>
        </w:rPr>
        <w:t xml:space="preserve"> </w:t>
      </w:r>
      <w:r>
        <w:rPr>
          <w:color w:val="545456"/>
        </w:rPr>
        <w:t>Brewing</w:t>
      </w:r>
    </w:p>
    <w:p w14:paraId="12CEE32B" w14:textId="77777777" w:rsidR="0055291C" w:rsidRDefault="00F23C61">
      <w:pPr>
        <w:pStyle w:val="a3"/>
        <w:spacing w:before="1"/>
        <w:ind w:left="1133"/>
      </w:pPr>
      <w:r>
        <w:rPr>
          <w:color w:val="545456"/>
          <w:w w:val="95"/>
        </w:rPr>
        <w:t>Claus</w:t>
      </w:r>
      <w:r>
        <w:rPr>
          <w:color w:val="545456"/>
          <w:spacing w:val="-8"/>
          <w:w w:val="95"/>
        </w:rPr>
        <w:t xml:space="preserve"> </w:t>
      </w:r>
      <w:r>
        <w:rPr>
          <w:color w:val="545456"/>
          <w:w w:val="95"/>
        </w:rPr>
        <w:t>Frier,</w:t>
      </w:r>
      <w:r>
        <w:rPr>
          <w:color w:val="545456"/>
          <w:spacing w:val="-8"/>
          <w:w w:val="95"/>
        </w:rPr>
        <w:t xml:space="preserve"> </w:t>
      </w:r>
      <w:r>
        <w:rPr>
          <w:color w:val="545456"/>
          <w:w w:val="95"/>
        </w:rPr>
        <w:t>Novozymes</w:t>
      </w:r>
      <w:r>
        <w:rPr>
          <w:color w:val="545456"/>
          <w:spacing w:val="-8"/>
          <w:w w:val="95"/>
        </w:rPr>
        <w:t xml:space="preserve"> </w:t>
      </w:r>
      <w:r>
        <w:rPr>
          <w:color w:val="545456"/>
          <w:w w:val="95"/>
        </w:rPr>
        <w:t>A/S</w:t>
      </w:r>
    </w:p>
    <w:p w14:paraId="25ED9308" w14:textId="77777777" w:rsidR="0055291C" w:rsidRDefault="00F23C61">
      <w:pPr>
        <w:pStyle w:val="a3"/>
        <w:spacing w:before="65" w:line="312" w:lineRule="auto"/>
        <w:ind w:left="1133" w:right="1667"/>
      </w:pPr>
      <w:r>
        <w:rPr>
          <w:color w:val="545456"/>
          <w:spacing w:val="-2"/>
        </w:rPr>
        <w:t>Stefan</w:t>
      </w:r>
      <w:r>
        <w:rPr>
          <w:color w:val="545456"/>
          <w:spacing w:val="-10"/>
        </w:rPr>
        <w:t xml:space="preserve"> </w:t>
      </w:r>
      <w:proofErr w:type="spellStart"/>
      <w:r>
        <w:rPr>
          <w:color w:val="545456"/>
          <w:spacing w:val="-2"/>
        </w:rPr>
        <w:t>Seum</w:t>
      </w:r>
      <w:proofErr w:type="spellEnd"/>
      <w:r>
        <w:rPr>
          <w:color w:val="545456"/>
          <w:spacing w:val="-2"/>
        </w:rPr>
        <w:t>,</w:t>
      </w:r>
      <w:r>
        <w:rPr>
          <w:color w:val="545456"/>
          <w:spacing w:val="-10"/>
        </w:rPr>
        <w:t xml:space="preserve"> </w:t>
      </w:r>
      <w:proofErr w:type="spellStart"/>
      <w:r>
        <w:rPr>
          <w:color w:val="545456"/>
          <w:spacing w:val="-2"/>
        </w:rPr>
        <w:t>Öko-Institut</w:t>
      </w:r>
      <w:proofErr w:type="spellEnd"/>
      <w:r>
        <w:rPr>
          <w:color w:val="545456"/>
          <w:spacing w:val="-2"/>
        </w:rPr>
        <w:t>,</w:t>
      </w:r>
      <w:r>
        <w:rPr>
          <w:color w:val="545456"/>
          <w:spacing w:val="-10"/>
        </w:rPr>
        <w:t xml:space="preserve"> </w:t>
      </w:r>
      <w:r>
        <w:rPr>
          <w:color w:val="545456"/>
          <w:spacing w:val="-1"/>
        </w:rPr>
        <w:t>Germany</w:t>
      </w:r>
      <w:r>
        <w:rPr>
          <w:color w:val="545456"/>
          <w:spacing w:val="-47"/>
        </w:rPr>
        <w:t xml:space="preserve"> </w:t>
      </w:r>
      <w:r>
        <w:rPr>
          <w:color w:val="545456"/>
        </w:rPr>
        <w:t>Jeff Stein, Open Data Registry</w:t>
      </w:r>
      <w:r>
        <w:rPr>
          <w:color w:val="545456"/>
          <w:spacing w:val="1"/>
        </w:rPr>
        <w:t xml:space="preserve"> </w:t>
      </w:r>
      <w:r>
        <w:rPr>
          <w:color w:val="545456"/>
          <w:w w:val="95"/>
        </w:rPr>
        <w:t>Robert</w:t>
      </w:r>
      <w:r>
        <w:rPr>
          <w:color w:val="545456"/>
          <w:spacing w:val="-6"/>
          <w:w w:val="95"/>
        </w:rPr>
        <w:t xml:space="preserve"> </w:t>
      </w:r>
      <w:proofErr w:type="spellStart"/>
      <w:r>
        <w:rPr>
          <w:color w:val="545456"/>
          <w:w w:val="95"/>
        </w:rPr>
        <w:t>TerKuille</w:t>
      </w:r>
      <w:proofErr w:type="spellEnd"/>
      <w:r>
        <w:rPr>
          <w:color w:val="545456"/>
          <w:w w:val="95"/>
        </w:rPr>
        <w:t>,</w:t>
      </w:r>
      <w:r>
        <w:rPr>
          <w:color w:val="545456"/>
          <w:spacing w:val="-6"/>
          <w:w w:val="95"/>
        </w:rPr>
        <w:t xml:space="preserve"> </w:t>
      </w:r>
      <w:r>
        <w:rPr>
          <w:color w:val="545456"/>
          <w:w w:val="95"/>
        </w:rPr>
        <w:t>PepsiCo</w:t>
      </w:r>
    </w:p>
    <w:p w14:paraId="262E6C67" w14:textId="77777777" w:rsidR="0055291C" w:rsidRDefault="00F23C61">
      <w:pPr>
        <w:pStyle w:val="a3"/>
        <w:spacing w:before="1" w:line="312" w:lineRule="auto"/>
        <w:ind w:left="1133" w:right="321"/>
      </w:pPr>
      <w:r>
        <w:rPr>
          <w:color w:val="545456"/>
          <w:w w:val="95"/>
        </w:rPr>
        <w:t>Eros</w:t>
      </w:r>
      <w:r>
        <w:rPr>
          <w:color w:val="545456"/>
          <w:spacing w:val="13"/>
          <w:w w:val="95"/>
        </w:rPr>
        <w:t xml:space="preserve"> </w:t>
      </w:r>
      <w:proofErr w:type="spellStart"/>
      <w:r>
        <w:rPr>
          <w:color w:val="545456"/>
          <w:w w:val="95"/>
        </w:rPr>
        <w:t>Artuso</w:t>
      </w:r>
      <w:proofErr w:type="spellEnd"/>
      <w:r>
        <w:rPr>
          <w:color w:val="545456"/>
          <w:w w:val="95"/>
        </w:rPr>
        <w:t>,</w:t>
      </w:r>
      <w:r>
        <w:rPr>
          <w:color w:val="545456"/>
          <w:spacing w:val="13"/>
          <w:w w:val="95"/>
        </w:rPr>
        <w:t xml:space="preserve"> </w:t>
      </w:r>
      <w:r>
        <w:rPr>
          <w:color w:val="545456"/>
          <w:w w:val="95"/>
        </w:rPr>
        <w:t>PricewaterhouseCoopers,</w:t>
      </w:r>
      <w:r>
        <w:rPr>
          <w:color w:val="545456"/>
          <w:spacing w:val="14"/>
          <w:w w:val="95"/>
        </w:rPr>
        <w:t xml:space="preserve"> </w:t>
      </w:r>
      <w:r>
        <w:rPr>
          <w:color w:val="545456"/>
          <w:w w:val="95"/>
        </w:rPr>
        <w:t>LLP</w:t>
      </w:r>
      <w:r>
        <w:rPr>
          <w:color w:val="545456"/>
          <w:spacing w:val="-45"/>
          <w:w w:val="95"/>
        </w:rPr>
        <w:t xml:space="preserve"> </w:t>
      </w:r>
      <w:r>
        <w:rPr>
          <w:color w:val="545456"/>
          <w:spacing w:val="-1"/>
        </w:rPr>
        <w:t>Christopher</w:t>
      </w:r>
      <w:r>
        <w:rPr>
          <w:color w:val="545456"/>
          <w:spacing w:val="-9"/>
        </w:rPr>
        <w:t xml:space="preserve"> </w:t>
      </w:r>
      <w:r>
        <w:rPr>
          <w:color w:val="545456"/>
          <w:spacing w:val="-1"/>
        </w:rPr>
        <w:t>Ho,</w:t>
      </w:r>
      <w:r>
        <w:rPr>
          <w:color w:val="545456"/>
          <w:spacing w:val="-9"/>
        </w:rPr>
        <w:t xml:space="preserve"> </w:t>
      </w:r>
      <w:r>
        <w:rPr>
          <w:color w:val="545456"/>
          <w:spacing w:val="-1"/>
        </w:rPr>
        <w:t>PricewaterhouseCoopers</w:t>
      </w:r>
    </w:p>
    <w:p w14:paraId="5E0184BB" w14:textId="77777777" w:rsidR="0055291C" w:rsidRDefault="00F23C61">
      <w:pPr>
        <w:pStyle w:val="a3"/>
        <w:spacing w:before="1"/>
        <w:ind w:left="1360"/>
      </w:pPr>
      <w:r>
        <w:rPr>
          <w:color w:val="545456"/>
          <w:spacing w:val="-2"/>
        </w:rPr>
        <w:t>Hong</w:t>
      </w:r>
      <w:r>
        <w:rPr>
          <w:color w:val="545456"/>
          <w:spacing w:val="-9"/>
        </w:rPr>
        <w:t xml:space="preserve"> </w:t>
      </w:r>
      <w:r>
        <w:rPr>
          <w:color w:val="545456"/>
          <w:spacing w:val="-2"/>
        </w:rPr>
        <w:t>Kong/China</w:t>
      </w:r>
    </w:p>
    <w:p w14:paraId="7B4DE78D" w14:textId="77777777" w:rsidR="0055291C" w:rsidRDefault="00F23C61">
      <w:pPr>
        <w:pStyle w:val="a3"/>
        <w:spacing w:before="65"/>
        <w:ind w:left="1133"/>
      </w:pPr>
      <w:r>
        <w:rPr>
          <w:color w:val="545456"/>
          <w:spacing w:val="-1"/>
        </w:rPr>
        <w:t>Annie</w:t>
      </w:r>
      <w:r>
        <w:rPr>
          <w:color w:val="545456"/>
          <w:spacing w:val="-11"/>
        </w:rPr>
        <w:t xml:space="preserve"> </w:t>
      </w:r>
      <w:proofErr w:type="spellStart"/>
      <w:r>
        <w:rPr>
          <w:color w:val="545456"/>
          <w:spacing w:val="-1"/>
        </w:rPr>
        <w:t>Weisbrod</w:t>
      </w:r>
      <w:proofErr w:type="spellEnd"/>
      <w:r>
        <w:rPr>
          <w:color w:val="545456"/>
          <w:spacing w:val="-1"/>
        </w:rPr>
        <w:t>,</w:t>
      </w:r>
      <w:r>
        <w:rPr>
          <w:color w:val="545456"/>
          <w:spacing w:val="-11"/>
        </w:rPr>
        <w:t xml:space="preserve"> </w:t>
      </w:r>
      <w:r>
        <w:rPr>
          <w:color w:val="545456"/>
          <w:spacing w:val="-1"/>
        </w:rPr>
        <w:t>Procter</w:t>
      </w:r>
      <w:r>
        <w:rPr>
          <w:color w:val="545456"/>
          <w:spacing w:val="-10"/>
        </w:rPr>
        <w:t xml:space="preserve"> </w:t>
      </w:r>
      <w:r>
        <w:rPr>
          <w:color w:val="545456"/>
          <w:spacing w:val="-1"/>
        </w:rPr>
        <w:t>&amp;</w:t>
      </w:r>
      <w:r>
        <w:rPr>
          <w:color w:val="545456"/>
          <w:spacing w:val="-11"/>
        </w:rPr>
        <w:t xml:space="preserve"> </w:t>
      </w:r>
      <w:r>
        <w:rPr>
          <w:color w:val="545456"/>
          <w:spacing w:val="-1"/>
        </w:rPr>
        <w:t>Gamble</w:t>
      </w:r>
    </w:p>
    <w:p w14:paraId="76B90275" w14:textId="77777777" w:rsidR="0055291C" w:rsidRDefault="00F23C61">
      <w:pPr>
        <w:pStyle w:val="a3"/>
        <w:spacing w:before="65" w:line="312" w:lineRule="auto"/>
        <w:ind w:left="1360" w:right="220" w:hanging="227"/>
      </w:pPr>
      <w:proofErr w:type="spellStart"/>
      <w:r>
        <w:rPr>
          <w:color w:val="545456"/>
          <w:spacing w:val="-1"/>
        </w:rPr>
        <w:t>Diederik</w:t>
      </w:r>
      <w:proofErr w:type="spellEnd"/>
      <w:r>
        <w:rPr>
          <w:color w:val="545456"/>
          <w:spacing w:val="-12"/>
        </w:rPr>
        <w:t xml:space="preserve"> </w:t>
      </w:r>
      <w:proofErr w:type="spellStart"/>
      <w:r>
        <w:rPr>
          <w:color w:val="545456"/>
          <w:spacing w:val="-1"/>
        </w:rPr>
        <w:t>Schowanek</w:t>
      </w:r>
      <w:proofErr w:type="spellEnd"/>
      <w:r>
        <w:rPr>
          <w:color w:val="545456"/>
          <w:spacing w:val="-1"/>
        </w:rPr>
        <w:t>,</w:t>
      </w:r>
      <w:r>
        <w:rPr>
          <w:color w:val="545456"/>
          <w:spacing w:val="-11"/>
        </w:rPr>
        <w:t xml:space="preserve"> </w:t>
      </w:r>
      <w:r>
        <w:rPr>
          <w:color w:val="545456"/>
          <w:spacing w:val="-1"/>
        </w:rPr>
        <w:t>Procter</w:t>
      </w:r>
      <w:r>
        <w:rPr>
          <w:color w:val="545456"/>
          <w:spacing w:val="-11"/>
        </w:rPr>
        <w:t xml:space="preserve"> </w:t>
      </w:r>
      <w:r>
        <w:rPr>
          <w:color w:val="545456"/>
          <w:spacing w:val="-1"/>
        </w:rPr>
        <w:t>&amp;</w:t>
      </w:r>
      <w:r>
        <w:rPr>
          <w:color w:val="545456"/>
          <w:spacing w:val="-11"/>
        </w:rPr>
        <w:t xml:space="preserve"> </w:t>
      </w:r>
      <w:r>
        <w:rPr>
          <w:color w:val="545456"/>
          <w:spacing w:val="-1"/>
        </w:rPr>
        <w:t>Gamble</w:t>
      </w:r>
      <w:r>
        <w:rPr>
          <w:color w:val="545456"/>
          <w:spacing w:val="-11"/>
        </w:rPr>
        <w:t xml:space="preserve"> </w:t>
      </w:r>
      <w:r>
        <w:rPr>
          <w:color w:val="545456"/>
          <w:spacing w:val="-1"/>
        </w:rPr>
        <w:t>Environmental</w:t>
      </w:r>
      <w:r>
        <w:rPr>
          <w:color w:val="545456"/>
          <w:spacing w:val="-47"/>
        </w:rPr>
        <w:t xml:space="preserve"> </w:t>
      </w:r>
      <w:r>
        <w:rPr>
          <w:color w:val="545456"/>
        </w:rPr>
        <w:t>Stewardship</w:t>
      </w:r>
      <w:r>
        <w:rPr>
          <w:color w:val="545456"/>
          <w:spacing w:val="-11"/>
        </w:rPr>
        <w:t xml:space="preserve"> </w:t>
      </w:r>
      <w:r>
        <w:rPr>
          <w:color w:val="545456"/>
        </w:rPr>
        <w:t>Organization</w:t>
      </w:r>
    </w:p>
    <w:p w14:paraId="32A0349F" w14:textId="77777777" w:rsidR="0055291C" w:rsidRDefault="00F23C61">
      <w:pPr>
        <w:pStyle w:val="a3"/>
        <w:spacing w:before="1" w:line="312" w:lineRule="auto"/>
        <w:ind w:left="1360" w:right="-2" w:hanging="227"/>
      </w:pPr>
      <w:r>
        <w:rPr>
          <w:color w:val="545456"/>
          <w:w w:val="95"/>
        </w:rPr>
        <w:t>Aimee</w:t>
      </w:r>
      <w:r>
        <w:rPr>
          <w:color w:val="545456"/>
          <w:spacing w:val="15"/>
          <w:w w:val="95"/>
        </w:rPr>
        <w:t xml:space="preserve"> </w:t>
      </w:r>
      <w:r>
        <w:rPr>
          <w:color w:val="545456"/>
          <w:w w:val="95"/>
        </w:rPr>
        <w:t>Ding,</w:t>
      </w:r>
      <w:r>
        <w:rPr>
          <w:color w:val="545456"/>
          <w:spacing w:val="15"/>
          <w:w w:val="95"/>
        </w:rPr>
        <w:t xml:space="preserve"> </w:t>
      </w:r>
      <w:r>
        <w:rPr>
          <w:color w:val="545456"/>
          <w:w w:val="95"/>
        </w:rPr>
        <w:t>Quanta</w:t>
      </w:r>
      <w:r>
        <w:rPr>
          <w:color w:val="545456"/>
          <w:spacing w:val="16"/>
          <w:w w:val="95"/>
        </w:rPr>
        <w:t xml:space="preserve"> </w:t>
      </w:r>
      <w:r>
        <w:rPr>
          <w:color w:val="545456"/>
          <w:w w:val="95"/>
        </w:rPr>
        <w:t>Shanghai</w:t>
      </w:r>
      <w:r>
        <w:rPr>
          <w:color w:val="545456"/>
          <w:spacing w:val="15"/>
          <w:w w:val="95"/>
        </w:rPr>
        <w:t xml:space="preserve"> </w:t>
      </w:r>
      <w:r>
        <w:rPr>
          <w:color w:val="545456"/>
          <w:w w:val="95"/>
        </w:rPr>
        <w:t>Manufacturing</w:t>
      </w:r>
      <w:r>
        <w:rPr>
          <w:color w:val="545456"/>
          <w:spacing w:val="16"/>
          <w:w w:val="95"/>
        </w:rPr>
        <w:t xml:space="preserve"> </w:t>
      </w:r>
      <w:r>
        <w:rPr>
          <w:color w:val="545456"/>
          <w:w w:val="95"/>
        </w:rPr>
        <w:t>City,</w:t>
      </w:r>
      <w:r>
        <w:rPr>
          <w:color w:val="545456"/>
          <w:spacing w:val="15"/>
          <w:w w:val="95"/>
        </w:rPr>
        <w:t xml:space="preserve"> </w:t>
      </w:r>
      <w:r>
        <w:rPr>
          <w:color w:val="545456"/>
          <w:w w:val="95"/>
        </w:rPr>
        <w:t>Tech-</w:t>
      </w:r>
      <w:r>
        <w:rPr>
          <w:color w:val="545456"/>
          <w:spacing w:val="-45"/>
          <w:w w:val="95"/>
        </w:rPr>
        <w:t xml:space="preserve"> </w:t>
      </w:r>
      <w:r>
        <w:rPr>
          <w:color w:val="545456"/>
        </w:rPr>
        <w:t>Front</w:t>
      </w:r>
      <w:r>
        <w:rPr>
          <w:color w:val="545456"/>
          <w:spacing w:val="-12"/>
        </w:rPr>
        <w:t xml:space="preserve"> </w:t>
      </w:r>
      <w:r>
        <w:rPr>
          <w:color w:val="545456"/>
        </w:rPr>
        <w:t>(Shanghai)</w:t>
      </w:r>
      <w:r>
        <w:rPr>
          <w:color w:val="545456"/>
          <w:spacing w:val="-11"/>
        </w:rPr>
        <w:t xml:space="preserve"> </w:t>
      </w:r>
      <w:r>
        <w:rPr>
          <w:color w:val="545456"/>
        </w:rPr>
        <w:t>Computer</w:t>
      </w:r>
      <w:r>
        <w:rPr>
          <w:color w:val="545456"/>
          <w:spacing w:val="-11"/>
        </w:rPr>
        <w:t xml:space="preserve"> </w:t>
      </w:r>
      <w:r>
        <w:rPr>
          <w:color w:val="545456"/>
        </w:rPr>
        <w:t>Co.</w:t>
      </w:r>
      <w:r>
        <w:rPr>
          <w:color w:val="545456"/>
          <w:spacing w:val="-11"/>
        </w:rPr>
        <w:t xml:space="preserve"> </w:t>
      </w:r>
      <w:r>
        <w:rPr>
          <w:color w:val="545456"/>
        </w:rPr>
        <w:t>Ltd.</w:t>
      </w:r>
    </w:p>
    <w:p w14:paraId="470F83D0" w14:textId="77777777" w:rsidR="0055291C" w:rsidRDefault="00F23C61">
      <w:pPr>
        <w:pStyle w:val="a3"/>
        <w:spacing w:before="1" w:line="312" w:lineRule="auto"/>
        <w:ind w:left="1360" w:right="-2" w:hanging="227"/>
      </w:pPr>
      <w:r>
        <w:rPr>
          <w:color w:val="545456"/>
          <w:w w:val="95"/>
        </w:rPr>
        <w:t>Larry</w:t>
      </w:r>
      <w:r>
        <w:rPr>
          <w:color w:val="545456"/>
          <w:spacing w:val="15"/>
          <w:w w:val="95"/>
        </w:rPr>
        <w:t xml:space="preserve"> </w:t>
      </w:r>
      <w:r>
        <w:rPr>
          <w:color w:val="545456"/>
          <w:w w:val="95"/>
        </w:rPr>
        <w:t>Li,</w:t>
      </w:r>
      <w:r>
        <w:rPr>
          <w:color w:val="545456"/>
          <w:spacing w:val="16"/>
          <w:w w:val="95"/>
        </w:rPr>
        <w:t xml:space="preserve"> </w:t>
      </w:r>
      <w:r>
        <w:rPr>
          <w:color w:val="545456"/>
          <w:w w:val="95"/>
        </w:rPr>
        <w:t>Quanta</w:t>
      </w:r>
      <w:r>
        <w:rPr>
          <w:color w:val="545456"/>
          <w:spacing w:val="15"/>
          <w:w w:val="95"/>
        </w:rPr>
        <w:t xml:space="preserve"> </w:t>
      </w:r>
      <w:r>
        <w:rPr>
          <w:color w:val="545456"/>
          <w:w w:val="95"/>
        </w:rPr>
        <w:t>Shanghai</w:t>
      </w:r>
      <w:r>
        <w:rPr>
          <w:color w:val="545456"/>
          <w:spacing w:val="16"/>
          <w:w w:val="95"/>
        </w:rPr>
        <w:t xml:space="preserve"> </w:t>
      </w:r>
      <w:r>
        <w:rPr>
          <w:color w:val="545456"/>
          <w:w w:val="95"/>
        </w:rPr>
        <w:t>Manufacturing</w:t>
      </w:r>
      <w:r>
        <w:rPr>
          <w:color w:val="545456"/>
          <w:spacing w:val="15"/>
          <w:w w:val="95"/>
        </w:rPr>
        <w:t xml:space="preserve"> </w:t>
      </w:r>
      <w:r>
        <w:rPr>
          <w:color w:val="545456"/>
          <w:w w:val="95"/>
        </w:rPr>
        <w:t>City,</w:t>
      </w:r>
      <w:r>
        <w:rPr>
          <w:color w:val="545456"/>
          <w:spacing w:val="16"/>
          <w:w w:val="95"/>
        </w:rPr>
        <w:t xml:space="preserve"> </w:t>
      </w:r>
      <w:r>
        <w:rPr>
          <w:color w:val="545456"/>
          <w:w w:val="95"/>
        </w:rPr>
        <w:t>Tech-Front</w:t>
      </w:r>
      <w:r>
        <w:rPr>
          <w:color w:val="545456"/>
          <w:spacing w:val="-45"/>
          <w:w w:val="95"/>
        </w:rPr>
        <w:t xml:space="preserve"> </w:t>
      </w:r>
      <w:r>
        <w:rPr>
          <w:color w:val="545456"/>
        </w:rPr>
        <w:t>(Shanghai)</w:t>
      </w:r>
      <w:r>
        <w:rPr>
          <w:color w:val="545456"/>
          <w:spacing w:val="-12"/>
        </w:rPr>
        <w:t xml:space="preserve"> </w:t>
      </w:r>
      <w:r>
        <w:rPr>
          <w:color w:val="545456"/>
        </w:rPr>
        <w:t>Computer</w:t>
      </w:r>
      <w:r>
        <w:rPr>
          <w:color w:val="545456"/>
          <w:spacing w:val="-11"/>
        </w:rPr>
        <w:t xml:space="preserve"> </w:t>
      </w:r>
      <w:r>
        <w:rPr>
          <w:color w:val="545456"/>
        </w:rPr>
        <w:t>Co.</w:t>
      </w:r>
      <w:r>
        <w:rPr>
          <w:color w:val="545456"/>
          <w:spacing w:val="-11"/>
        </w:rPr>
        <w:t xml:space="preserve"> </w:t>
      </w:r>
      <w:r>
        <w:rPr>
          <w:color w:val="545456"/>
        </w:rPr>
        <w:t>Ltd.</w:t>
      </w:r>
    </w:p>
    <w:p w14:paraId="3940AA6A" w14:textId="77777777" w:rsidR="0055291C" w:rsidRDefault="00F23C61">
      <w:pPr>
        <w:rPr>
          <w:sz w:val="20"/>
        </w:rPr>
      </w:pPr>
      <w:r>
        <w:br w:type="column"/>
      </w:r>
    </w:p>
    <w:p w14:paraId="00D674E9" w14:textId="77777777" w:rsidR="0055291C" w:rsidRDefault="0055291C">
      <w:pPr>
        <w:pStyle w:val="a3"/>
        <w:rPr>
          <w:sz w:val="20"/>
        </w:rPr>
      </w:pPr>
    </w:p>
    <w:p w14:paraId="3E4FBE4D" w14:textId="77777777" w:rsidR="0055291C" w:rsidRDefault="0055291C">
      <w:pPr>
        <w:pStyle w:val="a3"/>
        <w:spacing w:before="3"/>
        <w:rPr>
          <w:sz w:val="20"/>
        </w:rPr>
      </w:pPr>
    </w:p>
    <w:p w14:paraId="14445789" w14:textId="77777777" w:rsidR="0055291C" w:rsidRDefault="00F23C61">
      <w:pPr>
        <w:pStyle w:val="a3"/>
        <w:spacing w:line="312" w:lineRule="auto"/>
        <w:ind w:left="341" w:right="1323"/>
      </w:pPr>
      <w:r>
        <w:rPr>
          <w:color w:val="545456"/>
          <w:w w:val="95"/>
        </w:rPr>
        <w:t>Josephine</w:t>
      </w:r>
      <w:r>
        <w:rPr>
          <w:color w:val="545456"/>
          <w:spacing w:val="8"/>
          <w:w w:val="95"/>
        </w:rPr>
        <w:t xml:space="preserve"> </w:t>
      </w:r>
      <w:proofErr w:type="spellStart"/>
      <w:r>
        <w:rPr>
          <w:color w:val="545456"/>
          <w:w w:val="95"/>
        </w:rPr>
        <w:t>Przewodnik</w:t>
      </w:r>
      <w:proofErr w:type="spellEnd"/>
      <w:r>
        <w:rPr>
          <w:color w:val="545456"/>
          <w:w w:val="95"/>
        </w:rPr>
        <w:t>,</w:t>
      </w:r>
      <w:r>
        <w:rPr>
          <w:color w:val="545456"/>
          <w:spacing w:val="9"/>
          <w:w w:val="95"/>
        </w:rPr>
        <w:t xml:space="preserve"> </w:t>
      </w:r>
      <w:r>
        <w:rPr>
          <w:color w:val="545456"/>
          <w:w w:val="95"/>
        </w:rPr>
        <w:t>RECARBON</w:t>
      </w:r>
      <w:r>
        <w:rPr>
          <w:color w:val="545456"/>
          <w:spacing w:val="9"/>
          <w:w w:val="95"/>
        </w:rPr>
        <w:t xml:space="preserve"> </w:t>
      </w:r>
      <w:r>
        <w:rPr>
          <w:color w:val="545456"/>
          <w:w w:val="95"/>
        </w:rPr>
        <w:t>Deutschland</w:t>
      </w:r>
      <w:r>
        <w:rPr>
          <w:color w:val="545456"/>
          <w:spacing w:val="9"/>
          <w:w w:val="95"/>
        </w:rPr>
        <w:t xml:space="preserve"> </w:t>
      </w:r>
      <w:r>
        <w:rPr>
          <w:color w:val="545456"/>
          <w:w w:val="95"/>
        </w:rPr>
        <w:t>GmbH.</w:t>
      </w:r>
      <w:r>
        <w:rPr>
          <w:color w:val="545456"/>
          <w:spacing w:val="-45"/>
          <w:w w:val="95"/>
        </w:rPr>
        <w:t xml:space="preserve"> </w:t>
      </w:r>
      <w:r>
        <w:rPr>
          <w:color w:val="545456"/>
          <w:w w:val="95"/>
        </w:rPr>
        <w:t>Brian</w:t>
      </w:r>
      <w:r>
        <w:rPr>
          <w:color w:val="545456"/>
          <w:spacing w:val="-9"/>
          <w:w w:val="95"/>
        </w:rPr>
        <w:t xml:space="preserve"> </w:t>
      </w:r>
      <w:r>
        <w:rPr>
          <w:color w:val="545456"/>
          <w:w w:val="95"/>
        </w:rPr>
        <w:t>Au,</w:t>
      </w:r>
      <w:r>
        <w:rPr>
          <w:color w:val="545456"/>
          <w:spacing w:val="-8"/>
          <w:w w:val="95"/>
        </w:rPr>
        <w:t xml:space="preserve"> </w:t>
      </w:r>
      <w:r>
        <w:rPr>
          <w:color w:val="545456"/>
          <w:w w:val="95"/>
        </w:rPr>
        <w:t>RESET</w:t>
      </w:r>
      <w:r>
        <w:rPr>
          <w:color w:val="545456"/>
          <w:spacing w:val="-8"/>
          <w:w w:val="95"/>
        </w:rPr>
        <w:t xml:space="preserve"> </w:t>
      </w:r>
      <w:r>
        <w:rPr>
          <w:color w:val="545456"/>
          <w:w w:val="95"/>
        </w:rPr>
        <w:t>Carbon</w:t>
      </w:r>
    </w:p>
    <w:p w14:paraId="1CDECD42" w14:textId="77777777" w:rsidR="0055291C" w:rsidRDefault="00F23C61">
      <w:pPr>
        <w:pStyle w:val="a3"/>
        <w:spacing w:before="1" w:line="312" w:lineRule="auto"/>
        <w:ind w:left="341" w:right="2424"/>
      </w:pPr>
      <w:r>
        <w:rPr>
          <w:color w:val="545456"/>
          <w:w w:val="95"/>
        </w:rPr>
        <w:t>Hicham</w:t>
      </w:r>
      <w:r>
        <w:rPr>
          <w:color w:val="545456"/>
          <w:spacing w:val="10"/>
          <w:w w:val="95"/>
        </w:rPr>
        <w:t xml:space="preserve"> </w:t>
      </w:r>
      <w:proofErr w:type="spellStart"/>
      <w:r>
        <w:rPr>
          <w:color w:val="545456"/>
          <w:w w:val="95"/>
        </w:rPr>
        <w:t>Elhalaby</w:t>
      </w:r>
      <w:proofErr w:type="spellEnd"/>
      <w:r>
        <w:rPr>
          <w:color w:val="545456"/>
          <w:w w:val="95"/>
        </w:rPr>
        <w:t>,</w:t>
      </w:r>
      <w:r>
        <w:rPr>
          <w:color w:val="545456"/>
          <w:spacing w:val="11"/>
          <w:w w:val="95"/>
        </w:rPr>
        <w:t xml:space="preserve"> </w:t>
      </w:r>
      <w:r>
        <w:rPr>
          <w:color w:val="545456"/>
          <w:w w:val="95"/>
        </w:rPr>
        <w:t>Rogers</w:t>
      </w:r>
      <w:r>
        <w:rPr>
          <w:color w:val="545456"/>
          <w:spacing w:val="11"/>
          <w:w w:val="95"/>
        </w:rPr>
        <w:t xml:space="preserve"> </w:t>
      </w:r>
      <w:r>
        <w:rPr>
          <w:color w:val="545456"/>
          <w:w w:val="95"/>
        </w:rPr>
        <w:t>Communications</w:t>
      </w:r>
      <w:r>
        <w:rPr>
          <w:color w:val="545456"/>
          <w:spacing w:val="-45"/>
          <w:w w:val="95"/>
        </w:rPr>
        <w:t xml:space="preserve"> </w:t>
      </w:r>
      <w:r>
        <w:rPr>
          <w:color w:val="545456"/>
          <w:w w:val="95"/>
        </w:rPr>
        <w:t>Paul Pritchard, RSA Insurance Group plc</w:t>
      </w:r>
      <w:r>
        <w:rPr>
          <w:color w:val="545456"/>
          <w:spacing w:val="1"/>
          <w:w w:val="95"/>
        </w:rPr>
        <w:t xml:space="preserve"> </w:t>
      </w:r>
      <w:r>
        <w:rPr>
          <w:color w:val="545456"/>
          <w:w w:val="95"/>
        </w:rPr>
        <w:t>Alyssa</w:t>
      </w:r>
      <w:r>
        <w:rPr>
          <w:color w:val="545456"/>
          <w:spacing w:val="-9"/>
          <w:w w:val="95"/>
        </w:rPr>
        <w:t xml:space="preserve"> </w:t>
      </w:r>
      <w:r>
        <w:rPr>
          <w:color w:val="545456"/>
          <w:w w:val="95"/>
        </w:rPr>
        <w:t>Farrell,</w:t>
      </w:r>
      <w:r>
        <w:rPr>
          <w:color w:val="545456"/>
          <w:spacing w:val="-9"/>
          <w:w w:val="95"/>
        </w:rPr>
        <w:t xml:space="preserve"> </w:t>
      </w:r>
      <w:r>
        <w:rPr>
          <w:color w:val="545456"/>
          <w:w w:val="95"/>
        </w:rPr>
        <w:t>SAS</w:t>
      </w:r>
    </w:p>
    <w:p w14:paraId="2A751014" w14:textId="77777777" w:rsidR="0055291C" w:rsidRDefault="00F23C61">
      <w:pPr>
        <w:pStyle w:val="a3"/>
        <w:spacing w:before="1"/>
        <w:ind w:left="341"/>
      </w:pPr>
      <w:r>
        <w:rPr>
          <w:color w:val="545456"/>
          <w:w w:val="95"/>
        </w:rPr>
        <w:t xml:space="preserve">Barbara </w:t>
      </w:r>
      <w:proofErr w:type="spellStart"/>
      <w:r>
        <w:rPr>
          <w:color w:val="545456"/>
          <w:w w:val="95"/>
        </w:rPr>
        <w:t>Nebel</w:t>
      </w:r>
      <w:proofErr w:type="spellEnd"/>
      <w:r>
        <w:rPr>
          <w:color w:val="545456"/>
          <w:w w:val="95"/>
        </w:rPr>
        <w:t>, Scion</w:t>
      </w:r>
    </w:p>
    <w:p w14:paraId="67F6A475" w14:textId="77777777" w:rsidR="0055291C" w:rsidRDefault="00F23C61">
      <w:pPr>
        <w:pStyle w:val="a3"/>
        <w:spacing w:before="65" w:line="312" w:lineRule="auto"/>
        <w:ind w:left="341" w:right="1277"/>
      </w:pPr>
      <w:r>
        <w:rPr>
          <w:color w:val="545456"/>
          <w:w w:val="90"/>
        </w:rPr>
        <w:t>Robin</w:t>
      </w:r>
      <w:r>
        <w:rPr>
          <w:color w:val="545456"/>
          <w:spacing w:val="11"/>
          <w:w w:val="90"/>
        </w:rPr>
        <w:t xml:space="preserve"> </w:t>
      </w:r>
      <w:r>
        <w:rPr>
          <w:color w:val="545456"/>
          <w:w w:val="90"/>
        </w:rPr>
        <w:t>Li,</w:t>
      </w:r>
      <w:r>
        <w:rPr>
          <w:color w:val="545456"/>
          <w:spacing w:val="12"/>
          <w:w w:val="90"/>
        </w:rPr>
        <w:t xml:space="preserve"> </w:t>
      </w:r>
      <w:r>
        <w:rPr>
          <w:color w:val="545456"/>
          <w:w w:val="90"/>
        </w:rPr>
        <w:t>SGS-CSTC</w:t>
      </w:r>
      <w:r>
        <w:rPr>
          <w:color w:val="545456"/>
          <w:spacing w:val="11"/>
          <w:w w:val="90"/>
        </w:rPr>
        <w:t xml:space="preserve"> </w:t>
      </w:r>
      <w:r>
        <w:rPr>
          <w:color w:val="545456"/>
          <w:w w:val="90"/>
        </w:rPr>
        <w:t>Standards</w:t>
      </w:r>
      <w:r>
        <w:rPr>
          <w:color w:val="545456"/>
          <w:spacing w:val="12"/>
          <w:w w:val="90"/>
        </w:rPr>
        <w:t xml:space="preserve"> </w:t>
      </w:r>
      <w:r>
        <w:rPr>
          <w:color w:val="545456"/>
          <w:w w:val="90"/>
        </w:rPr>
        <w:t>Technical</w:t>
      </w:r>
      <w:r>
        <w:rPr>
          <w:color w:val="545456"/>
          <w:spacing w:val="12"/>
          <w:w w:val="90"/>
        </w:rPr>
        <w:t xml:space="preserve"> </w:t>
      </w:r>
      <w:r>
        <w:rPr>
          <w:color w:val="545456"/>
          <w:w w:val="90"/>
        </w:rPr>
        <w:t>Services</w:t>
      </w:r>
      <w:r>
        <w:rPr>
          <w:color w:val="545456"/>
          <w:spacing w:val="11"/>
          <w:w w:val="90"/>
        </w:rPr>
        <w:t xml:space="preserve"> </w:t>
      </w:r>
      <w:r>
        <w:rPr>
          <w:color w:val="545456"/>
          <w:w w:val="90"/>
        </w:rPr>
        <w:t>Co.,</w:t>
      </w:r>
      <w:r>
        <w:rPr>
          <w:color w:val="545456"/>
          <w:spacing w:val="12"/>
          <w:w w:val="90"/>
        </w:rPr>
        <w:t xml:space="preserve"> </w:t>
      </w:r>
      <w:r>
        <w:rPr>
          <w:color w:val="545456"/>
          <w:w w:val="90"/>
        </w:rPr>
        <w:t>Ltd.</w:t>
      </w:r>
      <w:r>
        <w:rPr>
          <w:color w:val="545456"/>
          <w:spacing w:val="-42"/>
          <w:w w:val="90"/>
        </w:rPr>
        <w:t xml:space="preserve"> </w:t>
      </w:r>
      <w:r>
        <w:rPr>
          <w:color w:val="545456"/>
          <w:w w:val="95"/>
        </w:rPr>
        <w:t>Danny</w:t>
      </w:r>
      <w:r>
        <w:rPr>
          <w:color w:val="545456"/>
          <w:spacing w:val="-7"/>
          <w:w w:val="95"/>
        </w:rPr>
        <w:t xml:space="preserve"> </w:t>
      </w:r>
      <w:r>
        <w:rPr>
          <w:color w:val="545456"/>
          <w:w w:val="95"/>
        </w:rPr>
        <w:t>Wong,</w:t>
      </w:r>
      <w:r>
        <w:rPr>
          <w:color w:val="545456"/>
          <w:spacing w:val="-6"/>
          <w:w w:val="95"/>
        </w:rPr>
        <w:t xml:space="preserve"> </w:t>
      </w:r>
      <w:r>
        <w:rPr>
          <w:color w:val="545456"/>
          <w:w w:val="95"/>
        </w:rPr>
        <w:t>SGS</w:t>
      </w:r>
      <w:r>
        <w:rPr>
          <w:color w:val="545456"/>
          <w:spacing w:val="-6"/>
          <w:w w:val="95"/>
        </w:rPr>
        <w:t xml:space="preserve"> </w:t>
      </w:r>
      <w:r>
        <w:rPr>
          <w:color w:val="545456"/>
          <w:w w:val="95"/>
        </w:rPr>
        <w:t>Hong</w:t>
      </w:r>
      <w:r>
        <w:rPr>
          <w:color w:val="545456"/>
          <w:spacing w:val="-7"/>
          <w:w w:val="95"/>
        </w:rPr>
        <w:t xml:space="preserve"> </w:t>
      </w:r>
      <w:r>
        <w:rPr>
          <w:color w:val="545456"/>
          <w:w w:val="95"/>
        </w:rPr>
        <w:t>Kong</w:t>
      </w:r>
      <w:r>
        <w:rPr>
          <w:color w:val="545456"/>
          <w:spacing w:val="-6"/>
          <w:w w:val="95"/>
        </w:rPr>
        <w:t xml:space="preserve"> </w:t>
      </w:r>
      <w:r>
        <w:rPr>
          <w:color w:val="545456"/>
          <w:w w:val="95"/>
        </w:rPr>
        <w:t>Limited</w:t>
      </w:r>
    </w:p>
    <w:p w14:paraId="7C100A7F" w14:textId="77777777" w:rsidR="0055291C" w:rsidRDefault="00F23C61">
      <w:pPr>
        <w:pStyle w:val="a3"/>
        <w:spacing w:before="1" w:line="312" w:lineRule="auto"/>
        <w:ind w:left="341" w:right="2373"/>
      </w:pPr>
      <w:r>
        <w:rPr>
          <w:color w:val="545456"/>
          <w:w w:val="95"/>
        </w:rPr>
        <w:t xml:space="preserve">Fei Han, Shanghai </w:t>
      </w:r>
      <w:proofErr w:type="spellStart"/>
      <w:r>
        <w:rPr>
          <w:color w:val="545456"/>
          <w:w w:val="95"/>
        </w:rPr>
        <w:t>Zidan</w:t>
      </w:r>
      <w:proofErr w:type="spellEnd"/>
      <w:r>
        <w:rPr>
          <w:color w:val="545456"/>
          <w:w w:val="95"/>
        </w:rPr>
        <w:t xml:space="preserve"> Printing Co., Ltd.</w:t>
      </w:r>
      <w:r>
        <w:rPr>
          <w:color w:val="545456"/>
          <w:spacing w:val="1"/>
          <w:w w:val="95"/>
        </w:rPr>
        <w:t xml:space="preserve"> </w:t>
      </w:r>
      <w:r>
        <w:rPr>
          <w:color w:val="545456"/>
          <w:w w:val="95"/>
        </w:rPr>
        <w:t xml:space="preserve">Yadi Shen, Shanghai </w:t>
      </w:r>
      <w:proofErr w:type="spellStart"/>
      <w:r>
        <w:rPr>
          <w:color w:val="545456"/>
          <w:w w:val="95"/>
        </w:rPr>
        <w:t>Zidan</w:t>
      </w:r>
      <w:proofErr w:type="spellEnd"/>
      <w:r>
        <w:rPr>
          <w:color w:val="545456"/>
          <w:w w:val="95"/>
        </w:rPr>
        <w:t xml:space="preserve"> Printing Co., Ltd.</w:t>
      </w:r>
      <w:r>
        <w:rPr>
          <w:color w:val="545456"/>
          <w:spacing w:val="-45"/>
          <w:w w:val="95"/>
        </w:rPr>
        <w:t xml:space="preserve"> </w:t>
      </w:r>
      <w:r>
        <w:rPr>
          <w:color w:val="545456"/>
          <w:w w:val="95"/>
        </w:rPr>
        <w:t>Marieke</w:t>
      </w:r>
      <w:r>
        <w:rPr>
          <w:color w:val="545456"/>
          <w:spacing w:val="-6"/>
          <w:w w:val="95"/>
        </w:rPr>
        <w:t xml:space="preserve"> </w:t>
      </w:r>
      <w:proofErr w:type="spellStart"/>
      <w:r>
        <w:rPr>
          <w:color w:val="545456"/>
          <w:w w:val="95"/>
        </w:rPr>
        <w:t>Groenendaal</w:t>
      </w:r>
      <w:proofErr w:type="spellEnd"/>
      <w:r>
        <w:rPr>
          <w:color w:val="545456"/>
          <w:w w:val="95"/>
        </w:rPr>
        <w:t>,</w:t>
      </w:r>
      <w:r>
        <w:rPr>
          <w:color w:val="545456"/>
          <w:spacing w:val="-7"/>
          <w:w w:val="95"/>
        </w:rPr>
        <w:t xml:space="preserve"> </w:t>
      </w:r>
      <w:r>
        <w:rPr>
          <w:color w:val="545456"/>
          <w:w w:val="95"/>
        </w:rPr>
        <w:t>Shell</w:t>
      </w:r>
    </w:p>
    <w:p w14:paraId="0E6F9CDB" w14:textId="77777777" w:rsidR="0055291C" w:rsidRDefault="00F23C61">
      <w:pPr>
        <w:pStyle w:val="a3"/>
        <w:spacing w:before="1" w:line="312" w:lineRule="auto"/>
        <w:ind w:left="341" w:right="3866"/>
      </w:pPr>
      <w:r>
        <w:rPr>
          <w:color w:val="545456"/>
          <w:w w:val="95"/>
        </w:rPr>
        <w:t>Stephen Kinder, Shell</w:t>
      </w:r>
      <w:r>
        <w:rPr>
          <w:color w:val="545456"/>
          <w:spacing w:val="1"/>
          <w:w w:val="95"/>
        </w:rPr>
        <w:t xml:space="preserve"> </w:t>
      </w:r>
      <w:r>
        <w:rPr>
          <w:color w:val="545456"/>
          <w:w w:val="95"/>
        </w:rPr>
        <w:t xml:space="preserve">Xavier </w:t>
      </w:r>
      <w:proofErr w:type="spellStart"/>
      <w:r>
        <w:rPr>
          <w:color w:val="545456"/>
          <w:w w:val="95"/>
        </w:rPr>
        <w:t>Riera</w:t>
      </w:r>
      <w:proofErr w:type="spellEnd"/>
      <w:r>
        <w:rPr>
          <w:color w:val="545456"/>
          <w:w w:val="95"/>
        </w:rPr>
        <w:t>-Palou, Shell</w:t>
      </w:r>
      <w:r>
        <w:rPr>
          <w:color w:val="545456"/>
          <w:spacing w:val="1"/>
          <w:w w:val="95"/>
        </w:rPr>
        <w:t xml:space="preserve"> </w:t>
      </w:r>
      <w:r>
        <w:rPr>
          <w:color w:val="545456"/>
          <w:spacing w:val="-1"/>
        </w:rPr>
        <w:t>Zoltán</w:t>
      </w:r>
      <w:r>
        <w:rPr>
          <w:color w:val="545456"/>
          <w:spacing w:val="-10"/>
        </w:rPr>
        <w:t xml:space="preserve"> </w:t>
      </w:r>
      <w:r>
        <w:rPr>
          <w:color w:val="545456"/>
          <w:spacing w:val="-1"/>
        </w:rPr>
        <w:t>Hajdu,</w:t>
      </w:r>
      <w:r>
        <w:rPr>
          <w:color w:val="545456"/>
          <w:spacing w:val="-10"/>
        </w:rPr>
        <w:t xml:space="preserve"> </w:t>
      </w:r>
      <w:proofErr w:type="spellStart"/>
      <w:r>
        <w:rPr>
          <w:color w:val="545456"/>
          <w:spacing w:val="-1"/>
        </w:rPr>
        <w:t>Soltub</w:t>
      </w:r>
      <w:proofErr w:type="spellEnd"/>
      <w:r>
        <w:rPr>
          <w:color w:val="545456"/>
          <w:spacing w:val="-1"/>
        </w:rPr>
        <w:t>,</w:t>
      </w:r>
      <w:r>
        <w:rPr>
          <w:color w:val="545456"/>
          <w:spacing w:val="-10"/>
        </w:rPr>
        <w:t xml:space="preserve"> </w:t>
      </w:r>
      <w:r>
        <w:rPr>
          <w:color w:val="545456"/>
        </w:rPr>
        <w:t>Ltd.</w:t>
      </w:r>
    </w:p>
    <w:p w14:paraId="6AE134A1" w14:textId="77777777" w:rsidR="0055291C" w:rsidRDefault="00F23C61">
      <w:pPr>
        <w:pStyle w:val="a3"/>
        <w:spacing w:before="2" w:line="312" w:lineRule="auto"/>
        <w:ind w:left="341" w:right="2923"/>
      </w:pPr>
      <w:r>
        <w:rPr>
          <w:color w:val="545456"/>
          <w:w w:val="95"/>
        </w:rPr>
        <w:t xml:space="preserve">Mariana </w:t>
      </w:r>
      <w:proofErr w:type="spellStart"/>
      <w:r>
        <w:rPr>
          <w:color w:val="545456"/>
          <w:w w:val="95"/>
        </w:rPr>
        <w:t>Carlini</w:t>
      </w:r>
      <w:proofErr w:type="spellEnd"/>
      <w:r>
        <w:rPr>
          <w:color w:val="545456"/>
          <w:w w:val="95"/>
        </w:rPr>
        <w:t xml:space="preserve">, </w:t>
      </w:r>
      <w:proofErr w:type="spellStart"/>
      <w:r>
        <w:rPr>
          <w:color w:val="545456"/>
          <w:w w:val="95"/>
        </w:rPr>
        <w:t>Suzano</w:t>
      </w:r>
      <w:proofErr w:type="spellEnd"/>
      <w:r>
        <w:rPr>
          <w:color w:val="545456"/>
          <w:w w:val="95"/>
        </w:rPr>
        <w:t xml:space="preserve"> Pulp &amp; Paper</w:t>
      </w:r>
      <w:r>
        <w:rPr>
          <w:color w:val="545456"/>
          <w:spacing w:val="-45"/>
          <w:w w:val="95"/>
        </w:rPr>
        <w:t xml:space="preserve"> </w:t>
      </w:r>
      <w:r>
        <w:rPr>
          <w:color w:val="545456"/>
          <w:w w:val="95"/>
        </w:rPr>
        <w:t>Samuel</w:t>
      </w:r>
      <w:r>
        <w:rPr>
          <w:color w:val="545456"/>
          <w:spacing w:val="-4"/>
          <w:w w:val="95"/>
        </w:rPr>
        <w:t xml:space="preserve"> </w:t>
      </w:r>
      <w:proofErr w:type="spellStart"/>
      <w:r>
        <w:rPr>
          <w:color w:val="545456"/>
          <w:w w:val="95"/>
        </w:rPr>
        <w:t>Kwong</w:t>
      </w:r>
      <w:proofErr w:type="spellEnd"/>
      <w:r>
        <w:rPr>
          <w:color w:val="545456"/>
          <w:w w:val="95"/>
        </w:rPr>
        <w:t>,</w:t>
      </w:r>
      <w:r>
        <w:rPr>
          <w:color w:val="545456"/>
          <w:spacing w:val="-4"/>
          <w:w w:val="95"/>
        </w:rPr>
        <w:t xml:space="preserve"> </w:t>
      </w:r>
      <w:r>
        <w:rPr>
          <w:color w:val="545456"/>
          <w:w w:val="95"/>
        </w:rPr>
        <w:t>Swire</w:t>
      </w:r>
      <w:r>
        <w:rPr>
          <w:color w:val="545456"/>
          <w:spacing w:val="-4"/>
          <w:w w:val="95"/>
        </w:rPr>
        <w:t xml:space="preserve"> </w:t>
      </w:r>
      <w:r>
        <w:rPr>
          <w:color w:val="545456"/>
          <w:w w:val="95"/>
        </w:rPr>
        <w:t>Beverages</w:t>
      </w:r>
    </w:p>
    <w:p w14:paraId="5CACF1BB" w14:textId="77777777" w:rsidR="0055291C" w:rsidRDefault="00F23C61">
      <w:pPr>
        <w:pStyle w:val="a3"/>
        <w:spacing w:before="1" w:line="312" w:lineRule="auto"/>
        <w:ind w:left="341" w:right="3425" w:firstLine="226"/>
      </w:pPr>
      <w:r>
        <w:rPr>
          <w:color w:val="545456"/>
          <w:spacing w:val="-2"/>
        </w:rPr>
        <w:t>(Coca</w:t>
      </w:r>
      <w:r>
        <w:rPr>
          <w:color w:val="545456"/>
          <w:spacing w:val="-11"/>
        </w:rPr>
        <w:t xml:space="preserve"> </w:t>
      </w:r>
      <w:r>
        <w:rPr>
          <w:color w:val="545456"/>
          <w:spacing w:val="-2"/>
        </w:rPr>
        <w:t>Cola</w:t>
      </w:r>
      <w:r>
        <w:rPr>
          <w:color w:val="545456"/>
          <w:spacing w:val="-11"/>
        </w:rPr>
        <w:t xml:space="preserve"> </w:t>
      </w:r>
      <w:r>
        <w:rPr>
          <w:color w:val="545456"/>
          <w:spacing w:val="-1"/>
        </w:rPr>
        <w:t>Bottling</w:t>
      </w:r>
      <w:r>
        <w:rPr>
          <w:color w:val="545456"/>
          <w:spacing w:val="-10"/>
        </w:rPr>
        <w:t xml:space="preserve"> </w:t>
      </w:r>
      <w:r>
        <w:rPr>
          <w:color w:val="545456"/>
          <w:spacing w:val="-1"/>
        </w:rPr>
        <w:t>Partner)</w:t>
      </w:r>
      <w:r>
        <w:rPr>
          <w:color w:val="545456"/>
          <w:spacing w:val="-48"/>
        </w:rPr>
        <w:t xml:space="preserve"> </w:t>
      </w:r>
      <w:r>
        <w:rPr>
          <w:color w:val="545456"/>
          <w:w w:val="95"/>
        </w:rPr>
        <w:t>Thomas</w:t>
      </w:r>
      <w:r>
        <w:rPr>
          <w:color w:val="545456"/>
          <w:spacing w:val="-7"/>
          <w:w w:val="95"/>
        </w:rPr>
        <w:t xml:space="preserve"> </w:t>
      </w:r>
      <w:r>
        <w:rPr>
          <w:color w:val="545456"/>
          <w:w w:val="95"/>
        </w:rPr>
        <w:t>Yip,</w:t>
      </w:r>
      <w:r>
        <w:rPr>
          <w:color w:val="545456"/>
          <w:spacing w:val="-6"/>
          <w:w w:val="95"/>
        </w:rPr>
        <w:t xml:space="preserve"> </w:t>
      </w:r>
      <w:r>
        <w:rPr>
          <w:color w:val="545456"/>
          <w:w w:val="95"/>
        </w:rPr>
        <w:t>TAL</w:t>
      </w:r>
      <w:r>
        <w:rPr>
          <w:color w:val="545456"/>
          <w:spacing w:val="-7"/>
          <w:w w:val="95"/>
        </w:rPr>
        <w:t xml:space="preserve"> </w:t>
      </w:r>
      <w:r>
        <w:rPr>
          <w:color w:val="545456"/>
          <w:w w:val="95"/>
        </w:rPr>
        <w:t>Apparel</w:t>
      </w:r>
    </w:p>
    <w:p w14:paraId="71C28CD7" w14:textId="77777777" w:rsidR="0055291C" w:rsidRDefault="00F23C61">
      <w:pPr>
        <w:pStyle w:val="a3"/>
        <w:spacing w:before="1" w:line="312" w:lineRule="auto"/>
        <w:ind w:left="341" w:right="2559"/>
      </w:pPr>
      <w:r>
        <w:rPr>
          <w:color w:val="545456"/>
          <w:w w:val="90"/>
        </w:rPr>
        <w:t>Yutaka Yoshida, TOKYO GAS CO., LTD.</w:t>
      </w:r>
      <w:r>
        <w:rPr>
          <w:color w:val="545456"/>
          <w:spacing w:val="1"/>
          <w:w w:val="90"/>
        </w:rPr>
        <w:t xml:space="preserve"> </w:t>
      </w:r>
      <w:r>
        <w:rPr>
          <w:color w:val="545456"/>
          <w:w w:val="95"/>
        </w:rPr>
        <w:t>Javier Fajardo, USDA/FAS/OSTA</w:t>
      </w:r>
      <w:r>
        <w:rPr>
          <w:color w:val="545456"/>
          <w:spacing w:val="1"/>
          <w:w w:val="95"/>
        </w:rPr>
        <w:t xml:space="preserve"> </w:t>
      </w:r>
      <w:r>
        <w:rPr>
          <w:color w:val="545456"/>
          <w:w w:val="95"/>
        </w:rPr>
        <w:t>Laurence</w:t>
      </w:r>
      <w:r>
        <w:rPr>
          <w:color w:val="545456"/>
          <w:spacing w:val="22"/>
          <w:w w:val="95"/>
        </w:rPr>
        <w:t xml:space="preserve"> </w:t>
      </w:r>
      <w:r>
        <w:rPr>
          <w:color w:val="545456"/>
          <w:w w:val="95"/>
        </w:rPr>
        <w:t>Hamon,</w:t>
      </w:r>
      <w:r>
        <w:rPr>
          <w:color w:val="545456"/>
          <w:spacing w:val="23"/>
          <w:w w:val="95"/>
        </w:rPr>
        <w:t xml:space="preserve"> </w:t>
      </w:r>
      <w:r>
        <w:rPr>
          <w:color w:val="545456"/>
          <w:w w:val="95"/>
        </w:rPr>
        <w:t>Veolia</w:t>
      </w:r>
      <w:r>
        <w:rPr>
          <w:color w:val="545456"/>
          <w:spacing w:val="22"/>
          <w:w w:val="95"/>
        </w:rPr>
        <w:t xml:space="preserve"> </w:t>
      </w:r>
      <w:proofErr w:type="spellStart"/>
      <w:r>
        <w:rPr>
          <w:color w:val="545456"/>
          <w:w w:val="95"/>
        </w:rPr>
        <w:t>Environnement</w:t>
      </w:r>
      <w:proofErr w:type="spellEnd"/>
    </w:p>
    <w:p w14:paraId="4FA20240" w14:textId="77777777" w:rsidR="0055291C" w:rsidRDefault="00F23C61">
      <w:pPr>
        <w:pStyle w:val="a3"/>
        <w:spacing w:before="1" w:line="312" w:lineRule="auto"/>
        <w:ind w:left="341" w:right="3111" w:firstLine="226"/>
      </w:pPr>
      <w:r>
        <w:rPr>
          <w:color w:val="545456"/>
        </w:rPr>
        <w:t>Research &amp; Innovation</w:t>
      </w:r>
      <w:r>
        <w:rPr>
          <w:color w:val="545456"/>
          <w:spacing w:val="1"/>
        </w:rPr>
        <w:t xml:space="preserve"> </w:t>
      </w:r>
      <w:r>
        <w:rPr>
          <w:color w:val="545456"/>
          <w:w w:val="95"/>
        </w:rPr>
        <w:t xml:space="preserve">Guillaume </w:t>
      </w:r>
      <w:proofErr w:type="spellStart"/>
      <w:r>
        <w:rPr>
          <w:color w:val="545456"/>
          <w:w w:val="95"/>
        </w:rPr>
        <w:t>Arama</w:t>
      </w:r>
      <w:proofErr w:type="spellEnd"/>
      <w:r>
        <w:rPr>
          <w:color w:val="545456"/>
          <w:w w:val="95"/>
        </w:rPr>
        <w:t>,</w:t>
      </w:r>
      <w:r>
        <w:rPr>
          <w:color w:val="545456"/>
          <w:spacing w:val="1"/>
          <w:w w:val="95"/>
        </w:rPr>
        <w:t xml:space="preserve"> </w:t>
      </w:r>
      <w:r>
        <w:rPr>
          <w:color w:val="545456"/>
          <w:w w:val="95"/>
        </w:rPr>
        <w:t>Veolia Water</w:t>
      </w:r>
      <w:r>
        <w:rPr>
          <w:color w:val="545456"/>
          <w:spacing w:val="1"/>
          <w:w w:val="95"/>
        </w:rPr>
        <w:t xml:space="preserve"> </w:t>
      </w:r>
      <w:r>
        <w:rPr>
          <w:color w:val="545456"/>
          <w:w w:val="95"/>
        </w:rPr>
        <w:t xml:space="preserve">David </w:t>
      </w:r>
      <w:proofErr w:type="spellStart"/>
      <w:r>
        <w:rPr>
          <w:color w:val="545456"/>
          <w:w w:val="95"/>
        </w:rPr>
        <w:t>Houdusse</w:t>
      </w:r>
      <w:proofErr w:type="spellEnd"/>
      <w:r>
        <w:rPr>
          <w:color w:val="545456"/>
          <w:w w:val="95"/>
        </w:rPr>
        <w:t>, Veolia Water</w:t>
      </w:r>
      <w:r>
        <w:rPr>
          <w:color w:val="545456"/>
          <w:spacing w:val="1"/>
          <w:w w:val="95"/>
        </w:rPr>
        <w:t xml:space="preserve"> </w:t>
      </w:r>
      <w:r>
        <w:rPr>
          <w:color w:val="545456"/>
          <w:w w:val="95"/>
        </w:rPr>
        <w:t xml:space="preserve">Craig </w:t>
      </w:r>
      <w:proofErr w:type="spellStart"/>
      <w:r>
        <w:rPr>
          <w:color w:val="545456"/>
          <w:w w:val="95"/>
        </w:rPr>
        <w:t>Liskai</w:t>
      </w:r>
      <w:proofErr w:type="spellEnd"/>
      <w:r>
        <w:rPr>
          <w:color w:val="545456"/>
          <w:w w:val="95"/>
        </w:rPr>
        <w:t>, Verso Paper Corp.</w:t>
      </w:r>
      <w:r>
        <w:rPr>
          <w:color w:val="545456"/>
          <w:spacing w:val="1"/>
          <w:w w:val="95"/>
        </w:rPr>
        <w:t xml:space="preserve"> </w:t>
      </w:r>
      <w:r>
        <w:rPr>
          <w:color w:val="545456"/>
          <w:spacing w:val="-2"/>
        </w:rPr>
        <w:t>Lisbeth</w:t>
      </w:r>
      <w:r>
        <w:rPr>
          <w:color w:val="545456"/>
          <w:spacing w:val="-9"/>
        </w:rPr>
        <w:t xml:space="preserve"> </w:t>
      </w:r>
      <w:proofErr w:type="spellStart"/>
      <w:r>
        <w:rPr>
          <w:color w:val="545456"/>
          <w:spacing w:val="-2"/>
        </w:rPr>
        <w:t>Dahllöf</w:t>
      </w:r>
      <w:proofErr w:type="spellEnd"/>
      <w:r>
        <w:rPr>
          <w:color w:val="545456"/>
          <w:spacing w:val="-2"/>
        </w:rPr>
        <w:t>,</w:t>
      </w:r>
      <w:r>
        <w:rPr>
          <w:color w:val="545456"/>
          <w:spacing w:val="-9"/>
        </w:rPr>
        <w:t xml:space="preserve"> </w:t>
      </w:r>
      <w:r>
        <w:rPr>
          <w:color w:val="545456"/>
          <w:spacing w:val="-1"/>
        </w:rPr>
        <w:t>Volvo</w:t>
      </w:r>
      <w:r>
        <w:rPr>
          <w:color w:val="545456"/>
          <w:spacing w:val="-9"/>
        </w:rPr>
        <w:t xml:space="preserve"> </w:t>
      </w:r>
      <w:r>
        <w:rPr>
          <w:color w:val="545456"/>
          <w:spacing w:val="-1"/>
        </w:rPr>
        <w:t>Technology</w:t>
      </w:r>
      <w:r>
        <w:rPr>
          <w:color w:val="545456"/>
          <w:spacing w:val="-47"/>
        </w:rPr>
        <w:t xml:space="preserve"> </w:t>
      </w:r>
      <w:r>
        <w:rPr>
          <w:color w:val="545456"/>
          <w:w w:val="95"/>
        </w:rPr>
        <w:t xml:space="preserve">Edie </w:t>
      </w:r>
      <w:proofErr w:type="spellStart"/>
      <w:r>
        <w:rPr>
          <w:color w:val="545456"/>
          <w:w w:val="95"/>
        </w:rPr>
        <w:t>Sonne</w:t>
      </w:r>
      <w:proofErr w:type="spellEnd"/>
      <w:r>
        <w:rPr>
          <w:color w:val="545456"/>
          <w:w w:val="95"/>
        </w:rPr>
        <w:t xml:space="preserve"> Hall, Weyerhaeuser</w:t>
      </w:r>
      <w:r>
        <w:rPr>
          <w:color w:val="545456"/>
          <w:spacing w:val="1"/>
          <w:w w:val="95"/>
        </w:rPr>
        <w:t xml:space="preserve"> </w:t>
      </w:r>
      <w:r>
        <w:rPr>
          <w:color w:val="545456"/>
          <w:spacing w:val="-1"/>
        </w:rPr>
        <w:t>George</w:t>
      </w:r>
      <w:r>
        <w:rPr>
          <w:color w:val="545456"/>
          <w:spacing w:val="-11"/>
        </w:rPr>
        <w:t xml:space="preserve"> </w:t>
      </w:r>
      <w:r>
        <w:rPr>
          <w:color w:val="545456"/>
          <w:spacing w:val="-1"/>
        </w:rPr>
        <w:t>Coates,</w:t>
      </w:r>
      <w:r>
        <w:rPr>
          <w:color w:val="545456"/>
          <w:spacing w:val="-10"/>
        </w:rPr>
        <w:t xml:space="preserve"> </w:t>
      </w:r>
      <w:proofErr w:type="spellStart"/>
      <w:r>
        <w:rPr>
          <w:color w:val="545456"/>
          <w:spacing w:val="-1"/>
        </w:rPr>
        <w:t>WorldAutoSteel</w:t>
      </w:r>
      <w:proofErr w:type="spellEnd"/>
    </w:p>
    <w:p w14:paraId="153D2BB1" w14:textId="77777777" w:rsidR="0055291C" w:rsidRDefault="00F23C61">
      <w:pPr>
        <w:pStyle w:val="a3"/>
        <w:spacing w:before="3" w:line="312" w:lineRule="auto"/>
        <w:ind w:left="568" w:right="1441" w:hanging="227"/>
      </w:pPr>
      <w:r>
        <w:rPr>
          <w:color w:val="545456"/>
          <w:w w:val="95"/>
        </w:rPr>
        <w:t>Antonia</w:t>
      </w:r>
      <w:r>
        <w:rPr>
          <w:color w:val="545456"/>
          <w:spacing w:val="14"/>
          <w:w w:val="95"/>
        </w:rPr>
        <w:t xml:space="preserve"> </w:t>
      </w:r>
      <w:proofErr w:type="spellStart"/>
      <w:r>
        <w:rPr>
          <w:color w:val="545456"/>
          <w:w w:val="95"/>
        </w:rPr>
        <w:t>Gawel</w:t>
      </w:r>
      <w:proofErr w:type="spellEnd"/>
      <w:r>
        <w:rPr>
          <w:color w:val="545456"/>
          <w:w w:val="95"/>
        </w:rPr>
        <w:t>,</w:t>
      </w:r>
      <w:r>
        <w:rPr>
          <w:color w:val="545456"/>
          <w:spacing w:val="15"/>
          <w:w w:val="95"/>
        </w:rPr>
        <w:t xml:space="preserve"> </w:t>
      </w:r>
      <w:r>
        <w:rPr>
          <w:color w:val="545456"/>
          <w:w w:val="95"/>
        </w:rPr>
        <w:t>World</w:t>
      </w:r>
      <w:r>
        <w:rPr>
          <w:color w:val="545456"/>
          <w:spacing w:val="14"/>
          <w:w w:val="95"/>
        </w:rPr>
        <w:t xml:space="preserve"> </w:t>
      </w:r>
      <w:r>
        <w:rPr>
          <w:color w:val="545456"/>
          <w:w w:val="95"/>
        </w:rPr>
        <w:t>Business</w:t>
      </w:r>
      <w:r>
        <w:rPr>
          <w:color w:val="545456"/>
          <w:spacing w:val="15"/>
          <w:w w:val="95"/>
        </w:rPr>
        <w:t xml:space="preserve"> </w:t>
      </w:r>
      <w:r>
        <w:rPr>
          <w:color w:val="545456"/>
          <w:w w:val="95"/>
        </w:rPr>
        <w:t>Council</w:t>
      </w:r>
      <w:r>
        <w:rPr>
          <w:color w:val="545456"/>
          <w:spacing w:val="15"/>
          <w:w w:val="95"/>
        </w:rPr>
        <w:t xml:space="preserve"> </w:t>
      </w:r>
      <w:r>
        <w:rPr>
          <w:color w:val="545456"/>
          <w:w w:val="95"/>
        </w:rPr>
        <w:t>for</w:t>
      </w:r>
      <w:r>
        <w:rPr>
          <w:color w:val="545456"/>
          <w:spacing w:val="14"/>
          <w:w w:val="95"/>
        </w:rPr>
        <w:t xml:space="preserve"> </w:t>
      </w:r>
      <w:r>
        <w:rPr>
          <w:color w:val="545456"/>
          <w:w w:val="95"/>
        </w:rPr>
        <w:t>Sustainable</w:t>
      </w:r>
      <w:r>
        <w:rPr>
          <w:color w:val="545456"/>
          <w:spacing w:val="-45"/>
          <w:w w:val="95"/>
        </w:rPr>
        <w:t xml:space="preserve"> </w:t>
      </w:r>
      <w:r>
        <w:rPr>
          <w:color w:val="545456"/>
        </w:rPr>
        <w:t>Development</w:t>
      </w:r>
    </w:p>
    <w:p w14:paraId="66C1E1FE" w14:textId="77777777" w:rsidR="0055291C" w:rsidRDefault="00F23C61">
      <w:pPr>
        <w:pStyle w:val="a3"/>
        <w:spacing w:before="1" w:line="312" w:lineRule="auto"/>
        <w:ind w:left="568" w:right="1956" w:hanging="227"/>
      </w:pPr>
      <w:r>
        <w:rPr>
          <w:color w:val="545456"/>
          <w:w w:val="95"/>
        </w:rPr>
        <w:t>Bernhard</w:t>
      </w:r>
      <w:r>
        <w:rPr>
          <w:color w:val="545456"/>
          <w:spacing w:val="17"/>
          <w:w w:val="95"/>
        </w:rPr>
        <w:t xml:space="preserve"> </w:t>
      </w:r>
      <w:proofErr w:type="spellStart"/>
      <w:r>
        <w:rPr>
          <w:color w:val="545456"/>
          <w:w w:val="95"/>
        </w:rPr>
        <w:t>Gruenauer</w:t>
      </w:r>
      <w:proofErr w:type="spellEnd"/>
      <w:r>
        <w:rPr>
          <w:color w:val="545456"/>
          <w:w w:val="95"/>
        </w:rPr>
        <w:t>,</w:t>
      </w:r>
      <w:r>
        <w:rPr>
          <w:color w:val="545456"/>
          <w:spacing w:val="17"/>
          <w:w w:val="95"/>
        </w:rPr>
        <w:t xml:space="preserve"> </w:t>
      </w:r>
      <w:r>
        <w:rPr>
          <w:color w:val="545456"/>
          <w:w w:val="95"/>
        </w:rPr>
        <w:t>World</w:t>
      </w:r>
      <w:r>
        <w:rPr>
          <w:color w:val="545456"/>
          <w:spacing w:val="17"/>
          <w:w w:val="95"/>
        </w:rPr>
        <w:t xml:space="preserve"> </w:t>
      </w:r>
      <w:r>
        <w:rPr>
          <w:color w:val="545456"/>
          <w:w w:val="95"/>
        </w:rPr>
        <w:t>Business</w:t>
      </w:r>
      <w:r>
        <w:rPr>
          <w:color w:val="545456"/>
          <w:spacing w:val="17"/>
          <w:w w:val="95"/>
        </w:rPr>
        <w:t xml:space="preserve"> </w:t>
      </w:r>
      <w:r>
        <w:rPr>
          <w:color w:val="545456"/>
          <w:w w:val="95"/>
        </w:rPr>
        <w:t>Council</w:t>
      </w:r>
      <w:r>
        <w:rPr>
          <w:color w:val="545456"/>
          <w:spacing w:val="18"/>
          <w:w w:val="95"/>
        </w:rPr>
        <w:t xml:space="preserve"> </w:t>
      </w:r>
      <w:r>
        <w:rPr>
          <w:color w:val="545456"/>
          <w:w w:val="95"/>
        </w:rPr>
        <w:t>for</w:t>
      </w:r>
      <w:r>
        <w:rPr>
          <w:color w:val="545456"/>
          <w:spacing w:val="-45"/>
          <w:w w:val="95"/>
        </w:rPr>
        <w:t xml:space="preserve"> </w:t>
      </w:r>
      <w:r>
        <w:rPr>
          <w:color w:val="545456"/>
        </w:rPr>
        <w:t>Sustainable</w:t>
      </w:r>
      <w:r>
        <w:rPr>
          <w:color w:val="545456"/>
          <w:spacing w:val="-11"/>
        </w:rPr>
        <w:t xml:space="preserve"> </w:t>
      </w:r>
      <w:r>
        <w:rPr>
          <w:color w:val="545456"/>
        </w:rPr>
        <w:t>Development</w:t>
      </w:r>
    </w:p>
    <w:p w14:paraId="3707AC0F" w14:textId="77777777" w:rsidR="0055291C" w:rsidRDefault="00F23C61">
      <w:pPr>
        <w:pStyle w:val="a3"/>
        <w:spacing w:before="1" w:line="312" w:lineRule="auto"/>
        <w:ind w:left="568" w:right="1755" w:hanging="227"/>
      </w:pPr>
      <w:r>
        <w:rPr>
          <w:color w:val="545456"/>
          <w:w w:val="95"/>
        </w:rPr>
        <w:t>Varun</w:t>
      </w:r>
      <w:r>
        <w:rPr>
          <w:color w:val="545456"/>
          <w:spacing w:val="9"/>
          <w:w w:val="95"/>
        </w:rPr>
        <w:t xml:space="preserve"> </w:t>
      </w:r>
      <w:r>
        <w:rPr>
          <w:color w:val="545456"/>
          <w:w w:val="95"/>
        </w:rPr>
        <w:t>Vats,</w:t>
      </w:r>
      <w:r>
        <w:rPr>
          <w:color w:val="545456"/>
          <w:spacing w:val="9"/>
          <w:w w:val="95"/>
        </w:rPr>
        <w:t xml:space="preserve"> </w:t>
      </w:r>
      <w:r>
        <w:rPr>
          <w:color w:val="545456"/>
          <w:w w:val="95"/>
        </w:rPr>
        <w:t>World</w:t>
      </w:r>
      <w:r>
        <w:rPr>
          <w:color w:val="545456"/>
          <w:spacing w:val="10"/>
          <w:w w:val="95"/>
        </w:rPr>
        <w:t xml:space="preserve"> </w:t>
      </w:r>
      <w:r>
        <w:rPr>
          <w:color w:val="545456"/>
          <w:w w:val="95"/>
        </w:rPr>
        <w:t>Business</w:t>
      </w:r>
      <w:r>
        <w:rPr>
          <w:color w:val="545456"/>
          <w:spacing w:val="9"/>
          <w:w w:val="95"/>
        </w:rPr>
        <w:t xml:space="preserve"> </w:t>
      </w:r>
      <w:r>
        <w:rPr>
          <w:color w:val="545456"/>
          <w:w w:val="95"/>
        </w:rPr>
        <w:t>Council</w:t>
      </w:r>
      <w:r>
        <w:rPr>
          <w:color w:val="545456"/>
          <w:spacing w:val="9"/>
          <w:w w:val="95"/>
        </w:rPr>
        <w:t xml:space="preserve"> </w:t>
      </w:r>
      <w:r>
        <w:rPr>
          <w:color w:val="545456"/>
          <w:w w:val="95"/>
        </w:rPr>
        <w:t>for</w:t>
      </w:r>
      <w:r>
        <w:rPr>
          <w:color w:val="545456"/>
          <w:spacing w:val="10"/>
          <w:w w:val="95"/>
        </w:rPr>
        <w:t xml:space="preserve"> </w:t>
      </w:r>
      <w:r>
        <w:rPr>
          <w:color w:val="545456"/>
          <w:w w:val="95"/>
        </w:rPr>
        <w:t>Sustainable</w:t>
      </w:r>
      <w:r>
        <w:rPr>
          <w:color w:val="545456"/>
          <w:spacing w:val="-45"/>
          <w:w w:val="95"/>
        </w:rPr>
        <w:t xml:space="preserve"> </w:t>
      </w:r>
      <w:r>
        <w:rPr>
          <w:color w:val="545456"/>
        </w:rPr>
        <w:t>Development</w:t>
      </w:r>
    </w:p>
    <w:p w14:paraId="3C608CAC" w14:textId="77777777" w:rsidR="0055291C" w:rsidRDefault="00F23C61">
      <w:pPr>
        <w:pStyle w:val="a3"/>
        <w:spacing w:before="1" w:line="312" w:lineRule="auto"/>
        <w:ind w:left="341" w:right="2424"/>
      </w:pPr>
      <w:r>
        <w:rPr>
          <w:color w:val="545456"/>
          <w:w w:val="95"/>
        </w:rPr>
        <w:t>Wee</w:t>
      </w:r>
      <w:r>
        <w:rPr>
          <w:color w:val="545456"/>
          <w:spacing w:val="14"/>
          <w:w w:val="95"/>
        </w:rPr>
        <w:t xml:space="preserve"> </w:t>
      </w:r>
      <w:r>
        <w:rPr>
          <w:color w:val="545456"/>
          <w:w w:val="95"/>
        </w:rPr>
        <w:t>Kean</w:t>
      </w:r>
      <w:r>
        <w:rPr>
          <w:color w:val="545456"/>
          <w:spacing w:val="14"/>
          <w:w w:val="95"/>
        </w:rPr>
        <w:t xml:space="preserve"> </w:t>
      </w:r>
      <w:r>
        <w:rPr>
          <w:color w:val="545456"/>
          <w:w w:val="95"/>
        </w:rPr>
        <w:t>Fong,</w:t>
      </w:r>
      <w:r>
        <w:rPr>
          <w:color w:val="545456"/>
          <w:spacing w:val="14"/>
          <w:w w:val="95"/>
        </w:rPr>
        <w:t xml:space="preserve"> </w:t>
      </w:r>
      <w:r>
        <w:rPr>
          <w:color w:val="545456"/>
          <w:w w:val="95"/>
        </w:rPr>
        <w:t>World</w:t>
      </w:r>
      <w:r>
        <w:rPr>
          <w:color w:val="545456"/>
          <w:spacing w:val="14"/>
          <w:w w:val="95"/>
        </w:rPr>
        <w:t xml:space="preserve"> </w:t>
      </w:r>
      <w:r>
        <w:rPr>
          <w:color w:val="545456"/>
          <w:w w:val="95"/>
        </w:rPr>
        <w:t>Resources</w:t>
      </w:r>
      <w:r>
        <w:rPr>
          <w:color w:val="545456"/>
          <w:spacing w:val="15"/>
          <w:w w:val="95"/>
        </w:rPr>
        <w:t xml:space="preserve"> </w:t>
      </w:r>
      <w:r>
        <w:rPr>
          <w:color w:val="545456"/>
          <w:w w:val="95"/>
        </w:rPr>
        <w:t>Institute</w:t>
      </w:r>
      <w:r>
        <w:rPr>
          <w:color w:val="545456"/>
          <w:spacing w:val="-45"/>
          <w:w w:val="95"/>
        </w:rPr>
        <w:t xml:space="preserve"> </w:t>
      </w:r>
      <w:r>
        <w:rPr>
          <w:color w:val="545456"/>
          <w:w w:val="95"/>
        </w:rPr>
        <w:t>Taryn</w:t>
      </w:r>
      <w:r>
        <w:rPr>
          <w:color w:val="545456"/>
          <w:spacing w:val="5"/>
          <w:w w:val="95"/>
        </w:rPr>
        <w:t xml:space="preserve"> </w:t>
      </w:r>
      <w:proofErr w:type="spellStart"/>
      <w:r>
        <w:rPr>
          <w:color w:val="545456"/>
          <w:w w:val="95"/>
        </w:rPr>
        <w:t>Fransen</w:t>
      </w:r>
      <w:proofErr w:type="spellEnd"/>
      <w:r>
        <w:rPr>
          <w:color w:val="545456"/>
          <w:w w:val="95"/>
        </w:rPr>
        <w:t>,</w:t>
      </w:r>
      <w:r>
        <w:rPr>
          <w:color w:val="545456"/>
          <w:spacing w:val="5"/>
          <w:w w:val="95"/>
        </w:rPr>
        <w:t xml:space="preserve"> </w:t>
      </w:r>
      <w:r>
        <w:rPr>
          <w:color w:val="545456"/>
          <w:w w:val="95"/>
        </w:rPr>
        <w:t>World</w:t>
      </w:r>
      <w:r>
        <w:rPr>
          <w:color w:val="545456"/>
          <w:spacing w:val="5"/>
          <w:w w:val="95"/>
        </w:rPr>
        <w:t xml:space="preserve"> </w:t>
      </w:r>
      <w:r>
        <w:rPr>
          <w:color w:val="545456"/>
          <w:w w:val="95"/>
        </w:rPr>
        <w:t>Resources</w:t>
      </w:r>
      <w:r>
        <w:rPr>
          <w:color w:val="545456"/>
          <w:spacing w:val="5"/>
          <w:w w:val="95"/>
        </w:rPr>
        <w:t xml:space="preserve"> </w:t>
      </w:r>
      <w:r>
        <w:rPr>
          <w:color w:val="545456"/>
          <w:w w:val="95"/>
        </w:rPr>
        <w:t>Institute</w:t>
      </w:r>
      <w:r>
        <w:rPr>
          <w:color w:val="545456"/>
          <w:spacing w:val="1"/>
          <w:w w:val="95"/>
        </w:rPr>
        <w:t xml:space="preserve"> </w:t>
      </w:r>
      <w:r>
        <w:rPr>
          <w:color w:val="545456"/>
          <w:spacing w:val="-1"/>
        </w:rPr>
        <w:t xml:space="preserve">Lauren </w:t>
      </w:r>
      <w:proofErr w:type="spellStart"/>
      <w:r>
        <w:rPr>
          <w:color w:val="545456"/>
          <w:spacing w:val="-1"/>
        </w:rPr>
        <w:t>Gritzke</w:t>
      </w:r>
      <w:proofErr w:type="spellEnd"/>
      <w:r>
        <w:rPr>
          <w:color w:val="545456"/>
          <w:spacing w:val="-1"/>
        </w:rPr>
        <w:t xml:space="preserve">, World Resources </w:t>
      </w:r>
      <w:r>
        <w:rPr>
          <w:color w:val="545456"/>
        </w:rPr>
        <w:t>Institute</w:t>
      </w:r>
      <w:r>
        <w:rPr>
          <w:color w:val="545456"/>
          <w:spacing w:val="1"/>
        </w:rPr>
        <w:t xml:space="preserve"> </w:t>
      </w:r>
      <w:r>
        <w:rPr>
          <w:color w:val="545456"/>
          <w:spacing w:val="-1"/>
        </w:rPr>
        <w:t xml:space="preserve">Stacy </w:t>
      </w:r>
      <w:proofErr w:type="spellStart"/>
      <w:r>
        <w:rPr>
          <w:color w:val="545456"/>
          <w:spacing w:val="-1"/>
        </w:rPr>
        <w:t>Kotorac</w:t>
      </w:r>
      <w:proofErr w:type="spellEnd"/>
      <w:r>
        <w:rPr>
          <w:color w:val="545456"/>
          <w:spacing w:val="-1"/>
        </w:rPr>
        <w:t xml:space="preserve">, World Resources </w:t>
      </w:r>
      <w:r>
        <w:rPr>
          <w:color w:val="545456"/>
        </w:rPr>
        <w:t>Institute</w:t>
      </w:r>
      <w:r>
        <w:rPr>
          <w:color w:val="545456"/>
          <w:spacing w:val="1"/>
        </w:rPr>
        <w:t xml:space="preserve"> </w:t>
      </w:r>
      <w:r>
        <w:rPr>
          <w:color w:val="545456"/>
        </w:rPr>
        <w:t>Eliot Metzger, World Resources Institute</w:t>
      </w:r>
      <w:r>
        <w:rPr>
          <w:color w:val="545456"/>
          <w:spacing w:val="1"/>
        </w:rPr>
        <w:t xml:space="preserve"> </w:t>
      </w:r>
      <w:r>
        <w:rPr>
          <w:color w:val="545456"/>
          <w:spacing w:val="-1"/>
        </w:rPr>
        <w:t xml:space="preserve">Michelle Perez, World Resources </w:t>
      </w:r>
      <w:r>
        <w:rPr>
          <w:color w:val="545456"/>
        </w:rPr>
        <w:t>Institute</w:t>
      </w:r>
      <w:r>
        <w:rPr>
          <w:color w:val="545456"/>
          <w:spacing w:val="1"/>
        </w:rPr>
        <w:t xml:space="preserve"> </w:t>
      </w:r>
      <w:r>
        <w:rPr>
          <w:color w:val="545456"/>
          <w:spacing w:val="-1"/>
        </w:rPr>
        <w:t xml:space="preserve">Laura </w:t>
      </w:r>
      <w:proofErr w:type="spellStart"/>
      <w:r>
        <w:rPr>
          <w:color w:val="545456"/>
          <w:spacing w:val="-1"/>
        </w:rPr>
        <w:t>Pocknell</w:t>
      </w:r>
      <w:proofErr w:type="spellEnd"/>
      <w:r>
        <w:rPr>
          <w:color w:val="545456"/>
          <w:spacing w:val="-1"/>
        </w:rPr>
        <w:t>, World Resources Institute</w:t>
      </w:r>
      <w:r>
        <w:rPr>
          <w:color w:val="545456"/>
        </w:rPr>
        <w:t xml:space="preserve"> </w:t>
      </w:r>
      <w:r>
        <w:rPr>
          <w:color w:val="545456"/>
          <w:spacing w:val="-1"/>
        </w:rPr>
        <w:t xml:space="preserve">Neelam Singh, World Resources </w:t>
      </w:r>
      <w:r>
        <w:rPr>
          <w:color w:val="545456"/>
        </w:rPr>
        <w:t>Institute</w:t>
      </w:r>
      <w:r>
        <w:rPr>
          <w:color w:val="545456"/>
          <w:spacing w:val="1"/>
        </w:rPr>
        <w:t xml:space="preserve"> </w:t>
      </w:r>
      <w:r>
        <w:rPr>
          <w:color w:val="545456"/>
          <w:spacing w:val="-1"/>
        </w:rPr>
        <w:t>Clare</w:t>
      </w:r>
      <w:r>
        <w:rPr>
          <w:color w:val="545456"/>
          <w:spacing w:val="-12"/>
        </w:rPr>
        <w:t xml:space="preserve"> </w:t>
      </w:r>
      <w:r>
        <w:rPr>
          <w:color w:val="545456"/>
          <w:spacing w:val="-1"/>
        </w:rPr>
        <w:t>Broadbent,</w:t>
      </w:r>
      <w:r>
        <w:rPr>
          <w:color w:val="545456"/>
          <w:spacing w:val="-11"/>
        </w:rPr>
        <w:t xml:space="preserve"> </w:t>
      </w:r>
      <w:r>
        <w:rPr>
          <w:color w:val="545456"/>
          <w:spacing w:val="-1"/>
        </w:rPr>
        <w:t>World</w:t>
      </w:r>
      <w:r>
        <w:rPr>
          <w:color w:val="545456"/>
          <w:spacing w:val="-11"/>
        </w:rPr>
        <w:t xml:space="preserve"> </w:t>
      </w:r>
      <w:r>
        <w:rPr>
          <w:color w:val="545456"/>
        </w:rPr>
        <w:t>Steel</w:t>
      </w:r>
      <w:r>
        <w:rPr>
          <w:color w:val="545456"/>
          <w:spacing w:val="-11"/>
        </w:rPr>
        <w:t xml:space="preserve"> </w:t>
      </w:r>
      <w:r>
        <w:rPr>
          <w:color w:val="545456"/>
        </w:rPr>
        <w:t>Association</w:t>
      </w:r>
    </w:p>
    <w:p w14:paraId="5F01786D" w14:textId="77777777" w:rsidR="0055291C" w:rsidRDefault="0055291C">
      <w:pPr>
        <w:spacing w:line="312" w:lineRule="auto"/>
        <w:sectPr w:rsidR="0055291C">
          <w:type w:val="continuous"/>
          <w:pgSz w:w="12240" w:h="15840"/>
          <w:pgMar w:top="740" w:right="0" w:bottom="280" w:left="0" w:header="0" w:footer="859" w:gutter="0"/>
          <w:cols w:num="2" w:space="720" w:equalWidth="0">
            <w:col w:w="5881" w:space="40"/>
            <w:col w:w="6319"/>
          </w:cols>
        </w:sectPr>
      </w:pPr>
    </w:p>
    <w:p w14:paraId="5675D48C" w14:textId="77777777" w:rsidR="0055291C" w:rsidRDefault="00000000">
      <w:pPr>
        <w:pStyle w:val="a3"/>
        <w:rPr>
          <w:sz w:val="20"/>
        </w:rPr>
      </w:pPr>
      <w:r>
        <w:rPr>
          <w:sz w:val="20"/>
        </w:rPr>
      </w:r>
      <w:r>
        <w:rPr>
          <w:sz w:val="20"/>
        </w:rPr>
        <w:pict w14:anchorId="60581654">
          <v:group id="docshapegroup1743" o:spid="_x0000_s2077" style="width:297pt;height:31.8pt;mso-position-horizontal-relative:char;mso-position-vertical-relative:line" coordsize="5940,636">
            <v:shape id="docshape1744" o:spid="_x0000_s2078" style="position:absolute;width:5940;height:636" coordsize="5940,636" path="m5940,l,,,635r5713,l5844,632r68,-25l5936,539r4,-131l5940,xe" fillcolor="#00aca1" stroked="f">
              <v:path arrowok="t"/>
            </v:shape>
            <w10:anchorlock/>
          </v:group>
        </w:pict>
      </w:r>
    </w:p>
    <w:p w14:paraId="0167EEBB" w14:textId="77777777" w:rsidR="0055291C" w:rsidRDefault="0055291C">
      <w:pPr>
        <w:pStyle w:val="a3"/>
        <w:rPr>
          <w:sz w:val="20"/>
        </w:rPr>
      </w:pPr>
    </w:p>
    <w:p w14:paraId="0B3E36AE" w14:textId="77777777" w:rsidR="0055291C" w:rsidRDefault="0055291C">
      <w:pPr>
        <w:pStyle w:val="a3"/>
        <w:rPr>
          <w:sz w:val="20"/>
        </w:rPr>
      </w:pPr>
    </w:p>
    <w:p w14:paraId="6CC47445" w14:textId="77777777" w:rsidR="0055291C" w:rsidRDefault="0055291C">
      <w:pPr>
        <w:pStyle w:val="a3"/>
        <w:rPr>
          <w:sz w:val="20"/>
        </w:rPr>
      </w:pPr>
    </w:p>
    <w:p w14:paraId="47AD7636" w14:textId="77777777" w:rsidR="0055291C" w:rsidRDefault="0055291C">
      <w:pPr>
        <w:rPr>
          <w:sz w:val="20"/>
        </w:rPr>
        <w:sectPr w:rsidR="0055291C">
          <w:headerReference w:type="even" r:id="rId410"/>
          <w:footerReference w:type="even" r:id="rId411"/>
          <w:pgSz w:w="12240" w:h="15840"/>
          <w:pgMar w:top="0" w:right="0" w:bottom="280" w:left="0" w:header="0" w:footer="0" w:gutter="0"/>
          <w:cols w:space="720"/>
        </w:sectPr>
      </w:pPr>
    </w:p>
    <w:p w14:paraId="649CD081" w14:textId="77777777" w:rsidR="0055291C" w:rsidRDefault="0055291C">
      <w:pPr>
        <w:pStyle w:val="a3"/>
        <w:spacing w:before="10"/>
        <w:rPr>
          <w:sz w:val="22"/>
        </w:rPr>
      </w:pPr>
    </w:p>
    <w:p w14:paraId="6EF7CB5D" w14:textId="77777777" w:rsidR="0055291C" w:rsidRDefault="00000000">
      <w:pPr>
        <w:pStyle w:val="3"/>
        <w:spacing w:before="0"/>
        <w:ind w:left="1133"/>
      </w:pPr>
      <w:r>
        <w:pict w14:anchorId="2E5D8E0D">
          <v:line id="_x0000_s2076" style="position:absolute;left:0;text-align:left;z-index:251698688;mso-position-horizontal-relative:page" from="57.25pt,18.55pt" to="555.85pt,18.55pt" strokecolor="#00aca1" strokeweight="1pt">
            <w10:wrap anchorx="page"/>
          </v:line>
        </w:pict>
      </w:r>
      <w:r w:rsidR="00F23C61">
        <w:rPr>
          <w:color w:val="00ACA1"/>
          <w:w w:val="95"/>
        </w:rPr>
        <w:t>In-kind</w:t>
      </w:r>
      <w:r w:rsidR="00F23C61">
        <w:rPr>
          <w:color w:val="00ACA1"/>
          <w:spacing w:val="2"/>
          <w:w w:val="95"/>
        </w:rPr>
        <w:t xml:space="preserve"> </w:t>
      </w:r>
      <w:r w:rsidR="00F23C61">
        <w:rPr>
          <w:color w:val="00ACA1"/>
          <w:w w:val="95"/>
        </w:rPr>
        <w:t>Road</w:t>
      </w:r>
      <w:r w:rsidR="00F23C61">
        <w:rPr>
          <w:color w:val="00ACA1"/>
          <w:spacing w:val="2"/>
          <w:w w:val="95"/>
        </w:rPr>
        <w:t xml:space="preserve"> </w:t>
      </w:r>
      <w:r w:rsidR="00F23C61">
        <w:rPr>
          <w:color w:val="00ACA1"/>
          <w:w w:val="95"/>
        </w:rPr>
        <w:t>Testing</w:t>
      </w:r>
      <w:r w:rsidR="00F23C61">
        <w:rPr>
          <w:color w:val="00ACA1"/>
          <w:spacing w:val="3"/>
          <w:w w:val="95"/>
        </w:rPr>
        <w:t xml:space="preserve"> </w:t>
      </w:r>
      <w:r w:rsidR="00F23C61">
        <w:rPr>
          <w:color w:val="00ACA1"/>
          <w:w w:val="95"/>
        </w:rPr>
        <w:t>Support</w:t>
      </w:r>
    </w:p>
    <w:p w14:paraId="33419B35" w14:textId="77777777" w:rsidR="0055291C" w:rsidRDefault="00F23C61">
      <w:pPr>
        <w:pStyle w:val="a3"/>
        <w:spacing w:before="194"/>
        <w:ind w:left="1133"/>
      </w:pPr>
      <w:r>
        <w:rPr>
          <w:color w:val="545456"/>
          <w:w w:val="95"/>
        </w:rPr>
        <w:t>The</w:t>
      </w:r>
      <w:r>
        <w:rPr>
          <w:color w:val="545456"/>
          <w:spacing w:val="2"/>
          <w:w w:val="95"/>
        </w:rPr>
        <w:t xml:space="preserve"> </w:t>
      </w:r>
      <w:r>
        <w:rPr>
          <w:color w:val="545456"/>
          <w:w w:val="95"/>
        </w:rPr>
        <w:t>Carbon</w:t>
      </w:r>
      <w:r>
        <w:rPr>
          <w:color w:val="545456"/>
          <w:spacing w:val="2"/>
          <w:w w:val="95"/>
        </w:rPr>
        <w:t xml:space="preserve"> </w:t>
      </w:r>
      <w:r>
        <w:rPr>
          <w:color w:val="545456"/>
          <w:w w:val="95"/>
        </w:rPr>
        <w:t>Trust</w:t>
      </w:r>
    </w:p>
    <w:p w14:paraId="76EC13CC" w14:textId="77777777" w:rsidR="0055291C" w:rsidRDefault="00F23C61">
      <w:pPr>
        <w:pStyle w:val="a3"/>
        <w:spacing w:before="65" w:line="312" w:lineRule="auto"/>
        <w:ind w:left="1133" w:right="22"/>
      </w:pPr>
      <w:r>
        <w:rPr>
          <w:color w:val="545456"/>
        </w:rPr>
        <w:t>China National Institute of Standardization</w:t>
      </w:r>
      <w:r>
        <w:rPr>
          <w:color w:val="545456"/>
          <w:spacing w:val="-48"/>
        </w:rPr>
        <w:t xml:space="preserve"> </w:t>
      </w:r>
      <w:r>
        <w:rPr>
          <w:color w:val="545456"/>
        </w:rPr>
        <w:t>DNV</w:t>
      </w:r>
    </w:p>
    <w:p w14:paraId="59C06741" w14:textId="77777777" w:rsidR="0055291C" w:rsidRDefault="00F23C61">
      <w:pPr>
        <w:pStyle w:val="a3"/>
        <w:spacing w:before="1"/>
        <w:ind w:left="1133"/>
      </w:pPr>
      <w:r>
        <w:rPr>
          <w:color w:val="545456"/>
        </w:rPr>
        <w:t>KPMG</w:t>
      </w:r>
    </w:p>
    <w:p w14:paraId="4546030D" w14:textId="77777777" w:rsidR="0055291C" w:rsidRDefault="00F23C61">
      <w:pPr>
        <w:pStyle w:val="a3"/>
        <w:spacing w:before="65"/>
        <w:ind w:left="1133"/>
      </w:pPr>
      <w:r>
        <w:rPr>
          <w:color w:val="545456"/>
          <w:w w:val="95"/>
        </w:rPr>
        <w:t>PE</w:t>
      </w:r>
      <w:r>
        <w:rPr>
          <w:color w:val="545456"/>
          <w:spacing w:val="-1"/>
          <w:w w:val="95"/>
        </w:rPr>
        <w:t xml:space="preserve"> </w:t>
      </w:r>
      <w:r>
        <w:rPr>
          <w:color w:val="545456"/>
          <w:w w:val="95"/>
        </w:rPr>
        <w:t>Consulting</w:t>
      </w:r>
    </w:p>
    <w:p w14:paraId="29EFECC8" w14:textId="77777777" w:rsidR="0055291C" w:rsidRDefault="00F23C61">
      <w:pPr>
        <w:rPr>
          <w:sz w:val="20"/>
        </w:rPr>
      </w:pPr>
      <w:r>
        <w:br w:type="column"/>
      </w:r>
    </w:p>
    <w:p w14:paraId="745B6D13" w14:textId="77777777" w:rsidR="0055291C" w:rsidRDefault="0055291C">
      <w:pPr>
        <w:pStyle w:val="a3"/>
        <w:rPr>
          <w:sz w:val="20"/>
        </w:rPr>
      </w:pPr>
    </w:p>
    <w:p w14:paraId="7274697C" w14:textId="77777777" w:rsidR="0055291C" w:rsidRDefault="0055291C">
      <w:pPr>
        <w:pStyle w:val="a3"/>
        <w:spacing w:before="5"/>
        <w:rPr>
          <w:sz w:val="24"/>
        </w:rPr>
      </w:pPr>
    </w:p>
    <w:p w14:paraId="76FFB65A" w14:textId="77777777" w:rsidR="0055291C" w:rsidRDefault="00F23C61">
      <w:pPr>
        <w:pStyle w:val="a3"/>
        <w:spacing w:line="312" w:lineRule="auto"/>
        <w:ind w:left="1133" w:right="2945"/>
      </w:pPr>
      <w:proofErr w:type="spellStart"/>
      <w:r>
        <w:rPr>
          <w:color w:val="545456"/>
        </w:rPr>
        <w:t>PRé</w:t>
      </w:r>
      <w:proofErr w:type="spellEnd"/>
      <w:r>
        <w:rPr>
          <w:color w:val="545456"/>
        </w:rPr>
        <w:t xml:space="preserve"> Consultants</w:t>
      </w:r>
      <w:r>
        <w:rPr>
          <w:color w:val="545456"/>
          <w:spacing w:val="1"/>
        </w:rPr>
        <w:t xml:space="preserve"> </w:t>
      </w:r>
      <w:r>
        <w:rPr>
          <w:color w:val="545456"/>
          <w:w w:val="95"/>
        </w:rPr>
        <w:t>PricewaterhouseCoopers,</w:t>
      </w:r>
      <w:r>
        <w:rPr>
          <w:color w:val="545456"/>
          <w:spacing w:val="19"/>
          <w:w w:val="95"/>
        </w:rPr>
        <w:t xml:space="preserve"> </w:t>
      </w:r>
      <w:r>
        <w:rPr>
          <w:color w:val="545456"/>
          <w:w w:val="95"/>
        </w:rPr>
        <w:t>LLP</w:t>
      </w:r>
    </w:p>
    <w:p w14:paraId="4B0381B9" w14:textId="77777777" w:rsidR="0055291C" w:rsidRDefault="00F23C61">
      <w:pPr>
        <w:pStyle w:val="a3"/>
        <w:spacing w:before="1" w:line="312" w:lineRule="auto"/>
        <w:ind w:left="1133" w:right="2031"/>
      </w:pPr>
      <w:r>
        <w:rPr>
          <w:color w:val="545456"/>
          <w:w w:val="90"/>
        </w:rPr>
        <w:t>SGS-CSTC</w:t>
      </w:r>
      <w:r>
        <w:rPr>
          <w:color w:val="545456"/>
          <w:spacing w:val="9"/>
          <w:w w:val="90"/>
        </w:rPr>
        <w:t xml:space="preserve"> </w:t>
      </w:r>
      <w:r>
        <w:rPr>
          <w:color w:val="545456"/>
          <w:w w:val="90"/>
        </w:rPr>
        <w:t>Standards</w:t>
      </w:r>
      <w:r>
        <w:rPr>
          <w:color w:val="545456"/>
          <w:spacing w:val="10"/>
          <w:w w:val="90"/>
        </w:rPr>
        <w:t xml:space="preserve"> </w:t>
      </w:r>
      <w:r>
        <w:rPr>
          <w:color w:val="545456"/>
          <w:w w:val="90"/>
        </w:rPr>
        <w:t>Technical</w:t>
      </w:r>
      <w:r>
        <w:rPr>
          <w:color w:val="545456"/>
          <w:spacing w:val="10"/>
          <w:w w:val="90"/>
        </w:rPr>
        <w:t xml:space="preserve"> </w:t>
      </w:r>
      <w:r>
        <w:rPr>
          <w:color w:val="545456"/>
          <w:w w:val="90"/>
        </w:rPr>
        <w:t>Services</w:t>
      </w:r>
      <w:r>
        <w:rPr>
          <w:color w:val="545456"/>
          <w:spacing w:val="10"/>
          <w:w w:val="90"/>
        </w:rPr>
        <w:t xml:space="preserve"> </w:t>
      </w:r>
      <w:r>
        <w:rPr>
          <w:color w:val="545456"/>
          <w:w w:val="90"/>
        </w:rPr>
        <w:t>Co.,</w:t>
      </w:r>
      <w:r>
        <w:rPr>
          <w:color w:val="545456"/>
          <w:spacing w:val="9"/>
          <w:w w:val="90"/>
        </w:rPr>
        <w:t xml:space="preserve"> </w:t>
      </w:r>
      <w:r>
        <w:rPr>
          <w:color w:val="545456"/>
          <w:w w:val="90"/>
        </w:rPr>
        <w:t>Ltd.</w:t>
      </w:r>
      <w:r>
        <w:rPr>
          <w:color w:val="545456"/>
          <w:spacing w:val="-42"/>
          <w:w w:val="90"/>
        </w:rPr>
        <w:t xml:space="preserve"> </w:t>
      </w:r>
      <w:r>
        <w:rPr>
          <w:color w:val="545456"/>
          <w:w w:val="95"/>
        </w:rPr>
        <w:t>SGS</w:t>
      </w:r>
      <w:r>
        <w:rPr>
          <w:color w:val="545456"/>
          <w:spacing w:val="-7"/>
          <w:w w:val="95"/>
        </w:rPr>
        <w:t xml:space="preserve"> </w:t>
      </w:r>
      <w:r>
        <w:rPr>
          <w:color w:val="545456"/>
          <w:w w:val="95"/>
        </w:rPr>
        <w:t>Hong</w:t>
      </w:r>
      <w:r>
        <w:rPr>
          <w:color w:val="545456"/>
          <w:spacing w:val="-7"/>
          <w:w w:val="95"/>
        </w:rPr>
        <w:t xml:space="preserve"> </w:t>
      </w:r>
      <w:r>
        <w:rPr>
          <w:color w:val="545456"/>
          <w:w w:val="95"/>
        </w:rPr>
        <w:t>Kong</w:t>
      </w:r>
      <w:r>
        <w:rPr>
          <w:color w:val="545456"/>
          <w:spacing w:val="-8"/>
          <w:w w:val="95"/>
        </w:rPr>
        <w:t xml:space="preserve"> </w:t>
      </w:r>
      <w:r>
        <w:rPr>
          <w:color w:val="545456"/>
          <w:w w:val="95"/>
        </w:rPr>
        <w:t>Limited</w:t>
      </w:r>
    </w:p>
    <w:p w14:paraId="609466C1" w14:textId="77777777" w:rsidR="0055291C" w:rsidRDefault="0055291C">
      <w:pPr>
        <w:spacing w:line="312" w:lineRule="auto"/>
        <w:sectPr w:rsidR="0055291C">
          <w:type w:val="continuous"/>
          <w:pgSz w:w="12240" w:h="15840"/>
          <w:pgMar w:top="740" w:right="0" w:bottom="280" w:left="0" w:header="0" w:footer="0" w:gutter="0"/>
          <w:cols w:num="2" w:space="720" w:equalWidth="0">
            <w:col w:w="4722" w:space="406"/>
            <w:col w:w="7112"/>
          </w:cols>
        </w:sectPr>
      </w:pPr>
    </w:p>
    <w:p w14:paraId="3836DE12" w14:textId="77777777" w:rsidR="0055291C" w:rsidRDefault="0055291C">
      <w:pPr>
        <w:pStyle w:val="a3"/>
        <w:spacing w:before="8"/>
        <w:rPr>
          <w:sz w:val="29"/>
        </w:rPr>
      </w:pPr>
    </w:p>
    <w:p w14:paraId="2BF217DB" w14:textId="77777777" w:rsidR="0055291C" w:rsidRDefault="00F23C61">
      <w:pPr>
        <w:pStyle w:val="3"/>
        <w:ind w:left="1133"/>
      </w:pPr>
      <w:r>
        <w:rPr>
          <w:color w:val="00ACA1"/>
        </w:rPr>
        <w:t>Consultants</w:t>
      </w:r>
    </w:p>
    <w:p w14:paraId="0189F2B2" w14:textId="77777777" w:rsidR="0055291C" w:rsidRDefault="00000000">
      <w:pPr>
        <w:pStyle w:val="a3"/>
        <w:spacing w:before="7"/>
        <w:rPr>
          <w:rFonts w:ascii="Arial"/>
          <w:b/>
          <w:i/>
          <w:sz w:val="5"/>
        </w:rPr>
      </w:pPr>
      <w:r>
        <w:pict w14:anchorId="561F5406">
          <v:shape id="docshape1745" o:spid="_x0000_s2075" style="position:absolute;margin-left:57.25pt;margin-top:4.45pt;width:498.65pt;height:.1pt;z-index:-251462144;mso-wrap-distance-left:0;mso-wrap-distance-right:0;mso-position-horizontal-relative:page" coordorigin="1145,89" coordsize="9973,0" path="m1145,89r9972,e" filled="f" strokecolor="#00aca1" strokeweight="1pt">
            <v:path arrowok="t"/>
            <w10:wrap type="topAndBottom" anchorx="page"/>
          </v:shape>
        </w:pict>
      </w:r>
    </w:p>
    <w:p w14:paraId="24304ABE" w14:textId="77777777" w:rsidR="0055291C" w:rsidRDefault="00F23C61">
      <w:pPr>
        <w:pStyle w:val="a3"/>
        <w:spacing w:before="95" w:line="312" w:lineRule="auto"/>
        <w:ind w:left="1133" w:right="7540"/>
      </w:pPr>
      <w:r>
        <w:rPr>
          <w:color w:val="545456"/>
        </w:rPr>
        <w:t>China National Institute of Standardization</w:t>
      </w:r>
      <w:r>
        <w:rPr>
          <w:color w:val="545456"/>
          <w:spacing w:val="-48"/>
        </w:rPr>
        <w:t xml:space="preserve"> </w:t>
      </w:r>
      <w:r>
        <w:rPr>
          <w:color w:val="545456"/>
          <w:w w:val="95"/>
        </w:rPr>
        <w:t>PricewaterhouseCoopers,</w:t>
      </w:r>
      <w:r>
        <w:rPr>
          <w:color w:val="545456"/>
          <w:spacing w:val="-6"/>
          <w:w w:val="95"/>
        </w:rPr>
        <w:t xml:space="preserve"> </w:t>
      </w:r>
      <w:r>
        <w:rPr>
          <w:color w:val="545456"/>
          <w:w w:val="95"/>
        </w:rPr>
        <w:t>LLP</w:t>
      </w:r>
    </w:p>
    <w:p w14:paraId="6BB017B7" w14:textId="77777777" w:rsidR="0055291C" w:rsidRDefault="00F23C61">
      <w:pPr>
        <w:pStyle w:val="a3"/>
        <w:spacing w:before="1" w:line="312" w:lineRule="auto"/>
        <w:ind w:left="1133" w:right="9927"/>
      </w:pPr>
      <w:proofErr w:type="spellStart"/>
      <w:r>
        <w:rPr>
          <w:color w:val="545456"/>
        </w:rPr>
        <w:t>Quantis</w:t>
      </w:r>
      <w:proofErr w:type="spellEnd"/>
      <w:r>
        <w:rPr>
          <w:color w:val="545456"/>
          <w:spacing w:val="1"/>
        </w:rPr>
        <w:t xml:space="preserve"> </w:t>
      </w:r>
      <w:r>
        <w:rPr>
          <w:color w:val="545456"/>
          <w:spacing w:val="-1"/>
          <w:w w:val="90"/>
        </w:rPr>
        <w:t>RESET</w:t>
      </w:r>
      <w:r>
        <w:rPr>
          <w:color w:val="545456"/>
          <w:spacing w:val="-6"/>
          <w:w w:val="90"/>
        </w:rPr>
        <w:t xml:space="preserve"> </w:t>
      </w:r>
      <w:r>
        <w:rPr>
          <w:color w:val="545456"/>
          <w:spacing w:val="-1"/>
          <w:w w:val="90"/>
        </w:rPr>
        <w:t>Carbon</w:t>
      </w:r>
    </w:p>
    <w:p w14:paraId="5D8AB1C4" w14:textId="77777777" w:rsidR="0055291C" w:rsidRDefault="0055291C">
      <w:pPr>
        <w:pStyle w:val="a3"/>
        <w:spacing w:before="1"/>
        <w:rPr>
          <w:sz w:val="28"/>
        </w:rPr>
      </w:pPr>
    </w:p>
    <w:p w14:paraId="2CD28C30" w14:textId="77777777" w:rsidR="0055291C" w:rsidRDefault="00F23C61">
      <w:pPr>
        <w:spacing w:before="100" w:line="307" w:lineRule="auto"/>
        <w:ind w:left="1133" w:right="1130"/>
        <w:jc w:val="both"/>
        <w:rPr>
          <w:rFonts w:ascii="Arial"/>
          <w:i/>
          <w:sz w:val="19"/>
        </w:rPr>
      </w:pPr>
      <w:r>
        <w:rPr>
          <w:rFonts w:ascii="Arial"/>
          <w:i/>
          <w:color w:val="00ACA1"/>
          <w:sz w:val="19"/>
        </w:rPr>
        <w:t>WRI</w:t>
      </w:r>
      <w:r>
        <w:rPr>
          <w:rFonts w:ascii="Arial"/>
          <w:i/>
          <w:color w:val="00ACA1"/>
          <w:spacing w:val="-27"/>
          <w:sz w:val="19"/>
        </w:rPr>
        <w:t xml:space="preserve"> </w:t>
      </w:r>
      <w:r>
        <w:rPr>
          <w:rFonts w:ascii="Arial"/>
          <w:i/>
          <w:color w:val="00ACA1"/>
          <w:sz w:val="19"/>
        </w:rPr>
        <w:t>and</w:t>
      </w:r>
      <w:r>
        <w:rPr>
          <w:rFonts w:ascii="Arial"/>
          <w:i/>
          <w:color w:val="00ACA1"/>
          <w:spacing w:val="-26"/>
          <w:sz w:val="19"/>
        </w:rPr>
        <w:t xml:space="preserve"> </w:t>
      </w:r>
      <w:r>
        <w:rPr>
          <w:rFonts w:ascii="Arial"/>
          <w:i/>
          <w:color w:val="00ACA1"/>
          <w:sz w:val="19"/>
        </w:rPr>
        <w:t>WBCSD</w:t>
      </w:r>
      <w:r>
        <w:rPr>
          <w:rFonts w:ascii="Arial"/>
          <w:i/>
          <w:color w:val="00ACA1"/>
          <w:spacing w:val="-27"/>
          <w:sz w:val="19"/>
        </w:rPr>
        <w:t xml:space="preserve"> </w:t>
      </w:r>
      <w:r>
        <w:rPr>
          <w:rFonts w:ascii="Arial"/>
          <w:i/>
          <w:color w:val="00ACA1"/>
          <w:sz w:val="19"/>
        </w:rPr>
        <w:t>would</w:t>
      </w:r>
      <w:r>
        <w:rPr>
          <w:rFonts w:ascii="Arial"/>
          <w:i/>
          <w:color w:val="00ACA1"/>
          <w:spacing w:val="-26"/>
          <w:sz w:val="19"/>
        </w:rPr>
        <w:t xml:space="preserve"> </w:t>
      </w:r>
      <w:r>
        <w:rPr>
          <w:rFonts w:ascii="Arial"/>
          <w:i/>
          <w:color w:val="00ACA1"/>
          <w:sz w:val="19"/>
        </w:rPr>
        <w:t>like</w:t>
      </w:r>
      <w:r>
        <w:rPr>
          <w:rFonts w:ascii="Arial"/>
          <w:i/>
          <w:color w:val="00ACA1"/>
          <w:spacing w:val="-27"/>
          <w:sz w:val="19"/>
        </w:rPr>
        <w:t xml:space="preserve"> </w:t>
      </w:r>
      <w:r>
        <w:rPr>
          <w:rFonts w:ascii="Arial"/>
          <w:i/>
          <w:color w:val="00ACA1"/>
          <w:sz w:val="19"/>
        </w:rPr>
        <w:t>to</w:t>
      </w:r>
      <w:r>
        <w:rPr>
          <w:rFonts w:ascii="Arial"/>
          <w:i/>
          <w:color w:val="00ACA1"/>
          <w:spacing w:val="-26"/>
          <w:sz w:val="19"/>
        </w:rPr>
        <w:t xml:space="preserve"> </w:t>
      </w:r>
      <w:r>
        <w:rPr>
          <w:rFonts w:ascii="Arial"/>
          <w:i/>
          <w:color w:val="00ACA1"/>
          <w:sz w:val="19"/>
        </w:rPr>
        <w:t>thank</w:t>
      </w:r>
      <w:r>
        <w:rPr>
          <w:rFonts w:ascii="Arial"/>
          <w:i/>
          <w:color w:val="00ACA1"/>
          <w:spacing w:val="-27"/>
          <w:sz w:val="19"/>
        </w:rPr>
        <w:t xml:space="preserve"> </w:t>
      </w:r>
      <w:r>
        <w:rPr>
          <w:rFonts w:ascii="Arial"/>
          <w:i/>
          <w:color w:val="00ACA1"/>
          <w:sz w:val="19"/>
        </w:rPr>
        <w:t>the</w:t>
      </w:r>
      <w:r>
        <w:rPr>
          <w:rFonts w:ascii="Arial"/>
          <w:i/>
          <w:color w:val="00ACA1"/>
          <w:spacing w:val="-26"/>
          <w:sz w:val="19"/>
        </w:rPr>
        <w:t xml:space="preserve"> </w:t>
      </w:r>
      <w:r>
        <w:rPr>
          <w:rFonts w:ascii="Arial"/>
          <w:i/>
          <w:color w:val="00ACA1"/>
          <w:sz w:val="19"/>
        </w:rPr>
        <w:t>following</w:t>
      </w:r>
      <w:r>
        <w:rPr>
          <w:rFonts w:ascii="Arial"/>
          <w:i/>
          <w:color w:val="00ACA1"/>
          <w:spacing w:val="-27"/>
          <w:sz w:val="19"/>
        </w:rPr>
        <w:t xml:space="preserve"> </w:t>
      </w:r>
      <w:r>
        <w:rPr>
          <w:rFonts w:ascii="Arial"/>
          <w:i/>
          <w:color w:val="00ACA1"/>
          <w:sz w:val="19"/>
        </w:rPr>
        <w:t>organizations</w:t>
      </w:r>
      <w:r>
        <w:rPr>
          <w:rFonts w:ascii="Arial"/>
          <w:i/>
          <w:color w:val="00ACA1"/>
          <w:spacing w:val="-26"/>
          <w:sz w:val="19"/>
        </w:rPr>
        <w:t xml:space="preserve"> </w:t>
      </w:r>
      <w:r>
        <w:rPr>
          <w:rFonts w:ascii="Arial"/>
          <w:i/>
          <w:color w:val="00ACA1"/>
          <w:sz w:val="19"/>
        </w:rPr>
        <w:t>for</w:t>
      </w:r>
      <w:r>
        <w:rPr>
          <w:rFonts w:ascii="Arial"/>
          <w:i/>
          <w:color w:val="00ACA1"/>
          <w:spacing w:val="-27"/>
          <w:sz w:val="19"/>
        </w:rPr>
        <w:t xml:space="preserve"> </w:t>
      </w:r>
      <w:r>
        <w:rPr>
          <w:rFonts w:ascii="Arial"/>
          <w:i/>
          <w:color w:val="00ACA1"/>
          <w:sz w:val="19"/>
        </w:rPr>
        <w:t>their</w:t>
      </w:r>
      <w:r>
        <w:rPr>
          <w:rFonts w:ascii="Arial"/>
          <w:i/>
          <w:color w:val="00ACA1"/>
          <w:spacing w:val="-26"/>
          <w:sz w:val="19"/>
        </w:rPr>
        <w:t xml:space="preserve"> </w:t>
      </w:r>
      <w:r>
        <w:rPr>
          <w:rFonts w:ascii="Arial"/>
          <w:i/>
          <w:color w:val="00ACA1"/>
          <w:sz w:val="19"/>
        </w:rPr>
        <w:t>generous</w:t>
      </w:r>
      <w:r>
        <w:rPr>
          <w:rFonts w:ascii="Arial"/>
          <w:i/>
          <w:color w:val="00ACA1"/>
          <w:spacing w:val="-27"/>
          <w:sz w:val="19"/>
        </w:rPr>
        <w:t xml:space="preserve"> </w:t>
      </w:r>
      <w:r>
        <w:rPr>
          <w:rFonts w:ascii="Arial"/>
          <w:i/>
          <w:color w:val="00ACA1"/>
          <w:sz w:val="19"/>
        </w:rPr>
        <w:t>financial</w:t>
      </w:r>
      <w:r>
        <w:rPr>
          <w:rFonts w:ascii="Arial"/>
          <w:i/>
          <w:color w:val="00ACA1"/>
          <w:spacing w:val="-26"/>
          <w:sz w:val="19"/>
        </w:rPr>
        <w:t xml:space="preserve"> </w:t>
      </w:r>
      <w:r>
        <w:rPr>
          <w:rFonts w:ascii="Arial"/>
          <w:i/>
          <w:color w:val="00ACA1"/>
          <w:sz w:val="19"/>
        </w:rPr>
        <w:t>support:</w:t>
      </w:r>
      <w:r>
        <w:rPr>
          <w:rFonts w:ascii="Arial"/>
          <w:i/>
          <w:color w:val="00ACA1"/>
          <w:spacing w:val="-27"/>
          <w:sz w:val="19"/>
        </w:rPr>
        <w:t xml:space="preserve"> </w:t>
      </w:r>
      <w:r>
        <w:rPr>
          <w:rFonts w:ascii="Arial"/>
          <w:i/>
          <w:color w:val="00ACA1"/>
          <w:sz w:val="19"/>
        </w:rPr>
        <w:t>Alcoa</w:t>
      </w:r>
      <w:r>
        <w:rPr>
          <w:rFonts w:ascii="Arial"/>
          <w:i/>
          <w:color w:val="00ACA1"/>
          <w:spacing w:val="-26"/>
          <w:sz w:val="19"/>
        </w:rPr>
        <w:t xml:space="preserve"> </w:t>
      </w:r>
      <w:r>
        <w:rPr>
          <w:rFonts w:ascii="Arial"/>
          <w:i/>
          <w:color w:val="00ACA1"/>
          <w:sz w:val="19"/>
        </w:rPr>
        <w:t>Foundation,</w:t>
      </w:r>
      <w:r>
        <w:rPr>
          <w:rFonts w:ascii="Arial"/>
          <w:i/>
          <w:color w:val="00ACA1"/>
          <w:spacing w:val="-26"/>
          <w:sz w:val="19"/>
        </w:rPr>
        <w:t xml:space="preserve"> </w:t>
      </w:r>
      <w:r>
        <w:rPr>
          <w:rFonts w:ascii="Arial"/>
          <w:i/>
          <w:color w:val="00ACA1"/>
          <w:sz w:val="19"/>
        </w:rPr>
        <w:t>BP</w:t>
      </w:r>
      <w:r>
        <w:rPr>
          <w:rFonts w:ascii="Arial"/>
          <w:i/>
          <w:color w:val="00ACA1"/>
          <w:spacing w:val="1"/>
          <w:sz w:val="19"/>
        </w:rPr>
        <w:t xml:space="preserve"> </w:t>
      </w:r>
      <w:r>
        <w:rPr>
          <w:rFonts w:ascii="Arial"/>
          <w:i/>
          <w:color w:val="00ACA1"/>
          <w:w w:val="95"/>
          <w:sz w:val="19"/>
        </w:rPr>
        <w:t>Foundation, Dell Inc., EMC Corporation, Intel Corporation, Kimberly Clark Corporation, PepsiCo, PricewaterhouseCoopers,</w:t>
      </w:r>
      <w:r>
        <w:rPr>
          <w:rFonts w:ascii="Arial"/>
          <w:i/>
          <w:color w:val="00ACA1"/>
          <w:spacing w:val="1"/>
          <w:w w:val="95"/>
          <w:sz w:val="19"/>
        </w:rPr>
        <w:t xml:space="preserve"> </w:t>
      </w:r>
      <w:r>
        <w:rPr>
          <w:rFonts w:ascii="Arial"/>
          <w:i/>
          <w:color w:val="00ACA1"/>
          <w:sz w:val="19"/>
        </w:rPr>
        <w:t>LLP, Robertson Foundation, SC Johnson &amp; Son, Inc., Siemens, United States Agency for International Development</w:t>
      </w:r>
      <w:r>
        <w:rPr>
          <w:rFonts w:ascii="Arial"/>
          <w:i/>
          <w:color w:val="00ACA1"/>
          <w:spacing w:val="1"/>
          <w:sz w:val="19"/>
        </w:rPr>
        <w:t xml:space="preserve"> </w:t>
      </w:r>
      <w:r>
        <w:rPr>
          <w:rFonts w:ascii="Arial"/>
          <w:i/>
          <w:color w:val="00ACA1"/>
          <w:w w:val="95"/>
          <w:sz w:val="19"/>
        </w:rPr>
        <w:t>(USAID),</w:t>
      </w:r>
      <w:r>
        <w:rPr>
          <w:rFonts w:ascii="Arial"/>
          <w:i/>
          <w:color w:val="00ACA1"/>
          <w:spacing w:val="21"/>
          <w:w w:val="95"/>
          <w:sz w:val="19"/>
        </w:rPr>
        <w:t xml:space="preserve"> </w:t>
      </w:r>
      <w:r>
        <w:rPr>
          <w:rFonts w:ascii="Arial"/>
          <w:i/>
          <w:color w:val="00ACA1"/>
          <w:w w:val="95"/>
          <w:sz w:val="19"/>
        </w:rPr>
        <w:t>United</w:t>
      </w:r>
      <w:r>
        <w:rPr>
          <w:rFonts w:ascii="Arial"/>
          <w:i/>
          <w:color w:val="00ACA1"/>
          <w:spacing w:val="22"/>
          <w:w w:val="95"/>
          <w:sz w:val="19"/>
        </w:rPr>
        <w:t xml:space="preserve"> </w:t>
      </w:r>
      <w:r>
        <w:rPr>
          <w:rFonts w:ascii="Arial"/>
          <w:i/>
          <w:color w:val="00ACA1"/>
          <w:w w:val="95"/>
          <w:sz w:val="19"/>
        </w:rPr>
        <w:t>States</w:t>
      </w:r>
      <w:r>
        <w:rPr>
          <w:rFonts w:ascii="Arial"/>
          <w:i/>
          <w:color w:val="00ACA1"/>
          <w:spacing w:val="21"/>
          <w:w w:val="95"/>
          <w:sz w:val="19"/>
        </w:rPr>
        <w:t xml:space="preserve"> </w:t>
      </w:r>
      <w:r>
        <w:rPr>
          <w:rFonts w:ascii="Arial"/>
          <w:i/>
          <w:color w:val="00ACA1"/>
          <w:w w:val="95"/>
          <w:sz w:val="19"/>
        </w:rPr>
        <w:t>Environmental</w:t>
      </w:r>
      <w:r>
        <w:rPr>
          <w:rFonts w:ascii="Arial"/>
          <w:i/>
          <w:color w:val="00ACA1"/>
          <w:spacing w:val="22"/>
          <w:w w:val="95"/>
          <w:sz w:val="19"/>
        </w:rPr>
        <w:t xml:space="preserve"> </w:t>
      </w:r>
      <w:r>
        <w:rPr>
          <w:rFonts w:ascii="Arial"/>
          <w:i/>
          <w:color w:val="00ACA1"/>
          <w:w w:val="95"/>
          <w:sz w:val="19"/>
        </w:rPr>
        <w:t>Protection</w:t>
      </w:r>
      <w:r>
        <w:rPr>
          <w:rFonts w:ascii="Arial"/>
          <w:i/>
          <w:color w:val="00ACA1"/>
          <w:spacing w:val="21"/>
          <w:w w:val="95"/>
          <w:sz w:val="19"/>
        </w:rPr>
        <w:t xml:space="preserve"> </w:t>
      </w:r>
      <w:r>
        <w:rPr>
          <w:rFonts w:ascii="Arial"/>
          <w:i/>
          <w:color w:val="00ACA1"/>
          <w:w w:val="95"/>
          <w:sz w:val="19"/>
        </w:rPr>
        <w:t>Agency</w:t>
      </w:r>
      <w:r>
        <w:rPr>
          <w:rFonts w:ascii="Arial"/>
          <w:i/>
          <w:color w:val="00ACA1"/>
          <w:spacing w:val="22"/>
          <w:w w:val="95"/>
          <w:sz w:val="19"/>
        </w:rPr>
        <w:t xml:space="preserve"> </w:t>
      </w:r>
      <w:r>
        <w:rPr>
          <w:rFonts w:ascii="Arial"/>
          <w:i/>
          <w:color w:val="00ACA1"/>
          <w:w w:val="95"/>
          <w:sz w:val="19"/>
        </w:rPr>
        <w:t>(US</w:t>
      </w:r>
      <w:r>
        <w:rPr>
          <w:rFonts w:ascii="Arial"/>
          <w:i/>
          <w:color w:val="00ACA1"/>
          <w:spacing w:val="21"/>
          <w:w w:val="95"/>
          <w:sz w:val="19"/>
        </w:rPr>
        <w:t xml:space="preserve"> </w:t>
      </w:r>
      <w:r>
        <w:rPr>
          <w:rFonts w:ascii="Arial"/>
          <w:i/>
          <w:color w:val="00ACA1"/>
          <w:w w:val="95"/>
          <w:sz w:val="19"/>
        </w:rPr>
        <w:t>EPA),</w:t>
      </w:r>
      <w:r>
        <w:rPr>
          <w:rFonts w:ascii="Arial"/>
          <w:i/>
          <w:color w:val="00ACA1"/>
          <w:spacing w:val="22"/>
          <w:w w:val="95"/>
          <w:sz w:val="19"/>
        </w:rPr>
        <w:t xml:space="preserve"> </w:t>
      </w:r>
      <w:r>
        <w:rPr>
          <w:rFonts w:ascii="Arial"/>
          <w:i/>
          <w:color w:val="00ACA1"/>
          <w:w w:val="95"/>
          <w:sz w:val="19"/>
        </w:rPr>
        <w:t>United</w:t>
      </w:r>
      <w:r>
        <w:rPr>
          <w:rFonts w:ascii="Arial"/>
          <w:i/>
          <w:color w:val="00ACA1"/>
          <w:spacing w:val="21"/>
          <w:w w:val="95"/>
          <w:sz w:val="19"/>
        </w:rPr>
        <w:t xml:space="preserve"> </w:t>
      </w:r>
      <w:r>
        <w:rPr>
          <w:rFonts w:ascii="Arial"/>
          <w:i/>
          <w:color w:val="00ACA1"/>
          <w:w w:val="95"/>
          <w:sz w:val="19"/>
        </w:rPr>
        <w:t>Technologies</w:t>
      </w:r>
      <w:r>
        <w:rPr>
          <w:rFonts w:ascii="Arial"/>
          <w:i/>
          <w:color w:val="00ACA1"/>
          <w:spacing w:val="22"/>
          <w:w w:val="95"/>
          <w:sz w:val="19"/>
        </w:rPr>
        <w:t xml:space="preserve"> </w:t>
      </w:r>
      <w:r>
        <w:rPr>
          <w:rFonts w:ascii="Arial"/>
          <w:i/>
          <w:color w:val="00ACA1"/>
          <w:w w:val="95"/>
          <w:sz w:val="19"/>
        </w:rPr>
        <w:t>Corporation,</w:t>
      </w:r>
      <w:r>
        <w:rPr>
          <w:rFonts w:ascii="Arial"/>
          <w:i/>
          <w:color w:val="00ACA1"/>
          <w:spacing w:val="21"/>
          <w:w w:val="95"/>
          <w:sz w:val="19"/>
        </w:rPr>
        <w:t xml:space="preserve"> </w:t>
      </w:r>
      <w:r>
        <w:rPr>
          <w:rFonts w:ascii="Arial"/>
          <w:i/>
          <w:color w:val="00ACA1"/>
          <w:w w:val="95"/>
          <w:sz w:val="19"/>
        </w:rPr>
        <w:t>UPS</w:t>
      </w:r>
      <w:r>
        <w:rPr>
          <w:rFonts w:ascii="Arial"/>
          <w:i/>
          <w:color w:val="00ACA1"/>
          <w:spacing w:val="22"/>
          <w:w w:val="95"/>
          <w:sz w:val="19"/>
        </w:rPr>
        <w:t xml:space="preserve"> </w:t>
      </w:r>
      <w:r>
        <w:rPr>
          <w:rFonts w:ascii="Arial"/>
          <w:i/>
          <w:color w:val="00ACA1"/>
          <w:w w:val="95"/>
          <w:sz w:val="19"/>
        </w:rPr>
        <w:t>Foundation,</w:t>
      </w:r>
      <w:r>
        <w:rPr>
          <w:rFonts w:ascii="Arial"/>
          <w:i/>
          <w:color w:val="00ACA1"/>
          <w:spacing w:val="1"/>
          <w:w w:val="95"/>
          <w:sz w:val="19"/>
        </w:rPr>
        <w:t xml:space="preserve"> </w:t>
      </w:r>
      <w:r>
        <w:rPr>
          <w:rFonts w:ascii="Arial"/>
          <w:i/>
          <w:color w:val="00ACA1"/>
          <w:sz w:val="19"/>
        </w:rPr>
        <w:t>and</w:t>
      </w:r>
      <w:r>
        <w:rPr>
          <w:rFonts w:ascii="Arial"/>
          <w:i/>
          <w:color w:val="00ACA1"/>
          <w:spacing w:val="-10"/>
          <w:sz w:val="19"/>
        </w:rPr>
        <w:t xml:space="preserve"> </w:t>
      </w:r>
      <w:r>
        <w:rPr>
          <w:rFonts w:ascii="Arial"/>
          <w:i/>
          <w:color w:val="00ACA1"/>
          <w:sz w:val="19"/>
        </w:rPr>
        <w:t>Walmart</w:t>
      </w:r>
      <w:r>
        <w:rPr>
          <w:rFonts w:ascii="Arial"/>
          <w:i/>
          <w:color w:val="00ACA1"/>
          <w:spacing w:val="-9"/>
          <w:sz w:val="19"/>
        </w:rPr>
        <w:t xml:space="preserve"> </w:t>
      </w:r>
      <w:r>
        <w:rPr>
          <w:rFonts w:ascii="Arial"/>
          <w:i/>
          <w:color w:val="00ACA1"/>
          <w:sz w:val="19"/>
        </w:rPr>
        <w:t>Foundation.</w:t>
      </w:r>
      <w:r>
        <w:rPr>
          <w:rFonts w:ascii="Arial"/>
          <w:i/>
          <w:color w:val="00ACA1"/>
          <w:spacing w:val="-9"/>
          <w:sz w:val="19"/>
        </w:rPr>
        <w:t xml:space="preserve"> </w:t>
      </w:r>
      <w:r>
        <w:rPr>
          <w:rFonts w:ascii="Arial"/>
          <w:i/>
          <w:color w:val="00ACA1"/>
          <w:sz w:val="19"/>
        </w:rPr>
        <w:t>WBCSD,</w:t>
      </w:r>
      <w:r>
        <w:rPr>
          <w:rFonts w:ascii="Arial"/>
          <w:i/>
          <w:color w:val="00ACA1"/>
          <w:spacing w:val="-9"/>
          <w:sz w:val="19"/>
        </w:rPr>
        <w:t xml:space="preserve"> </w:t>
      </w:r>
      <w:r>
        <w:rPr>
          <w:rFonts w:ascii="Arial"/>
          <w:i/>
          <w:color w:val="00ACA1"/>
          <w:sz w:val="19"/>
        </w:rPr>
        <w:t>funded</w:t>
      </w:r>
      <w:r>
        <w:rPr>
          <w:rFonts w:ascii="Arial"/>
          <w:i/>
          <w:color w:val="00ACA1"/>
          <w:spacing w:val="-9"/>
          <w:sz w:val="19"/>
        </w:rPr>
        <w:t xml:space="preserve"> </w:t>
      </w:r>
      <w:r>
        <w:rPr>
          <w:rFonts w:ascii="Arial"/>
          <w:i/>
          <w:color w:val="00ACA1"/>
          <w:sz w:val="19"/>
        </w:rPr>
        <w:t>by</w:t>
      </w:r>
      <w:r>
        <w:rPr>
          <w:rFonts w:ascii="Arial"/>
          <w:i/>
          <w:color w:val="00ACA1"/>
          <w:spacing w:val="-9"/>
          <w:sz w:val="19"/>
        </w:rPr>
        <w:t xml:space="preserve"> </w:t>
      </w:r>
      <w:r>
        <w:rPr>
          <w:rFonts w:ascii="Arial"/>
          <w:i/>
          <w:color w:val="00ACA1"/>
          <w:sz w:val="19"/>
        </w:rPr>
        <w:t>its</w:t>
      </w:r>
      <w:r>
        <w:rPr>
          <w:rFonts w:ascii="Arial"/>
          <w:i/>
          <w:color w:val="00ACA1"/>
          <w:spacing w:val="-9"/>
          <w:sz w:val="19"/>
        </w:rPr>
        <w:t xml:space="preserve"> </w:t>
      </w:r>
      <w:r>
        <w:rPr>
          <w:rFonts w:ascii="Arial"/>
          <w:i/>
          <w:color w:val="00ACA1"/>
          <w:sz w:val="19"/>
        </w:rPr>
        <w:t>member</w:t>
      </w:r>
      <w:r>
        <w:rPr>
          <w:rFonts w:ascii="Arial"/>
          <w:i/>
          <w:color w:val="00ACA1"/>
          <w:spacing w:val="-9"/>
          <w:sz w:val="19"/>
        </w:rPr>
        <w:t xml:space="preserve"> </w:t>
      </w:r>
      <w:r>
        <w:rPr>
          <w:rFonts w:ascii="Arial"/>
          <w:i/>
          <w:color w:val="00ACA1"/>
          <w:sz w:val="19"/>
        </w:rPr>
        <w:t>companies,</w:t>
      </w:r>
      <w:r>
        <w:rPr>
          <w:rFonts w:ascii="Arial"/>
          <w:i/>
          <w:color w:val="00ACA1"/>
          <w:spacing w:val="-9"/>
          <w:sz w:val="19"/>
        </w:rPr>
        <w:t xml:space="preserve"> </w:t>
      </w:r>
      <w:r>
        <w:rPr>
          <w:rFonts w:ascii="Arial"/>
          <w:i/>
          <w:color w:val="00ACA1"/>
          <w:sz w:val="19"/>
        </w:rPr>
        <w:t>also</w:t>
      </w:r>
      <w:r>
        <w:rPr>
          <w:rFonts w:ascii="Arial"/>
          <w:i/>
          <w:color w:val="00ACA1"/>
          <w:spacing w:val="-9"/>
          <w:sz w:val="19"/>
        </w:rPr>
        <w:t xml:space="preserve"> </w:t>
      </w:r>
      <w:r>
        <w:rPr>
          <w:rFonts w:ascii="Arial"/>
          <w:i/>
          <w:color w:val="00ACA1"/>
          <w:sz w:val="19"/>
        </w:rPr>
        <w:t>provided</w:t>
      </w:r>
      <w:r>
        <w:rPr>
          <w:rFonts w:ascii="Arial"/>
          <w:i/>
          <w:color w:val="00ACA1"/>
          <w:spacing w:val="-9"/>
          <w:sz w:val="19"/>
        </w:rPr>
        <w:t xml:space="preserve"> </w:t>
      </w:r>
      <w:r>
        <w:rPr>
          <w:rFonts w:ascii="Arial"/>
          <w:i/>
          <w:color w:val="00ACA1"/>
          <w:sz w:val="19"/>
        </w:rPr>
        <w:t>direct</w:t>
      </w:r>
      <w:r>
        <w:rPr>
          <w:rFonts w:ascii="Arial"/>
          <w:i/>
          <w:color w:val="00ACA1"/>
          <w:spacing w:val="-9"/>
          <w:sz w:val="19"/>
        </w:rPr>
        <w:t xml:space="preserve"> </w:t>
      </w:r>
      <w:r>
        <w:rPr>
          <w:rFonts w:ascii="Arial"/>
          <w:i/>
          <w:color w:val="00ACA1"/>
          <w:sz w:val="19"/>
        </w:rPr>
        <w:t>financial</w:t>
      </w:r>
      <w:r>
        <w:rPr>
          <w:rFonts w:ascii="Arial"/>
          <w:i/>
          <w:color w:val="00ACA1"/>
          <w:spacing w:val="-9"/>
          <w:sz w:val="19"/>
        </w:rPr>
        <w:t xml:space="preserve"> </w:t>
      </w:r>
      <w:r>
        <w:rPr>
          <w:rFonts w:ascii="Arial"/>
          <w:i/>
          <w:color w:val="00ACA1"/>
          <w:sz w:val="19"/>
        </w:rPr>
        <w:t>support.</w:t>
      </w:r>
    </w:p>
    <w:p w14:paraId="2458DB11" w14:textId="77777777" w:rsidR="0055291C" w:rsidRDefault="00F23C61">
      <w:pPr>
        <w:pStyle w:val="a3"/>
        <w:spacing w:before="9"/>
        <w:rPr>
          <w:rFonts w:ascii="Arial"/>
          <w:i/>
          <w:sz w:val="17"/>
        </w:rPr>
      </w:pPr>
      <w:r>
        <w:rPr>
          <w:noProof/>
        </w:rPr>
        <w:drawing>
          <wp:anchor distT="0" distB="0" distL="0" distR="0" simplePos="0" relativeHeight="251430400" behindDoc="0" locked="0" layoutInCell="1" allowOverlap="1" wp14:anchorId="0AE75914" wp14:editId="32ED5103">
            <wp:simplePos x="0" y="0"/>
            <wp:positionH relativeFrom="page">
              <wp:posOffset>0</wp:posOffset>
            </wp:positionH>
            <wp:positionV relativeFrom="paragraph">
              <wp:posOffset>145661</wp:posOffset>
            </wp:positionV>
            <wp:extent cx="7030860" cy="3194208"/>
            <wp:effectExtent l="0" t="0" r="0" b="0"/>
            <wp:wrapTopAndBottom/>
            <wp:docPr id="51"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23.jpeg"/>
                    <pic:cNvPicPr/>
                  </pic:nvPicPr>
                  <pic:blipFill>
                    <a:blip r:embed="rId412" cstate="print"/>
                    <a:stretch>
                      <a:fillRect/>
                    </a:stretch>
                  </pic:blipFill>
                  <pic:spPr>
                    <a:xfrm>
                      <a:off x="0" y="0"/>
                      <a:ext cx="7030860" cy="3194208"/>
                    </a:xfrm>
                    <a:prstGeom prst="rect">
                      <a:avLst/>
                    </a:prstGeom>
                  </pic:spPr>
                </pic:pic>
              </a:graphicData>
            </a:graphic>
          </wp:anchor>
        </w:drawing>
      </w:r>
    </w:p>
    <w:p w14:paraId="7FD8D58B" w14:textId="77777777" w:rsidR="0055291C" w:rsidRDefault="0055291C">
      <w:pPr>
        <w:pStyle w:val="a3"/>
        <w:spacing w:before="1"/>
        <w:rPr>
          <w:rFonts w:ascii="Arial"/>
          <w:i/>
          <w:sz w:val="21"/>
        </w:rPr>
      </w:pPr>
    </w:p>
    <w:p w14:paraId="3C852271" w14:textId="77777777" w:rsidR="0055291C" w:rsidRDefault="0055291C">
      <w:pPr>
        <w:rPr>
          <w:rFonts w:ascii="Arial"/>
          <w:sz w:val="21"/>
        </w:rPr>
        <w:sectPr w:rsidR="0055291C">
          <w:type w:val="continuous"/>
          <w:pgSz w:w="12240" w:h="15840"/>
          <w:pgMar w:top="740" w:right="0" w:bottom="280" w:left="0" w:header="0" w:footer="0" w:gutter="0"/>
          <w:cols w:space="720"/>
        </w:sectPr>
      </w:pPr>
    </w:p>
    <w:p w14:paraId="5A872716" w14:textId="77777777" w:rsidR="0055291C" w:rsidRDefault="00F23C61">
      <w:pPr>
        <w:pStyle w:val="a3"/>
        <w:spacing w:before="102" w:line="312" w:lineRule="auto"/>
        <w:ind w:left="1133" w:right="-8"/>
      </w:pPr>
      <w:r>
        <w:rPr>
          <w:color w:val="545456"/>
        </w:rPr>
        <w:t>Copyright</w:t>
      </w:r>
      <w:r>
        <w:rPr>
          <w:color w:val="545456"/>
          <w:spacing w:val="-5"/>
        </w:rPr>
        <w:t xml:space="preserve"> </w:t>
      </w:r>
      <w:r>
        <w:rPr>
          <w:color w:val="545456"/>
        </w:rPr>
        <w:t>©</w:t>
      </w:r>
      <w:r>
        <w:rPr>
          <w:color w:val="545456"/>
          <w:spacing w:val="-4"/>
        </w:rPr>
        <w:t xml:space="preserve"> </w:t>
      </w:r>
      <w:r>
        <w:rPr>
          <w:color w:val="545456"/>
        </w:rPr>
        <w:t>World</w:t>
      </w:r>
      <w:r>
        <w:rPr>
          <w:color w:val="545456"/>
          <w:spacing w:val="-4"/>
        </w:rPr>
        <w:t xml:space="preserve"> </w:t>
      </w:r>
      <w:r>
        <w:rPr>
          <w:color w:val="545456"/>
        </w:rPr>
        <w:t>Resources</w:t>
      </w:r>
      <w:r>
        <w:rPr>
          <w:color w:val="545456"/>
          <w:spacing w:val="-4"/>
        </w:rPr>
        <w:t xml:space="preserve"> </w:t>
      </w:r>
      <w:r>
        <w:rPr>
          <w:color w:val="545456"/>
        </w:rPr>
        <w:t>Institute</w:t>
      </w:r>
      <w:r>
        <w:rPr>
          <w:color w:val="545456"/>
          <w:spacing w:val="-4"/>
        </w:rPr>
        <w:t xml:space="preserve"> </w:t>
      </w:r>
      <w:r>
        <w:rPr>
          <w:color w:val="545456"/>
        </w:rPr>
        <w:t>and</w:t>
      </w:r>
      <w:r>
        <w:rPr>
          <w:color w:val="545456"/>
          <w:spacing w:val="-5"/>
        </w:rPr>
        <w:t xml:space="preserve"> </w:t>
      </w:r>
      <w:r>
        <w:rPr>
          <w:color w:val="545456"/>
        </w:rPr>
        <w:t>World</w:t>
      </w:r>
      <w:r>
        <w:rPr>
          <w:color w:val="545456"/>
          <w:spacing w:val="-47"/>
        </w:rPr>
        <w:t xml:space="preserve"> </w:t>
      </w:r>
      <w:r>
        <w:rPr>
          <w:color w:val="545456"/>
          <w:w w:val="95"/>
        </w:rPr>
        <w:t>Business</w:t>
      </w:r>
      <w:r>
        <w:rPr>
          <w:color w:val="545456"/>
          <w:spacing w:val="6"/>
          <w:w w:val="95"/>
        </w:rPr>
        <w:t xml:space="preserve"> </w:t>
      </w:r>
      <w:r>
        <w:rPr>
          <w:color w:val="545456"/>
          <w:w w:val="95"/>
        </w:rPr>
        <w:t>Council</w:t>
      </w:r>
      <w:r>
        <w:rPr>
          <w:color w:val="545456"/>
          <w:spacing w:val="6"/>
          <w:w w:val="95"/>
        </w:rPr>
        <w:t xml:space="preserve"> </w:t>
      </w:r>
      <w:r>
        <w:rPr>
          <w:color w:val="545456"/>
          <w:w w:val="95"/>
        </w:rPr>
        <w:t>for</w:t>
      </w:r>
      <w:r>
        <w:rPr>
          <w:color w:val="545456"/>
          <w:spacing w:val="7"/>
          <w:w w:val="95"/>
        </w:rPr>
        <w:t xml:space="preserve"> </w:t>
      </w:r>
      <w:r>
        <w:rPr>
          <w:color w:val="545456"/>
          <w:w w:val="95"/>
        </w:rPr>
        <w:t>Sustainable</w:t>
      </w:r>
      <w:r>
        <w:rPr>
          <w:color w:val="545456"/>
          <w:spacing w:val="6"/>
          <w:w w:val="95"/>
        </w:rPr>
        <w:t xml:space="preserve"> </w:t>
      </w:r>
      <w:r>
        <w:rPr>
          <w:color w:val="545456"/>
          <w:w w:val="95"/>
        </w:rPr>
        <w:t>Development,</w:t>
      </w:r>
      <w:r>
        <w:rPr>
          <w:color w:val="545456"/>
          <w:spacing w:val="1"/>
          <w:w w:val="95"/>
        </w:rPr>
        <w:t xml:space="preserve"> </w:t>
      </w:r>
      <w:r>
        <w:rPr>
          <w:color w:val="545456"/>
        </w:rPr>
        <w:t>September</w:t>
      </w:r>
      <w:r>
        <w:rPr>
          <w:color w:val="545456"/>
          <w:spacing w:val="-10"/>
        </w:rPr>
        <w:t xml:space="preserve"> </w:t>
      </w:r>
      <w:r>
        <w:rPr>
          <w:color w:val="545456"/>
        </w:rPr>
        <w:t>2011</w:t>
      </w:r>
    </w:p>
    <w:p w14:paraId="0DF34F43" w14:textId="77777777" w:rsidR="0055291C" w:rsidRDefault="00F23C61">
      <w:pPr>
        <w:pStyle w:val="a3"/>
        <w:spacing w:before="142"/>
        <w:ind w:left="1133"/>
      </w:pPr>
      <w:r>
        <w:rPr>
          <w:color w:val="545456"/>
          <w:w w:val="95"/>
        </w:rPr>
        <w:t>ISBN</w:t>
      </w:r>
      <w:r>
        <w:rPr>
          <w:color w:val="545456"/>
          <w:spacing w:val="46"/>
          <w:w w:val="95"/>
        </w:rPr>
        <w:t xml:space="preserve"> </w:t>
      </w:r>
      <w:r>
        <w:rPr>
          <w:color w:val="545456"/>
          <w:w w:val="95"/>
        </w:rPr>
        <w:t>978-1-56973-773-6</w:t>
      </w:r>
    </w:p>
    <w:p w14:paraId="4A346FC4" w14:textId="77777777" w:rsidR="0055291C" w:rsidRDefault="0055291C">
      <w:pPr>
        <w:pStyle w:val="a3"/>
        <w:spacing w:before="1"/>
        <w:rPr>
          <w:sz w:val="18"/>
        </w:rPr>
      </w:pPr>
    </w:p>
    <w:p w14:paraId="58B09568" w14:textId="77777777" w:rsidR="0055291C" w:rsidRDefault="00F23C61">
      <w:pPr>
        <w:pStyle w:val="a3"/>
        <w:ind w:left="1133"/>
      </w:pPr>
      <w:r>
        <w:rPr>
          <w:color w:val="545456"/>
          <w:w w:val="95"/>
        </w:rPr>
        <w:t>Printed</w:t>
      </w:r>
      <w:r>
        <w:rPr>
          <w:color w:val="545456"/>
          <w:spacing w:val="1"/>
          <w:w w:val="95"/>
        </w:rPr>
        <w:t xml:space="preserve"> </w:t>
      </w:r>
      <w:r>
        <w:rPr>
          <w:color w:val="545456"/>
          <w:w w:val="95"/>
        </w:rPr>
        <w:t>in</w:t>
      </w:r>
      <w:r>
        <w:rPr>
          <w:color w:val="545456"/>
          <w:spacing w:val="1"/>
          <w:w w:val="95"/>
        </w:rPr>
        <w:t xml:space="preserve"> </w:t>
      </w:r>
      <w:r>
        <w:rPr>
          <w:color w:val="545456"/>
          <w:w w:val="95"/>
        </w:rPr>
        <w:t>USA</w:t>
      </w:r>
    </w:p>
    <w:p w14:paraId="0960A381" w14:textId="77777777" w:rsidR="0055291C" w:rsidRDefault="00F23C61">
      <w:pPr>
        <w:spacing w:after="25"/>
        <w:rPr>
          <w:sz w:val="9"/>
        </w:rPr>
      </w:pPr>
      <w:r>
        <w:br w:type="column"/>
      </w:r>
    </w:p>
    <w:p w14:paraId="5B6D54D8" w14:textId="77777777" w:rsidR="0055291C" w:rsidRDefault="00F23C61">
      <w:pPr>
        <w:tabs>
          <w:tab w:val="left" w:pos="3157"/>
          <w:tab w:val="left" w:pos="4403"/>
        </w:tabs>
        <w:ind w:left="996"/>
        <w:rPr>
          <w:sz w:val="20"/>
        </w:rPr>
      </w:pPr>
      <w:r>
        <w:rPr>
          <w:noProof/>
          <w:sz w:val="20"/>
        </w:rPr>
        <w:drawing>
          <wp:inline distT="0" distB="0" distL="0" distR="0" wp14:anchorId="06A5E114" wp14:editId="607C4FD2">
            <wp:extent cx="1219186" cy="552450"/>
            <wp:effectExtent l="0" t="0" r="0" b="0"/>
            <wp:docPr id="53"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24.png"/>
                    <pic:cNvPicPr/>
                  </pic:nvPicPr>
                  <pic:blipFill>
                    <a:blip r:embed="rId413" cstate="print"/>
                    <a:stretch>
                      <a:fillRect/>
                    </a:stretch>
                  </pic:blipFill>
                  <pic:spPr>
                    <a:xfrm>
                      <a:off x="0" y="0"/>
                      <a:ext cx="1219186" cy="552450"/>
                    </a:xfrm>
                    <a:prstGeom prst="rect">
                      <a:avLst/>
                    </a:prstGeom>
                  </pic:spPr>
                </pic:pic>
              </a:graphicData>
            </a:graphic>
          </wp:inline>
        </w:drawing>
      </w:r>
      <w:r>
        <w:rPr>
          <w:sz w:val="20"/>
        </w:rPr>
        <w:tab/>
      </w:r>
      <w:r>
        <w:rPr>
          <w:noProof/>
          <w:sz w:val="20"/>
        </w:rPr>
        <w:drawing>
          <wp:inline distT="0" distB="0" distL="0" distR="0" wp14:anchorId="552D4077" wp14:editId="1C0F097A">
            <wp:extent cx="565646" cy="461962"/>
            <wp:effectExtent l="0" t="0" r="0" b="0"/>
            <wp:docPr id="55"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25.png"/>
                    <pic:cNvPicPr/>
                  </pic:nvPicPr>
                  <pic:blipFill>
                    <a:blip r:embed="rId414" cstate="print"/>
                    <a:stretch>
                      <a:fillRect/>
                    </a:stretch>
                  </pic:blipFill>
                  <pic:spPr>
                    <a:xfrm>
                      <a:off x="0" y="0"/>
                      <a:ext cx="565646" cy="461962"/>
                    </a:xfrm>
                    <a:prstGeom prst="rect">
                      <a:avLst/>
                    </a:prstGeom>
                  </pic:spPr>
                </pic:pic>
              </a:graphicData>
            </a:graphic>
          </wp:inline>
        </w:drawing>
      </w:r>
      <w:r>
        <w:rPr>
          <w:sz w:val="20"/>
        </w:rPr>
        <w:tab/>
      </w:r>
      <w:r>
        <w:rPr>
          <w:noProof/>
          <w:sz w:val="20"/>
        </w:rPr>
        <w:drawing>
          <wp:inline distT="0" distB="0" distL="0" distR="0" wp14:anchorId="100CA824" wp14:editId="07EB4D2A">
            <wp:extent cx="598686" cy="247364"/>
            <wp:effectExtent l="0" t="0" r="0" b="0"/>
            <wp:docPr id="57"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26.png"/>
                    <pic:cNvPicPr/>
                  </pic:nvPicPr>
                  <pic:blipFill>
                    <a:blip r:embed="rId415" cstate="print"/>
                    <a:stretch>
                      <a:fillRect/>
                    </a:stretch>
                  </pic:blipFill>
                  <pic:spPr>
                    <a:xfrm>
                      <a:off x="0" y="0"/>
                      <a:ext cx="598686" cy="247364"/>
                    </a:xfrm>
                    <a:prstGeom prst="rect">
                      <a:avLst/>
                    </a:prstGeom>
                  </pic:spPr>
                </pic:pic>
              </a:graphicData>
            </a:graphic>
          </wp:inline>
        </w:drawing>
      </w:r>
    </w:p>
    <w:p w14:paraId="0C5CB92A" w14:textId="77777777" w:rsidR="0055291C" w:rsidRDefault="0055291C">
      <w:pPr>
        <w:pStyle w:val="a3"/>
        <w:spacing w:before="10"/>
      </w:pPr>
    </w:p>
    <w:p w14:paraId="5C3839CD" w14:textId="77777777" w:rsidR="0055291C" w:rsidRDefault="00F23C61">
      <w:pPr>
        <w:pStyle w:val="a3"/>
        <w:spacing w:line="312" w:lineRule="auto"/>
        <w:ind w:left="963" w:right="1759"/>
      </w:pPr>
      <w:r>
        <w:rPr>
          <w:color w:val="545456"/>
        </w:rPr>
        <w:t>Printed on 70# Chorus Art Silk text and 80# cover</w:t>
      </w:r>
      <w:r>
        <w:rPr>
          <w:color w:val="545456"/>
          <w:spacing w:val="1"/>
        </w:rPr>
        <w:t xml:space="preserve"> </w:t>
      </w:r>
      <w:r>
        <w:rPr>
          <w:color w:val="545456"/>
          <w:w w:val="95"/>
        </w:rPr>
        <w:t>(30%</w:t>
      </w:r>
      <w:r>
        <w:rPr>
          <w:color w:val="545456"/>
          <w:spacing w:val="15"/>
          <w:w w:val="95"/>
        </w:rPr>
        <w:t xml:space="preserve"> </w:t>
      </w:r>
      <w:proofErr w:type="spellStart"/>
      <w:r>
        <w:rPr>
          <w:color w:val="545456"/>
          <w:w w:val="95"/>
        </w:rPr>
        <w:t>post</w:t>
      </w:r>
      <w:r>
        <w:rPr>
          <w:color w:val="545456"/>
          <w:spacing w:val="15"/>
          <w:w w:val="95"/>
        </w:rPr>
        <w:t xml:space="preserve"> </w:t>
      </w:r>
      <w:r>
        <w:rPr>
          <w:color w:val="545456"/>
          <w:w w:val="95"/>
        </w:rPr>
        <w:t>consumer</w:t>
      </w:r>
      <w:proofErr w:type="spellEnd"/>
      <w:r>
        <w:rPr>
          <w:color w:val="545456"/>
          <w:spacing w:val="15"/>
          <w:w w:val="95"/>
        </w:rPr>
        <w:t xml:space="preserve"> </w:t>
      </w:r>
      <w:r>
        <w:rPr>
          <w:color w:val="545456"/>
          <w:w w:val="95"/>
        </w:rPr>
        <w:t>recycled)</w:t>
      </w:r>
      <w:r>
        <w:rPr>
          <w:color w:val="545456"/>
          <w:spacing w:val="16"/>
          <w:w w:val="95"/>
        </w:rPr>
        <w:t xml:space="preserve"> </w:t>
      </w:r>
      <w:r>
        <w:rPr>
          <w:color w:val="545456"/>
          <w:w w:val="95"/>
        </w:rPr>
        <w:t>with</w:t>
      </w:r>
      <w:r>
        <w:rPr>
          <w:color w:val="545456"/>
          <w:spacing w:val="15"/>
          <w:w w:val="95"/>
        </w:rPr>
        <w:t xml:space="preserve"> </w:t>
      </w:r>
      <w:r>
        <w:rPr>
          <w:color w:val="545456"/>
          <w:w w:val="95"/>
        </w:rPr>
        <w:t>soy-based</w:t>
      </w:r>
      <w:r>
        <w:rPr>
          <w:color w:val="545456"/>
          <w:spacing w:val="15"/>
          <w:w w:val="95"/>
        </w:rPr>
        <w:t xml:space="preserve"> </w:t>
      </w:r>
      <w:r>
        <w:rPr>
          <w:color w:val="545456"/>
          <w:w w:val="95"/>
        </w:rPr>
        <w:t>inks.</w:t>
      </w:r>
    </w:p>
    <w:p w14:paraId="740E5A7E" w14:textId="77777777" w:rsidR="0055291C" w:rsidRDefault="0055291C">
      <w:pPr>
        <w:spacing w:line="312" w:lineRule="auto"/>
        <w:sectPr w:rsidR="0055291C">
          <w:type w:val="continuous"/>
          <w:pgSz w:w="12240" w:h="15840"/>
          <w:pgMar w:top="740" w:right="0" w:bottom="280" w:left="0" w:header="0" w:footer="0" w:gutter="0"/>
          <w:cols w:num="2" w:space="720" w:equalWidth="0">
            <w:col w:w="5263" w:space="40"/>
            <w:col w:w="6937"/>
          </w:cols>
        </w:sectPr>
      </w:pPr>
    </w:p>
    <w:p w14:paraId="65B278A0" w14:textId="77777777" w:rsidR="0055291C" w:rsidRDefault="0055291C">
      <w:pPr>
        <w:pStyle w:val="a3"/>
        <w:spacing w:before="8"/>
        <w:rPr>
          <w:sz w:val="14"/>
        </w:rPr>
      </w:pPr>
    </w:p>
    <w:p w14:paraId="0ACA7ED9" w14:textId="77777777" w:rsidR="0055291C" w:rsidRDefault="00000000">
      <w:pPr>
        <w:pStyle w:val="a3"/>
        <w:spacing w:line="20" w:lineRule="exact"/>
        <w:ind w:left="1133"/>
        <w:rPr>
          <w:sz w:val="2"/>
        </w:rPr>
      </w:pPr>
      <w:r>
        <w:rPr>
          <w:sz w:val="2"/>
        </w:rPr>
      </w:r>
      <w:r>
        <w:rPr>
          <w:sz w:val="2"/>
        </w:rPr>
        <w:pict w14:anchorId="3AA7F4B5">
          <v:group id="docshapegroup1746" o:spid="_x0000_s2073" style="width:498.65pt;height:.25pt;mso-position-horizontal-relative:char;mso-position-vertical-relative:line" coordsize="9973,5">
            <v:line id="_x0000_s2074" style="position:absolute" from="0,3" to="9972,3" strokecolor="#00aca1" strokeweight=".25pt"/>
            <w10:anchorlock/>
          </v:group>
        </w:pict>
      </w:r>
    </w:p>
    <w:p w14:paraId="157113D1" w14:textId="77777777" w:rsidR="0055291C" w:rsidRDefault="0055291C">
      <w:pPr>
        <w:pStyle w:val="a3"/>
        <w:spacing w:before="2"/>
        <w:rPr>
          <w:sz w:val="14"/>
        </w:rPr>
      </w:pPr>
    </w:p>
    <w:p w14:paraId="2E11E942" w14:textId="77777777" w:rsidR="0055291C" w:rsidRDefault="0055291C">
      <w:pPr>
        <w:rPr>
          <w:sz w:val="14"/>
        </w:rPr>
        <w:sectPr w:rsidR="0055291C">
          <w:type w:val="continuous"/>
          <w:pgSz w:w="12240" w:h="15840"/>
          <w:pgMar w:top="740" w:right="0" w:bottom="280" w:left="0" w:header="0" w:footer="0" w:gutter="0"/>
          <w:cols w:space="720"/>
        </w:sectPr>
      </w:pPr>
    </w:p>
    <w:p w14:paraId="002E4287" w14:textId="77777777" w:rsidR="0055291C" w:rsidRDefault="00F23C61">
      <w:pPr>
        <w:spacing w:before="99"/>
        <w:ind w:left="1133"/>
        <w:rPr>
          <w:rFonts w:ascii="Arial"/>
          <w:b/>
          <w:i/>
          <w:sz w:val="16"/>
        </w:rPr>
      </w:pPr>
      <w:r>
        <w:rPr>
          <w:color w:val="7F3F98"/>
          <w:w w:val="95"/>
          <w:sz w:val="16"/>
        </w:rPr>
        <w:t>[144]</w:t>
      </w:r>
      <w:r>
        <w:rPr>
          <w:color w:val="7F3F98"/>
          <w:spacing w:val="40"/>
          <w:sz w:val="16"/>
        </w:rPr>
        <w:t xml:space="preserve">  </w:t>
      </w:r>
      <w:r>
        <w:rPr>
          <w:rFonts w:ascii="Arial"/>
          <w:b/>
          <w:i/>
          <w:color w:val="545456"/>
          <w:w w:val="95"/>
          <w:sz w:val="16"/>
        </w:rPr>
        <w:t>Product</w:t>
      </w:r>
      <w:r>
        <w:rPr>
          <w:rFonts w:ascii="Arial"/>
          <w:b/>
          <w:i/>
          <w:color w:val="545456"/>
          <w:spacing w:val="18"/>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8"/>
          <w:w w:val="95"/>
          <w:sz w:val="16"/>
        </w:rPr>
        <w:t xml:space="preserve"> </w:t>
      </w:r>
      <w:r>
        <w:rPr>
          <w:rFonts w:ascii="Arial"/>
          <w:b/>
          <w:i/>
          <w:color w:val="545456"/>
          <w:w w:val="95"/>
          <w:sz w:val="16"/>
        </w:rPr>
        <w:t>Accounting</w:t>
      </w:r>
      <w:r>
        <w:rPr>
          <w:rFonts w:ascii="Arial"/>
          <w:b/>
          <w:i/>
          <w:color w:val="545456"/>
          <w:spacing w:val="18"/>
          <w:w w:val="95"/>
          <w:sz w:val="16"/>
        </w:rPr>
        <w:t xml:space="preserve"> </w:t>
      </w:r>
      <w:r>
        <w:rPr>
          <w:rFonts w:ascii="Arial"/>
          <w:b/>
          <w:i/>
          <w:color w:val="545456"/>
          <w:w w:val="95"/>
          <w:sz w:val="16"/>
        </w:rPr>
        <w:t>and</w:t>
      </w:r>
      <w:r>
        <w:rPr>
          <w:rFonts w:ascii="Arial"/>
          <w:b/>
          <w:i/>
          <w:color w:val="545456"/>
          <w:spacing w:val="18"/>
          <w:w w:val="95"/>
          <w:sz w:val="16"/>
        </w:rPr>
        <w:t xml:space="preserve"> </w:t>
      </w:r>
      <w:r>
        <w:rPr>
          <w:rFonts w:ascii="Arial"/>
          <w:b/>
          <w:i/>
          <w:color w:val="545456"/>
          <w:w w:val="95"/>
          <w:sz w:val="16"/>
        </w:rPr>
        <w:t>Reporting</w:t>
      </w:r>
      <w:r>
        <w:rPr>
          <w:rFonts w:ascii="Arial"/>
          <w:b/>
          <w:i/>
          <w:color w:val="545456"/>
          <w:spacing w:val="18"/>
          <w:w w:val="95"/>
          <w:sz w:val="16"/>
        </w:rPr>
        <w:t xml:space="preserve"> </w:t>
      </w:r>
      <w:r>
        <w:rPr>
          <w:rFonts w:ascii="Arial"/>
          <w:b/>
          <w:i/>
          <w:color w:val="545456"/>
          <w:w w:val="95"/>
          <w:sz w:val="16"/>
        </w:rPr>
        <w:t>Standard</w:t>
      </w:r>
    </w:p>
    <w:p w14:paraId="09BAD557" w14:textId="77777777" w:rsidR="0055291C" w:rsidRDefault="00F23C61">
      <w:pPr>
        <w:spacing w:before="118" w:line="328" w:lineRule="auto"/>
        <w:ind w:left="437" w:right="3329"/>
        <w:rPr>
          <w:rFonts w:ascii="Arial"/>
          <w:i/>
          <w:sz w:val="14"/>
        </w:rPr>
      </w:pPr>
      <w:r>
        <w:br w:type="column"/>
      </w:r>
      <w:r>
        <w:rPr>
          <w:rFonts w:ascii="Arial"/>
          <w:i/>
          <w:color w:val="545456"/>
          <w:w w:val="90"/>
          <w:sz w:val="14"/>
        </w:rPr>
        <w:t>Design: Alston</w:t>
      </w:r>
      <w:r>
        <w:rPr>
          <w:rFonts w:ascii="Arial"/>
          <w:i/>
          <w:color w:val="545456"/>
          <w:spacing w:val="1"/>
          <w:w w:val="90"/>
          <w:sz w:val="14"/>
        </w:rPr>
        <w:t xml:space="preserve"> </w:t>
      </w:r>
      <w:r>
        <w:rPr>
          <w:rFonts w:ascii="Arial"/>
          <w:i/>
          <w:color w:val="545456"/>
          <w:w w:val="90"/>
          <w:sz w:val="14"/>
        </w:rPr>
        <w:t>Taggart, Studio</w:t>
      </w:r>
      <w:r>
        <w:rPr>
          <w:rFonts w:ascii="Arial"/>
          <w:i/>
          <w:color w:val="545456"/>
          <w:spacing w:val="1"/>
          <w:w w:val="90"/>
          <w:sz w:val="14"/>
        </w:rPr>
        <w:t xml:space="preserve"> </w:t>
      </w:r>
      <w:r>
        <w:rPr>
          <w:rFonts w:ascii="Arial"/>
          <w:i/>
          <w:color w:val="545456"/>
          <w:w w:val="90"/>
          <w:sz w:val="14"/>
        </w:rPr>
        <w:t>Red Design</w:t>
      </w:r>
      <w:r>
        <w:rPr>
          <w:rFonts w:ascii="Arial"/>
          <w:i/>
          <w:color w:val="545456"/>
          <w:spacing w:val="1"/>
          <w:w w:val="90"/>
          <w:sz w:val="14"/>
        </w:rPr>
        <w:t xml:space="preserve"> </w:t>
      </w:r>
      <w:r>
        <w:rPr>
          <w:rFonts w:ascii="Arial"/>
          <w:i/>
          <w:color w:val="545456"/>
          <w:spacing w:val="-1"/>
          <w:w w:val="95"/>
          <w:sz w:val="14"/>
        </w:rPr>
        <w:t>Cover:</w:t>
      </w:r>
      <w:r>
        <w:rPr>
          <w:rFonts w:ascii="Arial"/>
          <w:i/>
          <w:color w:val="545456"/>
          <w:spacing w:val="-3"/>
          <w:w w:val="95"/>
          <w:sz w:val="14"/>
        </w:rPr>
        <w:t xml:space="preserve"> </w:t>
      </w:r>
      <w:proofErr w:type="spellStart"/>
      <w:r>
        <w:rPr>
          <w:rFonts w:ascii="Arial"/>
          <w:i/>
          <w:color w:val="545456"/>
          <w:spacing w:val="-1"/>
          <w:w w:val="95"/>
          <w:sz w:val="14"/>
        </w:rPr>
        <w:t>Futerra</w:t>
      </w:r>
      <w:proofErr w:type="spellEnd"/>
      <w:r>
        <w:rPr>
          <w:rFonts w:ascii="Arial"/>
          <w:i/>
          <w:color w:val="545456"/>
          <w:spacing w:val="-3"/>
          <w:w w:val="95"/>
          <w:sz w:val="14"/>
        </w:rPr>
        <w:t xml:space="preserve"> </w:t>
      </w:r>
      <w:r>
        <w:rPr>
          <w:rFonts w:ascii="Arial"/>
          <w:i/>
          <w:color w:val="545456"/>
          <w:spacing w:val="-1"/>
          <w:w w:val="95"/>
          <w:sz w:val="14"/>
        </w:rPr>
        <w:t>Sustainability</w:t>
      </w:r>
      <w:r>
        <w:rPr>
          <w:rFonts w:ascii="Arial"/>
          <w:i/>
          <w:color w:val="545456"/>
          <w:spacing w:val="-3"/>
          <w:w w:val="95"/>
          <w:sz w:val="14"/>
        </w:rPr>
        <w:t xml:space="preserve"> </w:t>
      </w:r>
      <w:r>
        <w:rPr>
          <w:rFonts w:ascii="Arial"/>
          <w:i/>
          <w:color w:val="545456"/>
          <w:spacing w:val="-1"/>
          <w:w w:val="95"/>
          <w:sz w:val="14"/>
        </w:rPr>
        <w:t>Communications</w:t>
      </w:r>
    </w:p>
    <w:p w14:paraId="5F972918" w14:textId="77777777" w:rsidR="0055291C" w:rsidRDefault="0055291C">
      <w:pPr>
        <w:spacing w:line="328" w:lineRule="auto"/>
        <w:rPr>
          <w:rFonts w:ascii="Arial"/>
          <w:sz w:val="14"/>
        </w:rPr>
        <w:sectPr w:rsidR="0055291C">
          <w:type w:val="continuous"/>
          <w:pgSz w:w="12240" w:h="15840"/>
          <w:pgMar w:top="740" w:right="0" w:bottom="280" w:left="0" w:header="0" w:footer="0" w:gutter="0"/>
          <w:cols w:num="2" w:space="720" w:equalWidth="0">
            <w:col w:w="5758" w:space="40"/>
            <w:col w:w="6442"/>
          </w:cols>
        </w:sectPr>
      </w:pPr>
    </w:p>
    <w:p w14:paraId="451078AB" w14:textId="77777777" w:rsidR="0055291C" w:rsidRDefault="0055291C">
      <w:pPr>
        <w:pStyle w:val="a3"/>
        <w:rPr>
          <w:rFonts w:ascii="Arial"/>
          <w:i/>
          <w:sz w:val="20"/>
        </w:rPr>
      </w:pPr>
    </w:p>
    <w:p w14:paraId="23F20573" w14:textId="77777777" w:rsidR="0055291C" w:rsidRDefault="0055291C">
      <w:pPr>
        <w:pStyle w:val="a3"/>
        <w:rPr>
          <w:rFonts w:ascii="Arial"/>
          <w:i/>
          <w:sz w:val="20"/>
        </w:rPr>
      </w:pPr>
    </w:p>
    <w:p w14:paraId="16C7D1A4" w14:textId="77777777" w:rsidR="0055291C" w:rsidRDefault="0055291C">
      <w:pPr>
        <w:pStyle w:val="a3"/>
        <w:rPr>
          <w:rFonts w:ascii="Arial"/>
          <w:i/>
          <w:sz w:val="20"/>
        </w:rPr>
      </w:pPr>
    </w:p>
    <w:p w14:paraId="0AC23149" w14:textId="77777777" w:rsidR="0055291C" w:rsidRDefault="0055291C">
      <w:pPr>
        <w:pStyle w:val="a3"/>
        <w:rPr>
          <w:rFonts w:ascii="Arial"/>
          <w:i/>
          <w:sz w:val="20"/>
        </w:rPr>
      </w:pPr>
    </w:p>
    <w:p w14:paraId="56E9738B" w14:textId="77777777" w:rsidR="0055291C" w:rsidRDefault="0055291C">
      <w:pPr>
        <w:pStyle w:val="a3"/>
        <w:rPr>
          <w:rFonts w:ascii="Arial"/>
          <w:i/>
          <w:sz w:val="20"/>
        </w:rPr>
      </w:pPr>
    </w:p>
    <w:p w14:paraId="550273E9" w14:textId="77777777" w:rsidR="0055291C" w:rsidRDefault="0055291C">
      <w:pPr>
        <w:pStyle w:val="a3"/>
        <w:rPr>
          <w:rFonts w:ascii="Arial"/>
          <w:i/>
          <w:sz w:val="20"/>
        </w:rPr>
      </w:pPr>
    </w:p>
    <w:p w14:paraId="5A25985F" w14:textId="77777777" w:rsidR="0055291C" w:rsidRDefault="0055291C">
      <w:pPr>
        <w:rPr>
          <w:rFonts w:ascii="Arial"/>
          <w:sz w:val="20"/>
        </w:rPr>
        <w:sectPr w:rsidR="0055291C">
          <w:headerReference w:type="default" r:id="rId416"/>
          <w:footerReference w:type="default" r:id="rId417"/>
          <w:pgSz w:w="12240" w:h="15840"/>
          <w:pgMar w:top="0" w:right="0" w:bottom="280" w:left="0" w:header="0" w:footer="0" w:gutter="0"/>
          <w:cols w:space="720"/>
        </w:sectPr>
      </w:pPr>
    </w:p>
    <w:p w14:paraId="6F534F79" w14:textId="77777777" w:rsidR="0055291C" w:rsidRDefault="00000000">
      <w:pPr>
        <w:pStyle w:val="3"/>
        <w:spacing w:before="229"/>
        <w:ind w:left="1123"/>
      </w:pPr>
      <w:r>
        <w:pict w14:anchorId="5863A29D">
          <v:shape id="docshape1747" o:spid="_x0000_s2072" style="position:absolute;left:0;text-align:left;margin-left:253.95pt;margin-top:-69pt;width:358.05pt;height:382.45pt;z-index:-251530752;mso-position-horizontal-relative:page" coordorigin="5079,-1380" coordsize="7161,7649" o:spt="100" adj="0,,0" path="m6524,-1380r-36,32l6436,-1298r-51,49l5945,-743r-301,460l5472,51r-55,128l8039,-25,9684,164r852,311l10780,639r-42,-64l10694,511r-44,-64l10604,383r-46,-63l10510,256r-48,-63l10412,131r-50,-62l10310,7r-52,-62l10206,-116r-54,-61l10098,-237r-54,-60l9989,-356r-56,-59l9877,-473r-56,-58l9765,-588r-57,-57l9651,-701r-56,-55l9538,-811r-628,-562l8901,-1380t-91,l9832,-518,10860,764r380,816l11295,1866r16,-75l11327,1716r14,-76l11354,1563r13,-78l11378,1407r11,-78l11398,1250r9,-79l11415,1091r8,-80l11429,931r6,-80l11440,770r4,-80l11448,610r3,-81l11453,449r1,-80l11456,289r,-79l11456,131r-1,-79l11454,-27r-42,-835l11360,-1380t-49,l11452,386r-191,1625l10946,2853r-166,241l10845,3052r65,-43l10975,2965r64,-45l11103,2874r64,-47l11231,2779r63,-49l11358,2680r62,-50l11483,2578r62,-52l11606,2473r61,-53l11728,2366r60,-54l11847,2257r59,-55l11965,2147r58,-56l12080,2035r56,-56l12192,1923r48,-49m12240,1821r-289,334l10653,3171r-826,375l9538,3601r75,16l9690,3632r77,14l9845,3659r78,12l10002,3683r80,10l10162,3703r80,9l10323,3720r81,7l10485,3733r81,6l10647,3744r81,4l10810,3752r81,3l10972,3757r81,1l11134,3760r81,l11295,3760r80,-1l11454,3758r786,-38m11244,5935r81,-34l11405,5865r78,-36l11560,5791r75,-39l11708,5713r73,-41l11851,5631r70,-43l11988,5545r67,-44l12120,5456r63,-45l12240,5368t,-1707l11038,3755,9392,3566,8540,3255,8296,3091r42,65l8382,3220r44,63l8472,3347r46,64l8566,3474r49,63l8664,3599r51,62l8766,3723r52,62l8871,3846r53,61l8978,3967r55,60l9088,4086r55,59l9199,4204r56,57l9312,4319r56,56l9425,4431r57,55l9539,4541r627,562l10712,5544r386,288l11244,5935t-3411,-2l7915,5966r81,31l8078,6025r81,27l8239,6078r80,23l8399,6123r80,20l8558,6161r79,17l8715,6193r78,14l8870,6219r76,11l9022,6239r76,8l9173,6254r74,5l9321,6263r72,3l9466,6268r71,1l10211,6218r541,-115l11113,5987r131,-52l9243,4248,8215,2965,7835,2150r-54,-286l7764,1939r-15,75l7735,2091r-14,77l7709,2245r-12,78l7687,2401r-10,79l7668,2560r-8,79l7653,2719r-7,80l7641,2879r-5,81l7631,3040r-3,80l7625,3201r-3,80l7621,3361r-1,80l7619,3520r,80l7620,3679r1,78l7663,4593r72,693l7803,5758r30,175m5418,3550r34,81l5488,3709r37,77l5563,3862r39,74l5642,4009r42,71l5726,4149r43,69l5813,4284r44,66l5903,4414r46,62l5996,4537r47,60l6091,4656r48,57l6188,4768r49,55l6286,4876r50,52l6386,4978r513,434l7364,5709r338,170l7833,5933,7626,3344,7816,1719,8132,876,8297,636r-65,42l8167,720r-64,44l8038,810r-64,46l7910,903r-64,48l7783,1000r-63,50l7657,1100r-62,52l7533,1204r-61,53l7411,1310r-61,54l7290,1418r-60,55l7171,1528r-58,55l7055,1639r-57,56l6941,1751r-56,56l6830,1863r-569,621l5814,3024r-292,382l5418,3550m5417,179r-33,81l5353,341r-29,80l5297,501r-25,80l5248,660r-22,79l5206,818r-18,78l5171,974r-16,77l5142,1128r-13,77l5119,1280r-10,76l5101,1430r-7,74l5089,1578r-4,72l5082,1722r-2,72l5079,1864r52,666l5247,3065r117,356l5418,3550,7125,1575,8424,559,9250,183r289,-54l9463,113,9387,98,9309,84,9232,71,9153,59,9074,47,8995,37,8915,27r-81,-9l8754,11,8673,3r-81,-6l8511,-9r-82,-5l8348,-18r-81,-3l8185,-24r-81,-3l8023,-28r-81,-1l7862,-30r-81,l7702,-29r-80,1l6776,13,6074,84r-479,66l5417,179e" filled="f" strokecolor="#d9dadc" strokeweight=".5pt">
            <v:stroke joinstyle="round"/>
            <v:formulas/>
            <v:path arrowok="t" o:connecttype="segments"/>
            <w10:wrap anchorx="page"/>
          </v:shape>
        </w:pict>
      </w:r>
      <w:r w:rsidR="00F23C61">
        <w:rPr>
          <w:color w:val="00ACA1"/>
          <w:spacing w:val="-1"/>
          <w:w w:val="95"/>
        </w:rPr>
        <w:t>World</w:t>
      </w:r>
      <w:r w:rsidR="00F23C61">
        <w:rPr>
          <w:color w:val="00ACA1"/>
          <w:spacing w:val="-12"/>
          <w:w w:val="95"/>
        </w:rPr>
        <w:t xml:space="preserve"> </w:t>
      </w:r>
      <w:r w:rsidR="00F23C61">
        <w:rPr>
          <w:color w:val="00ACA1"/>
          <w:spacing w:val="-1"/>
          <w:w w:val="95"/>
        </w:rPr>
        <w:t>Business</w:t>
      </w:r>
      <w:r w:rsidR="00F23C61">
        <w:rPr>
          <w:color w:val="00ACA1"/>
          <w:spacing w:val="-11"/>
          <w:w w:val="95"/>
        </w:rPr>
        <w:t xml:space="preserve"> </w:t>
      </w:r>
      <w:r w:rsidR="00F23C61">
        <w:rPr>
          <w:color w:val="00ACA1"/>
          <w:w w:val="95"/>
        </w:rPr>
        <w:t>Council</w:t>
      </w:r>
    </w:p>
    <w:p w14:paraId="6A1CC26D" w14:textId="77777777" w:rsidR="0055291C" w:rsidRDefault="00F23C61">
      <w:pPr>
        <w:spacing w:before="4"/>
        <w:ind w:left="1123"/>
        <w:rPr>
          <w:rFonts w:ascii="Arial"/>
          <w:b/>
          <w:i/>
          <w:sz w:val="24"/>
        </w:rPr>
      </w:pPr>
      <w:r>
        <w:rPr>
          <w:rFonts w:ascii="Arial"/>
          <w:b/>
          <w:i/>
          <w:color w:val="00ACA1"/>
          <w:w w:val="95"/>
          <w:sz w:val="24"/>
        </w:rPr>
        <w:t>for</w:t>
      </w:r>
      <w:r>
        <w:rPr>
          <w:rFonts w:ascii="Arial"/>
          <w:b/>
          <w:i/>
          <w:color w:val="00ACA1"/>
          <w:spacing w:val="20"/>
          <w:w w:val="95"/>
          <w:sz w:val="24"/>
        </w:rPr>
        <w:t xml:space="preserve"> </w:t>
      </w:r>
      <w:r>
        <w:rPr>
          <w:rFonts w:ascii="Arial"/>
          <w:b/>
          <w:i/>
          <w:color w:val="00ACA1"/>
          <w:w w:val="95"/>
          <w:sz w:val="24"/>
        </w:rPr>
        <w:t>Sustainable</w:t>
      </w:r>
      <w:r>
        <w:rPr>
          <w:rFonts w:ascii="Arial"/>
          <w:b/>
          <w:i/>
          <w:color w:val="00ACA1"/>
          <w:spacing w:val="21"/>
          <w:w w:val="95"/>
          <w:sz w:val="24"/>
        </w:rPr>
        <w:t xml:space="preserve"> </w:t>
      </w:r>
      <w:r>
        <w:rPr>
          <w:rFonts w:ascii="Arial"/>
          <w:b/>
          <w:i/>
          <w:color w:val="00ACA1"/>
          <w:w w:val="95"/>
          <w:sz w:val="24"/>
        </w:rPr>
        <w:t>Development</w:t>
      </w:r>
      <w:r>
        <w:rPr>
          <w:rFonts w:ascii="Arial"/>
          <w:b/>
          <w:i/>
          <w:color w:val="00ACA1"/>
          <w:spacing w:val="21"/>
          <w:w w:val="95"/>
          <w:sz w:val="24"/>
        </w:rPr>
        <w:t xml:space="preserve"> </w:t>
      </w:r>
      <w:r>
        <w:rPr>
          <w:rFonts w:ascii="Arial"/>
          <w:b/>
          <w:i/>
          <w:color w:val="00ACA1"/>
          <w:w w:val="95"/>
          <w:sz w:val="24"/>
        </w:rPr>
        <w:t>(WBCSD)</w:t>
      </w:r>
    </w:p>
    <w:p w14:paraId="6C5BB7F8" w14:textId="77777777" w:rsidR="0055291C" w:rsidRDefault="00F23C61">
      <w:pPr>
        <w:pStyle w:val="a3"/>
        <w:spacing w:before="54"/>
        <w:ind w:left="1123"/>
      </w:pPr>
      <w:r>
        <w:rPr>
          <w:color w:val="545456"/>
        </w:rPr>
        <w:t>The</w:t>
      </w:r>
      <w:r>
        <w:rPr>
          <w:color w:val="545456"/>
          <w:spacing w:val="-11"/>
        </w:rPr>
        <w:t xml:space="preserve"> </w:t>
      </w:r>
      <w:r>
        <w:rPr>
          <w:color w:val="545456"/>
        </w:rPr>
        <w:t>WBCSD</w:t>
      </w:r>
      <w:r>
        <w:rPr>
          <w:color w:val="545456"/>
          <w:spacing w:val="-10"/>
        </w:rPr>
        <w:t xml:space="preserve"> </w:t>
      </w:r>
      <w:r>
        <w:rPr>
          <w:color w:val="545456"/>
        </w:rPr>
        <w:t>is</w:t>
      </w:r>
      <w:r>
        <w:rPr>
          <w:color w:val="545456"/>
          <w:spacing w:val="-11"/>
        </w:rPr>
        <w:t xml:space="preserve"> </w:t>
      </w:r>
      <w:r>
        <w:rPr>
          <w:color w:val="545456"/>
        </w:rPr>
        <w:t>a</w:t>
      </w:r>
      <w:r>
        <w:rPr>
          <w:color w:val="545456"/>
          <w:spacing w:val="-10"/>
        </w:rPr>
        <w:t xml:space="preserve"> </w:t>
      </w:r>
      <w:r>
        <w:rPr>
          <w:color w:val="545456"/>
        </w:rPr>
        <w:t>CEO-led,</w:t>
      </w:r>
      <w:r>
        <w:rPr>
          <w:color w:val="545456"/>
          <w:spacing w:val="-11"/>
        </w:rPr>
        <w:t xml:space="preserve"> </w:t>
      </w:r>
      <w:r>
        <w:rPr>
          <w:color w:val="545456"/>
        </w:rPr>
        <w:t>global</w:t>
      </w:r>
      <w:r>
        <w:rPr>
          <w:color w:val="545456"/>
          <w:spacing w:val="-10"/>
        </w:rPr>
        <w:t xml:space="preserve"> </w:t>
      </w:r>
      <w:r>
        <w:rPr>
          <w:color w:val="545456"/>
        </w:rPr>
        <w:t>coalition</w:t>
      </w:r>
      <w:r>
        <w:rPr>
          <w:color w:val="545456"/>
          <w:spacing w:val="-11"/>
        </w:rPr>
        <w:t xml:space="preserve"> </w:t>
      </w:r>
      <w:r>
        <w:rPr>
          <w:color w:val="545456"/>
        </w:rPr>
        <w:t>of</w:t>
      </w:r>
      <w:r>
        <w:rPr>
          <w:color w:val="545456"/>
          <w:spacing w:val="-10"/>
        </w:rPr>
        <w:t xml:space="preserve"> </w:t>
      </w:r>
      <w:r>
        <w:rPr>
          <w:color w:val="545456"/>
        </w:rPr>
        <w:t>some</w:t>
      </w:r>
    </w:p>
    <w:p w14:paraId="15ADA646" w14:textId="77777777" w:rsidR="0055291C" w:rsidRDefault="00F23C61">
      <w:pPr>
        <w:pStyle w:val="a3"/>
        <w:spacing w:before="65" w:line="312" w:lineRule="auto"/>
        <w:ind w:left="1123" w:right="80"/>
      </w:pPr>
      <w:r>
        <w:rPr>
          <w:color w:val="545456"/>
        </w:rPr>
        <w:t>200</w:t>
      </w:r>
      <w:r>
        <w:rPr>
          <w:color w:val="545456"/>
          <w:spacing w:val="4"/>
        </w:rPr>
        <w:t xml:space="preserve"> </w:t>
      </w:r>
      <w:r>
        <w:rPr>
          <w:color w:val="545456"/>
        </w:rPr>
        <w:t>companies</w:t>
      </w:r>
      <w:r>
        <w:rPr>
          <w:color w:val="545456"/>
          <w:spacing w:val="4"/>
        </w:rPr>
        <w:t xml:space="preserve"> </w:t>
      </w:r>
      <w:r>
        <w:rPr>
          <w:color w:val="545456"/>
        </w:rPr>
        <w:t>advocating</w:t>
      </w:r>
      <w:r>
        <w:rPr>
          <w:color w:val="545456"/>
          <w:spacing w:val="5"/>
        </w:rPr>
        <w:t xml:space="preserve"> </w:t>
      </w:r>
      <w:r>
        <w:rPr>
          <w:color w:val="545456"/>
        </w:rPr>
        <w:t>for</w:t>
      </w:r>
      <w:r>
        <w:rPr>
          <w:color w:val="545456"/>
          <w:spacing w:val="4"/>
        </w:rPr>
        <w:t xml:space="preserve"> </w:t>
      </w:r>
      <w:r>
        <w:rPr>
          <w:color w:val="545456"/>
        </w:rPr>
        <w:t>progress</w:t>
      </w:r>
      <w:r>
        <w:rPr>
          <w:color w:val="545456"/>
          <w:spacing w:val="4"/>
        </w:rPr>
        <w:t xml:space="preserve"> </w:t>
      </w:r>
      <w:r>
        <w:rPr>
          <w:color w:val="545456"/>
        </w:rPr>
        <w:t>on</w:t>
      </w:r>
      <w:r>
        <w:rPr>
          <w:color w:val="545456"/>
          <w:spacing w:val="5"/>
        </w:rPr>
        <w:t xml:space="preserve"> </w:t>
      </w:r>
      <w:r>
        <w:rPr>
          <w:color w:val="545456"/>
        </w:rPr>
        <w:t>sustainable</w:t>
      </w:r>
      <w:r>
        <w:rPr>
          <w:color w:val="545456"/>
          <w:spacing w:val="1"/>
        </w:rPr>
        <w:t xml:space="preserve"> </w:t>
      </w:r>
      <w:r>
        <w:rPr>
          <w:color w:val="545456"/>
        </w:rPr>
        <w:t>development.</w:t>
      </w:r>
      <w:r>
        <w:rPr>
          <w:color w:val="545456"/>
          <w:spacing w:val="1"/>
        </w:rPr>
        <w:t xml:space="preserve"> </w:t>
      </w:r>
      <w:r>
        <w:rPr>
          <w:color w:val="545456"/>
        </w:rPr>
        <w:t>Its</w:t>
      </w:r>
      <w:r>
        <w:rPr>
          <w:color w:val="545456"/>
          <w:spacing w:val="2"/>
        </w:rPr>
        <w:t xml:space="preserve"> </w:t>
      </w:r>
      <w:r>
        <w:rPr>
          <w:color w:val="545456"/>
        </w:rPr>
        <w:t>mission</w:t>
      </w:r>
      <w:r>
        <w:rPr>
          <w:color w:val="545456"/>
          <w:spacing w:val="2"/>
        </w:rPr>
        <w:t xml:space="preserve"> </w:t>
      </w:r>
      <w:r>
        <w:rPr>
          <w:color w:val="545456"/>
        </w:rPr>
        <w:t>is</w:t>
      </w:r>
      <w:r>
        <w:rPr>
          <w:color w:val="545456"/>
          <w:spacing w:val="2"/>
        </w:rPr>
        <w:t xml:space="preserve"> </w:t>
      </w:r>
      <w:r>
        <w:rPr>
          <w:color w:val="545456"/>
        </w:rPr>
        <w:t>to</w:t>
      </w:r>
      <w:r>
        <w:rPr>
          <w:color w:val="545456"/>
          <w:spacing w:val="2"/>
        </w:rPr>
        <w:t xml:space="preserve"> </w:t>
      </w:r>
      <w:r>
        <w:rPr>
          <w:color w:val="545456"/>
        </w:rPr>
        <w:t>be</w:t>
      </w:r>
      <w:r>
        <w:rPr>
          <w:color w:val="545456"/>
          <w:spacing w:val="2"/>
        </w:rPr>
        <w:t xml:space="preserve"> </w:t>
      </w:r>
      <w:r>
        <w:rPr>
          <w:color w:val="545456"/>
        </w:rPr>
        <w:t>a</w:t>
      </w:r>
      <w:r>
        <w:rPr>
          <w:color w:val="545456"/>
          <w:spacing w:val="2"/>
        </w:rPr>
        <w:t xml:space="preserve"> </w:t>
      </w:r>
      <w:r>
        <w:rPr>
          <w:color w:val="545456"/>
        </w:rPr>
        <w:t>catalyst</w:t>
      </w:r>
      <w:r>
        <w:rPr>
          <w:color w:val="545456"/>
          <w:spacing w:val="2"/>
        </w:rPr>
        <w:t xml:space="preserve"> </w:t>
      </w:r>
      <w:r>
        <w:rPr>
          <w:color w:val="545456"/>
        </w:rPr>
        <w:t>for</w:t>
      </w:r>
      <w:r>
        <w:rPr>
          <w:color w:val="545456"/>
          <w:spacing w:val="1"/>
        </w:rPr>
        <w:t xml:space="preserve"> </w:t>
      </w:r>
      <w:r>
        <w:rPr>
          <w:color w:val="545456"/>
        </w:rPr>
        <w:t>innovation</w:t>
      </w:r>
      <w:r>
        <w:rPr>
          <w:color w:val="545456"/>
          <w:spacing w:val="6"/>
        </w:rPr>
        <w:t xml:space="preserve"> </w:t>
      </w:r>
      <w:r>
        <w:rPr>
          <w:color w:val="545456"/>
        </w:rPr>
        <w:t>and</w:t>
      </w:r>
      <w:r>
        <w:rPr>
          <w:color w:val="545456"/>
          <w:spacing w:val="6"/>
        </w:rPr>
        <w:t xml:space="preserve"> </w:t>
      </w:r>
      <w:r>
        <w:rPr>
          <w:color w:val="545456"/>
        </w:rPr>
        <w:t>sustainable</w:t>
      </w:r>
      <w:r>
        <w:rPr>
          <w:color w:val="545456"/>
          <w:spacing w:val="7"/>
        </w:rPr>
        <w:t xml:space="preserve"> </w:t>
      </w:r>
      <w:r>
        <w:rPr>
          <w:color w:val="545456"/>
        </w:rPr>
        <w:t>growth</w:t>
      </w:r>
      <w:r>
        <w:rPr>
          <w:color w:val="545456"/>
          <w:spacing w:val="6"/>
        </w:rPr>
        <w:t xml:space="preserve"> </w:t>
      </w:r>
      <w:r>
        <w:rPr>
          <w:color w:val="545456"/>
        </w:rPr>
        <w:t>in</w:t>
      </w:r>
      <w:r>
        <w:rPr>
          <w:color w:val="545456"/>
          <w:spacing w:val="7"/>
        </w:rPr>
        <w:t xml:space="preserve"> </w:t>
      </w:r>
      <w:r>
        <w:rPr>
          <w:color w:val="545456"/>
        </w:rPr>
        <w:t>a</w:t>
      </w:r>
      <w:r>
        <w:rPr>
          <w:color w:val="545456"/>
          <w:spacing w:val="6"/>
        </w:rPr>
        <w:t xml:space="preserve"> </w:t>
      </w:r>
      <w:r>
        <w:rPr>
          <w:color w:val="545456"/>
        </w:rPr>
        <w:t>world</w:t>
      </w:r>
      <w:r>
        <w:rPr>
          <w:color w:val="545456"/>
          <w:spacing w:val="6"/>
        </w:rPr>
        <w:t xml:space="preserve"> </w:t>
      </w:r>
      <w:r>
        <w:rPr>
          <w:color w:val="545456"/>
        </w:rPr>
        <w:t>where</w:t>
      </w:r>
      <w:r>
        <w:rPr>
          <w:color w:val="545456"/>
          <w:spacing w:val="1"/>
        </w:rPr>
        <w:t xml:space="preserve"> </w:t>
      </w:r>
      <w:r>
        <w:rPr>
          <w:color w:val="545456"/>
        </w:rPr>
        <w:t>resources are increasingly limited. The Council provides</w:t>
      </w:r>
      <w:r>
        <w:rPr>
          <w:color w:val="545456"/>
          <w:spacing w:val="1"/>
        </w:rPr>
        <w:t xml:space="preserve"> </w:t>
      </w:r>
      <w:r>
        <w:rPr>
          <w:color w:val="545456"/>
        </w:rPr>
        <w:t>a platform</w:t>
      </w:r>
      <w:r>
        <w:rPr>
          <w:color w:val="545456"/>
          <w:spacing w:val="1"/>
        </w:rPr>
        <w:t xml:space="preserve"> </w:t>
      </w:r>
      <w:r>
        <w:rPr>
          <w:color w:val="545456"/>
        </w:rPr>
        <w:t>for companies</w:t>
      </w:r>
      <w:r>
        <w:rPr>
          <w:color w:val="545456"/>
          <w:spacing w:val="1"/>
        </w:rPr>
        <w:t xml:space="preserve"> </w:t>
      </w:r>
      <w:r>
        <w:rPr>
          <w:color w:val="545456"/>
        </w:rPr>
        <w:t>to share</w:t>
      </w:r>
      <w:r>
        <w:rPr>
          <w:color w:val="545456"/>
          <w:spacing w:val="1"/>
        </w:rPr>
        <w:t xml:space="preserve"> </w:t>
      </w:r>
      <w:r>
        <w:rPr>
          <w:color w:val="545456"/>
        </w:rPr>
        <w:t>experiences</w:t>
      </w:r>
    </w:p>
    <w:p w14:paraId="41D0849A" w14:textId="77777777" w:rsidR="0055291C" w:rsidRDefault="00F23C61">
      <w:pPr>
        <w:pStyle w:val="a3"/>
        <w:spacing w:before="2" w:line="312" w:lineRule="auto"/>
        <w:ind w:left="1123" w:right="326"/>
      </w:pPr>
      <w:r>
        <w:rPr>
          <w:color w:val="545456"/>
        </w:rPr>
        <w:t>and</w:t>
      </w:r>
      <w:r>
        <w:rPr>
          <w:color w:val="545456"/>
          <w:spacing w:val="3"/>
        </w:rPr>
        <w:t xml:space="preserve"> </w:t>
      </w:r>
      <w:r>
        <w:rPr>
          <w:color w:val="545456"/>
        </w:rPr>
        <w:t>best</w:t>
      </w:r>
      <w:r>
        <w:rPr>
          <w:color w:val="545456"/>
          <w:spacing w:val="4"/>
        </w:rPr>
        <w:t xml:space="preserve"> </w:t>
      </w:r>
      <w:r>
        <w:rPr>
          <w:color w:val="545456"/>
        </w:rPr>
        <w:t>practices</w:t>
      </w:r>
      <w:r>
        <w:rPr>
          <w:color w:val="545456"/>
          <w:spacing w:val="3"/>
        </w:rPr>
        <w:t xml:space="preserve"> </w:t>
      </w:r>
      <w:r>
        <w:rPr>
          <w:color w:val="545456"/>
        </w:rPr>
        <w:t>on</w:t>
      </w:r>
      <w:r>
        <w:rPr>
          <w:color w:val="545456"/>
          <w:spacing w:val="4"/>
        </w:rPr>
        <w:t xml:space="preserve"> </w:t>
      </w:r>
      <w:r>
        <w:rPr>
          <w:color w:val="545456"/>
        </w:rPr>
        <w:t>sustainable</w:t>
      </w:r>
      <w:r>
        <w:rPr>
          <w:color w:val="545456"/>
          <w:spacing w:val="3"/>
        </w:rPr>
        <w:t xml:space="preserve"> </w:t>
      </w:r>
      <w:r>
        <w:rPr>
          <w:color w:val="545456"/>
        </w:rPr>
        <w:t>development</w:t>
      </w:r>
      <w:r>
        <w:rPr>
          <w:color w:val="545456"/>
          <w:spacing w:val="1"/>
        </w:rPr>
        <w:t xml:space="preserve"> </w:t>
      </w:r>
      <w:r>
        <w:rPr>
          <w:color w:val="545456"/>
        </w:rPr>
        <w:t>issues</w:t>
      </w:r>
      <w:r>
        <w:rPr>
          <w:color w:val="545456"/>
          <w:spacing w:val="7"/>
        </w:rPr>
        <w:t xml:space="preserve"> </w:t>
      </w:r>
      <w:r>
        <w:rPr>
          <w:color w:val="545456"/>
        </w:rPr>
        <w:t>and</w:t>
      </w:r>
      <w:r>
        <w:rPr>
          <w:color w:val="545456"/>
          <w:spacing w:val="8"/>
        </w:rPr>
        <w:t xml:space="preserve"> </w:t>
      </w:r>
      <w:r>
        <w:rPr>
          <w:color w:val="545456"/>
        </w:rPr>
        <w:t>advocate</w:t>
      </w:r>
      <w:r>
        <w:rPr>
          <w:color w:val="545456"/>
          <w:spacing w:val="7"/>
        </w:rPr>
        <w:t xml:space="preserve"> </w:t>
      </w:r>
      <w:r>
        <w:rPr>
          <w:color w:val="545456"/>
        </w:rPr>
        <w:t>for</w:t>
      </w:r>
      <w:r>
        <w:rPr>
          <w:color w:val="545456"/>
          <w:spacing w:val="8"/>
        </w:rPr>
        <w:t xml:space="preserve"> </w:t>
      </w:r>
      <w:r>
        <w:rPr>
          <w:color w:val="545456"/>
        </w:rPr>
        <w:t>their</w:t>
      </w:r>
      <w:r>
        <w:rPr>
          <w:color w:val="545456"/>
          <w:spacing w:val="8"/>
        </w:rPr>
        <w:t xml:space="preserve"> </w:t>
      </w:r>
      <w:r>
        <w:rPr>
          <w:color w:val="545456"/>
        </w:rPr>
        <w:t>implementation,</w:t>
      </w:r>
      <w:r>
        <w:rPr>
          <w:color w:val="545456"/>
          <w:spacing w:val="1"/>
        </w:rPr>
        <w:t xml:space="preserve"> </w:t>
      </w:r>
      <w:r>
        <w:rPr>
          <w:color w:val="545456"/>
        </w:rPr>
        <w:t>working</w:t>
      </w:r>
      <w:r>
        <w:rPr>
          <w:color w:val="545456"/>
          <w:spacing w:val="1"/>
        </w:rPr>
        <w:t xml:space="preserve"> </w:t>
      </w:r>
      <w:r>
        <w:rPr>
          <w:color w:val="545456"/>
        </w:rPr>
        <w:t>with</w:t>
      </w:r>
      <w:r>
        <w:rPr>
          <w:color w:val="545456"/>
          <w:spacing w:val="1"/>
        </w:rPr>
        <w:t xml:space="preserve"> </w:t>
      </w:r>
      <w:r>
        <w:rPr>
          <w:color w:val="545456"/>
        </w:rPr>
        <w:t>governments,</w:t>
      </w:r>
      <w:r>
        <w:rPr>
          <w:color w:val="545456"/>
          <w:spacing w:val="1"/>
        </w:rPr>
        <w:t xml:space="preserve"> </w:t>
      </w:r>
      <w:r>
        <w:rPr>
          <w:color w:val="545456"/>
        </w:rPr>
        <w:t>non-governmental</w:t>
      </w:r>
      <w:r>
        <w:rPr>
          <w:color w:val="545456"/>
          <w:spacing w:val="1"/>
        </w:rPr>
        <w:t xml:space="preserve"> </w:t>
      </w:r>
      <w:r>
        <w:rPr>
          <w:color w:val="545456"/>
        </w:rPr>
        <w:t>and</w:t>
      </w:r>
      <w:r>
        <w:rPr>
          <w:color w:val="545456"/>
          <w:spacing w:val="1"/>
        </w:rPr>
        <w:t xml:space="preserve"> </w:t>
      </w:r>
      <w:r>
        <w:rPr>
          <w:color w:val="545456"/>
        </w:rPr>
        <w:t>intergovernmental</w:t>
      </w:r>
      <w:r>
        <w:rPr>
          <w:color w:val="545456"/>
          <w:spacing w:val="13"/>
        </w:rPr>
        <w:t xml:space="preserve"> </w:t>
      </w:r>
      <w:r>
        <w:rPr>
          <w:color w:val="545456"/>
        </w:rPr>
        <w:t>organizations.</w:t>
      </w:r>
      <w:r>
        <w:rPr>
          <w:color w:val="545456"/>
          <w:spacing w:val="14"/>
        </w:rPr>
        <w:t xml:space="preserve"> </w:t>
      </w:r>
      <w:r>
        <w:rPr>
          <w:color w:val="545456"/>
        </w:rPr>
        <w:t>The</w:t>
      </w:r>
      <w:r>
        <w:rPr>
          <w:color w:val="545456"/>
          <w:spacing w:val="13"/>
        </w:rPr>
        <w:t xml:space="preserve"> </w:t>
      </w:r>
      <w:r>
        <w:rPr>
          <w:color w:val="545456"/>
        </w:rPr>
        <w:t>membership</w:t>
      </w:r>
      <w:r>
        <w:rPr>
          <w:color w:val="545456"/>
          <w:spacing w:val="1"/>
        </w:rPr>
        <w:t xml:space="preserve"> </w:t>
      </w:r>
      <w:r>
        <w:rPr>
          <w:color w:val="545456"/>
        </w:rPr>
        <w:t>has annual revenues of USD 7 trillion, spans more</w:t>
      </w:r>
      <w:r>
        <w:rPr>
          <w:color w:val="545456"/>
          <w:spacing w:val="1"/>
        </w:rPr>
        <w:t xml:space="preserve"> </w:t>
      </w:r>
      <w:r>
        <w:rPr>
          <w:color w:val="545456"/>
        </w:rPr>
        <w:t>than</w:t>
      </w:r>
      <w:r>
        <w:rPr>
          <w:color w:val="545456"/>
          <w:spacing w:val="11"/>
        </w:rPr>
        <w:t xml:space="preserve"> </w:t>
      </w:r>
      <w:r>
        <w:rPr>
          <w:color w:val="545456"/>
        </w:rPr>
        <w:t>35</w:t>
      </w:r>
      <w:r>
        <w:rPr>
          <w:color w:val="545456"/>
          <w:spacing w:val="12"/>
        </w:rPr>
        <w:t xml:space="preserve"> </w:t>
      </w:r>
      <w:r>
        <w:rPr>
          <w:color w:val="545456"/>
        </w:rPr>
        <w:t>countries</w:t>
      </w:r>
      <w:r>
        <w:rPr>
          <w:color w:val="545456"/>
          <w:spacing w:val="11"/>
        </w:rPr>
        <w:t xml:space="preserve"> </w:t>
      </w:r>
      <w:r>
        <w:rPr>
          <w:color w:val="545456"/>
        </w:rPr>
        <w:t>and</w:t>
      </w:r>
      <w:r>
        <w:rPr>
          <w:color w:val="545456"/>
          <w:spacing w:val="12"/>
        </w:rPr>
        <w:t xml:space="preserve"> </w:t>
      </w:r>
      <w:r>
        <w:rPr>
          <w:color w:val="545456"/>
        </w:rPr>
        <w:t>represents</w:t>
      </w:r>
      <w:r>
        <w:rPr>
          <w:color w:val="545456"/>
          <w:spacing w:val="12"/>
        </w:rPr>
        <w:t xml:space="preserve"> </w:t>
      </w:r>
      <w:r>
        <w:rPr>
          <w:color w:val="545456"/>
        </w:rPr>
        <w:t>20</w:t>
      </w:r>
      <w:r>
        <w:rPr>
          <w:color w:val="545456"/>
          <w:spacing w:val="11"/>
        </w:rPr>
        <w:t xml:space="preserve"> </w:t>
      </w:r>
      <w:r>
        <w:rPr>
          <w:color w:val="545456"/>
        </w:rPr>
        <w:t>major</w:t>
      </w:r>
      <w:r>
        <w:rPr>
          <w:color w:val="545456"/>
          <w:spacing w:val="12"/>
        </w:rPr>
        <w:t xml:space="preserve"> </w:t>
      </w:r>
      <w:r>
        <w:rPr>
          <w:color w:val="545456"/>
        </w:rPr>
        <w:t>industrial</w:t>
      </w:r>
      <w:r>
        <w:rPr>
          <w:color w:val="545456"/>
          <w:spacing w:val="1"/>
        </w:rPr>
        <w:t xml:space="preserve"> </w:t>
      </w:r>
      <w:r>
        <w:rPr>
          <w:color w:val="545456"/>
        </w:rPr>
        <w:t>sectors.</w:t>
      </w:r>
      <w:r>
        <w:rPr>
          <w:color w:val="545456"/>
          <w:spacing w:val="2"/>
        </w:rPr>
        <w:t xml:space="preserve"> </w:t>
      </w:r>
      <w:r>
        <w:rPr>
          <w:color w:val="545456"/>
        </w:rPr>
        <w:t>The</w:t>
      </w:r>
      <w:r>
        <w:rPr>
          <w:color w:val="545456"/>
          <w:spacing w:val="3"/>
        </w:rPr>
        <w:t xml:space="preserve"> </w:t>
      </w:r>
      <w:r>
        <w:rPr>
          <w:color w:val="545456"/>
        </w:rPr>
        <w:t>Council</w:t>
      </w:r>
      <w:r>
        <w:rPr>
          <w:color w:val="545456"/>
          <w:spacing w:val="3"/>
        </w:rPr>
        <w:t xml:space="preserve"> </w:t>
      </w:r>
      <w:r>
        <w:rPr>
          <w:color w:val="545456"/>
        </w:rPr>
        <w:t>also</w:t>
      </w:r>
      <w:r>
        <w:rPr>
          <w:color w:val="545456"/>
          <w:spacing w:val="3"/>
        </w:rPr>
        <w:t xml:space="preserve"> </w:t>
      </w:r>
      <w:r>
        <w:rPr>
          <w:color w:val="545456"/>
        </w:rPr>
        <w:t>benefits</w:t>
      </w:r>
      <w:r>
        <w:rPr>
          <w:color w:val="545456"/>
          <w:spacing w:val="3"/>
        </w:rPr>
        <w:t xml:space="preserve"> </w:t>
      </w:r>
      <w:r>
        <w:rPr>
          <w:color w:val="545456"/>
        </w:rPr>
        <w:t>from</w:t>
      </w:r>
      <w:r>
        <w:rPr>
          <w:color w:val="545456"/>
          <w:spacing w:val="3"/>
        </w:rPr>
        <w:t xml:space="preserve"> </w:t>
      </w:r>
      <w:r>
        <w:rPr>
          <w:color w:val="545456"/>
        </w:rPr>
        <w:t>a</w:t>
      </w:r>
      <w:r>
        <w:rPr>
          <w:color w:val="545456"/>
          <w:spacing w:val="3"/>
        </w:rPr>
        <w:t xml:space="preserve"> </w:t>
      </w:r>
      <w:r>
        <w:rPr>
          <w:color w:val="545456"/>
        </w:rPr>
        <w:t>network</w:t>
      </w:r>
    </w:p>
    <w:p w14:paraId="777BD21F" w14:textId="77777777" w:rsidR="0055291C" w:rsidRDefault="00F23C61">
      <w:pPr>
        <w:pStyle w:val="a3"/>
        <w:spacing w:before="3" w:line="312" w:lineRule="auto"/>
        <w:ind w:left="1123" w:right="112"/>
      </w:pPr>
      <w:r>
        <w:rPr>
          <w:color w:val="545456"/>
        </w:rPr>
        <w:t>of 60 national and regional business councils and</w:t>
      </w:r>
      <w:r>
        <w:rPr>
          <w:color w:val="545456"/>
          <w:spacing w:val="1"/>
        </w:rPr>
        <w:t xml:space="preserve"> </w:t>
      </w:r>
      <w:r>
        <w:rPr>
          <w:color w:val="545456"/>
        </w:rPr>
        <w:t>partner</w:t>
      </w:r>
      <w:r>
        <w:rPr>
          <w:color w:val="545456"/>
          <w:spacing w:val="8"/>
        </w:rPr>
        <w:t xml:space="preserve"> </w:t>
      </w:r>
      <w:r>
        <w:rPr>
          <w:color w:val="545456"/>
        </w:rPr>
        <w:t>organizations,</w:t>
      </w:r>
      <w:r>
        <w:rPr>
          <w:color w:val="545456"/>
          <w:spacing w:val="9"/>
        </w:rPr>
        <w:t xml:space="preserve"> </w:t>
      </w:r>
      <w:r>
        <w:rPr>
          <w:color w:val="545456"/>
        </w:rPr>
        <w:t>a</w:t>
      </w:r>
      <w:r>
        <w:rPr>
          <w:color w:val="545456"/>
          <w:spacing w:val="9"/>
        </w:rPr>
        <w:t xml:space="preserve"> </w:t>
      </w:r>
      <w:r>
        <w:rPr>
          <w:color w:val="545456"/>
        </w:rPr>
        <w:t>majority</w:t>
      </w:r>
      <w:r>
        <w:rPr>
          <w:color w:val="545456"/>
          <w:spacing w:val="9"/>
        </w:rPr>
        <w:t xml:space="preserve"> </w:t>
      </w:r>
      <w:r>
        <w:rPr>
          <w:color w:val="545456"/>
        </w:rPr>
        <w:t>of</w:t>
      </w:r>
      <w:r>
        <w:rPr>
          <w:color w:val="545456"/>
          <w:spacing w:val="9"/>
        </w:rPr>
        <w:t xml:space="preserve"> </w:t>
      </w:r>
      <w:r>
        <w:rPr>
          <w:color w:val="545456"/>
        </w:rPr>
        <w:t>which</w:t>
      </w:r>
      <w:r>
        <w:rPr>
          <w:color w:val="545456"/>
          <w:spacing w:val="9"/>
        </w:rPr>
        <w:t xml:space="preserve"> </w:t>
      </w:r>
      <w:r>
        <w:rPr>
          <w:color w:val="545456"/>
        </w:rPr>
        <w:t>are</w:t>
      </w:r>
      <w:r>
        <w:rPr>
          <w:color w:val="545456"/>
          <w:spacing w:val="9"/>
        </w:rPr>
        <w:t xml:space="preserve"> </w:t>
      </w:r>
      <w:r>
        <w:rPr>
          <w:color w:val="545456"/>
        </w:rPr>
        <w:t>based</w:t>
      </w:r>
      <w:r>
        <w:rPr>
          <w:color w:val="545456"/>
          <w:spacing w:val="9"/>
        </w:rPr>
        <w:t xml:space="preserve"> </w:t>
      </w:r>
      <w:r>
        <w:rPr>
          <w:color w:val="545456"/>
        </w:rPr>
        <w:t>in</w:t>
      </w:r>
      <w:r>
        <w:rPr>
          <w:color w:val="545456"/>
          <w:spacing w:val="1"/>
        </w:rPr>
        <w:t xml:space="preserve"> </w:t>
      </w:r>
      <w:r>
        <w:rPr>
          <w:color w:val="545456"/>
        </w:rPr>
        <w:t>developing</w:t>
      </w:r>
      <w:r>
        <w:rPr>
          <w:color w:val="545456"/>
          <w:spacing w:val="-4"/>
        </w:rPr>
        <w:t xml:space="preserve"> </w:t>
      </w:r>
      <w:r>
        <w:rPr>
          <w:color w:val="545456"/>
        </w:rPr>
        <w:t>countries.</w:t>
      </w:r>
    </w:p>
    <w:p w14:paraId="6438E8B8" w14:textId="77777777" w:rsidR="0055291C" w:rsidRDefault="00000000">
      <w:pPr>
        <w:pStyle w:val="a3"/>
        <w:spacing w:before="5"/>
        <w:rPr>
          <w:sz w:val="10"/>
        </w:rPr>
      </w:pPr>
      <w:r>
        <w:pict w14:anchorId="0162393B">
          <v:shape id="docshape1748" o:spid="_x0000_s2071" style="position:absolute;margin-left:157.5pt;margin-top:7.15pt;width:67.55pt;height:32.35pt;z-index:-251461120;mso-wrap-distance-left:0;mso-wrap-distance-right:0;mso-position-horizontal-relative:page" coordorigin="3150,143" coordsize="1351,647" o:spt="100" adj="0,,0" path="m4199,605r-9,-59l4164,495r-40,-42l4073,424r-17,-66l4026,299r-42,-52l3932,203r-60,-32l3805,150r-72,-7l3647,153r-78,30l3501,229r-53,61l3438,289r-10,-1l3417,288r-71,9l3282,323r-54,40l3186,415r-27,61l3150,544r5,52l3171,643r24,44l3227,724r24,21l3278,763r29,15l3338,789r726,l4091,778r24,-15l4137,745r19,-21l4174,698r14,-29l4196,638r3,-33xm4500,659r-7,-42l4475,581r-28,-30l4411,531r-20,-64l4354,412r-51,-43l4241,341r-71,-9l4150,332r-20,3l4111,339r-19,5l4097,356r4,13l4105,382r3,13l4162,433r41,49l4229,541r9,64l4235,644r-10,38l4209,717r-23,34l4177,761r-9,10l4158,780r-11,9l4404,789r19,-8l4441,770r15,-12l4470,743r12,-18l4492,704r6,-22l4500,659xe" fillcolor="#f3f4f4" stroked="f">
            <v:stroke joinstyle="round"/>
            <v:formulas/>
            <v:path arrowok="t" o:connecttype="segments"/>
            <w10:wrap type="topAndBottom" anchorx="page"/>
          </v:shape>
        </w:pict>
      </w:r>
      <w:r>
        <w:pict w14:anchorId="303A37E5">
          <v:shape id="docshape1749" o:spid="_x0000_s2070" style="position:absolute;margin-left:55.4pt;margin-top:43.15pt;width:114.05pt;height:56.7pt;z-index:-251460096;mso-wrap-distance-left:0;mso-wrap-distance-right:0;mso-position-horizontal-relative:page" coordorigin="1108,863" coordsize="2281,1134" o:spt="100" adj="0,,0" path="m2881,1673r-10,-83l2842,1515r-45,-66l2738,1395r-70,-39l2652,1282r-25,-71l2593,1146r-42,-61l2502,1030r-55,-48l2385,941r-67,-33l2247,883r-75,-15l2094,863r-84,6l1929,887r-77,28l1782,954r-65,47l1660,1057r-49,63l1586,1118r-26,-1l1487,1123r-69,17l1353,1168r-59,36l1241,1249r-45,53l1159,1361r-28,64l1114,1494r-6,73l1114,1639r17,69l1158,1772r37,59l1239,1883r41,36l1325,1951r49,25l1426,1996r1226,l2697,1976r42,-26l2776,1919r33,-36l2839,1837r23,-51l2876,1731r5,-58xm3389,1768r-11,-73l3347,1631r-48,-51l3238,1543r-17,-71l3192,1405r-40,-59l3102,1295r-58,-43l2979,1221r-71,-20l2832,1194r-34,1l2764,1200r-32,6l2700,1216r8,22l2715,1260r6,22l2726,1305r64,42l2844,1399r43,59l2920,1525r20,72l2947,1673r-6,69l2925,1808r-28,63l2859,1929r-15,18l2828,1964r-17,17l2793,1996r434,l3259,1982r29,-18l3315,1942r23,-26l3359,1883r16,-36l3385,1809r4,-41xe" fillcolor="#f3f4f4" stroked="f">
            <v:stroke joinstyle="round"/>
            <v:formulas/>
            <v:path arrowok="t" o:connecttype="segments"/>
            <w10:wrap type="topAndBottom" anchorx="page"/>
          </v:shape>
        </w:pict>
      </w:r>
    </w:p>
    <w:p w14:paraId="7644C59D" w14:textId="77777777" w:rsidR="0055291C" w:rsidRDefault="0055291C">
      <w:pPr>
        <w:pStyle w:val="a3"/>
        <w:spacing w:before="4"/>
        <w:rPr>
          <w:sz w:val="4"/>
        </w:rPr>
      </w:pPr>
    </w:p>
    <w:p w14:paraId="475E1205" w14:textId="77777777" w:rsidR="0055291C" w:rsidRDefault="0055291C">
      <w:pPr>
        <w:pStyle w:val="a3"/>
        <w:spacing w:before="2"/>
        <w:rPr>
          <w:sz w:val="17"/>
        </w:rPr>
      </w:pPr>
    </w:p>
    <w:p w14:paraId="7EE61890" w14:textId="77777777" w:rsidR="0055291C" w:rsidRDefault="00F23C61">
      <w:pPr>
        <w:pStyle w:val="3"/>
        <w:spacing w:before="1"/>
        <w:ind w:left="1133"/>
      </w:pPr>
      <w:r>
        <w:rPr>
          <w:color w:val="00ACA1"/>
        </w:rPr>
        <w:t>Disclaimer</w:t>
      </w:r>
    </w:p>
    <w:p w14:paraId="5C4948D8" w14:textId="77777777" w:rsidR="0055291C" w:rsidRDefault="00F23C61">
      <w:pPr>
        <w:pStyle w:val="a3"/>
        <w:spacing w:before="50" w:line="312" w:lineRule="auto"/>
        <w:ind w:left="1133" w:right="249"/>
      </w:pPr>
      <w:r>
        <w:rPr>
          <w:color w:val="545456"/>
          <w:w w:val="95"/>
        </w:rPr>
        <w:t>The</w:t>
      </w:r>
      <w:r>
        <w:rPr>
          <w:color w:val="545456"/>
          <w:spacing w:val="1"/>
          <w:w w:val="95"/>
        </w:rPr>
        <w:t xml:space="preserve"> </w:t>
      </w:r>
      <w:r>
        <w:rPr>
          <w:rFonts w:ascii="Arial"/>
          <w:i/>
          <w:color w:val="545456"/>
          <w:w w:val="95"/>
        </w:rPr>
        <w:t>GHG Protocol Product</w:t>
      </w:r>
      <w:r>
        <w:rPr>
          <w:rFonts w:ascii="Arial"/>
          <w:i/>
          <w:color w:val="545456"/>
          <w:spacing w:val="1"/>
          <w:w w:val="95"/>
        </w:rPr>
        <w:t xml:space="preserve"> </w:t>
      </w:r>
      <w:r>
        <w:rPr>
          <w:rFonts w:ascii="Arial"/>
          <w:i/>
          <w:color w:val="545456"/>
          <w:w w:val="95"/>
        </w:rPr>
        <w:t>Life Cycle</w:t>
      </w:r>
      <w:r>
        <w:rPr>
          <w:rFonts w:ascii="Arial"/>
          <w:i/>
          <w:color w:val="545456"/>
          <w:spacing w:val="1"/>
          <w:w w:val="95"/>
        </w:rPr>
        <w:t xml:space="preserve"> </w:t>
      </w:r>
      <w:r>
        <w:rPr>
          <w:rFonts w:ascii="Arial"/>
          <w:i/>
          <w:color w:val="545456"/>
          <w:w w:val="95"/>
        </w:rPr>
        <w:t>Accounting and</w:t>
      </w:r>
      <w:r>
        <w:rPr>
          <w:rFonts w:ascii="Arial"/>
          <w:i/>
          <w:color w:val="545456"/>
          <w:spacing w:val="1"/>
          <w:w w:val="95"/>
        </w:rPr>
        <w:t xml:space="preserve"> </w:t>
      </w:r>
      <w:r>
        <w:rPr>
          <w:rFonts w:ascii="Arial"/>
          <w:i/>
          <w:color w:val="545456"/>
        </w:rPr>
        <w:t>Reporting Standard</w:t>
      </w:r>
      <w:r>
        <w:rPr>
          <w:color w:val="545456"/>
        </w:rPr>
        <w:t>, is designed to promote best</w:t>
      </w:r>
      <w:r>
        <w:rPr>
          <w:color w:val="545456"/>
          <w:spacing w:val="1"/>
        </w:rPr>
        <w:t xml:space="preserve"> </w:t>
      </w:r>
      <w:r>
        <w:rPr>
          <w:color w:val="545456"/>
        </w:rPr>
        <w:t>practice GHG accounting</w:t>
      </w:r>
      <w:r>
        <w:rPr>
          <w:color w:val="545456"/>
          <w:spacing w:val="1"/>
        </w:rPr>
        <w:t xml:space="preserve"> </w:t>
      </w:r>
      <w:r>
        <w:rPr>
          <w:color w:val="545456"/>
        </w:rPr>
        <w:t>and reporting.  It has</w:t>
      </w:r>
      <w:r>
        <w:rPr>
          <w:color w:val="545456"/>
          <w:spacing w:val="1"/>
        </w:rPr>
        <w:t xml:space="preserve"> </w:t>
      </w:r>
      <w:r>
        <w:rPr>
          <w:color w:val="545456"/>
        </w:rPr>
        <w:t>been</w:t>
      </w:r>
      <w:r>
        <w:rPr>
          <w:color w:val="545456"/>
          <w:spacing w:val="1"/>
        </w:rPr>
        <w:t xml:space="preserve"> </w:t>
      </w:r>
      <w:r>
        <w:rPr>
          <w:color w:val="545456"/>
          <w:w w:val="105"/>
        </w:rPr>
        <w:t>developed through an inclusive multi-stakeholder</w:t>
      </w:r>
      <w:r>
        <w:rPr>
          <w:color w:val="545456"/>
          <w:spacing w:val="1"/>
          <w:w w:val="105"/>
        </w:rPr>
        <w:t xml:space="preserve"> </w:t>
      </w:r>
      <w:r>
        <w:rPr>
          <w:color w:val="545456"/>
        </w:rPr>
        <w:t>process involving experts from businesses, non-</w:t>
      </w:r>
      <w:r>
        <w:rPr>
          <w:color w:val="545456"/>
          <w:spacing w:val="1"/>
        </w:rPr>
        <w:t xml:space="preserve"> </w:t>
      </w:r>
      <w:r>
        <w:rPr>
          <w:color w:val="545456"/>
        </w:rPr>
        <w:t>governmental</w:t>
      </w:r>
      <w:r>
        <w:rPr>
          <w:color w:val="545456"/>
          <w:spacing w:val="2"/>
        </w:rPr>
        <w:t xml:space="preserve"> </w:t>
      </w:r>
      <w:r>
        <w:rPr>
          <w:color w:val="545456"/>
        </w:rPr>
        <w:t>organizations</w:t>
      </w:r>
      <w:r>
        <w:rPr>
          <w:color w:val="545456"/>
          <w:spacing w:val="2"/>
        </w:rPr>
        <w:t xml:space="preserve"> </w:t>
      </w:r>
      <w:r>
        <w:rPr>
          <w:color w:val="545456"/>
        </w:rPr>
        <w:t>(NGOs),</w:t>
      </w:r>
      <w:r>
        <w:rPr>
          <w:color w:val="545456"/>
          <w:spacing w:val="2"/>
        </w:rPr>
        <w:t xml:space="preserve"> </w:t>
      </w:r>
      <w:r>
        <w:rPr>
          <w:color w:val="545456"/>
        </w:rPr>
        <w:t>governments,</w:t>
      </w:r>
      <w:r>
        <w:rPr>
          <w:color w:val="545456"/>
          <w:spacing w:val="1"/>
        </w:rPr>
        <w:t xml:space="preserve"> </w:t>
      </w:r>
      <w:r>
        <w:rPr>
          <w:color w:val="545456"/>
          <w:w w:val="105"/>
        </w:rPr>
        <w:t>and others convened by the World Resources</w:t>
      </w:r>
      <w:r>
        <w:rPr>
          <w:color w:val="545456"/>
          <w:spacing w:val="1"/>
          <w:w w:val="105"/>
        </w:rPr>
        <w:t xml:space="preserve"> </w:t>
      </w:r>
      <w:r>
        <w:rPr>
          <w:color w:val="545456"/>
        </w:rPr>
        <w:t>Institute (WRI) and the World Business Council</w:t>
      </w:r>
      <w:r>
        <w:rPr>
          <w:color w:val="545456"/>
          <w:spacing w:val="1"/>
        </w:rPr>
        <w:t xml:space="preserve"> </w:t>
      </w:r>
      <w:r>
        <w:rPr>
          <w:color w:val="545456"/>
        </w:rPr>
        <w:t>for</w:t>
      </w:r>
      <w:r>
        <w:rPr>
          <w:color w:val="545456"/>
          <w:spacing w:val="1"/>
        </w:rPr>
        <w:t xml:space="preserve"> </w:t>
      </w:r>
      <w:r>
        <w:rPr>
          <w:color w:val="545456"/>
          <w:w w:val="95"/>
        </w:rPr>
        <w:t>Sustainable</w:t>
      </w:r>
      <w:r>
        <w:rPr>
          <w:color w:val="545456"/>
          <w:spacing w:val="1"/>
          <w:w w:val="95"/>
        </w:rPr>
        <w:t xml:space="preserve"> </w:t>
      </w:r>
      <w:r>
        <w:rPr>
          <w:color w:val="545456"/>
          <w:w w:val="95"/>
        </w:rPr>
        <w:t>Development</w:t>
      </w:r>
      <w:r>
        <w:rPr>
          <w:color w:val="545456"/>
          <w:spacing w:val="1"/>
          <w:w w:val="95"/>
        </w:rPr>
        <w:t xml:space="preserve"> </w:t>
      </w:r>
      <w:r>
        <w:rPr>
          <w:color w:val="545456"/>
          <w:w w:val="95"/>
        </w:rPr>
        <w:t>(WBCSD).</w:t>
      </w:r>
      <w:r>
        <w:rPr>
          <w:color w:val="545456"/>
          <w:spacing w:val="45"/>
        </w:rPr>
        <w:t xml:space="preserve"> </w:t>
      </w:r>
      <w:r>
        <w:rPr>
          <w:color w:val="545456"/>
          <w:w w:val="95"/>
        </w:rPr>
        <w:t>While</w:t>
      </w:r>
      <w:r>
        <w:rPr>
          <w:color w:val="545456"/>
          <w:spacing w:val="45"/>
        </w:rPr>
        <w:t xml:space="preserve"> </w:t>
      </w:r>
      <w:r>
        <w:rPr>
          <w:color w:val="545456"/>
          <w:w w:val="95"/>
        </w:rPr>
        <w:t>WBCSD</w:t>
      </w:r>
      <w:r>
        <w:rPr>
          <w:color w:val="545456"/>
          <w:spacing w:val="1"/>
          <w:w w:val="95"/>
        </w:rPr>
        <w:t xml:space="preserve"> </w:t>
      </w:r>
      <w:r>
        <w:rPr>
          <w:color w:val="545456"/>
        </w:rPr>
        <w:t>and</w:t>
      </w:r>
      <w:r>
        <w:rPr>
          <w:color w:val="545456"/>
          <w:spacing w:val="-6"/>
        </w:rPr>
        <w:t xml:space="preserve"> </w:t>
      </w:r>
      <w:r>
        <w:rPr>
          <w:color w:val="545456"/>
        </w:rPr>
        <w:t>WRI</w:t>
      </w:r>
      <w:r>
        <w:rPr>
          <w:color w:val="545456"/>
          <w:spacing w:val="-5"/>
        </w:rPr>
        <w:t xml:space="preserve"> </w:t>
      </w:r>
      <w:r>
        <w:rPr>
          <w:color w:val="545456"/>
        </w:rPr>
        <w:t>encourage</w:t>
      </w:r>
      <w:r>
        <w:rPr>
          <w:color w:val="545456"/>
          <w:spacing w:val="-6"/>
        </w:rPr>
        <w:t xml:space="preserve"> </w:t>
      </w:r>
      <w:r>
        <w:rPr>
          <w:color w:val="545456"/>
        </w:rPr>
        <w:t>use</w:t>
      </w:r>
      <w:r>
        <w:rPr>
          <w:color w:val="545456"/>
          <w:spacing w:val="-5"/>
        </w:rPr>
        <w:t xml:space="preserve"> </w:t>
      </w:r>
      <w:r>
        <w:rPr>
          <w:color w:val="545456"/>
        </w:rPr>
        <w:t>of</w:t>
      </w:r>
      <w:r>
        <w:rPr>
          <w:color w:val="545456"/>
          <w:spacing w:val="-5"/>
        </w:rPr>
        <w:t xml:space="preserve"> </w:t>
      </w:r>
      <w:r>
        <w:rPr>
          <w:color w:val="545456"/>
        </w:rPr>
        <w:t>the</w:t>
      </w:r>
      <w:r>
        <w:rPr>
          <w:color w:val="545456"/>
          <w:spacing w:val="-6"/>
        </w:rPr>
        <w:t xml:space="preserve"> </w:t>
      </w:r>
      <w:r>
        <w:rPr>
          <w:rFonts w:ascii="Arial"/>
          <w:i/>
          <w:color w:val="545456"/>
        </w:rPr>
        <w:t>Product</w:t>
      </w:r>
      <w:r>
        <w:rPr>
          <w:rFonts w:ascii="Arial"/>
          <w:i/>
          <w:color w:val="545456"/>
          <w:spacing w:val="-6"/>
        </w:rPr>
        <w:t xml:space="preserve"> </w:t>
      </w:r>
      <w:r>
        <w:rPr>
          <w:rFonts w:ascii="Arial"/>
          <w:i/>
          <w:color w:val="545456"/>
        </w:rPr>
        <w:t>Standard</w:t>
      </w:r>
      <w:r>
        <w:rPr>
          <w:rFonts w:ascii="Arial"/>
          <w:i/>
          <w:color w:val="545456"/>
          <w:spacing w:val="-6"/>
        </w:rPr>
        <w:t xml:space="preserve"> </w:t>
      </w:r>
      <w:r>
        <w:rPr>
          <w:color w:val="545456"/>
        </w:rPr>
        <w:t>by</w:t>
      </w:r>
      <w:r>
        <w:rPr>
          <w:color w:val="545456"/>
          <w:spacing w:val="-6"/>
        </w:rPr>
        <w:t xml:space="preserve"> </w:t>
      </w:r>
      <w:r>
        <w:rPr>
          <w:color w:val="545456"/>
        </w:rPr>
        <w:t>all</w:t>
      </w:r>
      <w:r>
        <w:rPr>
          <w:color w:val="545456"/>
          <w:spacing w:val="-47"/>
        </w:rPr>
        <w:t xml:space="preserve"> </w:t>
      </w:r>
      <w:r>
        <w:rPr>
          <w:color w:val="545456"/>
        </w:rPr>
        <w:t>corporations</w:t>
      </w:r>
      <w:r>
        <w:rPr>
          <w:color w:val="545456"/>
          <w:spacing w:val="12"/>
        </w:rPr>
        <w:t xml:space="preserve"> </w:t>
      </w:r>
      <w:r>
        <w:rPr>
          <w:color w:val="545456"/>
        </w:rPr>
        <w:t>and</w:t>
      </w:r>
      <w:r>
        <w:rPr>
          <w:color w:val="545456"/>
          <w:spacing w:val="13"/>
        </w:rPr>
        <w:t xml:space="preserve"> </w:t>
      </w:r>
      <w:r>
        <w:rPr>
          <w:color w:val="545456"/>
        </w:rPr>
        <w:t>organizations,</w:t>
      </w:r>
      <w:r>
        <w:rPr>
          <w:color w:val="545456"/>
          <w:spacing w:val="13"/>
        </w:rPr>
        <w:t xml:space="preserve"> </w:t>
      </w:r>
      <w:r>
        <w:rPr>
          <w:color w:val="545456"/>
        </w:rPr>
        <w:t>the</w:t>
      </w:r>
      <w:r>
        <w:rPr>
          <w:color w:val="545456"/>
          <w:spacing w:val="13"/>
        </w:rPr>
        <w:t xml:space="preserve"> </w:t>
      </w:r>
      <w:r>
        <w:rPr>
          <w:color w:val="545456"/>
        </w:rPr>
        <w:t>preparation</w:t>
      </w:r>
      <w:r>
        <w:rPr>
          <w:color w:val="545456"/>
          <w:spacing w:val="13"/>
        </w:rPr>
        <w:t xml:space="preserve"> </w:t>
      </w:r>
      <w:r>
        <w:rPr>
          <w:color w:val="545456"/>
        </w:rPr>
        <w:t>and</w:t>
      </w:r>
    </w:p>
    <w:p w14:paraId="027C5C1E" w14:textId="77777777" w:rsidR="0055291C" w:rsidRDefault="00F23C61">
      <w:pPr>
        <w:pStyle w:val="a3"/>
        <w:spacing w:line="312" w:lineRule="auto"/>
        <w:ind w:left="1133" w:right="26"/>
      </w:pPr>
      <w:r>
        <w:rPr>
          <w:color w:val="545456"/>
        </w:rPr>
        <w:t>publication</w:t>
      </w:r>
      <w:r>
        <w:rPr>
          <w:color w:val="545456"/>
          <w:spacing w:val="11"/>
        </w:rPr>
        <w:t xml:space="preserve"> </w:t>
      </w:r>
      <w:r>
        <w:rPr>
          <w:color w:val="545456"/>
        </w:rPr>
        <w:t>of</w:t>
      </w:r>
      <w:r>
        <w:rPr>
          <w:color w:val="545456"/>
          <w:spacing w:val="12"/>
        </w:rPr>
        <w:t xml:space="preserve"> </w:t>
      </w:r>
      <w:r>
        <w:rPr>
          <w:color w:val="545456"/>
        </w:rPr>
        <w:t>reports</w:t>
      </w:r>
      <w:r>
        <w:rPr>
          <w:color w:val="545456"/>
          <w:spacing w:val="11"/>
        </w:rPr>
        <w:t xml:space="preserve"> </w:t>
      </w:r>
      <w:r>
        <w:rPr>
          <w:color w:val="545456"/>
        </w:rPr>
        <w:t>or</w:t>
      </w:r>
      <w:r>
        <w:rPr>
          <w:color w:val="545456"/>
          <w:spacing w:val="12"/>
        </w:rPr>
        <w:t xml:space="preserve"> </w:t>
      </w:r>
      <w:r>
        <w:rPr>
          <w:color w:val="545456"/>
        </w:rPr>
        <w:t>program</w:t>
      </w:r>
      <w:r>
        <w:rPr>
          <w:color w:val="545456"/>
          <w:spacing w:val="11"/>
        </w:rPr>
        <w:t xml:space="preserve"> </w:t>
      </w:r>
      <w:r>
        <w:rPr>
          <w:color w:val="545456"/>
        </w:rPr>
        <w:t>specifications</w:t>
      </w:r>
      <w:r>
        <w:rPr>
          <w:color w:val="545456"/>
          <w:spacing w:val="12"/>
        </w:rPr>
        <w:t xml:space="preserve"> </w:t>
      </w:r>
      <w:r>
        <w:rPr>
          <w:color w:val="545456"/>
        </w:rPr>
        <w:t>based</w:t>
      </w:r>
      <w:r>
        <w:rPr>
          <w:color w:val="545456"/>
          <w:spacing w:val="1"/>
        </w:rPr>
        <w:t xml:space="preserve"> </w:t>
      </w:r>
      <w:r>
        <w:rPr>
          <w:color w:val="545456"/>
        </w:rPr>
        <w:t>fully</w:t>
      </w:r>
      <w:r>
        <w:rPr>
          <w:color w:val="545456"/>
          <w:spacing w:val="15"/>
        </w:rPr>
        <w:t xml:space="preserve"> </w:t>
      </w:r>
      <w:r>
        <w:rPr>
          <w:color w:val="545456"/>
        </w:rPr>
        <w:t>or</w:t>
      </w:r>
      <w:r>
        <w:rPr>
          <w:color w:val="545456"/>
          <w:spacing w:val="16"/>
        </w:rPr>
        <w:t xml:space="preserve"> </w:t>
      </w:r>
      <w:r>
        <w:rPr>
          <w:color w:val="545456"/>
        </w:rPr>
        <w:t>partially</w:t>
      </w:r>
      <w:r>
        <w:rPr>
          <w:color w:val="545456"/>
          <w:spacing w:val="16"/>
        </w:rPr>
        <w:t xml:space="preserve"> </w:t>
      </w:r>
      <w:r>
        <w:rPr>
          <w:color w:val="545456"/>
        </w:rPr>
        <w:t>on</w:t>
      </w:r>
      <w:r>
        <w:rPr>
          <w:color w:val="545456"/>
          <w:spacing w:val="15"/>
        </w:rPr>
        <w:t xml:space="preserve"> </w:t>
      </w:r>
      <w:r>
        <w:rPr>
          <w:color w:val="545456"/>
        </w:rPr>
        <w:t>this</w:t>
      </w:r>
      <w:r>
        <w:rPr>
          <w:color w:val="545456"/>
          <w:spacing w:val="16"/>
        </w:rPr>
        <w:t xml:space="preserve"> </w:t>
      </w:r>
      <w:r>
        <w:rPr>
          <w:color w:val="545456"/>
        </w:rPr>
        <w:t>standard</w:t>
      </w:r>
      <w:r>
        <w:rPr>
          <w:color w:val="545456"/>
          <w:spacing w:val="16"/>
        </w:rPr>
        <w:t xml:space="preserve"> </w:t>
      </w:r>
      <w:r>
        <w:rPr>
          <w:color w:val="545456"/>
        </w:rPr>
        <w:t>is</w:t>
      </w:r>
      <w:r>
        <w:rPr>
          <w:color w:val="545456"/>
          <w:spacing w:val="16"/>
        </w:rPr>
        <w:t xml:space="preserve"> </w:t>
      </w:r>
      <w:r>
        <w:rPr>
          <w:color w:val="545456"/>
        </w:rPr>
        <w:t>the</w:t>
      </w:r>
      <w:r>
        <w:rPr>
          <w:color w:val="545456"/>
          <w:spacing w:val="15"/>
        </w:rPr>
        <w:t xml:space="preserve"> </w:t>
      </w:r>
      <w:r>
        <w:rPr>
          <w:color w:val="545456"/>
        </w:rPr>
        <w:t>full</w:t>
      </w:r>
      <w:r>
        <w:rPr>
          <w:color w:val="545456"/>
          <w:spacing w:val="16"/>
        </w:rPr>
        <w:t xml:space="preserve"> </w:t>
      </w:r>
      <w:r>
        <w:rPr>
          <w:color w:val="545456"/>
        </w:rPr>
        <w:t>responsibility</w:t>
      </w:r>
      <w:r>
        <w:rPr>
          <w:color w:val="545456"/>
          <w:spacing w:val="1"/>
        </w:rPr>
        <w:t xml:space="preserve"> </w:t>
      </w:r>
      <w:r>
        <w:rPr>
          <w:color w:val="545456"/>
        </w:rPr>
        <w:t>of</w:t>
      </w:r>
      <w:r>
        <w:rPr>
          <w:color w:val="545456"/>
          <w:spacing w:val="-2"/>
        </w:rPr>
        <w:t xml:space="preserve"> </w:t>
      </w:r>
      <w:r>
        <w:rPr>
          <w:color w:val="545456"/>
        </w:rPr>
        <w:t>those</w:t>
      </w:r>
      <w:r>
        <w:rPr>
          <w:color w:val="545456"/>
          <w:spacing w:val="-2"/>
        </w:rPr>
        <w:t xml:space="preserve"> </w:t>
      </w:r>
      <w:r>
        <w:rPr>
          <w:color w:val="545456"/>
        </w:rPr>
        <w:t>producing</w:t>
      </w:r>
      <w:r>
        <w:rPr>
          <w:color w:val="545456"/>
          <w:spacing w:val="-1"/>
        </w:rPr>
        <w:t xml:space="preserve"> </w:t>
      </w:r>
      <w:r>
        <w:rPr>
          <w:color w:val="545456"/>
        </w:rPr>
        <w:t>them.</w:t>
      </w:r>
      <w:r>
        <w:rPr>
          <w:color w:val="545456"/>
          <w:spacing w:val="-2"/>
        </w:rPr>
        <w:t xml:space="preserve"> </w:t>
      </w:r>
      <w:r>
        <w:rPr>
          <w:color w:val="545456"/>
        </w:rPr>
        <w:t>Neither</w:t>
      </w:r>
      <w:r>
        <w:rPr>
          <w:color w:val="545456"/>
          <w:spacing w:val="47"/>
        </w:rPr>
        <w:t xml:space="preserve"> </w:t>
      </w:r>
      <w:r>
        <w:rPr>
          <w:color w:val="545456"/>
        </w:rPr>
        <w:t>WBCSD</w:t>
      </w:r>
      <w:r>
        <w:rPr>
          <w:color w:val="545456"/>
          <w:spacing w:val="-2"/>
        </w:rPr>
        <w:t xml:space="preserve"> </w:t>
      </w:r>
      <w:r>
        <w:rPr>
          <w:color w:val="545456"/>
        </w:rPr>
        <w:t>and</w:t>
      </w:r>
      <w:r>
        <w:rPr>
          <w:color w:val="545456"/>
          <w:spacing w:val="-1"/>
        </w:rPr>
        <w:t xml:space="preserve"> </w:t>
      </w:r>
      <w:r>
        <w:rPr>
          <w:color w:val="545456"/>
        </w:rPr>
        <w:t>WRI,</w:t>
      </w:r>
    </w:p>
    <w:p w14:paraId="77E68F9C" w14:textId="77777777" w:rsidR="0055291C" w:rsidRDefault="00F23C61">
      <w:pPr>
        <w:pStyle w:val="a3"/>
        <w:spacing w:line="312" w:lineRule="auto"/>
        <w:ind w:left="1133" w:right="16"/>
      </w:pPr>
      <w:r>
        <w:rPr>
          <w:color w:val="545456"/>
        </w:rPr>
        <w:t>nor</w:t>
      </w:r>
      <w:r>
        <w:rPr>
          <w:color w:val="545456"/>
          <w:spacing w:val="1"/>
        </w:rPr>
        <w:t xml:space="preserve"> </w:t>
      </w:r>
      <w:r>
        <w:rPr>
          <w:color w:val="545456"/>
        </w:rPr>
        <w:t>other</w:t>
      </w:r>
      <w:r>
        <w:rPr>
          <w:color w:val="545456"/>
          <w:spacing w:val="1"/>
        </w:rPr>
        <w:t xml:space="preserve"> </w:t>
      </w:r>
      <w:r>
        <w:rPr>
          <w:color w:val="545456"/>
        </w:rPr>
        <w:t>individuals</w:t>
      </w:r>
      <w:r>
        <w:rPr>
          <w:color w:val="545456"/>
          <w:spacing w:val="1"/>
        </w:rPr>
        <w:t xml:space="preserve"> </w:t>
      </w:r>
      <w:r>
        <w:rPr>
          <w:color w:val="545456"/>
        </w:rPr>
        <w:t>who</w:t>
      </w:r>
      <w:r>
        <w:rPr>
          <w:color w:val="545456"/>
          <w:spacing w:val="1"/>
        </w:rPr>
        <w:t xml:space="preserve"> </w:t>
      </w:r>
      <w:r>
        <w:rPr>
          <w:color w:val="545456"/>
        </w:rPr>
        <w:t>contributed</w:t>
      </w:r>
      <w:r>
        <w:rPr>
          <w:color w:val="545456"/>
          <w:spacing w:val="1"/>
        </w:rPr>
        <w:t xml:space="preserve"> </w:t>
      </w:r>
      <w:r>
        <w:rPr>
          <w:color w:val="545456"/>
        </w:rPr>
        <w:t>to</w:t>
      </w:r>
      <w:r>
        <w:rPr>
          <w:color w:val="545456"/>
          <w:spacing w:val="1"/>
        </w:rPr>
        <w:t xml:space="preserve"> </w:t>
      </w:r>
      <w:r>
        <w:rPr>
          <w:color w:val="545456"/>
        </w:rPr>
        <w:t>this</w:t>
      </w:r>
      <w:r>
        <w:rPr>
          <w:color w:val="545456"/>
          <w:spacing w:val="1"/>
        </w:rPr>
        <w:t xml:space="preserve"> </w:t>
      </w:r>
      <w:r>
        <w:rPr>
          <w:color w:val="545456"/>
        </w:rPr>
        <w:t>standard</w:t>
      </w:r>
      <w:r>
        <w:rPr>
          <w:color w:val="545456"/>
          <w:spacing w:val="-48"/>
        </w:rPr>
        <w:t xml:space="preserve"> </w:t>
      </w:r>
      <w:r>
        <w:rPr>
          <w:color w:val="545456"/>
        </w:rPr>
        <w:t>assume responsibility for any consequences or damages</w:t>
      </w:r>
      <w:r>
        <w:rPr>
          <w:color w:val="545456"/>
          <w:spacing w:val="-48"/>
        </w:rPr>
        <w:t xml:space="preserve"> </w:t>
      </w:r>
      <w:r>
        <w:rPr>
          <w:color w:val="545456"/>
        </w:rPr>
        <w:t>resulting</w:t>
      </w:r>
      <w:r>
        <w:rPr>
          <w:color w:val="545456"/>
          <w:spacing w:val="4"/>
        </w:rPr>
        <w:t xml:space="preserve"> </w:t>
      </w:r>
      <w:r>
        <w:rPr>
          <w:color w:val="545456"/>
        </w:rPr>
        <w:t>directly</w:t>
      </w:r>
      <w:r>
        <w:rPr>
          <w:color w:val="545456"/>
          <w:spacing w:val="4"/>
        </w:rPr>
        <w:t xml:space="preserve"> </w:t>
      </w:r>
      <w:r>
        <w:rPr>
          <w:color w:val="545456"/>
        </w:rPr>
        <w:t>or</w:t>
      </w:r>
      <w:r>
        <w:rPr>
          <w:color w:val="545456"/>
          <w:spacing w:val="4"/>
        </w:rPr>
        <w:t xml:space="preserve"> </w:t>
      </w:r>
      <w:r>
        <w:rPr>
          <w:color w:val="545456"/>
        </w:rPr>
        <w:t>indirectly</w:t>
      </w:r>
      <w:r>
        <w:rPr>
          <w:color w:val="545456"/>
          <w:spacing w:val="5"/>
        </w:rPr>
        <w:t xml:space="preserve"> </w:t>
      </w:r>
      <w:r>
        <w:rPr>
          <w:color w:val="545456"/>
        </w:rPr>
        <w:t>from</w:t>
      </w:r>
      <w:r>
        <w:rPr>
          <w:color w:val="545456"/>
          <w:spacing w:val="4"/>
        </w:rPr>
        <w:t xml:space="preserve"> </w:t>
      </w:r>
      <w:r>
        <w:rPr>
          <w:color w:val="545456"/>
        </w:rPr>
        <w:t>its</w:t>
      </w:r>
      <w:r>
        <w:rPr>
          <w:color w:val="545456"/>
          <w:spacing w:val="4"/>
        </w:rPr>
        <w:t xml:space="preserve"> </w:t>
      </w:r>
      <w:r>
        <w:rPr>
          <w:color w:val="545456"/>
        </w:rPr>
        <w:t>use</w:t>
      </w:r>
      <w:r>
        <w:rPr>
          <w:color w:val="545456"/>
          <w:spacing w:val="4"/>
        </w:rPr>
        <w:t xml:space="preserve"> </w:t>
      </w:r>
      <w:r>
        <w:rPr>
          <w:color w:val="545456"/>
        </w:rPr>
        <w:t>in</w:t>
      </w:r>
      <w:r>
        <w:rPr>
          <w:color w:val="545456"/>
          <w:spacing w:val="5"/>
        </w:rPr>
        <w:t xml:space="preserve"> </w:t>
      </w:r>
      <w:r>
        <w:rPr>
          <w:color w:val="545456"/>
        </w:rPr>
        <w:t>the</w:t>
      </w:r>
      <w:r>
        <w:rPr>
          <w:color w:val="545456"/>
          <w:spacing w:val="1"/>
        </w:rPr>
        <w:t xml:space="preserve"> </w:t>
      </w:r>
      <w:r>
        <w:rPr>
          <w:color w:val="545456"/>
        </w:rPr>
        <w:t>preparation</w:t>
      </w:r>
      <w:r>
        <w:rPr>
          <w:color w:val="545456"/>
          <w:spacing w:val="1"/>
        </w:rPr>
        <w:t xml:space="preserve"> </w:t>
      </w:r>
      <w:r>
        <w:rPr>
          <w:color w:val="545456"/>
        </w:rPr>
        <w:t>of</w:t>
      </w:r>
      <w:r>
        <w:rPr>
          <w:color w:val="545456"/>
          <w:spacing w:val="1"/>
        </w:rPr>
        <w:t xml:space="preserve"> </w:t>
      </w:r>
      <w:r>
        <w:rPr>
          <w:color w:val="545456"/>
        </w:rPr>
        <w:t>reports,</w:t>
      </w:r>
      <w:r>
        <w:rPr>
          <w:color w:val="545456"/>
          <w:spacing w:val="1"/>
        </w:rPr>
        <w:t xml:space="preserve"> </w:t>
      </w:r>
      <w:r>
        <w:rPr>
          <w:color w:val="545456"/>
        </w:rPr>
        <w:t>program</w:t>
      </w:r>
      <w:r>
        <w:rPr>
          <w:color w:val="545456"/>
          <w:spacing w:val="1"/>
        </w:rPr>
        <w:t xml:space="preserve"> </w:t>
      </w:r>
      <w:r>
        <w:rPr>
          <w:color w:val="545456"/>
        </w:rPr>
        <w:t>specifications,</w:t>
      </w:r>
      <w:r>
        <w:rPr>
          <w:color w:val="545456"/>
          <w:spacing w:val="50"/>
        </w:rPr>
        <w:t xml:space="preserve"> </w:t>
      </w:r>
      <w:r>
        <w:rPr>
          <w:color w:val="545456"/>
        </w:rPr>
        <w:t>or</w:t>
      </w:r>
      <w:r>
        <w:rPr>
          <w:color w:val="545456"/>
          <w:spacing w:val="50"/>
        </w:rPr>
        <w:t xml:space="preserve"> </w:t>
      </w:r>
      <w:r>
        <w:rPr>
          <w:color w:val="545456"/>
        </w:rPr>
        <w:t>the</w:t>
      </w:r>
      <w:r>
        <w:rPr>
          <w:color w:val="545456"/>
          <w:spacing w:val="1"/>
        </w:rPr>
        <w:t xml:space="preserve"> </w:t>
      </w:r>
      <w:r>
        <w:rPr>
          <w:color w:val="545456"/>
        </w:rPr>
        <w:t>use</w:t>
      </w:r>
      <w:r>
        <w:rPr>
          <w:color w:val="545456"/>
          <w:spacing w:val="-3"/>
        </w:rPr>
        <w:t xml:space="preserve"> </w:t>
      </w:r>
      <w:r>
        <w:rPr>
          <w:color w:val="545456"/>
        </w:rPr>
        <w:t>of</w:t>
      </w:r>
      <w:r>
        <w:rPr>
          <w:color w:val="545456"/>
          <w:spacing w:val="-3"/>
        </w:rPr>
        <w:t xml:space="preserve"> </w:t>
      </w:r>
      <w:r>
        <w:rPr>
          <w:color w:val="545456"/>
        </w:rPr>
        <w:t>reports</w:t>
      </w:r>
      <w:r>
        <w:rPr>
          <w:color w:val="545456"/>
          <w:spacing w:val="-3"/>
        </w:rPr>
        <w:t xml:space="preserve"> </w:t>
      </w:r>
      <w:r>
        <w:rPr>
          <w:color w:val="545456"/>
        </w:rPr>
        <w:t>based</w:t>
      </w:r>
      <w:r>
        <w:rPr>
          <w:color w:val="545456"/>
          <w:spacing w:val="-3"/>
        </w:rPr>
        <w:t xml:space="preserve"> </w:t>
      </w:r>
      <w:r>
        <w:rPr>
          <w:color w:val="545456"/>
        </w:rPr>
        <w:t>on</w:t>
      </w:r>
      <w:r>
        <w:rPr>
          <w:color w:val="545456"/>
          <w:spacing w:val="-3"/>
        </w:rPr>
        <w:t xml:space="preserve"> </w:t>
      </w:r>
      <w:r>
        <w:rPr>
          <w:color w:val="545456"/>
        </w:rPr>
        <w:t>the</w:t>
      </w:r>
      <w:r>
        <w:rPr>
          <w:color w:val="545456"/>
          <w:spacing w:val="-3"/>
        </w:rPr>
        <w:t xml:space="preserve"> </w:t>
      </w:r>
      <w:r>
        <w:rPr>
          <w:rFonts w:ascii="Arial"/>
          <w:i/>
          <w:color w:val="545456"/>
        </w:rPr>
        <w:t>Product</w:t>
      </w:r>
      <w:r>
        <w:rPr>
          <w:rFonts w:ascii="Arial"/>
          <w:i/>
          <w:color w:val="545456"/>
          <w:spacing w:val="-4"/>
        </w:rPr>
        <w:t xml:space="preserve"> </w:t>
      </w:r>
      <w:r>
        <w:rPr>
          <w:rFonts w:ascii="Arial"/>
          <w:i/>
          <w:color w:val="545456"/>
        </w:rPr>
        <w:t>Standard</w:t>
      </w:r>
      <w:r>
        <w:rPr>
          <w:color w:val="545456"/>
        </w:rPr>
        <w:t>.</w:t>
      </w:r>
    </w:p>
    <w:p w14:paraId="63205406" w14:textId="77777777" w:rsidR="0055291C" w:rsidRDefault="00F23C61">
      <w:pPr>
        <w:pStyle w:val="3"/>
        <w:spacing w:before="229"/>
        <w:ind w:left="300"/>
      </w:pPr>
      <w:r>
        <w:rPr>
          <w:b w:val="0"/>
          <w:i w:val="0"/>
        </w:rPr>
        <w:br w:type="column"/>
      </w:r>
      <w:r>
        <w:rPr>
          <w:color w:val="00ACA1"/>
          <w:w w:val="95"/>
        </w:rPr>
        <w:t>World</w:t>
      </w:r>
      <w:r>
        <w:rPr>
          <w:color w:val="00ACA1"/>
          <w:spacing w:val="20"/>
          <w:w w:val="95"/>
        </w:rPr>
        <w:t xml:space="preserve"> </w:t>
      </w:r>
      <w:r>
        <w:rPr>
          <w:color w:val="00ACA1"/>
          <w:w w:val="95"/>
        </w:rPr>
        <w:t>Resources</w:t>
      </w:r>
      <w:r>
        <w:rPr>
          <w:color w:val="00ACA1"/>
          <w:spacing w:val="21"/>
          <w:w w:val="95"/>
        </w:rPr>
        <w:t xml:space="preserve"> </w:t>
      </w:r>
      <w:r>
        <w:rPr>
          <w:color w:val="00ACA1"/>
          <w:w w:val="95"/>
        </w:rPr>
        <w:t>Institute</w:t>
      </w:r>
      <w:r>
        <w:rPr>
          <w:color w:val="00ACA1"/>
          <w:spacing w:val="21"/>
          <w:w w:val="95"/>
        </w:rPr>
        <w:t xml:space="preserve"> </w:t>
      </w:r>
      <w:r>
        <w:rPr>
          <w:color w:val="00ACA1"/>
          <w:w w:val="95"/>
        </w:rPr>
        <w:t>(WRI)</w:t>
      </w:r>
    </w:p>
    <w:p w14:paraId="6A4460CA" w14:textId="77777777" w:rsidR="0055291C" w:rsidRDefault="00F23C61">
      <w:pPr>
        <w:pStyle w:val="a3"/>
        <w:spacing w:before="54" w:line="312" w:lineRule="auto"/>
        <w:ind w:left="300" w:right="1244"/>
      </w:pPr>
      <w:r>
        <w:rPr>
          <w:color w:val="545456"/>
        </w:rPr>
        <w:t>The</w:t>
      </w:r>
      <w:r>
        <w:rPr>
          <w:color w:val="545456"/>
          <w:spacing w:val="-4"/>
        </w:rPr>
        <w:t xml:space="preserve"> </w:t>
      </w:r>
      <w:r>
        <w:rPr>
          <w:color w:val="545456"/>
        </w:rPr>
        <w:t>World</w:t>
      </w:r>
      <w:r>
        <w:rPr>
          <w:color w:val="545456"/>
          <w:spacing w:val="-4"/>
        </w:rPr>
        <w:t xml:space="preserve"> </w:t>
      </w:r>
      <w:r>
        <w:rPr>
          <w:color w:val="545456"/>
        </w:rPr>
        <w:t>Resources</w:t>
      </w:r>
      <w:r>
        <w:rPr>
          <w:color w:val="545456"/>
          <w:spacing w:val="-4"/>
        </w:rPr>
        <w:t xml:space="preserve"> </w:t>
      </w:r>
      <w:r>
        <w:rPr>
          <w:color w:val="545456"/>
        </w:rPr>
        <w:t>Institute</w:t>
      </w:r>
      <w:r>
        <w:rPr>
          <w:color w:val="545456"/>
          <w:spacing w:val="-4"/>
        </w:rPr>
        <w:t xml:space="preserve"> </w:t>
      </w:r>
      <w:r>
        <w:rPr>
          <w:color w:val="545456"/>
        </w:rPr>
        <w:t>is</w:t>
      </w:r>
      <w:r>
        <w:rPr>
          <w:color w:val="545456"/>
          <w:spacing w:val="-4"/>
        </w:rPr>
        <w:t xml:space="preserve"> </w:t>
      </w:r>
      <w:r>
        <w:rPr>
          <w:color w:val="545456"/>
        </w:rPr>
        <w:t>a</w:t>
      </w:r>
      <w:r>
        <w:rPr>
          <w:color w:val="545456"/>
          <w:spacing w:val="-4"/>
        </w:rPr>
        <w:t xml:space="preserve"> </w:t>
      </w:r>
      <w:r>
        <w:rPr>
          <w:color w:val="545456"/>
        </w:rPr>
        <w:t>global</w:t>
      </w:r>
      <w:r>
        <w:rPr>
          <w:color w:val="545456"/>
          <w:spacing w:val="-4"/>
        </w:rPr>
        <w:t xml:space="preserve"> </w:t>
      </w:r>
      <w:r>
        <w:rPr>
          <w:color w:val="545456"/>
        </w:rPr>
        <w:t>environmental</w:t>
      </w:r>
      <w:r>
        <w:rPr>
          <w:color w:val="545456"/>
          <w:spacing w:val="-47"/>
        </w:rPr>
        <w:t xml:space="preserve"> </w:t>
      </w:r>
      <w:r>
        <w:rPr>
          <w:color w:val="545456"/>
        </w:rPr>
        <w:t>think</w:t>
      </w:r>
      <w:r>
        <w:rPr>
          <w:color w:val="545456"/>
          <w:spacing w:val="2"/>
        </w:rPr>
        <w:t xml:space="preserve"> </w:t>
      </w:r>
      <w:r>
        <w:rPr>
          <w:color w:val="545456"/>
        </w:rPr>
        <w:t>tank</w:t>
      </w:r>
      <w:r>
        <w:rPr>
          <w:color w:val="545456"/>
          <w:spacing w:val="2"/>
        </w:rPr>
        <w:t xml:space="preserve"> </w:t>
      </w:r>
      <w:r>
        <w:rPr>
          <w:color w:val="545456"/>
        </w:rPr>
        <w:t>that</w:t>
      </w:r>
      <w:r>
        <w:rPr>
          <w:color w:val="545456"/>
          <w:spacing w:val="3"/>
        </w:rPr>
        <w:t xml:space="preserve"> </w:t>
      </w:r>
      <w:r>
        <w:rPr>
          <w:color w:val="545456"/>
        </w:rPr>
        <w:t>goes</w:t>
      </w:r>
      <w:r>
        <w:rPr>
          <w:color w:val="545456"/>
          <w:spacing w:val="2"/>
        </w:rPr>
        <w:t xml:space="preserve"> </w:t>
      </w:r>
      <w:r>
        <w:rPr>
          <w:color w:val="545456"/>
        </w:rPr>
        <w:t>beyond</w:t>
      </w:r>
      <w:r>
        <w:rPr>
          <w:color w:val="545456"/>
          <w:spacing w:val="3"/>
        </w:rPr>
        <w:t xml:space="preserve"> </w:t>
      </w:r>
      <w:r>
        <w:rPr>
          <w:color w:val="545456"/>
        </w:rPr>
        <w:t>research</w:t>
      </w:r>
      <w:r>
        <w:rPr>
          <w:color w:val="545456"/>
          <w:spacing w:val="2"/>
        </w:rPr>
        <w:t xml:space="preserve"> </w:t>
      </w:r>
      <w:r>
        <w:rPr>
          <w:color w:val="545456"/>
        </w:rPr>
        <w:t>to</w:t>
      </w:r>
      <w:r>
        <w:rPr>
          <w:color w:val="545456"/>
          <w:spacing w:val="2"/>
        </w:rPr>
        <w:t xml:space="preserve"> </w:t>
      </w:r>
      <w:r>
        <w:rPr>
          <w:color w:val="545456"/>
        </w:rPr>
        <w:t>put</w:t>
      </w:r>
      <w:r>
        <w:rPr>
          <w:color w:val="545456"/>
          <w:spacing w:val="3"/>
        </w:rPr>
        <w:t xml:space="preserve"> </w:t>
      </w:r>
      <w:r>
        <w:rPr>
          <w:color w:val="545456"/>
        </w:rPr>
        <w:t>ideas</w:t>
      </w:r>
      <w:r>
        <w:rPr>
          <w:color w:val="545456"/>
          <w:spacing w:val="2"/>
        </w:rPr>
        <w:t xml:space="preserve"> </w:t>
      </w:r>
      <w:r>
        <w:rPr>
          <w:color w:val="545456"/>
        </w:rPr>
        <w:t>into</w:t>
      </w:r>
      <w:r>
        <w:rPr>
          <w:color w:val="545456"/>
          <w:spacing w:val="1"/>
        </w:rPr>
        <w:t xml:space="preserve"> </w:t>
      </w:r>
      <w:r>
        <w:rPr>
          <w:color w:val="545456"/>
        </w:rPr>
        <w:t>action.</w:t>
      </w:r>
      <w:r>
        <w:rPr>
          <w:color w:val="545456"/>
          <w:spacing w:val="7"/>
        </w:rPr>
        <w:t xml:space="preserve"> </w:t>
      </w:r>
      <w:r>
        <w:rPr>
          <w:color w:val="545456"/>
        </w:rPr>
        <w:t>We</w:t>
      </w:r>
      <w:r>
        <w:rPr>
          <w:color w:val="545456"/>
          <w:spacing w:val="8"/>
        </w:rPr>
        <w:t xml:space="preserve"> </w:t>
      </w:r>
      <w:r>
        <w:rPr>
          <w:color w:val="545456"/>
        </w:rPr>
        <w:t>work</w:t>
      </w:r>
      <w:r>
        <w:rPr>
          <w:color w:val="545456"/>
          <w:spacing w:val="8"/>
        </w:rPr>
        <w:t xml:space="preserve"> </w:t>
      </w:r>
      <w:r>
        <w:rPr>
          <w:color w:val="545456"/>
        </w:rPr>
        <w:t>with</w:t>
      </w:r>
      <w:r>
        <w:rPr>
          <w:color w:val="545456"/>
          <w:spacing w:val="7"/>
        </w:rPr>
        <w:t xml:space="preserve"> </w:t>
      </w:r>
      <w:r>
        <w:rPr>
          <w:color w:val="545456"/>
        </w:rPr>
        <w:t>governments,</w:t>
      </w:r>
      <w:r>
        <w:rPr>
          <w:color w:val="545456"/>
          <w:spacing w:val="8"/>
        </w:rPr>
        <w:t xml:space="preserve"> </w:t>
      </w:r>
      <w:r>
        <w:rPr>
          <w:color w:val="545456"/>
        </w:rPr>
        <w:t>companies,</w:t>
      </w:r>
      <w:r>
        <w:rPr>
          <w:color w:val="545456"/>
          <w:spacing w:val="8"/>
        </w:rPr>
        <w:t xml:space="preserve"> </w:t>
      </w:r>
      <w:r>
        <w:rPr>
          <w:color w:val="545456"/>
        </w:rPr>
        <w:t>and</w:t>
      </w:r>
      <w:r>
        <w:rPr>
          <w:color w:val="545456"/>
          <w:spacing w:val="1"/>
        </w:rPr>
        <w:t xml:space="preserve"> </w:t>
      </w:r>
      <w:r>
        <w:rPr>
          <w:color w:val="545456"/>
        </w:rPr>
        <w:t>civil</w:t>
      </w:r>
      <w:r>
        <w:rPr>
          <w:color w:val="545456"/>
          <w:spacing w:val="7"/>
        </w:rPr>
        <w:t xml:space="preserve"> </w:t>
      </w:r>
      <w:r>
        <w:rPr>
          <w:color w:val="545456"/>
        </w:rPr>
        <w:t>society</w:t>
      </w:r>
      <w:r>
        <w:rPr>
          <w:color w:val="545456"/>
          <w:spacing w:val="8"/>
        </w:rPr>
        <w:t xml:space="preserve"> </w:t>
      </w:r>
      <w:r>
        <w:rPr>
          <w:color w:val="545456"/>
        </w:rPr>
        <w:t>to</w:t>
      </w:r>
      <w:r>
        <w:rPr>
          <w:color w:val="545456"/>
          <w:spacing w:val="7"/>
        </w:rPr>
        <w:t xml:space="preserve"> </w:t>
      </w:r>
      <w:r>
        <w:rPr>
          <w:color w:val="545456"/>
        </w:rPr>
        <w:t>build</w:t>
      </w:r>
      <w:r>
        <w:rPr>
          <w:color w:val="545456"/>
          <w:spacing w:val="8"/>
        </w:rPr>
        <w:t xml:space="preserve"> </w:t>
      </w:r>
      <w:r>
        <w:rPr>
          <w:color w:val="545456"/>
        </w:rPr>
        <w:t>solutions</w:t>
      </w:r>
      <w:r>
        <w:rPr>
          <w:color w:val="545456"/>
          <w:spacing w:val="8"/>
        </w:rPr>
        <w:t xml:space="preserve"> </w:t>
      </w:r>
      <w:r>
        <w:rPr>
          <w:color w:val="545456"/>
        </w:rPr>
        <w:t>to</w:t>
      </w:r>
      <w:r>
        <w:rPr>
          <w:color w:val="545456"/>
          <w:spacing w:val="7"/>
        </w:rPr>
        <w:t xml:space="preserve"> </w:t>
      </w:r>
      <w:r>
        <w:rPr>
          <w:color w:val="545456"/>
        </w:rPr>
        <w:t>urgent</w:t>
      </w:r>
      <w:r>
        <w:rPr>
          <w:color w:val="545456"/>
          <w:spacing w:val="8"/>
        </w:rPr>
        <w:t xml:space="preserve"> </w:t>
      </w:r>
      <w:r>
        <w:rPr>
          <w:color w:val="545456"/>
        </w:rPr>
        <w:t>environmental</w:t>
      </w:r>
    </w:p>
    <w:p w14:paraId="5C4213D3" w14:textId="77777777" w:rsidR="0055291C" w:rsidRDefault="00F23C61">
      <w:pPr>
        <w:pStyle w:val="a3"/>
        <w:spacing w:before="1" w:line="312" w:lineRule="auto"/>
        <w:ind w:left="300" w:right="930"/>
      </w:pPr>
      <w:r>
        <w:rPr>
          <w:color w:val="545456"/>
        </w:rPr>
        <w:t>challenges. WRI’s transformative ideas protect</w:t>
      </w:r>
      <w:r>
        <w:rPr>
          <w:color w:val="545456"/>
          <w:spacing w:val="1"/>
        </w:rPr>
        <w:t xml:space="preserve"> </w:t>
      </w:r>
      <w:r>
        <w:rPr>
          <w:color w:val="545456"/>
        </w:rPr>
        <w:t>the earth</w:t>
      </w:r>
      <w:r>
        <w:rPr>
          <w:color w:val="545456"/>
          <w:spacing w:val="-48"/>
        </w:rPr>
        <w:t xml:space="preserve"> </w:t>
      </w:r>
      <w:r>
        <w:rPr>
          <w:color w:val="545456"/>
        </w:rPr>
        <w:t>and promote development because sustainability is</w:t>
      </w:r>
      <w:r>
        <w:rPr>
          <w:color w:val="545456"/>
          <w:spacing w:val="1"/>
        </w:rPr>
        <w:t xml:space="preserve"> </w:t>
      </w:r>
      <w:r>
        <w:rPr>
          <w:color w:val="545456"/>
        </w:rPr>
        <w:t>essential</w:t>
      </w:r>
      <w:r>
        <w:rPr>
          <w:color w:val="545456"/>
          <w:spacing w:val="3"/>
        </w:rPr>
        <w:t xml:space="preserve"> </w:t>
      </w:r>
      <w:r>
        <w:rPr>
          <w:color w:val="545456"/>
        </w:rPr>
        <w:t>to</w:t>
      </w:r>
      <w:r>
        <w:rPr>
          <w:color w:val="545456"/>
          <w:spacing w:val="3"/>
        </w:rPr>
        <w:t xml:space="preserve"> </w:t>
      </w:r>
      <w:r>
        <w:rPr>
          <w:color w:val="545456"/>
        </w:rPr>
        <w:t>meeting</w:t>
      </w:r>
      <w:r>
        <w:rPr>
          <w:color w:val="545456"/>
          <w:spacing w:val="4"/>
        </w:rPr>
        <w:t xml:space="preserve"> </w:t>
      </w:r>
      <w:r>
        <w:rPr>
          <w:color w:val="545456"/>
        </w:rPr>
        <w:t>human</w:t>
      </w:r>
      <w:r>
        <w:rPr>
          <w:color w:val="545456"/>
          <w:spacing w:val="3"/>
        </w:rPr>
        <w:t xml:space="preserve"> </w:t>
      </w:r>
      <w:r>
        <w:rPr>
          <w:color w:val="545456"/>
        </w:rPr>
        <w:t>needs</w:t>
      </w:r>
      <w:r>
        <w:rPr>
          <w:color w:val="545456"/>
          <w:spacing w:val="4"/>
        </w:rPr>
        <w:t xml:space="preserve"> </w:t>
      </w:r>
      <w:r>
        <w:rPr>
          <w:color w:val="545456"/>
        </w:rPr>
        <w:t>and</w:t>
      </w:r>
      <w:r>
        <w:rPr>
          <w:color w:val="545456"/>
          <w:spacing w:val="3"/>
        </w:rPr>
        <w:t xml:space="preserve"> </w:t>
      </w:r>
      <w:r>
        <w:rPr>
          <w:color w:val="545456"/>
        </w:rPr>
        <w:t>fulfilling</w:t>
      </w:r>
      <w:r>
        <w:rPr>
          <w:color w:val="545456"/>
          <w:spacing w:val="3"/>
        </w:rPr>
        <w:t xml:space="preserve"> </w:t>
      </w:r>
      <w:r>
        <w:rPr>
          <w:color w:val="545456"/>
        </w:rPr>
        <w:t>human</w:t>
      </w:r>
      <w:r>
        <w:rPr>
          <w:color w:val="545456"/>
          <w:spacing w:val="1"/>
        </w:rPr>
        <w:t xml:space="preserve"> </w:t>
      </w:r>
      <w:r>
        <w:rPr>
          <w:color w:val="545456"/>
          <w:w w:val="105"/>
        </w:rPr>
        <w:t>aspirations</w:t>
      </w:r>
      <w:r>
        <w:rPr>
          <w:color w:val="545456"/>
          <w:spacing w:val="-11"/>
          <w:w w:val="105"/>
        </w:rPr>
        <w:t xml:space="preserve"> </w:t>
      </w:r>
      <w:r>
        <w:rPr>
          <w:color w:val="545456"/>
          <w:w w:val="105"/>
        </w:rPr>
        <w:t>in</w:t>
      </w:r>
      <w:r>
        <w:rPr>
          <w:color w:val="545456"/>
          <w:spacing w:val="-11"/>
          <w:w w:val="105"/>
        </w:rPr>
        <w:t xml:space="preserve"> </w:t>
      </w:r>
      <w:r>
        <w:rPr>
          <w:color w:val="545456"/>
          <w:w w:val="105"/>
        </w:rPr>
        <w:t>the</w:t>
      </w:r>
      <w:r>
        <w:rPr>
          <w:color w:val="545456"/>
          <w:spacing w:val="-11"/>
          <w:w w:val="105"/>
        </w:rPr>
        <w:t xml:space="preserve"> </w:t>
      </w:r>
      <w:r>
        <w:rPr>
          <w:color w:val="545456"/>
          <w:w w:val="105"/>
        </w:rPr>
        <w:t>future.</w:t>
      </w:r>
    </w:p>
    <w:p w14:paraId="6DFF7BD0" w14:textId="77777777" w:rsidR="0055291C" w:rsidRDefault="00F23C61">
      <w:pPr>
        <w:pStyle w:val="a3"/>
        <w:spacing w:before="142" w:line="312" w:lineRule="auto"/>
        <w:ind w:left="300" w:right="1585"/>
      </w:pPr>
      <w:r>
        <w:rPr>
          <w:color w:val="545456"/>
          <w:spacing w:val="-1"/>
        </w:rPr>
        <w:t>WRI</w:t>
      </w:r>
      <w:r>
        <w:rPr>
          <w:color w:val="545456"/>
          <w:spacing w:val="-11"/>
        </w:rPr>
        <w:t xml:space="preserve"> </w:t>
      </w:r>
      <w:r>
        <w:rPr>
          <w:color w:val="545456"/>
          <w:spacing w:val="-1"/>
        </w:rPr>
        <w:t>spurs</w:t>
      </w:r>
      <w:r>
        <w:rPr>
          <w:color w:val="545456"/>
          <w:spacing w:val="-11"/>
        </w:rPr>
        <w:t xml:space="preserve"> </w:t>
      </w:r>
      <w:r>
        <w:rPr>
          <w:color w:val="545456"/>
          <w:spacing w:val="-1"/>
        </w:rPr>
        <w:t>progress</w:t>
      </w:r>
      <w:r>
        <w:rPr>
          <w:color w:val="545456"/>
          <w:spacing w:val="-10"/>
        </w:rPr>
        <w:t xml:space="preserve"> </w:t>
      </w:r>
      <w:r>
        <w:rPr>
          <w:color w:val="545456"/>
          <w:spacing w:val="-1"/>
        </w:rPr>
        <w:t>by</w:t>
      </w:r>
      <w:r>
        <w:rPr>
          <w:color w:val="545456"/>
          <w:spacing w:val="-11"/>
        </w:rPr>
        <w:t xml:space="preserve"> </w:t>
      </w:r>
      <w:r>
        <w:rPr>
          <w:color w:val="545456"/>
          <w:spacing w:val="-1"/>
        </w:rPr>
        <w:t>providing</w:t>
      </w:r>
      <w:r>
        <w:rPr>
          <w:color w:val="545456"/>
          <w:spacing w:val="-11"/>
        </w:rPr>
        <w:t xml:space="preserve"> </w:t>
      </w:r>
      <w:r>
        <w:rPr>
          <w:color w:val="545456"/>
        </w:rPr>
        <w:t>practical</w:t>
      </w:r>
      <w:r>
        <w:rPr>
          <w:color w:val="545456"/>
          <w:spacing w:val="-10"/>
        </w:rPr>
        <w:t xml:space="preserve"> </w:t>
      </w:r>
      <w:r>
        <w:rPr>
          <w:color w:val="545456"/>
        </w:rPr>
        <w:t>strategies</w:t>
      </w:r>
      <w:r>
        <w:rPr>
          <w:color w:val="545456"/>
          <w:spacing w:val="1"/>
        </w:rPr>
        <w:t xml:space="preserve"> </w:t>
      </w:r>
      <w:r>
        <w:rPr>
          <w:color w:val="545456"/>
        </w:rPr>
        <w:t>for</w:t>
      </w:r>
      <w:r>
        <w:rPr>
          <w:color w:val="545456"/>
          <w:spacing w:val="3"/>
        </w:rPr>
        <w:t xml:space="preserve"> </w:t>
      </w:r>
      <w:r>
        <w:rPr>
          <w:color w:val="545456"/>
        </w:rPr>
        <w:t>change</w:t>
      </w:r>
      <w:r>
        <w:rPr>
          <w:color w:val="545456"/>
          <w:spacing w:val="4"/>
        </w:rPr>
        <w:t xml:space="preserve"> </w:t>
      </w:r>
      <w:r>
        <w:rPr>
          <w:color w:val="545456"/>
        </w:rPr>
        <w:t>and</w:t>
      </w:r>
      <w:r>
        <w:rPr>
          <w:color w:val="545456"/>
          <w:spacing w:val="3"/>
        </w:rPr>
        <w:t xml:space="preserve"> </w:t>
      </w:r>
      <w:r>
        <w:rPr>
          <w:color w:val="545456"/>
        </w:rPr>
        <w:t>effective</w:t>
      </w:r>
      <w:r>
        <w:rPr>
          <w:color w:val="545456"/>
          <w:spacing w:val="4"/>
        </w:rPr>
        <w:t xml:space="preserve"> </w:t>
      </w:r>
      <w:r>
        <w:rPr>
          <w:color w:val="545456"/>
        </w:rPr>
        <w:t>tools</w:t>
      </w:r>
      <w:r>
        <w:rPr>
          <w:color w:val="545456"/>
          <w:spacing w:val="3"/>
        </w:rPr>
        <w:t xml:space="preserve"> </w:t>
      </w:r>
      <w:r>
        <w:rPr>
          <w:color w:val="545456"/>
        </w:rPr>
        <w:t>to</w:t>
      </w:r>
      <w:r>
        <w:rPr>
          <w:color w:val="545456"/>
          <w:spacing w:val="4"/>
        </w:rPr>
        <w:t xml:space="preserve"> </w:t>
      </w:r>
      <w:r>
        <w:rPr>
          <w:color w:val="545456"/>
        </w:rPr>
        <w:t>implement</w:t>
      </w:r>
      <w:r>
        <w:rPr>
          <w:color w:val="545456"/>
          <w:spacing w:val="3"/>
        </w:rPr>
        <w:t xml:space="preserve"> </w:t>
      </w:r>
      <w:r>
        <w:rPr>
          <w:color w:val="545456"/>
        </w:rPr>
        <w:t>them.</w:t>
      </w:r>
      <w:r>
        <w:rPr>
          <w:color w:val="545456"/>
          <w:spacing w:val="1"/>
        </w:rPr>
        <w:t xml:space="preserve"> </w:t>
      </w:r>
      <w:r>
        <w:rPr>
          <w:color w:val="545456"/>
        </w:rPr>
        <w:t>We</w:t>
      </w:r>
      <w:r>
        <w:rPr>
          <w:color w:val="545456"/>
          <w:spacing w:val="-11"/>
        </w:rPr>
        <w:t xml:space="preserve"> </w:t>
      </w:r>
      <w:r>
        <w:rPr>
          <w:color w:val="545456"/>
        </w:rPr>
        <w:t>measure</w:t>
      </w:r>
      <w:r>
        <w:rPr>
          <w:color w:val="545456"/>
          <w:spacing w:val="-11"/>
        </w:rPr>
        <w:t xml:space="preserve"> </w:t>
      </w:r>
      <w:r>
        <w:rPr>
          <w:color w:val="545456"/>
        </w:rPr>
        <w:t>our</w:t>
      </w:r>
      <w:r>
        <w:rPr>
          <w:color w:val="545456"/>
          <w:spacing w:val="-10"/>
        </w:rPr>
        <w:t xml:space="preserve"> </w:t>
      </w:r>
      <w:r>
        <w:rPr>
          <w:color w:val="545456"/>
        </w:rPr>
        <w:t>success</w:t>
      </w:r>
      <w:r>
        <w:rPr>
          <w:color w:val="545456"/>
          <w:spacing w:val="-11"/>
        </w:rPr>
        <w:t xml:space="preserve"> </w:t>
      </w:r>
      <w:r>
        <w:rPr>
          <w:color w:val="545456"/>
        </w:rPr>
        <w:t>in</w:t>
      </w:r>
      <w:r>
        <w:rPr>
          <w:color w:val="545456"/>
          <w:spacing w:val="-10"/>
        </w:rPr>
        <w:t xml:space="preserve"> </w:t>
      </w:r>
      <w:r>
        <w:rPr>
          <w:color w:val="545456"/>
        </w:rPr>
        <w:t>the</w:t>
      </w:r>
      <w:r>
        <w:rPr>
          <w:color w:val="545456"/>
          <w:spacing w:val="-11"/>
        </w:rPr>
        <w:t xml:space="preserve"> </w:t>
      </w:r>
      <w:r>
        <w:rPr>
          <w:color w:val="545456"/>
        </w:rPr>
        <w:t>form</w:t>
      </w:r>
      <w:r>
        <w:rPr>
          <w:color w:val="545456"/>
          <w:spacing w:val="-10"/>
        </w:rPr>
        <w:t xml:space="preserve"> </w:t>
      </w:r>
      <w:r>
        <w:rPr>
          <w:color w:val="545456"/>
        </w:rPr>
        <w:t>of</w:t>
      </w:r>
      <w:r>
        <w:rPr>
          <w:color w:val="545456"/>
          <w:spacing w:val="-11"/>
        </w:rPr>
        <w:t xml:space="preserve"> </w:t>
      </w:r>
      <w:r>
        <w:rPr>
          <w:color w:val="545456"/>
        </w:rPr>
        <w:t>new</w:t>
      </w:r>
      <w:r>
        <w:rPr>
          <w:color w:val="545456"/>
          <w:spacing w:val="-10"/>
        </w:rPr>
        <w:t xml:space="preserve"> </w:t>
      </w:r>
      <w:r>
        <w:rPr>
          <w:color w:val="545456"/>
        </w:rPr>
        <w:t>policies,</w:t>
      </w:r>
    </w:p>
    <w:p w14:paraId="7D3DC58F" w14:textId="77777777" w:rsidR="0055291C" w:rsidRDefault="00F23C61">
      <w:pPr>
        <w:pStyle w:val="a3"/>
        <w:spacing w:before="1" w:line="312" w:lineRule="auto"/>
        <w:ind w:left="300" w:right="1244"/>
      </w:pPr>
      <w:r>
        <w:rPr>
          <w:color w:val="545456"/>
        </w:rPr>
        <w:t>products, and practices that shift the ways governments</w:t>
      </w:r>
      <w:r>
        <w:rPr>
          <w:color w:val="545456"/>
          <w:spacing w:val="-48"/>
        </w:rPr>
        <w:t xml:space="preserve"> </w:t>
      </w:r>
      <w:r>
        <w:rPr>
          <w:color w:val="545456"/>
        </w:rPr>
        <w:t>work,</w:t>
      </w:r>
      <w:r>
        <w:rPr>
          <w:color w:val="545456"/>
          <w:spacing w:val="-10"/>
        </w:rPr>
        <w:t xml:space="preserve"> </w:t>
      </w:r>
      <w:r>
        <w:rPr>
          <w:color w:val="545456"/>
        </w:rPr>
        <w:t>companies</w:t>
      </w:r>
      <w:r>
        <w:rPr>
          <w:color w:val="545456"/>
          <w:spacing w:val="-10"/>
        </w:rPr>
        <w:t xml:space="preserve"> </w:t>
      </w:r>
      <w:r>
        <w:rPr>
          <w:color w:val="545456"/>
        </w:rPr>
        <w:t>operate,</w:t>
      </w:r>
      <w:r>
        <w:rPr>
          <w:color w:val="545456"/>
          <w:spacing w:val="-10"/>
        </w:rPr>
        <w:t xml:space="preserve"> </w:t>
      </w:r>
      <w:r>
        <w:rPr>
          <w:color w:val="545456"/>
        </w:rPr>
        <w:t>and</w:t>
      </w:r>
      <w:r>
        <w:rPr>
          <w:color w:val="545456"/>
          <w:spacing w:val="-9"/>
        </w:rPr>
        <w:t xml:space="preserve"> </w:t>
      </w:r>
      <w:r>
        <w:rPr>
          <w:color w:val="545456"/>
        </w:rPr>
        <w:t>people</w:t>
      </w:r>
      <w:r>
        <w:rPr>
          <w:color w:val="545456"/>
          <w:spacing w:val="-10"/>
        </w:rPr>
        <w:t xml:space="preserve"> </w:t>
      </w:r>
      <w:r>
        <w:rPr>
          <w:color w:val="545456"/>
        </w:rPr>
        <w:t>act.</w:t>
      </w:r>
    </w:p>
    <w:p w14:paraId="45D0E779" w14:textId="77777777" w:rsidR="0055291C" w:rsidRDefault="00F23C61">
      <w:pPr>
        <w:pStyle w:val="a3"/>
        <w:spacing w:before="141" w:line="312" w:lineRule="auto"/>
        <w:ind w:left="300" w:right="1585"/>
      </w:pPr>
      <w:r>
        <w:rPr>
          <w:color w:val="545456"/>
          <w:spacing w:val="-1"/>
        </w:rPr>
        <w:t>We</w:t>
      </w:r>
      <w:r>
        <w:rPr>
          <w:color w:val="545456"/>
          <w:spacing w:val="-11"/>
        </w:rPr>
        <w:t xml:space="preserve"> </w:t>
      </w:r>
      <w:r>
        <w:rPr>
          <w:color w:val="545456"/>
          <w:spacing w:val="-1"/>
        </w:rPr>
        <w:t>operate</w:t>
      </w:r>
      <w:r>
        <w:rPr>
          <w:color w:val="545456"/>
          <w:spacing w:val="-11"/>
        </w:rPr>
        <w:t xml:space="preserve"> </w:t>
      </w:r>
      <w:r>
        <w:rPr>
          <w:color w:val="545456"/>
          <w:spacing w:val="-1"/>
        </w:rPr>
        <w:t>globally</w:t>
      </w:r>
      <w:r>
        <w:rPr>
          <w:color w:val="545456"/>
          <w:spacing w:val="-11"/>
        </w:rPr>
        <w:t xml:space="preserve"> </w:t>
      </w:r>
      <w:r>
        <w:rPr>
          <w:color w:val="545456"/>
          <w:spacing w:val="-1"/>
        </w:rPr>
        <w:t>because</w:t>
      </w:r>
      <w:r>
        <w:rPr>
          <w:color w:val="545456"/>
          <w:spacing w:val="-11"/>
        </w:rPr>
        <w:t xml:space="preserve"> </w:t>
      </w:r>
      <w:r>
        <w:rPr>
          <w:color w:val="545456"/>
          <w:spacing w:val="-1"/>
        </w:rPr>
        <w:t>today’s</w:t>
      </w:r>
      <w:r>
        <w:rPr>
          <w:color w:val="545456"/>
          <w:spacing w:val="-11"/>
        </w:rPr>
        <w:t xml:space="preserve"> </w:t>
      </w:r>
      <w:r>
        <w:rPr>
          <w:color w:val="545456"/>
          <w:spacing w:val="-1"/>
        </w:rPr>
        <w:t>problems</w:t>
      </w:r>
      <w:r>
        <w:rPr>
          <w:color w:val="545456"/>
          <w:spacing w:val="-11"/>
        </w:rPr>
        <w:t xml:space="preserve"> </w:t>
      </w:r>
      <w:r>
        <w:rPr>
          <w:color w:val="545456"/>
        </w:rPr>
        <w:t>know</w:t>
      </w:r>
      <w:r>
        <w:rPr>
          <w:color w:val="545456"/>
          <w:spacing w:val="-47"/>
        </w:rPr>
        <w:t xml:space="preserve"> </w:t>
      </w:r>
      <w:r>
        <w:rPr>
          <w:color w:val="545456"/>
          <w:w w:val="95"/>
        </w:rPr>
        <w:t>no</w:t>
      </w:r>
      <w:r>
        <w:rPr>
          <w:color w:val="545456"/>
          <w:spacing w:val="6"/>
          <w:w w:val="95"/>
        </w:rPr>
        <w:t xml:space="preserve"> </w:t>
      </w:r>
      <w:r>
        <w:rPr>
          <w:color w:val="545456"/>
          <w:w w:val="95"/>
        </w:rPr>
        <w:t>boundaries.</w:t>
      </w:r>
      <w:r>
        <w:rPr>
          <w:color w:val="545456"/>
          <w:spacing w:val="6"/>
          <w:w w:val="95"/>
        </w:rPr>
        <w:t xml:space="preserve"> </w:t>
      </w:r>
      <w:r>
        <w:rPr>
          <w:color w:val="545456"/>
          <w:w w:val="95"/>
        </w:rPr>
        <w:t>We</w:t>
      </w:r>
      <w:r>
        <w:rPr>
          <w:color w:val="545456"/>
          <w:spacing w:val="7"/>
          <w:w w:val="95"/>
        </w:rPr>
        <w:t xml:space="preserve"> </w:t>
      </w:r>
      <w:r>
        <w:rPr>
          <w:color w:val="545456"/>
          <w:w w:val="95"/>
        </w:rPr>
        <w:t>are</w:t>
      </w:r>
      <w:r>
        <w:rPr>
          <w:color w:val="545456"/>
          <w:spacing w:val="6"/>
          <w:w w:val="95"/>
        </w:rPr>
        <w:t xml:space="preserve"> </w:t>
      </w:r>
      <w:r>
        <w:rPr>
          <w:color w:val="545456"/>
          <w:w w:val="95"/>
        </w:rPr>
        <w:t>avid</w:t>
      </w:r>
      <w:r>
        <w:rPr>
          <w:color w:val="545456"/>
          <w:spacing w:val="7"/>
          <w:w w:val="95"/>
        </w:rPr>
        <w:t xml:space="preserve"> </w:t>
      </w:r>
      <w:r>
        <w:rPr>
          <w:color w:val="545456"/>
          <w:w w:val="95"/>
        </w:rPr>
        <w:t>communicators</w:t>
      </w:r>
      <w:r>
        <w:rPr>
          <w:color w:val="545456"/>
          <w:spacing w:val="6"/>
          <w:w w:val="95"/>
        </w:rPr>
        <w:t xml:space="preserve"> </w:t>
      </w:r>
      <w:r>
        <w:rPr>
          <w:color w:val="545456"/>
          <w:w w:val="95"/>
        </w:rPr>
        <w:t>because</w:t>
      </w:r>
    </w:p>
    <w:p w14:paraId="7A4CF5C7" w14:textId="77777777" w:rsidR="0055291C" w:rsidRDefault="00F23C61">
      <w:pPr>
        <w:pStyle w:val="a3"/>
        <w:spacing w:before="1" w:line="312" w:lineRule="auto"/>
        <w:ind w:left="300" w:right="1163"/>
      </w:pPr>
      <w:r>
        <w:rPr>
          <w:color w:val="545456"/>
          <w:spacing w:val="-1"/>
        </w:rPr>
        <w:t xml:space="preserve">people everywhere are </w:t>
      </w:r>
      <w:r>
        <w:rPr>
          <w:color w:val="545456"/>
        </w:rPr>
        <w:t>inspired by ideas, empowered by</w:t>
      </w:r>
      <w:r>
        <w:rPr>
          <w:color w:val="545456"/>
          <w:spacing w:val="-48"/>
        </w:rPr>
        <w:t xml:space="preserve"> </w:t>
      </w:r>
      <w:r>
        <w:rPr>
          <w:color w:val="545456"/>
          <w:spacing w:val="-4"/>
        </w:rPr>
        <w:t>knowledge,</w:t>
      </w:r>
      <w:r>
        <w:rPr>
          <w:color w:val="545456"/>
          <w:spacing w:val="-19"/>
        </w:rPr>
        <w:t xml:space="preserve"> </w:t>
      </w:r>
      <w:r>
        <w:rPr>
          <w:color w:val="545456"/>
          <w:spacing w:val="-3"/>
        </w:rPr>
        <w:t>and</w:t>
      </w:r>
      <w:r>
        <w:rPr>
          <w:color w:val="545456"/>
          <w:spacing w:val="-19"/>
        </w:rPr>
        <w:t xml:space="preserve"> </w:t>
      </w:r>
      <w:r>
        <w:rPr>
          <w:color w:val="545456"/>
          <w:spacing w:val="-3"/>
        </w:rPr>
        <w:t>moved</w:t>
      </w:r>
      <w:r>
        <w:rPr>
          <w:color w:val="545456"/>
          <w:spacing w:val="-19"/>
        </w:rPr>
        <w:t xml:space="preserve"> </w:t>
      </w:r>
      <w:r>
        <w:rPr>
          <w:color w:val="545456"/>
          <w:spacing w:val="-3"/>
        </w:rPr>
        <w:t>to</w:t>
      </w:r>
      <w:r>
        <w:rPr>
          <w:color w:val="545456"/>
          <w:spacing w:val="-19"/>
        </w:rPr>
        <w:t xml:space="preserve"> </w:t>
      </w:r>
      <w:r>
        <w:rPr>
          <w:color w:val="545456"/>
          <w:spacing w:val="-3"/>
        </w:rPr>
        <w:t>change</w:t>
      </w:r>
      <w:r>
        <w:rPr>
          <w:color w:val="545456"/>
          <w:spacing w:val="-19"/>
        </w:rPr>
        <w:t xml:space="preserve"> </w:t>
      </w:r>
      <w:r>
        <w:rPr>
          <w:color w:val="545456"/>
          <w:spacing w:val="-3"/>
        </w:rPr>
        <w:t>by</w:t>
      </w:r>
      <w:r>
        <w:rPr>
          <w:color w:val="545456"/>
          <w:spacing w:val="-19"/>
        </w:rPr>
        <w:t xml:space="preserve"> </w:t>
      </w:r>
      <w:r>
        <w:rPr>
          <w:color w:val="545456"/>
          <w:spacing w:val="-3"/>
        </w:rPr>
        <w:t>greater</w:t>
      </w:r>
      <w:r>
        <w:rPr>
          <w:color w:val="545456"/>
          <w:spacing w:val="-18"/>
        </w:rPr>
        <w:t xml:space="preserve"> </w:t>
      </w:r>
      <w:r>
        <w:rPr>
          <w:color w:val="545456"/>
          <w:spacing w:val="-3"/>
        </w:rPr>
        <w:t>understanding.</w:t>
      </w:r>
      <w:r>
        <w:rPr>
          <w:color w:val="545456"/>
          <w:spacing w:val="-48"/>
        </w:rPr>
        <w:t xml:space="preserve"> </w:t>
      </w:r>
      <w:r>
        <w:rPr>
          <w:color w:val="545456"/>
          <w:spacing w:val="-3"/>
        </w:rPr>
        <w:t>We</w:t>
      </w:r>
      <w:r>
        <w:rPr>
          <w:color w:val="545456"/>
          <w:spacing w:val="-19"/>
        </w:rPr>
        <w:t xml:space="preserve"> </w:t>
      </w:r>
      <w:r>
        <w:rPr>
          <w:color w:val="545456"/>
          <w:spacing w:val="-3"/>
        </w:rPr>
        <w:t>provide</w:t>
      </w:r>
      <w:r>
        <w:rPr>
          <w:color w:val="545456"/>
          <w:spacing w:val="-19"/>
        </w:rPr>
        <w:t xml:space="preserve"> </w:t>
      </w:r>
      <w:r>
        <w:rPr>
          <w:color w:val="545456"/>
          <w:spacing w:val="-3"/>
        </w:rPr>
        <w:t>innovative</w:t>
      </w:r>
      <w:r>
        <w:rPr>
          <w:color w:val="545456"/>
          <w:spacing w:val="-19"/>
        </w:rPr>
        <w:t xml:space="preserve"> </w:t>
      </w:r>
      <w:r>
        <w:rPr>
          <w:color w:val="545456"/>
          <w:spacing w:val="-3"/>
        </w:rPr>
        <w:t>paths</w:t>
      </w:r>
      <w:r>
        <w:rPr>
          <w:color w:val="545456"/>
          <w:spacing w:val="-19"/>
        </w:rPr>
        <w:t xml:space="preserve"> </w:t>
      </w:r>
      <w:r>
        <w:rPr>
          <w:color w:val="545456"/>
          <w:spacing w:val="-3"/>
        </w:rPr>
        <w:t>to</w:t>
      </w:r>
      <w:r>
        <w:rPr>
          <w:color w:val="545456"/>
          <w:spacing w:val="-18"/>
        </w:rPr>
        <w:t xml:space="preserve"> </w:t>
      </w:r>
      <w:r>
        <w:rPr>
          <w:color w:val="545456"/>
          <w:spacing w:val="-3"/>
        </w:rPr>
        <w:t>a</w:t>
      </w:r>
      <w:r>
        <w:rPr>
          <w:color w:val="545456"/>
          <w:spacing w:val="-19"/>
        </w:rPr>
        <w:t xml:space="preserve"> </w:t>
      </w:r>
      <w:r>
        <w:rPr>
          <w:color w:val="545456"/>
          <w:spacing w:val="-3"/>
        </w:rPr>
        <w:t>sustainable</w:t>
      </w:r>
      <w:r>
        <w:rPr>
          <w:color w:val="545456"/>
          <w:spacing w:val="-19"/>
        </w:rPr>
        <w:t xml:space="preserve"> </w:t>
      </w:r>
      <w:r>
        <w:rPr>
          <w:color w:val="545456"/>
          <w:spacing w:val="-3"/>
        </w:rPr>
        <w:t>planet</w:t>
      </w:r>
      <w:r>
        <w:rPr>
          <w:color w:val="545456"/>
          <w:spacing w:val="-19"/>
        </w:rPr>
        <w:t xml:space="preserve"> </w:t>
      </w:r>
      <w:r>
        <w:rPr>
          <w:color w:val="545456"/>
          <w:spacing w:val="-3"/>
        </w:rPr>
        <w:t>through</w:t>
      </w:r>
      <w:r>
        <w:rPr>
          <w:color w:val="545456"/>
          <w:spacing w:val="-2"/>
        </w:rPr>
        <w:t xml:space="preserve"> </w:t>
      </w:r>
      <w:r>
        <w:rPr>
          <w:color w:val="545456"/>
          <w:spacing w:val="-4"/>
        </w:rPr>
        <w:t>work</w:t>
      </w:r>
      <w:r>
        <w:rPr>
          <w:color w:val="545456"/>
          <w:spacing w:val="-19"/>
        </w:rPr>
        <w:t xml:space="preserve"> </w:t>
      </w:r>
      <w:r>
        <w:rPr>
          <w:color w:val="545456"/>
          <w:spacing w:val="-3"/>
        </w:rPr>
        <w:t>that</w:t>
      </w:r>
      <w:r>
        <w:rPr>
          <w:color w:val="545456"/>
          <w:spacing w:val="-19"/>
        </w:rPr>
        <w:t xml:space="preserve"> </w:t>
      </w:r>
      <w:r>
        <w:rPr>
          <w:color w:val="545456"/>
          <w:spacing w:val="-3"/>
        </w:rPr>
        <w:t>is</w:t>
      </w:r>
      <w:r>
        <w:rPr>
          <w:color w:val="545456"/>
          <w:spacing w:val="-19"/>
        </w:rPr>
        <w:t xml:space="preserve"> </w:t>
      </w:r>
      <w:r>
        <w:rPr>
          <w:color w:val="545456"/>
          <w:spacing w:val="-3"/>
        </w:rPr>
        <w:t>accurate,</w:t>
      </w:r>
      <w:r>
        <w:rPr>
          <w:color w:val="545456"/>
          <w:spacing w:val="-19"/>
        </w:rPr>
        <w:t xml:space="preserve"> </w:t>
      </w:r>
      <w:r>
        <w:rPr>
          <w:color w:val="545456"/>
          <w:spacing w:val="-3"/>
        </w:rPr>
        <w:t>fair,</w:t>
      </w:r>
      <w:r>
        <w:rPr>
          <w:color w:val="545456"/>
          <w:spacing w:val="-19"/>
        </w:rPr>
        <w:t xml:space="preserve"> </w:t>
      </w:r>
      <w:r>
        <w:rPr>
          <w:color w:val="545456"/>
          <w:spacing w:val="-3"/>
        </w:rPr>
        <w:t>and</w:t>
      </w:r>
      <w:r>
        <w:rPr>
          <w:color w:val="545456"/>
          <w:spacing w:val="-19"/>
        </w:rPr>
        <w:t xml:space="preserve"> </w:t>
      </w:r>
      <w:r>
        <w:rPr>
          <w:color w:val="545456"/>
          <w:spacing w:val="-3"/>
        </w:rPr>
        <w:t>independent.</w:t>
      </w:r>
    </w:p>
    <w:p w14:paraId="757DD7EA" w14:textId="77777777" w:rsidR="0055291C" w:rsidRDefault="00F23C61">
      <w:pPr>
        <w:pStyle w:val="a3"/>
        <w:spacing w:before="142"/>
        <w:ind w:left="300"/>
      </w:pPr>
      <w:r>
        <w:rPr>
          <w:color w:val="545456"/>
          <w:spacing w:val="-1"/>
        </w:rPr>
        <w:t>WRI</w:t>
      </w:r>
      <w:r>
        <w:rPr>
          <w:color w:val="545456"/>
          <w:spacing w:val="-12"/>
        </w:rPr>
        <w:t xml:space="preserve"> </w:t>
      </w:r>
      <w:r>
        <w:rPr>
          <w:color w:val="545456"/>
          <w:spacing w:val="-1"/>
        </w:rPr>
        <w:t>organizes</w:t>
      </w:r>
      <w:r>
        <w:rPr>
          <w:color w:val="545456"/>
          <w:spacing w:val="-11"/>
        </w:rPr>
        <w:t xml:space="preserve"> </w:t>
      </w:r>
      <w:r>
        <w:rPr>
          <w:color w:val="545456"/>
        </w:rPr>
        <w:t>its</w:t>
      </w:r>
      <w:r>
        <w:rPr>
          <w:color w:val="545456"/>
          <w:spacing w:val="-11"/>
        </w:rPr>
        <w:t xml:space="preserve"> </w:t>
      </w:r>
      <w:r>
        <w:rPr>
          <w:color w:val="545456"/>
        </w:rPr>
        <w:t>work</w:t>
      </w:r>
      <w:r>
        <w:rPr>
          <w:color w:val="545456"/>
          <w:spacing w:val="-12"/>
        </w:rPr>
        <w:t xml:space="preserve"> </w:t>
      </w:r>
      <w:r>
        <w:rPr>
          <w:color w:val="545456"/>
        </w:rPr>
        <w:t>around</w:t>
      </w:r>
      <w:r>
        <w:rPr>
          <w:color w:val="545456"/>
          <w:spacing w:val="-11"/>
        </w:rPr>
        <w:t xml:space="preserve"> </w:t>
      </w:r>
      <w:r>
        <w:rPr>
          <w:color w:val="545456"/>
        </w:rPr>
        <w:t>four</w:t>
      </w:r>
      <w:r>
        <w:rPr>
          <w:color w:val="545456"/>
          <w:spacing w:val="-11"/>
        </w:rPr>
        <w:t xml:space="preserve"> </w:t>
      </w:r>
      <w:r>
        <w:rPr>
          <w:color w:val="545456"/>
        </w:rPr>
        <w:t>key</w:t>
      </w:r>
      <w:r>
        <w:rPr>
          <w:color w:val="545456"/>
          <w:spacing w:val="-12"/>
        </w:rPr>
        <w:t xml:space="preserve"> </w:t>
      </w:r>
      <w:r>
        <w:rPr>
          <w:color w:val="545456"/>
        </w:rPr>
        <w:t>goals:</w:t>
      </w:r>
    </w:p>
    <w:p w14:paraId="77D11953" w14:textId="77777777" w:rsidR="0055291C" w:rsidRDefault="0055291C">
      <w:pPr>
        <w:pStyle w:val="a3"/>
        <w:rPr>
          <w:sz w:val="17"/>
        </w:rPr>
      </w:pPr>
    </w:p>
    <w:p w14:paraId="2BC585F5" w14:textId="77777777" w:rsidR="0055291C" w:rsidRDefault="00F23C61">
      <w:pPr>
        <w:pStyle w:val="a5"/>
        <w:numPr>
          <w:ilvl w:val="0"/>
          <w:numId w:val="15"/>
        </w:numPr>
        <w:tabs>
          <w:tab w:val="left" w:pos="561"/>
        </w:tabs>
        <w:spacing w:line="309" w:lineRule="auto"/>
        <w:ind w:left="560" w:right="1487"/>
        <w:rPr>
          <w:sz w:val="19"/>
        </w:rPr>
      </w:pPr>
      <w:r>
        <w:rPr>
          <w:rFonts w:ascii="Arial" w:hAnsi="Arial"/>
          <w:b/>
          <w:color w:val="545456"/>
          <w:w w:val="95"/>
          <w:sz w:val="19"/>
        </w:rPr>
        <w:t xml:space="preserve">People &amp; Ecosystems: </w:t>
      </w:r>
      <w:r>
        <w:rPr>
          <w:color w:val="545456"/>
          <w:w w:val="95"/>
          <w:sz w:val="19"/>
        </w:rPr>
        <w:t>Reverse rapid degradation</w:t>
      </w:r>
      <w:r>
        <w:rPr>
          <w:color w:val="545456"/>
          <w:spacing w:val="1"/>
          <w:w w:val="95"/>
          <w:sz w:val="19"/>
        </w:rPr>
        <w:t xml:space="preserve"> </w:t>
      </w:r>
      <w:r>
        <w:rPr>
          <w:color w:val="545456"/>
          <w:sz w:val="19"/>
        </w:rPr>
        <w:t>of</w:t>
      </w:r>
      <w:r>
        <w:rPr>
          <w:color w:val="545456"/>
          <w:spacing w:val="-11"/>
          <w:sz w:val="19"/>
        </w:rPr>
        <w:t xml:space="preserve"> </w:t>
      </w:r>
      <w:r>
        <w:rPr>
          <w:color w:val="545456"/>
          <w:sz w:val="19"/>
        </w:rPr>
        <w:t>ecosystems</w:t>
      </w:r>
      <w:r>
        <w:rPr>
          <w:color w:val="545456"/>
          <w:spacing w:val="-10"/>
          <w:sz w:val="19"/>
        </w:rPr>
        <w:t xml:space="preserve"> </w:t>
      </w:r>
      <w:r>
        <w:rPr>
          <w:color w:val="545456"/>
          <w:sz w:val="19"/>
        </w:rPr>
        <w:t>and</w:t>
      </w:r>
      <w:r>
        <w:rPr>
          <w:color w:val="545456"/>
          <w:spacing w:val="-10"/>
          <w:sz w:val="19"/>
        </w:rPr>
        <w:t xml:space="preserve"> </w:t>
      </w:r>
      <w:r>
        <w:rPr>
          <w:color w:val="545456"/>
          <w:sz w:val="19"/>
        </w:rPr>
        <w:t>assure</w:t>
      </w:r>
      <w:r>
        <w:rPr>
          <w:color w:val="545456"/>
          <w:spacing w:val="-10"/>
          <w:sz w:val="19"/>
        </w:rPr>
        <w:t xml:space="preserve"> </w:t>
      </w:r>
      <w:r>
        <w:rPr>
          <w:color w:val="545456"/>
          <w:sz w:val="19"/>
        </w:rPr>
        <w:t>their</w:t>
      </w:r>
      <w:r>
        <w:rPr>
          <w:color w:val="545456"/>
          <w:spacing w:val="-10"/>
          <w:sz w:val="19"/>
        </w:rPr>
        <w:t xml:space="preserve"> </w:t>
      </w:r>
      <w:r>
        <w:rPr>
          <w:color w:val="545456"/>
          <w:sz w:val="19"/>
        </w:rPr>
        <w:t>capacity</w:t>
      </w:r>
      <w:r>
        <w:rPr>
          <w:color w:val="545456"/>
          <w:spacing w:val="-11"/>
          <w:sz w:val="19"/>
        </w:rPr>
        <w:t xml:space="preserve"> </w:t>
      </w:r>
      <w:r>
        <w:rPr>
          <w:color w:val="545456"/>
          <w:sz w:val="19"/>
        </w:rPr>
        <w:t>to</w:t>
      </w:r>
      <w:r>
        <w:rPr>
          <w:color w:val="545456"/>
          <w:spacing w:val="-10"/>
          <w:sz w:val="19"/>
        </w:rPr>
        <w:t xml:space="preserve"> </w:t>
      </w:r>
      <w:r>
        <w:rPr>
          <w:color w:val="545456"/>
          <w:sz w:val="19"/>
        </w:rPr>
        <w:t>provide</w:t>
      </w:r>
      <w:r>
        <w:rPr>
          <w:color w:val="545456"/>
          <w:spacing w:val="-47"/>
          <w:sz w:val="19"/>
        </w:rPr>
        <w:t xml:space="preserve"> </w:t>
      </w:r>
      <w:r>
        <w:rPr>
          <w:color w:val="545456"/>
          <w:sz w:val="19"/>
        </w:rPr>
        <w:t>humans</w:t>
      </w:r>
      <w:r>
        <w:rPr>
          <w:color w:val="545456"/>
          <w:spacing w:val="-12"/>
          <w:sz w:val="19"/>
        </w:rPr>
        <w:t xml:space="preserve"> </w:t>
      </w:r>
      <w:r>
        <w:rPr>
          <w:color w:val="545456"/>
          <w:sz w:val="19"/>
        </w:rPr>
        <w:t>with</w:t>
      </w:r>
      <w:r>
        <w:rPr>
          <w:color w:val="545456"/>
          <w:spacing w:val="-11"/>
          <w:sz w:val="19"/>
        </w:rPr>
        <w:t xml:space="preserve"> </w:t>
      </w:r>
      <w:r>
        <w:rPr>
          <w:color w:val="545456"/>
          <w:sz w:val="19"/>
        </w:rPr>
        <w:t>needed</w:t>
      </w:r>
      <w:r>
        <w:rPr>
          <w:color w:val="545456"/>
          <w:spacing w:val="-11"/>
          <w:sz w:val="19"/>
        </w:rPr>
        <w:t xml:space="preserve"> </w:t>
      </w:r>
      <w:r>
        <w:rPr>
          <w:color w:val="545456"/>
          <w:sz w:val="19"/>
        </w:rPr>
        <w:t>goods</w:t>
      </w:r>
      <w:r>
        <w:rPr>
          <w:color w:val="545456"/>
          <w:spacing w:val="-11"/>
          <w:sz w:val="19"/>
        </w:rPr>
        <w:t xml:space="preserve"> </w:t>
      </w:r>
      <w:r>
        <w:rPr>
          <w:color w:val="545456"/>
          <w:sz w:val="19"/>
        </w:rPr>
        <w:t>and</w:t>
      </w:r>
      <w:r>
        <w:rPr>
          <w:color w:val="545456"/>
          <w:spacing w:val="-11"/>
          <w:sz w:val="19"/>
        </w:rPr>
        <w:t xml:space="preserve"> </w:t>
      </w:r>
      <w:r>
        <w:rPr>
          <w:color w:val="545456"/>
          <w:sz w:val="19"/>
        </w:rPr>
        <w:t>services.</w:t>
      </w:r>
    </w:p>
    <w:p w14:paraId="53B0C4C5" w14:textId="77777777" w:rsidR="0055291C" w:rsidRDefault="00F23C61">
      <w:pPr>
        <w:pStyle w:val="a5"/>
        <w:numPr>
          <w:ilvl w:val="0"/>
          <w:numId w:val="15"/>
        </w:numPr>
        <w:tabs>
          <w:tab w:val="left" w:pos="561"/>
        </w:tabs>
        <w:spacing w:line="309" w:lineRule="auto"/>
        <w:ind w:left="560" w:right="1651"/>
        <w:rPr>
          <w:sz w:val="19"/>
        </w:rPr>
      </w:pPr>
      <w:r>
        <w:rPr>
          <w:rFonts w:ascii="Arial" w:hAnsi="Arial"/>
          <w:b/>
          <w:color w:val="545456"/>
          <w:spacing w:val="-1"/>
          <w:sz w:val="19"/>
        </w:rPr>
        <w:t xml:space="preserve">Governance: </w:t>
      </w:r>
      <w:r>
        <w:rPr>
          <w:color w:val="545456"/>
          <w:spacing w:val="-1"/>
          <w:sz w:val="19"/>
        </w:rPr>
        <w:t>Empower people and strengthen</w:t>
      </w:r>
      <w:r>
        <w:rPr>
          <w:color w:val="545456"/>
          <w:sz w:val="19"/>
        </w:rPr>
        <w:t xml:space="preserve"> institutions</w:t>
      </w:r>
      <w:r>
        <w:rPr>
          <w:color w:val="545456"/>
          <w:spacing w:val="8"/>
          <w:sz w:val="19"/>
        </w:rPr>
        <w:t xml:space="preserve"> </w:t>
      </w:r>
      <w:r>
        <w:rPr>
          <w:color w:val="545456"/>
          <w:sz w:val="19"/>
        </w:rPr>
        <w:t>to</w:t>
      </w:r>
      <w:r>
        <w:rPr>
          <w:color w:val="545456"/>
          <w:spacing w:val="9"/>
          <w:sz w:val="19"/>
        </w:rPr>
        <w:t xml:space="preserve"> </w:t>
      </w:r>
      <w:r>
        <w:rPr>
          <w:color w:val="545456"/>
          <w:sz w:val="19"/>
        </w:rPr>
        <w:t>foster</w:t>
      </w:r>
      <w:r>
        <w:rPr>
          <w:color w:val="545456"/>
          <w:spacing w:val="9"/>
          <w:sz w:val="19"/>
        </w:rPr>
        <w:t xml:space="preserve"> </w:t>
      </w:r>
      <w:r>
        <w:rPr>
          <w:color w:val="545456"/>
          <w:sz w:val="19"/>
        </w:rPr>
        <w:t>environmentally</w:t>
      </w:r>
      <w:r>
        <w:rPr>
          <w:color w:val="545456"/>
          <w:spacing w:val="9"/>
          <w:sz w:val="19"/>
        </w:rPr>
        <w:t xml:space="preserve"> </w:t>
      </w:r>
      <w:r>
        <w:rPr>
          <w:color w:val="545456"/>
          <w:sz w:val="19"/>
        </w:rPr>
        <w:t>sound</w:t>
      </w:r>
      <w:r>
        <w:rPr>
          <w:color w:val="545456"/>
          <w:spacing w:val="9"/>
          <w:sz w:val="19"/>
        </w:rPr>
        <w:t xml:space="preserve"> </w:t>
      </w:r>
      <w:r>
        <w:rPr>
          <w:color w:val="545456"/>
          <w:sz w:val="19"/>
        </w:rPr>
        <w:t>and</w:t>
      </w:r>
      <w:r>
        <w:rPr>
          <w:color w:val="545456"/>
          <w:spacing w:val="-48"/>
          <w:sz w:val="19"/>
        </w:rPr>
        <w:t xml:space="preserve"> </w:t>
      </w:r>
      <w:r>
        <w:rPr>
          <w:color w:val="545456"/>
          <w:sz w:val="19"/>
        </w:rPr>
        <w:t>socially</w:t>
      </w:r>
      <w:r>
        <w:rPr>
          <w:color w:val="545456"/>
          <w:spacing w:val="-12"/>
          <w:sz w:val="19"/>
        </w:rPr>
        <w:t xml:space="preserve"> </w:t>
      </w:r>
      <w:r>
        <w:rPr>
          <w:color w:val="545456"/>
          <w:sz w:val="19"/>
        </w:rPr>
        <w:t>equitable</w:t>
      </w:r>
      <w:r>
        <w:rPr>
          <w:color w:val="545456"/>
          <w:spacing w:val="-11"/>
          <w:sz w:val="19"/>
        </w:rPr>
        <w:t xml:space="preserve"> </w:t>
      </w:r>
      <w:r>
        <w:rPr>
          <w:color w:val="545456"/>
          <w:sz w:val="19"/>
        </w:rPr>
        <w:t>decision-making.</w:t>
      </w:r>
    </w:p>
    <w:p w14:paraId="3F799F52" w14:textId="77777777" w:rsidR="0055291C" w:rsidRDefault="00F23C61">
      <w:pPr>
        <w:pStyle w:val="a5"/>
        <w:numPr>
          <w:ilvl w:val="0"/>
          <w:numId w:val="15"/>
        </w:numPr>
        <w:tabs>
          <w:tab w:val="left" w:pos="561"/>
        </w:tabs>
        <w:spacing w:line="309" w:lineRule="auto"/>
        <w:ind w:left="560" w:right="1137"/>
        <w:rPr>
          <w:sz w:val="19"/>
        </w:rPr>
      </w:pPr>
      <w:r>
        <w:rPr>
          <w:rFonts w:ascii="Arial" w:hAnsi="Arial"/>
          <w:b/>
          <w:color w:val="545456"/>
          <w:sz w:val="19"/>
        </w:rPr>
        <w:t>Climate</w:t>
      </w:r>
      <w:r>
        <w:rPr>
          <w:rFonts w:ascii="Arial" w:hAnsi="Arial"/>
          <w:b/>
          <w:color w:val="545456"/>
          <w:spacing w:val="-9"/>
          <w:sz w:val="19"/>
        </w:rPr>
        <w:t xml:space="preserve"> </w:t>
      </w:r>
      <w:r>
        <w:rPr>
          <w:rFonts w:ascii="Arial" w:hAnsi="Arial"/>
          <w:b/>
          <w:color w:val="545456"/>
          <w:sz w:val="19"/>
        </w:rPr>
        <w:t>Protection:</w:t>
      </w:r>
      <w:r>
        <w:rPr>
          <w:rFonts w:ascii="Arial" w:hAnsi="Arial"/>
          <w:b/>
          <w:color w:val="545456"/>
          <w:spacing w:val="-9"/>
          <w:sz w:val="19"/>
        </w:rPr>
        <w:t xml:space="preserve"> </w:t>
      </w:r>
      <w:r>
        <w:rPr>
          <w:color w:val="545456"/>
          <w:sz w:val="19"/>
        </w:rPr>
        <w:t>Protect</w:t>
      </w:r>
      <w:r>
        <w:rPr>
          <w:color w:val="545456"/>
          <w:spacing w:val="-7"/>
          <w:sz w:val="19"/>
        </w:rPr>
        <w:t xml:space="preserve"> </w:t>
      </w:r>
      <w:r>
        <w:rPr>
          <w:color w:val="545456"/>
          <w:sz w:val="19"/>
        </w:rPr>
        <w:t>the</w:t>
      </w:r>
      <w:r>
        <w:rPr>
          <w:color w:val="545456"/>
          <w:spacing w:val="-7"/>
          <w:sz w:val="19"/>
        </w:rPr>
        <w:t xml:space="preserve"> </w:t>
      </w:r>
      <w:r>
        <w:rPr>
          <w:color w:val="545456"/>
          <w:sz w:val="19"/>
        </w:rPr>
        <w:t>global</w:t>
      </w:r>
      <w:r>
        <w:rPr>
          <w:color w:val="545456"/>
          <w:spacing w:val="-7"/>
          <w:sz w:val="19"/>
        </w:rPr>
        <w:t xml:space="preserve"> </w:t>
      </w:r>
      <w:r>
        <w:rPr>
          <w:color w:val="545456"/>
          <w:sz w:val="19"/>
        </w:rPr>
        <w:t>climate</w:t>
      </w:r>
      <w:r>
        <w:rPr>
          <w:color w:val="545456"/>
          <w:spacing w:val="-8"/>
          <w:sz w:val="19"/>
        </w:rPr>
        <w:t xml:space="preserve"> </w:t>
      </w:r>
      <w:r>
        <w:rPr>
          <w:color w:val="545456"/>
          <w:sz w:val="19"/>
        </w:rPr>
        <w:t>system</w:t>
      </w:r>
      <w:r>
        <w:rPr>
          <w:color w:val="545456"/>
          <w:spacing w:val="-47"/>
          <w:sz w:val="19"/>
        </w:rPr>
        <w:t xml:space="preserve"> </w:t>
      </w:r>
      <w:r>
        <w:rPr>
          <w:color w:val="545456"/>
          <w:sz w:val="19"/>
        </w:rPr>
        <w:t>from further harm due to emissions of greenhouse</w:t>
      </w:r>
      <w:r>
        <w:rPr>
          <w:color w:val="545456"/>
          <w:spacing w:val="1"/>
          <w:sz w:val="19"/>
        </w:rPr>
        <w:t xml:space="preserve"> </w:t>
      </w:r>
      <w:r>
        <w:rPr>
          <w:color w:val="545456"/>
          <w:sz w:val="19"/>
        </w:rPr>
        <w:t>gases and help humanity and the natural world adapt</w:t>
      </w:r>
      <w:r>
        <w:rPr>
          <w:color w:val="545456"/>
          <w:spacing w:val="1"/>
          <w:sz w:val="19"/>
        </w:rPr>
        <w:t xml:space="preserve"> </w:t>
      </w:r>
      <w:r>
        <w:rPr>
          <w:color w:val="545456"/>
          <w:sz w:val="19"/>
        </w:rPr>
        <w:t>to</w:t>
      </w:r>
      <w:r>
        <w:rPr>
          <w:color w:val="545456"/>
          <w:spacing w:val="-10"/>
          <w:sz w:val="19"/>
        </w:rPr>
        <w:t xml:space="preserve"> </w:t>
      </w:r>
      <w:r>
        <w:rPr>
          <w:color w:val="545456"/>
          <w:sz w:val="19"/>
        </w:rPr>
        <w:t>unavoidable</w:t>
      </w:r>
      <w:r>
        <w:rPr>
          <w:color w:val="545456"/>
          <w:spacing w:val="-10"/>
          <w:sz w:val="19"/>
        </w:rPr>
        <w:t xml:space="preserve"> </w:t>
      </w:r>
      <w:r>
        <w:rPr>
          <w:color w:val="545456"/>
          <w:sz w:val="19"/>
        </w:rPr>
        <w:t>climate</w:t>
      </w:r>
      <w:r>
        <w:rPr>
          <w:color w:val="545456"/>
          <w:spacing w:val="-10"/>
          <w:sz w:val="19"/>
        </w:rPr>
        <w:t xml:space="preserve"> </w:t>
      </w:r>
      <w:r>
        <w:rPr>
          <w:color w:val="545456"/>
          <w:sz w:val="19"/>
        </w:rPr>
        <w:t>change.</w:t>
      </w:r>
    </w:p>
    <w:p w14:paraId="37E1D9E4" w14:textId="77777777" w:rsidR="0055291C" w:rsidRDefault="00F23C61">
      <w:pPr>
        <w:pStyle w:val="a5"/>
        <w:numPr>
          <w:ilvl w:val="0"/>
          <w:numId w:val="15"/>
        </w:numPr>
        <w:tabs>
          <w:tab w:val="left" w:pos="561"/>
        </w:tabs>
        <w:spacing w:line="309" w:lineRule="auto"/>
        <w:ind w:left="560" w:right="1676"/>
        <w:rPr>
          <w:sz w:val="19"/>
        </w:rPr>
      </w:pPr>
      <w:r>
        <w:rPr>
          <w:rFonts w:ascii="Arial" w:hAnsi="Arial"/>
          <w:b/>
          <w:color w:val="545456"/>
          <w:w w:val="95"/>
          <w:sz w:val="19"/>
        </w:rPr>
        <w:t xml:space="preserve">Markets &amp; Enterprise: </w:t>
      </w:r>
      <w:r>
        <w:rPr>
          <w:color w:val="545456"/>
          <w:w w:val="95"/>
          <w:sz w:val="19"/>
        </w:rPr>
        <w:t>Harness markets and</w:t>
      </w:r>
      <w:r>
        <w:rPr>
          <w:color w:val="545456"/>
          <w:spacing w:val="1"/>
          <w:w w:val="95"/>
          <w:sz w:val="19"/>
        </w:rPr>
        <w:t xml:space="preserve"> </w:t>
      </w:r>
      <w:r>
        <w:rPr>
          <w:color w:val="545456"/>
          <w:sz w:val="19"/>
        </w:rPr>
        <w:t>enterprise</w:t>
      </w:r>
      <w:r>
        <w:rPr>
          <w:color w:val="545456"/>
          <w:spacing w:val="4"/>
          <w:sz w:val="19"/>
        </w:rPr>
        <w:t xml:space="preserve"> </w:t>
      </w:r>
      <w:r>
        <w:rPr>
          <w:color w:val="545456"/>
          <w:sz w:val="19"/>
        </w:rPr>
        <w:t>to</w:t>
      </w:r>
      <w:r>
        <w:rPr>
          <w:color w:val="545456"/>
          <w:spacing w:val="5"/>
          <w:sz w:val="19"/>
        </w:rPr>
        <w:t xml:space="preserve"> </w:t>
      </w:r>
      <w:r>
        <w:rPr>
          <w:color w:val="545456"/>
          <w:sz w:val="19"/>
        </w:rPr>
        <w:t>expand</w:t>
      </w:r>
      <w:r>
        <w:rPr>
          <w:color w:val="545456"/>
          <w:spacing w:val="5"/>
          <w:sz w:val="19"/>
        </w:rPr>
        <w:t xml:space="preserve"> </w:t>
      </w:r>
      <w:r>
        <w:rPr>
          <w:color w:val="545456"/>
          <w:sz w:val="19"/>
        </w:rPr>
        <w:t>economic</w:t>
      </w:r>
      <w:r>
        <w:rPr>
          <w:color w:val="545456"/>
          <w:spacing w:val="5"/>
          <w:sz w:val="19"/>
        </w:rPr>
        <w:t xml:space="preserve"> </w:t>
      </w:r>
      <w:r>
        <w:rPr>
          <w:color w:val="545456"/>
          <w:sz w:val="19"/>
        </w:rPr>
        <w:t>opportunity</w:t>
      </w:r>
      <w:r>
        <w:rPr>
          <w:color w:val="545456"/>
          <w:spacing w:val="5"/>
          <w:sz w:val="19"/>
        </w:rPr>
        <w:t xml:space="preserve"> </w:t>
      </w:r>
      <w:r>
        <w:rPr>
          <w:color w:val="545456"/>
          <w:sz w:val="19"/>
        </w:rPr>
        <w:t>and</w:t>
      </w:r>
      <w:r>
        <w:rPr>
          <w:color w:val="545456"/>
          <w:spacing w:val="-48"/>
          <w:sz w:val="19"/>
        </w:rPr>
        <w:t xml:space="preserve"> </w:t>
      </w:r>
      <w:r>
        <w:rPr>
          <w:color w:val="545456"/>
          <w:w w:val="105"/>
          <w:sz w:val="19"/>
        </w:rPr>
        <w:t>protect</w:t>
      </w:r>
      <w:r>
        <w:rPr>
          <w:color w:val="545456"/>
          <w:spacing w:val="-13"/>
          <w:w w:val="105"/>
          <w:sz w:val="19"/>
        </w:rPr>
        <w:t xml:space="preserve"> </w:t>
      </w:r>
      <w:r>
        <w:rPr>
          <w:color w:val="545456"/>
          <w:w w:val="105"/>
          <w:sz w:val="19"/>
        </w:rPr>
        <w:t>the</w:t>
      </w:r>
      <w:r>
        <w:rPr>
          <w:color w:val="545456"/>
          <w:spacing w:val="-13"/>
          <w:w w:val="105"/>
          <w:sz w:val="19"/>
        </w:rPr>
        <w:t xml:space="preserve"> </w:t>
      </w:r>
      <w:r>
        <w:rPr>
          <w:color w:val="545456"/>
          <w:w w:val="105"/>
          <w:sz w:val="19"/>
        </w:rPr>
        <w:t>environment.</w:t>
      </w:r>
    </w:p>
    <w:p w14:paraId="6E70D625" w14:textId="77777777" w:rsidR="0055291C" w:rsidRDefault="00F23C61">
      <w:pPr>
        <w:pStyle w:val="a3"/>
        <w:spacing w:before="109" w:line="312" w:lineRule="auto"/>
        <w:ind w:left="300" w:right="1605"/>
      </w:pPr>
      <w:r>
        <w:rPr>
          <w:color w:val="545456"/>
        </w:rPr>
        <w:t>In all its policy research and work with institutions,</w:t>
      </w:r>
      <w:r>
        <w:rPr>
          <w:color w:val="545456"/>
          <w:spacing w:val="1"/>
        </w:rPr>
        <w:t xml:space="preserve"> </w:t>
      </w:r>
      <w:r>
        <w:rPr>
          <w:color w:val="545456"/>
        </w:rPr>
        <w:t>WRI</w:t>
      </w:r>
      <w:r>
        <w:rPr>
          <w:color w:val="545456"/>
          <w:spacing w:val="-8"/>
        </w:rPr>
        <w:t xml:space="preserve"> </w:t>
      </w:r>
      <w:r>
        <w:rPr>
          <w:color w:val="545456"/>
        </w:rPr>
        <w:t>tries</w:t>
      </w:r>
      <w:r>
        <w:rPr>
          <w:color w:val="545456"/>
          <w:spacing w:val="-7"/>
        </w:rPr>
        <w:t xml:space="preserve"> </w:t>
      </w:r>
      <w:r>
        <w:rPr>
          <w:color w:val="545456"/>
        </w:rPr>
        <w:t>to</w:t>
      </w:r>
      <w:r>
        <w:rPr>
          <w:color w:val="545456"/>
          <w:spacing w:val="-7"/>
        </w:rPr>
        <w:t xml:space="preserve"> </w:t>
      </w:r>
      <w:r>
        <w:rPr>
          <w:color w:val="545456"/>
        </w:rPr>
        <w:t>build</w:t>
      </w:r>
      <w:r>
        <w:rPr>
          <w:color w:val="545456"/>
          <w:spacing w:val="-7"/>
        </w:rPr>
        <w:t xml:space="preserve"> </w:t>
      </w:r>
      <w:r>
        <w:rPr>
          <w:color w:val="545456"/>
        </w:rPr>
        <w:t>bridges</w:t>
      </w:r>
      <w:r>
        <w:rPr>
          <w:color w:val="545456"/>
          <w:spacing w:val="-7"/>
        </w:rPr>
        <w:t xml:space="preserve"> </w:t>
      </w:r>
      <w:r>
        <w:rPr>
          <w:color w:val="545456"/>
        </w:rPr>
        <w:t>between</w:t>
      </w:r>
      <w:r>
        <w:rPr>
          <w:color w:val="545456"/>
          <w:spacing w:val="-7"/>
        </w:rPr>
        <w:t xml:space="preserve"> </w:t>
      </w:r>
      <w:r>
        <w:rPr>
          <w:color w:val="545456"/>
        </w:rPr>
        <w:t>ideas</w:t>
      </w:r>
      <w:r>
        <w:rPr>
          <w:color w:val="545456"/>
          <w:spacing w:val="-7"/>
        </w:rPr>
        <w:t xml:space="preserve"> </w:t>
      </w:r>
      <w:r>
        <w:rPr>
          <w:color w:val="545456"/>
        </w:rPr>
        <w:t>and</w:t>
      </w:r>
      <w:r>
        <w:rPr>
          <w:color w:val="545456"/>
          <w:spacing w:val="-7"/>
        </w:rPr>
        <w:t xml:space="preserve"> </w:t>
      </w:r>
      <w:r>
        <w:rPr>
          <w:color w:val="545456"/>
        </w:rPr>
        <w:t>action,</w:t>
      </w:r>
    </w:p>
    <w:p w14:paraId="79D42CDE" w14:textId="77777777" w:rsidR="0055291C" w:rsidRDefault="00000000">
      <w:pPr>
        <w:pStyle w:val="a3"/>
        <w:spacing w:before="1" w:line="312" w:lineRule="auto"/>
        <w:ind w:left="300" w:right="1190"/>
      </w:pPr>
      <w:r>
        <w:pict w14:anchorId="447F0D28">
          <v:shape id="docshape1750" o:spid="_x0000_s2069" style="position:absolute;left:0;text-align:left;margin-left:427.6pt;margin-top:44.5pt;width:127.05pt;height:62.65pt;z-index:251699712;mso-position-horizontal-relative:page" coordorigin="8552,890" coordsize="2541,1253" o:spt="100" adj="0,,0" path="m10526,1785r-8,-76l10496,1637r-36,-64l10412,1516r-57,-46l10289,1435r-16,-75l10249,1288r-33,-68l10175,1157r-47,-58l10074,1047r-59,-46l9950,963r-70,-31l9807,909r-77,-14l9650,890r-83,5l9487,910r-75,25l9340,968r-66,41l9213,1058r-54,55l9112,1175r-28,-3l9069,1172r-14,-1l8981,1177r-71,15l8843,1218r-62,33l8725,1293r-50,49l8633,1398r-34,61l8573,1525r-16,70l8552,1668r6,80l8577,1824r30,71l8648,1959r50,58l8743,2057r50,35l8848,2120r58,22l10272,2142r50,-22l10368,2092r41,-35l10446,2017r33,-51l10505,1910r16,-61l10526,1785xm11092,1890r-12,-80l11045,1739r-53,-57l10924,1642r-16,-71l10881,1505r-37,-60l10798,1391r-53,-46l10684,1307r-66,-28l10547,1262r-75,-6l10434,1257r-38,5l10360,1269r-35,11l10334,1304r7,25l10348,1354r6,25l10415,1418r54,47l10514,1519r36,60l10577,1644r17,69l10600,1785r-7,76l10575,1935r-31,69l10502,2068r-17,20l10467,2107r-19,18l10428,2142r484,l10947,2127r33,-21l11009,2082r26,-28l11059,2018r18,-40l11088,1935r4,-45xe" fillcolor="#f3f4f4" stroked="f">
            <v:stroke joinstyle="round"/>
            <v:formulas/>
            <v:path arrowok="t" o:connecttype="segments"/>
            <w10:wrap anchorx="page"/>
          </v:shape>
        </w:pict>
      </w:r>
      <w:r w:rsidR="00F23C61">
        <w:rPr>
          <w:color w:val="545456"/>
        </w:rPr>
        <w:t>meshing</w:t>
      </w:r>
      <w:r w:rsidR="00F23C61">
        <w:rPr>
          <w:color w:val="545456"/>
          <w:spacing w:val="-10"/>
        </w:rPr>
        <w:t xml:space="preserve"> </w:t>
      </w:r>
      <w:r w:rsidR="00F23C61">
        <w:rPr>
          <w:color w:val="545456"/>
        </w:rPr>
        <w:t>the</w:t>
      </w:r>
      <w:r w:rsidR="00F23C61">
        <w:rPr>
          <w:color w:val="545456"/>
          <w:spacing w:val="-9"/>
        </w:rPr>
        <w:t xml:space="preserve"> </w:t>
      </w:r>
      <w:r w:rsidR="00F23C61">
        <w:rPr>
          <w:color w:val="545456"/>
        </w:rPr>
        <w:t>insights</w:t>
      </w:r>
      <w:r w:rsidR="00F23C61">
        <w:rPr>
          <w:color w:val="545456"/>
          <w:spacing w:val="-10"/>
        </w:rPr>
        <w:t xml:space="preserve"> </w:t>
      </w:r>
      <w:r w:rsidR="00F23C61">
        <w:rPr>
          <w:color w:val="545456"/>
        </w:rPr>
        <w:t>of</w:t>
      </w:r>
      <w:r w:rsidR="00F23C61">
        <w:rPr>
          <w:color w:val="545456"/>
          <w:spacing w:val="-9"/>
        </w:rPr>
        <w:t xml:space="preserve"> </w:t>
      </w:r>
      <w:r w:rsidR="00F23C61">
        <w:rPr>
          <w:color w:val="545456"/>
        </w:rPr>
        <w:t>scientific</w:t>
      </w:r>
      <w:r w:rsidR="00F23C61">
        <w:rPr>
          <w:color w:val="545456"/>
          <w:spacing w:val="-10"/>
        </w:rPr>
        <w:t xml:space="preserve"> </w:t>
      </w:r>
      <w:r w:rsidR="00F23C61">
        <w:rPr>
          <w:color w:val="545456"/>
        </w:rPr>
        <w:t>research,</w:t>
      </w:r>
      <w:r w:rsidR="00F23C61">
        <w:rPr>
          <w:color w:val="545456"/>
          <w:spacing w:val="-9"/>
        </w:rPr>
        <w:t xml:space="preserve"> </w:t>
      </w:r>
      <w:r w:rsidR="00F23C61">
        <w:rPr>
          <w:color w:val="545456"/>
        </w:rPr>
        <w:t>economic</w:t>
      </w:r>
      <w:r w:rsidR="00F23C61">
        <w:rPr>
          <w:color w:val="545456"/>
          <w:spacing w:val="-10"/>
        </w:rPr>
        <w:t xml:space="preserve"> </w:t>
      </w:r>
      <w:r w:rsidR="00F23C61">
        <w:rPr>
          <w:color w:val="545456"/>
        </w:rPr>
        <w:t>and</w:t>
      </w:r>
      <w:r w:rsidR="00F23C61">
        <w:rPr>
          <w:color w:val="545456"/>
          <w:spacing w:val="-47"/>
        </w:rPr>
        <w:t xml:space="preserve"> </w:t>
      </w:r>
      <w:r w:rsidR="00F23C61">
        <w:rPr>
          <w:color w:val="545456"/>
        </w:rPr>
        <w:t>institutional analyses, and practical experience with the</w:t>
      </w:r>
      <w:r w:rsidR="00F23C61">
        <w:rPr>
          <w:color w:val="545456"/>
          <w:spacing w:val="1"/>
        </w:rPr>
        <w:t xml:space="preserve"> </w:t>
      </w:r>
      <w:r w:rsidR="00F23C61">
        <w:rPr>
          <w:color w:val="545456"/>
        </w:rPr>
        <w:t>need</w:t>
      </w:r>
      <w:r w:rsidR="00F23C61">
        <w:rPr>
          <w:color w:val="545456"/>
          <w:spacing w:val="-9"/>
        </w:rPr>
        <w:t xml:space="preserve"> </w:t>
      </w:r>
      <w:r w:rsidR="00F23C61">
        <w:rPr>
          <w:color w:val="545456"/>
        </w:rPr>
        <w:t>for</w:t>
      </w:r>
      <w:r w:rsidR="00F23C61">
        <w:rPr>
          <w:color w:val="545456"/>
          <w:spacing w:val="-8"/>
        </w:rPr>
        <w:t xml:space="preserve"> </w:t>
      </w:r>
      <w:r w:rsidR="00F23C61">
        <w:rPr>
          <w:color w:val="545456"/>
        </w:rPr>
        <w:t>open</w:t>
      </w:r>
      <w:r w:rsidR="00F23C61">
        <w:rPr>
          <w:color w:val="545456"/>
          <w:spacing w:val="-8"/>
        </w:rPr>
        <w:t xml:space="preserve"> </w:t>
      </w:r>
      <w:r w:rsidR="00F23C61">
        <w:rPr>
          <w:color w:val="545456"/>
        </w:rPr>
        <w:t>and</w:t>
      </w:r>
      <w:r w:rsidR="00F23C61">
        <w:rPr>
          <w:color w:val="545456"/>
          <w:spacing w:val="-9"/>
        </w:rPr>
        <w:t xml:space="preserve"> </w:t>
      </w:r>
      <w:r w:rsidR="00F23C61">
        <w:rPr>
          <w:color w:val="545456"/>
        </w:rPr>
        <w:t>participatory</w:t>
      </w:r>
      <w:r w:rsidR="00F23C61">
        <w:rPr>
          <w:color w:val="545456"/>
          <w:spacing w:val="-8"/>
        </w:rPr>
        <w:t xml:space="preserve"> </w:t>
      </w:r>
      <w:r w:rsidR="00F23C61">
        <w:rPr>
          <w:color w:val="545456"/>
        </w:rPr>
        <w:t>decision-making.</w:t>
      </w:r>
    </w:p>
    <w:p w14:paraId="5BCA4259" w14:textId="77777777" w:rsidR="0055291C" w:rsidRDefault="0055291C">
      <w:pPr>
        <w:spacing w:line="312" w:lineRule="auto"/>
        <w:sectPr w:rsidR="0055291C">
          <w:type w:val="continuous"/>
          <w:pgSz w:w="12240" w:h="15840"/>
          <w:pgMar w:top="740" w:right="0" w:bottom="280" w:left="0" w:header="0" w:footer="0" w:gutter="0"/>
          <w:cols w:num="2" w:space="720" w:equalWidth="0">
            <w:col w:w="5960" w:space="40"/>
            <w:col w:w="6240"/>
          </w:cols>
        </w:sectPr>
      </w:pPr>
    </w:p>
    <w:p w14:paraId="79603A5A" w14:textId="77777777" w:rsidR="0055291C" w:rsidRDefault="0055291C">
      <w:pPr>
        <w:pStyle w:val="a3"/>
        <w:spacing w:before="9"/>
        <w:rPr>
          <w:sz w:val="13"/>
        </w:rPr>
      </w:pPr>
    </w:p>
    <w:p w14:paraId="7BAB8FB8" w14:textId="77777777" w:rsidR="0055291C" w:rsidRDefault="00000000">
      <w:pPr>
        <w:pStyle w:val="a3"/>
        <w:spacing w:line="20" w:lineRule="exact"/>
        <w:ind w:left="1119"/>
        <w:rPr>
          <w:sz w:val="2"/>
        </w:rPr>
      </w:pPr>
      <w:r>
        <w:rPr>
          <w:sz w:val="2"/>
        </w:rPr>
      </w:r>
      <w:r>
        <w:rPr>
          <w:sz w:val="2"/>
        </w:rPr>
        <w:pict w14:anchorId="031D3992">
          <v:group id="docshapegroup1751" o:spid="_x0000_s2066" style="width:499.2pt;height:.25pt;mso-position-horizontal-relative:char;mso-position-vertical-relative:line" coordsize="9984,5">
            <v:line id="_x0000_s2068" style="position:absolute" from="11,3" to="9984,3" strokecolor="#00aca1" strokeweight=".25pt"/>
            <v:line id="_x0000_s2067" style="position:absolute" from="0,3" to="9972,3" strokecolor="#00aca1" strokeweight=".25pt"/>
            <w10:anchorlock/>
          </v:group>
        </w:pict>
      </w:r>
    </w:p>
    <w:p w14:paraId="7FB57DF3" w14:textId="77777777" w:rsidR="0055291C" w:rsidRDefault="0055291C">
      <w:pPr>
        <w:spacing w:line="20" w:lineRule="exact"/>
        <w:rPr>
          <w:sz w:val="2"/>
        </w:rPr>
        <w:sectPr w:rsidR="0055291C">
          <w:type w:val="continuous"/>
          <w:pgSz w:w="12240" w:h="15840"/>
          <w:pgMar w:top="740" w:right="0" w:bottom="280" w:left="0" w:header="0" w:footer="0" w:gutter="0"/>
          <w:cols w:space="720"/>
        </w:sectPr>
      </w:pPr>
    </w:p>
    <w:p w14:paraId="70ADDA12" w14:textId="77777777" w:rsidR="0055291C" w:rsidRDefault="0055291C">
      <w:pPr>
        <w:pStyle w:val="a3"/>
        <w:rPr>
          <w:sz w:val="20"/>
        </w:rPr>
      </w:pPr>
    </w:p>
    <w:p w14:paraId="5893DC0C" w14:textId="77777777" w:rsidR="0055291C" w:rsidRDefault="0055291C">
      <w:pPr>
        <w:pStyle w:val="a3"/>
        <w:spacing w:before="6" w:after="1"/>
      </w:pPr>
    </w:p>
    <w:p w14:paraId="3B6DADC6" w14:textId="77777777" w:rsidR="0055291C" w:rsidRDefault="00000000">
      <w:pPr>
        <w:tabs>
          <w:tab w:val="left" w:pos="5161"/>
        </w:tabs>
        <w:ind w:left="2046"/>
        <w:rPr>
          <w:sz w:val="20"/>
        </w:rPr>
      </w:pPr>
      <w:r>
        <w:rPr>
          <w:position w:val="157"/>
          <w:sz w:val="20"/>
        </w:rPr>
      </w:r>
      <w:r>
        <w:rPr>
          <w:position w:val="157"/>
          <w:sz w:val="20"/>
        </w:rPr>
        <w:pict w14:anchorId="23F726E8">
          <v:group id="docshapegroup1752" o:spid="_x0000_s2064" style="width:82.95pt;height:39.7pt;mso-position-horizontal-relative:char;mso-position-vertical-relative:line" coordsize="1659,794">
            <v:shape id="docshape1753" o:spid="_x0000_s2065" style="position:absolute;width:1659;height:794" coordsize="1659,794" o:spt="100" adj="0,,0" path="m1289,567r-12,-71l1245,433r-48,-51l1134,346r-18,-71l1086,209r-41,-59l994,100,934,58,867,27,794,7,717,,631,8,552,32,480,70r-63,50l366,181r-13,-2l341,178r-12,l253,187r-69,23l123,248,72,296,33,355,9,421,,493r7,63l26,615r30,53l95,714r30,26l158,762r35,18l231,794r892,l1155,780r30,-18l1213,740r23,-26l1258,682r17,-36l1285,608r4,-41xm1658,634r-8,-51l1627,538r-34,-36l1549,477r-19,-67l1496,352r-47,-50l1392,265r-66,-25l1253,232r-25,1l1204,236r-24,5l1157,247r6,15l1168,278r5,16l1176,310r67,46l1293,417r33,72l1337,567r-4,49l1320,662r-20,44l1273,746r-11,13l1250,771r-12,12l1225,794r316,l1564,784r21,-13l1604,755r17,-17l1637,715r11,-26l1656,662r2,-28xe" fillcolor="#f3f4f4" stroked="f">
              <v:stroke joinstyle="round"/>
              <v:formulas/>
              <v:path arrowok="t" o:connecttype="segments"/>
            </v:shape>
            <w10:anchorlock/>
          </v:group>
        </w:pict>
      </w:r>
      <w:r w:rsidR="00F23C61">
        <w:rPr>
          <w:position w:val="157"/>
          <w:sz w:val="20"/>
        </w:rPr>
        <w:tab/>
      </w:r>
      <w:r w:rsidR="00F23C61">
        <w:rPr>
          <w:noProof/>
          <w:sz w:val="20"/>
        </w:rPr>
        <w:drawing>
          <wp:inline distT="0" distB="0" distL="0" distR="0" wp14:anchorId="5B9C5783" wp14:editId="68FBEE71">
            <wp:extent cx="1247889" cy="1247775"/>
            <wp:effectExtent l="0" t="0" r="0" b="0"/>
            <wp:docPr id="59"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27.png"/>
                    <pic:cNvPicPr/>
                  </pic:nvPicPr>
                  <pic:blipFill>
                    <a:blip r:embed="rId418" cstate="print"/>
                    <a:stretch>
                      <a:fillRect/>
                    </a:stretch>
                  </pic:blipFill>
                  <pic:spPr>
                    <a:xfrm>
                      <a:off x="0" y="0"/>
                      <a:ext cx="1247889" cy="1247775"/>
                    </a:xfrm>
                    <a:prstGeom prst="rect">
                      <a:avLst/>
                    </a:prstGeom>
                  </pic:spPr>
                </pic:pic>
              </a:graphicData>
            </a:graphic>
          </wp:inline>
        </w:drawing>
      </w:r>
    </w:p>
    <w:p w14:paraId="79B0509B" w14:textId="77777777" w:rsidR="0055291C" w:rsidRDefault="00000000">
      <w:pPr>
        <w:pStyle w:val="a3"/>
        <w:spacing w:before="7"/>
        <w:rPr>
          <w:sz w:val="29"/>
        </w:rPr>
      </w:pPr>
      <w:r>
        <w:pict w14:anchorId="0FF59449">
          <v:shape id="docshape1754" o:spid="_x0000_s2063" style="position:absolute;margin-left:0;margin-top:29.45pt;width:102.35pt;height:56.7pt;z-index:-251459072;mso-wrap-distance-left:0;mso-wrap-distance-right:0;mso-position-horizontal-relative:page" coordorigin=",589" coordsize="2047,1134" o:spt="100" adj="0,,0" path="m1539,1400r-11,-83l1500,1241r-45,-66l1396,1122r-70,-39l1310,1008r-25,-70l1251,872r-17,-25l1209,811r-49,-55l1104,708r-61,-41l976,634,905,609,830,594r-78,-5l667,595r-81,18l510,642r-71,38l375,728r-57,56l269,847r-13,-1l244,845r-13,-1l218,844r-73,6l75,867,11,894,,901r,785l32,1703r52,20l1310,1723r45,-20l1397,1677r37,-32l1466,1609r31,-46l1519,1512r15,-55l1539,1400xm2047,1494r-11,-73l2004,1358r-47,-52l1896,1270r-17,-72l1850,1132r-41,-60l1760,1021r-58,-42l1636,947r-71,-20l1490,920r-34,2l1422,926r-32,7l1358,942r8,22l1373,986r6,23l1384,1032r63,41l1501,1125r44,60l1578,1251r20,73l1605,1400r-6,68l1582,1535r-27,62l1517,1655r-15,18l1486,1691r-17,16l1451,1723r434,l1917,1708r29,-18l1973,1668r23,-26l2017,1610r16,-36l2043,1535r4,-41xe" fillcolor="#f3f4f4" stroked="f">
            <v:stroke joinstyle="round"/>
            <v:formulas/>
            <v:path arrowok="t" o:connecttype="segments"/>
            <w10:wrap type="topAndBottom" anchorx="page"/>
          </v:shape>
        </w:pict>
      </w:r>
      <w:r w:rsidR="00F23C61">
        <w:rPr>
          <w:noProof/>
        </w:rPr>
        <w:drawing>
          <wp:anchor distT="0" distB="0" distL="0" distR="0" simplePos="0" relativeHeight="251431424" behindDoc="0" locked="0" layoutInCell="1" allowOverlap="1" wp14:anchorId="5B466872" wp14:editId="5549BEE0">
            <wp:simplePos x="0" y="0"/>
            <wp:positionH relativeFrom="page">
              <wp:posOffset>2901490</wp:posOffset>
            </wp:positionH>
            <wp:positionV relativeFrom="paragraph">
              <wp:posOffset>228244</wp:posOffset>
            </wp:positionV>
            <wp:extent cx="168106" cy="242887"/>
            <wp:effectExtent l="0" t="0" r="0" b="0"/>
            <wp:wrapTopAndBottom/>
            <wp:docPr id="61"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28.png"/>
                    <pic:cNvPicPr/>
                  </pic:nvPicPr>
                  <pic:blipFill>
                    <a:blip r:embed="rId419" cstate="print"/>
                    <a:stretch>
                      <a:fillRect/>
                    </a:stretch>
                  </pic:blipFill>
                  <pic:spPr>
                    <a:xfrm>
                      <a:off x="0" y="0"/>
                      <a:ext cx="168106" cy="242887"/>
                    </a:xfrm>
                    <a:prstGeom prst="rect">
                      <a:avLst/>
                    </a:prstGeom>
                  </pic:spPr>
                </pic:pic>
              </a:graphicData>
            </a:graphic>
          </wp:anchor>
        </w:drawing>
      </w:r>
      <w:r w:rsidR="00F23C61">
        <w:rPr>
          <w:noProof/>
        </w:rPr>
        <w:drawing>
          <wp:anchor distT="0" distB="0" distL="0" distR="0" simplePos="0" relativeHeight="251432448" behindDoc="0" locked="0" layoutInCell="1" allowOverlap="1" wp14:anchorId="22CAF26F" wp14:editId="092C689A">
            <wp:simplePos x="0" y="0"/>
            <wp:positionH relativeFrom="page">
              <wp:posOffset>3126035</wp:posOffset>
            </wp:positionH>
            <wp:positionV relativeFrom="paragraph">
              <wp:posOffset>231689</wp:posOffset>
            </wp:positionV>
            <wp:extent cx="143160" cy="238029"/>
            <wp:effectExtent l="0" t="0" r="0" b="0"/>
            <wp:wrapTopAndBottom/>
            <wp:docPr id="63"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29.png"/>
                    <pic:cNvPicPr/>
                  </pic:nvPicPr>
                  <pic:blipFill>
                    <a:blip r:embed="rId420" cstate="print"/>
                    <a:stretch>
                      <a:fillRect/>
                    </a:stretch>
                  </pic:blipFill>
                  <pic:spPr>
                    <a:xfrm>
                      <a:off x="0" y="0"/>
                      <a:ext cx="143160" cy="238029"/>
                    </a:xfrm>
                    <a:prstGeom prst="rect">
                      <a:avLst/>
                    </a:prstGeom>
                  </pic:spPr>
                </pic:pic>
              </a:graphicData>
            </a:graphic>
          </wp:anchor>
        </w:drawing>
      </w:r>
      <w:r w:rsidR="00F23C61">
        <w:rPr>
          <w:noProof/>
        </w:rPr>
        <w:drawing>
          <wp:anchor distT="0" distB="0" distL="0" distR="0" simplePos="0" relativeHeight="251433472" behindDoc="0" locked="0" layoutInCell="1" allowOverlap="1" wp14:anchorId="07CBDB19" wp14:editId="07B58B87">
            <wp:simplePos x="0" y="0"/>
            <wp:positionH relativeFrom="page">
              <wp:posOffset>3321395</wp:posOffset>
            </wp:positionH>
            <wp:positionV relativeFrom="paragraph">
              <wp:posOffset>231689</wp:posOffset>
            </wp:positionV>
            <wp:extent cx="123243" cy="238029"/>
            <wp:effectExtent l="0" t="0" r="0" b="0"/>
            <wp:wrapTopAndBottom/>
            <wp:docPr id="65"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30.png"/>
                    <pic:cNvPicPr/>
                  </pic:nvPicPr>
                  <pic:blipFill>
                    <a:blip r:embed="rId421" cstate="print"/>
                    <a:stretch>
                      <a:fillRect/>
                    </a:stretch>
                  </pic:blipFill>
                  <pic:spPr>
                    <a:xfrm>
                      <a:off x="0" y="0"/>
                      <a:ext cx="123243" cy="238029"/>
                    </a:xfrm>
                    <a:prstGeom prst="rect">
                      <a:avLst/>
                    </a:prstGeom>
                  </pic:spPr>
                </pic:pic>
              </a:graphicData>
            </a:graphic>
          </wp:anchor>
        </w:drawing>
      </w:r>
      <w:r w:rsidR="00F23C61">
        <w:rPr>
          <w:noProof/>
        </w:rPr>
        <w:drawing>
          <wp:anchor distT="0" distB="0" distL="0" distR="0" simplePos="0" relativeHeight="251434496" behindDoc="0" locked="0" layoutInCell="1" allowOverlap="1" wp14:anchorId="6829E113" wp14:editId="5AB67AA1">
            <wp:simplePos x="0" y="0"/>
            <wp:positionH relativeFrom="page">
              <wp:posOffset>3498018</wp:posOffset>
            </wp:positionH>
            <wp:positionV relativeFrom="paragraph">
              <wp:posOffset>231689</wp:posOffset>
            </wp:positionV>
            <wp:extent cx="123243" cy="238029"/>
            <wp:effectExtent l="0" t="0" r="0" b="0"/>
            <wp:wrapTopAndBottom/>
            <wp:docPr id="67"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31.png"/>
                    <pic:cNvPicPr/>
                  </pic:nvPicPr>
                  <pic:blipFill>
                    <a:blip r:embed="rId422" cstate="print"/>
                    <a:stretch>
                      <a:fillRect/>
                    </a:stretch>
                  </pic:blipFill>
                  <pic:spPr>
                    <a:xfrm>
                      <a:off x="0" y="0"/>
                      <a:ext cx="123243" cy="238029"/>
                    </a:xfrm>
                    <a:prstGeom prst="rect">
                      <a:avLst/>
                    </a:prstGeom>
                  </pic:spPr>
                </pic:pic>
              </a:graphicData>
            </a:graphic>
          </wp:anchor>
        </w:drawing>
      </w:r>
      <w:r w:rsidR="00F23C61">
        <w:rPr>
          <w:noProof/>
        </w:rPr>
        <w:drawing>
          <wp:anchor distT="0" distB="0" distL="0" distR="0" simplePos="0" relativeHeight="251435520" behindDoc="0" locked="0" layoutInCell="1" allowOverlap="1" wp14:anchorId="57E5B695" wp14:editId="258B625C">
            <wp:simplePos x="0" y="0"/>
            <wp:positionH relativeFrom="page">
              <wp:posOffset>3677695</wp:posOffset>
            </wp:positionH>
            <wp:positionV relativeFrom="paragraph">
              <wp:posOffset>231689</wp:posOffset>
            </wp:positionV>
            <wp:extent cx="154977" cy="238029"/>
            <wp:effectExtent l="0" t="0" r="0" b="0"/>
            <wp:wrapTopAndBottom/>
            <wp:docPr id="69"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32.png"/>
                    <pic:cNvPicPr/>
                  </pic:nvPicPr>
                  <pic:blipFill>
                    <a:blip r:embed="rId423" cstate="print"/>
                    <a:stretch>
                      <a:fillRect/>
                    </a:stretch>
                  </pic:blipFill>
                  <pic:spPr>
                    <a:xfrm>
                      <a:off x="0" y="0"/>
                      <a:ext cx="154977" cy="238029"/>
                    </a:xfrm>
                    <a:prstGeom prst="rect">
                      <a:avLst/>
                    </a:prstGeom>
                  </pic:spPr>
                </pic:pic>
              </a:graphicData>
            </a:graphic>
          </wp:anchor>
        </w:drawing>
      </w:r>
      <w:r w:rsidR="00F23C61">
        <w:rPr>
          <w:noProof/>
        </w:rPr>
        <w:drawing>
          <wp:anchor distT="0" distB="0" distL="0" distR="0" simplePos="0" relativeHeight="251436544" behindDoc="0" locked="0" layoutInCell="1" allowOverlap="1" wp14:anchorId="14D71577" wp14:editId="6F491E2A">
            <wp:simplePos x="0" y="0"/>
            <wp:positionH relativeFrom="page">
              <wp:posOffset>3887717</wp:posOffset>
            </wp:positionH>
            <wp:positionV relativeFrom="paragraph">
              <wp:posOffset>231694</wp:posOffset>
            </wp:positionV>
            <wp:extent cx="151515" cy="238029"/>
            <wp:effectExtent l="0" t="0" r="0" b="0"/>
            <wp:wrapTopAndBottom/>
            <wp:docPr id="71"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33.png"/>
                    <pic:cNvPicPr/>
                  </pic:nvPicPr>
                  <pic:blipFill>
                    <a:blip r:embed="rId424" cstate="print"/>
                    <a:stretch>
                      <a:fillRect/>
                    </a:stretch>
                  </pic:blipFill>
                  <pic:spPr>
                    <a:xfrm>
                      <a:off x="0" y="0"/>
                      <a:ext cx="151515" cy="238029"/>
                    </a:xfrm>
                    <a:prstGeom prst="rect">
                      <a:avLst/>
                    </a:prstGeom>
                  </pic:spPr>
                </pic:pic>
              </a:graphicData>
            </a:graphic>
          </wp:anchor>
        </w:drawing>
      </w:r>
      <w:r w:rsidR="00F23C61">
        <w:rPr>
          <w:noProof/>
        </w:rPr>
        <w:drawing>
          <wp:anchor distT="0" distB="0" distL="0" distR="0" simplePos="0" relativeHeight="251437568" behindDoc="0" locked="0" layoutInCell="1" allowOverlap="1" wp14:anchorId="532B4FC2" wp14:editId="63171AAE">
            <wp:simplePos x="0" y="0"/>
            <wp:positionH relativeFrom="page">
              <wp:posOffset>4094317</wp:posOffset>
            </wp:positionH>
            <wp:positionV relativeFrom="paragraph">
              <wp:posOffset>228240</wp:posOffset>
            </wp:positionV>
            <wp:extent cx="168828" cy="242887"/>
            <wp:effectExtent l="0" t="0" r="0" b="0"/>
            <wp:wrapTopAndBottom/>
            <wp:docPr id="73"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34.png"/>
                    <pic:cNvPicPr/>
                  </pic:nvPicPr>
                  <pic:blipFill>
                    <a:blip r:embed="rId425" cstate="print"/>
                    <a:stretch>
                      <a:fillRect/>
                    </a:stretch>
                  </pic:blipFill>
                  <pic:spPr>
                    <a:xfrm>
                      <a:off x="0" y="0"/>
                      <a:ext cx="168828" cy="242887"/>
                    </a:xfrm>
                    <a:prstGeom prst="rect">
                      <a:avLst/>
                    </a:prstGeom>
                  </pic:spPr>
                </pic:pic>
              </a:graphicData>
            </a:graphic>
          </wp:anchor>
        </w:drawing>
      </w:r>
      <w:r w:rsidR="00F23C61">
        <w:rPr>
          <w:noProof/>
        </w:rPr>
        <w:drawing>
          <wp:anchor distT="0" distB="0" distL="0" distR="0" simplePos="0" relativeHeight="251438592" behindDoc="0" locked="0" layoutInCell="1" allowOverlap="1" wp14:anchorId="68EF20C3" wp14:editId="086774EF">
            <wp:simplePos x="0" y="0"/>
            <wp:positionH relativeFrom="page">
              <wp:posOffset>4319545</wp:posOffset>
            </wp:positionH>
            <wp:positionV relativeFrom="paragraph">
              <wp:posOffset>231701</wp:posOffset>
            </wp:positionV>
            <wp:extent cx="162419" cy="238125"/>
            <wp:effectExtent l="0" t="0" r="0" b="0"/>
            <wp:wrapTopAndBottom/>
            <wp:docPr id="75"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35.png"/>
                    <pic:cNvPicPr/>
                  </pic:nvPicPr>
                  <pic:blipFill>
                    <a:blip r:embed="rId426" cstate="print"/>
                    <a:stretch>
                      <a:fillRect/>
                    </a:stretch>
                  </pic:blipFill>
                  <pic:spPr>
                    <a:xfrm>
                      <a:off x="0" y="0"/>
                      <a:ext cx="162419" cy="238125"/>
                    </a:xfrm>
                    <a:prstGeom prst="rect">
                      <a:avLst/>
                    </a:prstGeom>
                  </pic:spPr>
                </pic:pic>
              </a:graphicData>
            </a:graphic>
          </wp:anchor>
        </w:drawing>
      </w:r>
      <w:r w:rsidR="00F23C61">
        <w:rPr>
          <w:noProof/>
        </w:rPr>
        <w:drawing>
          <wp:anchor distT="0" distB="0" distL="0" distR="0" simplePos="0" relativeHeight="251439616" behindDoc="0" locked="0" layoutInCell="1" allowOverlap="1" wp14:anchorId="078CA29A" wp14:editId="03FDA1A3">
            <wp:simplePos x="0" y="0"/>
            <wp:positionH relativeFrom="page">
              <wp:posOffset>4532607</wp:posOffset>
            </wp:positionH>
            <wp:positionV relativeFrom="paragraph">
              <wp:posOffset>228241</wp:posOffset>
            </wp:positionV>
            <wp:extent cx="132653" cy="242887"/>
            <wp:effectExtent l="0" t="0" r="0" b="0"/>
            <wp:wrapTopAndBottom/>
            <wp:docPr id="77"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36.png"/>
                    <pic:cNvPicPr/>
                  </pic:nvPicPr>
                  <pic:blipFill>
                    <a:blip r:embed="rId427" cstate="print"/>
                    <a:stretch>
                      <a:fillRect/>
                    </a:stretch>
                  </pic:blipFill>
                  <pic:spPr>
                    <a:xfrm>
                      <a:off x="0" y="0"/>
                      <a:ext cx="132653" cy="242887"/>
                    </a:xfrm>
                    <a:prstGeom prst="rect">
                      <a:avLst/>
                    </a:prstGeom>
                  </pic:spPr>
                </pic:pic>
              </a:graphicData>
            </a:graphic>
          </wp:anchor>
        </w:drawing>
      </w:r>
      <w:r w:rsidR="00F23C61">
        <w:rPr>
          <w:noProof/>
        </w:rPr>
        <w:drawing>
          <wp:anchor distT="0" distB="0" distL="0" distR="0" simplePos="0" relativeHeight="251440640" behindDoc="0" locked="0" layoutInCell="1" allowOverlap="1" wp14:anchorId="646C6C42" wp14:editId="342E8F28">
            <wp:simplePos x="0" y="0"/>
            <wp:positionH relativeFrom="page">
              <wp:posOffset>4721565</wp:posOffset>
            </wp:positionH>
            <wp:positionV relativeFrom="paragraph">
              <wp:posOffset>231689</wp:posOffset>
            </wp:positionV>
            <wp:extent cx="123256" cy="238029"/>
            <wp:effectExtent l="0" t="0" r="0" b="0"/>
            <wp:wrapTopAndBottom/>
            <wp:docPr id="79"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37.png"/>
                    <pic:cNvPicPr/>
                  </pic:nvPicPr>
                  <pic:blipFill>
                    <a:blip r:embed="rId428" cstate="print"/>
                    <a:stretch>
                      <a:fillRect/>
                    </a:stretch>
                  </pic:blipFill>
                  <pic:spPr>
                    <a:xfrm>
                      <a:off x="0" y="0"/>
                      <a:ext cx="123256" cy="238029"/>
                    </a:xfrm>
                    <a:prstGeom prst="rect">
                      <a:avLst/>
                    </a:prstGeom>
                  </pic:spPr>
                </pic:pic>
              </a:graphicData>
            </a:graphic>
          </wp:anchor>
        </w:drawing>
      </w:r>
    </w:p>
    <w:p w14:paraId="7C1135AD" w14:textId="77777777" w:rsidR="0055291C" w:rsidRDefault="0055291C">
      <w:pPr>
        <w:pStyle w:val="a3"/>
        <w:spacing w:before="5"/>
        <w:rPr>
          <w:sz w:val="9"/>
        </w:rPr>
      </w:pPr>
    </w:p>
    <w:p w14:paraId="3B45394A" w14:textId="77777777" w:rsidR="0055291C" w:rsidRDefault="00000000">
      <w:pPr>
        <w:spacing w:before="104" w:line="278" w:lineRule="auto"/>
        <w:ind w:left="4409" w:right="4608"/>
        <w:rPr>
          <w:rFonts w:ascii="Arial"/>
          <w:b/>
          <w:i/>
          <w:sz w:val="21"/>
        </w:rPr>
      </w:pPr>
      <w:r>
        <w:pict w14:anchorId="5097FC34">
          <v:group id="docshapegroup1755" o:spid="_x0000_s2060" style="position:absolute;left:0;text-align:left;margin-left:289.85pt;margin-top:-47.35pt;width:57.5pt;height:19.2pt;z-index:251700736;mso-position-horizontal-relative:page" coordorigin="5797,-947" coordsize="1150,384">
            <v:shape id="docshape1756" o:spid="_x0000_s2062" type="#_x0000_t75" style="position:absolute;left:5797;top:-942;width:225;height:373">
              <v:imagedata r:id="rId429" o:title=""/>
            </v:shape>
            <v:shape id="docshape1757" o:spid="_x0000_s2061" style="position:absolute;left:6083;top:-948;width:863;height:384" coordorigin="6084,-947" coordsize="863,384" o:spt="100" adj="0,,0" path="m6350,-756r-8,-74l6318,-891r-9,-8l6309,-756r-6,60l6286,-648r-29,33l6217,-603r-40,-12l6148,-648r-17,-48l6125,-756r6,-59l6148,-863r29,-33l6217,-908r40,12l6286,-863r17,48l6309,-756r,-143l6300,-908r-24,-24l6217,-947r-59,15l6116,-891r-24,61l6084,-756r8,74l6116,-620r42,41l6217,-564r59,-15l6300,-603r18,-17l6342,-682r8,-74xm6664,-934r-9,-8l6645,-942r-264,l6372,-934r,22l6381,-904r118,l6499,-577r9,8l6528,-569r8,-8l6536,-904r119,l6664,-912r,-22xm6947,-756r-8,-74l6914,-891r-9,-8l6905,-756r-5,60l6882,-648r-28,33l6813,-603r-40,-12l6744,-648r-17,-48l6721,-756r6,-59l6744,-863r29,-33l6813,-908r41,12l6882,-863r18,48l6905,-756r,-143l6897,-908r-24,-24l6813,-947r-59,15l6713,-891r-25,61l6680,-756r8,74l6713,-620r41,41l6813,-564r60,-15l6896,-603r18,-17l6939,-682r8,-74xe" fillcolor="#545456" stroked="f">
              <v:stroke joinstyle="round"/>
              <v:formulas/>
              <v:path arrowok="t" o:connecttype="segments"/>
            </v:shape>
            <w10:wrap anchorx="page"/>
          </v:group>
        </w:pict>
      </w:r>
      <w:r>
        <w:pict w14:anchorId="71B329E9">
          <v:group id="docshapegroup1758" o:spid="_x0000_s2056" style="position:absolute;left:0;text-align:left;margin-left:221.2pt;margin-top:-47.45pt;width:42.2pt;height:19.3pt;z-index:251701760;mso-position-horizontal-relative:page" coordorigin="4424,-949" coordsize="844,386">
            <v:shape id="docshape1759" o:spid="_x0000_s2059" type="#_x0000_t75" style="position:absolute;left:4423;top:-948;width:266;height:384">
              <v:imagedata r:id="rId430" o:title=""/>
            </v:shape>
            <v:shape id="docshape1760" o:spid="_x0000_s2058" type="#_x0000_t75" style="position:absolute;left:4730;top:-942;width:277;height:373">
              <v:imagedata r:id="rId431" o:title=""/>
            </v:shape>
            <v:shape id="docshape1761" o:spid="_x0000_s2057" type="#_x0000_t75" style="position:absolute;left:5057;top:-949;width:210;height:384">
              <v:imagedata r:id="rId432" o:title=""/>
            </v:shape>
            <w10:wrap anchorx="page"/>
          </v:group>
        </w:pict>
      </w:r>
      <w:r>
        <w:pict w14:anchorId="015BB361">
          <v:group id="docshapegroup1762" o:spid="_x0000_s2053" style="position:absolute;left:0;text-align:left;margin-left:351.35pt;margin-top:-47.45pt;width:27.8pt;height:19.3pt;z-index:251702784;mso-position-horizontal-relative:page" coordorigin="7027,-949" coordsize="556,386">
            <v:shape id="docshape1763" o:spid="_x0000_s2055" type="#_x0000_t75" style="position:absolute;left:7027;top:-948;width:234;height:384">
              <v:imagedata r:id="rId433" o:title=""/>
            </v:shape>
            <v:shape id="docshape1764" o:spid="_x0000_s2054" type="#_x0000_t75" style="position:absolute;left:7316;top:-949;width:267;height:384">
              <v:imagedata r:id="rId434" o:title=""/>
            </v:shape>
            <w10:wrap anchorx="page"/>
          </v:group>
        </w:pict>
      </w:r>
      <w:r w:rsidR="00F23C61">
        <w:rPr>
          <w:noProof/>
        </w:rPr>
        <w:drawing>
          <wp:anchor distT="0" distB="0" distL="0" distR="0" simplePos="0" relativeHeight="251424256" behindDoc="0" locked="0" layoutInCell="1" allowOverlap="1" wp14:anchorId="35FD3AB9" wp14:editId="44D73EE5">
            <wp:simplePos x="0" y="0"/>
            <wp:positionH relativeFrom="page">
              <wp:posOffset>4871412</wp:posOffset>
            </wp:positionH>
            <wp:positionV relativeFrom="paragraph">
              <wp:posOffset>-599130</wp:posOffset>
            </wp:positionV>
            <wp:extent cx="123073" cy="238125"/>
            <wp:effectExtent l="0" t="0" r="0" b="0"/>
            <wp:wrapNone/>
            <wp:docPr id="81"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44.png"/>
                    <pic:cNvPicPr/>
                  </pic:nvPicPr>
                  <pic:blipFill>
                    <a:blip r:embed="rId435" cstate="print"/>
                    <a:stretch>
                      <a:fillRect/>
                    </a:stretch>
                  </pic:blipFill>
                  <pic:spPr>
                    <a:xfrm>
                      <a:off x="0" y="0"/>
                      <a:ext cx="123073" cy="238125"/>
                    </a:xfrm>
                    <a:prstGeom prst="rect">
                      <a:avLst/>
                    </a:prstGeom>
                  </pic:spPr>
                </pic:pic>
              </a:graphicData>
            </a:graphic>
          </wp:anchor>
        </w:drawing>
      </w:r>
      <w:r w:rsidR="00F23C61">
        <w:rPr>
          <w:noProof/>
        </w:rPr>
        <w:drawing>
          <wp:anchor distT="0" distB="0" distL="0" distR="0" simplePos="0" relativeHeight="251425280" behindDoc="0" locked="0" layoutInCell="1" allowOverlap="1" wp14:anchorId="1C343B25" wp14:editId="1094A7BE">
            <wp:simplePos x="0" y="0"/>
            <wp:positionH relativeFrom="page">
              <wp:posOffset>3494514</wp:posOffset>
            </wp:positionH>
            <wp:positionV relativeFrom="paragraph">
              <wp:posOffset>-597997</wp:posOffset>
            </wp:positionV>
            <wp:extent cx="131580" cy="238125"/>
            <wp:effectExtent l="0" t="0" r="0" b="0"/>
            <wp:wrapNone/>
            <wp:docPr id="83"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45.png"/>
                    <pic:cNvPicPr/>
                  </pic:nvPicPr>
                  <pic:blipFill>
                    <a:blip r:embed="rId436" cstate="print"/>
                    <a:stretch>
                      <a:fillRect/>
                    </a:stretch>
                  </pic:blipFill>
                  <pic:spPr>
                    <a:xfrm>
                      <a:off x="0" y="0"/>
                      <a:ext cx="131580" cy="238125"/>
                    </a:xfrm>
                    <a:prstGeom prst="rect">
                      <a:avLst/>
                    </a:prstGeom>
                  </pic:spPr>
                </pic:pic>
              </a:graphicData>
            </a:graphic>
          </wp:anchor>
        </w:drawing>
      </w:r>
      <w:r>
        <w:pict w14:anchorId="61678D17">
          <v:rect id="docshape1765" o:spid="_x0000_s2052" style="position:absolute;left:0;text-align:left;margin-left:583.6pt;margin-top:-190.65pt;width:28.4pt;height:168.3pt;z-index:251703808;mso-position-horizontal-relative:page;mso-position-vertical-relative:text" fillcolor="#7f3f98" stroked="f">
            <w10:wrap anchorx="page"/>
          </v:rect>
        </w:pict>
      </w:r>
      <w:r w:rsidR="00F23C61">
        <w:rPr>
          <w:rFonts w:ascii="Arial"/>
          <w:b/>
          <w:i/>
          <w:color w:val="545456"/>
          <w:w w:val="95"/>
          <w:sz w:val="21"/>
        </w:rPr>
        <w:t>The</w:t>
      </w:r>
      <w:r w:rsidR="00F23C61">
        <w:rPr>
          <w:rFonts w:ascii="Arial"/>
          <w:b/>
          <w:i/>
          <w:color w:val="545456"/>
          <w:spacing w:val="6"/>
          <w:w w:val="95"/>
          <w:sz w:val="21"/>
        </w:rPr>
        <w:t xml:space="preserve"> </w:t>
      </w:r>
      <w:r w:rsidR="00F23C61">
        <w:rPr>
          <w:rFonts w:ascii="Arial"/>
          <w:b/>
          <w:i/>
          <w:color w:val="545456"/>
          <w:w w:val="95"/>
          <w:sz w:val="21"/>
        </w:rPr>
        <w:t>Greenhouse</w:t>
      </w:r>
      <w:r w:rsidR="00F23C61">
        <w:rPr>
          <w:rFonts w:ascii="Arial"/>
          <w:b/>
          <w:i/>
          <w:color w:val="545456"/>
          <w:spacing w:val="7"/>
          <w:w w:val="95"/>
          <w:sz w:val="21"/>
        </w:rPr>
        <w:t xml:space="preserve"> </w:t>
      </w:r>
      <w:r w:rsidR="00F23C61">
        <w:rPr>
          <w:rFonts w:ascii="Arial"/>
          <w:b/>
          <w:i/>
          <w:color w:val="545456"/>
          <w:w w:val="95"/>
          <w:sz w:val="21"/>
        </w:rPr>
        <w:t>Gas</w:t>
      </w:r>
      <w:r w:rsidR="00F23C61">
        <w:rPr>
          <w:rFonts w:ascii="Arial"/>
          <w:b/>
          <w:i/>
          <w:color w:val="545456"/>
          <w:spacing w:val="7"/>
          <w:w w:val="95"/>
          <w:sz w:val="21"/>
        </w:rPr>
        <w:t xml:space="preserve"> </w:t>
      </w:r>
      <w:r w:rsidR="00F23C61">
        <w:rPr>
          <w:rFonts w:ascii="Arial"/>
          <w:b/>
          <w:i/>
          <w:color w:val="545456"/>
          <w:w w:val="95"/>
          <w:sz w:val="21"/>
        </w:rPr>
        <w:t>Protocol</w:t>
      </w:r>
      <w:r w:rsidR="00F23C61">
        <w:rPr>
          <w:rFonts w:ascii="Arial"/>
          <w:b/>
          <w:i/>
          <w:color w:val="545456"/>
          <w:spacing w:val="1"/>
          <w:w w:val="95"/>
          <w:sz w:val="21"/>
        </w:rPr>
        <w:t xml:space="preserve"> </w:t>
      </w:r>
      <w:r w:rsidR="00F23C61">
        <w:rPr>
          <w:rFonts w:ascii="Arial"/>
          <w:b/>
          <w:i/>
          <w:color w:val="545456"/>
          <w:sz w:val="21"/>
        </w:rPr>
        <w:t>provides the</w:t>
      </w:r>
      <w:r w:rsidR="00F23C61">
        <w:rPr>
          <w:rFonts w:ascii="Arial"/>
          <w:b/>
          <w:i/>
          <w:color w:val="545456"/>
          <w:spacing w:val="1"/>
          <w:sz w:val="21"/>
        </w:rPr>
        <w:t xml:space="preserve"> </w:t>
      </w:r>
      <w:r w:rsidR="00F23C61">
        <w:rPr>
          <w:rFonts w:ascii="Arial"/>
          <w:b/>
          <w:i/>
          <w:color w:val="545456"/>
          <w:sz w:val="21"/>
        </w:rPr>
        <w:t>foundation</w:t>
      </w:r>
      <w:r w:rsidR="00F23C61">
        <w:rPr>
          <w:rFonts w:ascii="Arial"/>
          <w:b/>
          <w:i/>
          <w:color w:val="545456"/>
          <w:spacing w:val="1"/>
          <w:sz w:val="21"/>
        </w:rPr>
        <w:t xml:space="preserve"> </w:t>
      </w:r>
      <w:r w:rsidR="00F23C61">
        <w:rPr>
          <w:rFonts w:ascii="Arial"/>
          <w:b/>
          <w:i/>
          <w:color w:val="545456"/>
          <w:sz w:val="21"/>
        </w:rPr>
        <w:t>for</w:t>
      </w:r>
      <w:r w:rsidR="00F23C61">
        <w:rPr>
          <w:rFonts w:ascii="Arial"/>
          <w:b/>
          <w:i/>
          <w:color w:val="545456"/>
          <w:spacing w:val="1"/>
          <w:sz w:val="21"/>
        </w:rPr>
        <w:t xml:space="preserve"> </w:t>
      </w:r>
      <w:r w:rsidR="00F23C61">
        <w:rPr>
          <w:rFonts w:ascii="Arial"/>
          <w:b/>
          <w:i/>
          <w:color w:val="545456"/>
          <w:sz w:val="21"/>
        </w:rPr>
        <w:t>sustainable climate</w:t>
      </w:r>
      <w:r w:rsidR="00F23C61">
        <w:rPr>
          <w:rFonts w:ascii="Arial"/>
          <w:b/>
          <w:i/>
          <w:color w:val="545456"/>
          <w:spacing w:val="1"/>
          <w:sz w:val="21"/>
        </w:rPr>
        <w:t xml:space="preserve"> </w:t>
      </w:r>
      <w:r w:rsidR="00F23C61">
        <w:rPr>
          <w:rFonts w:ascii="Arial"/>
          <w:b/>
          <w:i/>
          <w:color w:val="545456"/>
          <w:sz w:val="21"/>
        </w:rPr>
        <w:t>strategies</w:t>
      </w:r>
      <w:r w:rsidR="00F23C61">
        <w:rPr>
          <w:rFonts w:ascii="Arial"/>
          <w:b/>
          <w:i/>
          <w:color w:val="545456"/>
          <w:spacing w:val="1"/>
          <w:sz w:val="21"/>
        </w:rPr>
        <w:t xml:space="preserve"> </w:t>
      </w:r>
      <w:r w:rsidR="00F23C61">
        <w:rPr>
          <w:rFonts w:ascii="Arial"/>
          <w:b/>
          <w:i/>
          <w:color w:val="545456"/>
          <w:sz w:val="21"/>
        </w:rPr>
        <w:t>and</w:t>
      </w:r>
      <w:r w:rsidR="00F23C61">
        <w:rPr>
          <w:rFonts w:ascii="Arial"/>
          <w:b/>
          <w:i/>
          <w:color w:val="545456"/>
          <w:spacing w:val="7"/>
          <w:sz w:val="21"/>
        </w:rPr>
        <w:t xml:space="preserve"> </w:t>
      </w:r>
      <w:r w:rsidR="00F23C61">
        <w:rPr>
          <w:rFonts w:ascii="Arial"/>
          <w:b/>
          <w:i/>
          <w:color w:val="545456"/>
          <w:sz w:val="21"/>
        </w:rPr>
        <w:t>more</w:t>
      </w:r>
      <w:r w:rsidR="00F23C61">
        <w:rPr>
          <w:rFonts w:ascii="Arial"/>
          <w:b/>
          <w:i/>
          <w:color w:val="545456"/>
          <w:spacing w:val="8"/>
          <w:sz w:val="21"/>
        </w:rPr>
        <w:t xml:space="preserve"> </w:t>
      </w:r>
      <w:r w:rsidR="00F23C61">
        <w:rPr>
          <w:rFonts w:ascii="Arial"/>
          <w:b/>
          <w:i/>
          <w:color w:val="545456"/>
          <w:sz w:val="21"/>
        </w:rPr>
        <w:t>efficient,</w:t>
      </w:r>
      <w:r w:rsidR="00F23C61">
        <w:rPr>
          <w:rFonts w:ascii="Arial"/>
          <w:b/>
          <w:i/>
          <w:color w:val="545456"/>
          <w:spacing w:val="8"/>
          <w:sz w:val="21"/>
        </w:rPr>
        <w:t xml:space="preserve"> </w:t>
      </w:r>
      <w:r w:rsidR="00F23C61">
        <w:rPr>
          <w:rFonts w:ascii="Arial"/>
          <w:b/>
          <w:i/>
          <w:color w:val="545456"/>
          <w:sz w:val="21"/>
        </w:rPr>
        <w:t>resilient</w:t>
      </w:r>
      <w:r w:rsidR="00F23C61">
        <w:rPr>
          <w:rFonts w:ascii="Arial"/>
          <w:b/>
          <w:i/>
          <w:color w:val="545456"/>
          <w:spacing w:val="8"/>
          <w:sz w:val="21"/>
        </w:rPr>
        <w:t xml:space="preserve"> </w:t>
      </w:r>
      <w:r w:rsidR="00F23C61">
        <w:rPr>
          <w:rFonts w:ascii="Arial"/>
          <w:b/>
          <w:i/>
          <w:color w:val="545456"/>
          <w:sz w:val="21"/>
        </w:rPr>
        <w:t>and</w:t>
      </w:r>
      <w:r w:rsidR="00F23C61">
        <w:rPr>
          <w:rFonts w:ascii="Arial"/>
          <w:b/>
          <w:i/>
          <w:color w:val="545456"/>
          <w:spacing w:val="-55"/>
          <w:sz w:val="21"/>
        </w:rPr>
        <w:t xml:space="preserve"> </w:t>
      </w:r>
      <w:r w:rsidR="00F23C61">
        <w:rPr>
          <w:rFonts w:ascii="Arial"/>
          <w:b/>
          <w:i/>
          <w:color w:val="545456"/>
          <w:sz w:val="21"/>
        </w:rPr>
        <w:t>profitable organizations. GHG</w:t>
      </w:r>
      <w:r w:rsidR="00F23C61">
        <w:rPr>
          <w:rFonts w:ascii="Arial"/>
          <w:b/>
          <w:i/>
          <w:color w:val="545456"/>
          <w:spacing w:val="1"/>
          <w:sz w:val="21"/>
        </w:rPr>
        <w:t xml:space="preserve"> </w:t>
      </w:r>
      <w:r w:rsidR="00F23C61">
        <w:rPr>
          <w:rFonts w:ascii="Arial"/>
          <w:b/>
          <w:i/>
          <w:color w:val="545456"/>
          <w:w w:val="95"/>
          <w:sz w:val="21"/>
        </w:rPr>
        <w:t>Protocol</w:t>
      </w:r>
      <w:r w:rsidR="00F23C61">
        <w:rPr>
          <w:rFonts w:ascii="Arial"/>
          <w:b/>
          <w:i/>
          <w:color w:val="545456"/>
          <w:spacing w:val="35"/>
          <w:w w:val="95"/>
          <w:sz w:val="21"/>
        </w:rPr>
        <w:t xml:space="preserve"> </w:t>
      </w:r>
      <w:r w:rsidR="00F23C61">
        <w:rPr>
          <w:rFonts w:ascii="Arial"/>
          <w:b/>
          <w:i/>
          <w:color w:val="545456"/>
          <w:w w:val="95"/>
          <w:sz w:val="21"/>
        </w:rPr>
        <w:t>standards</w:t>
      </w:r>
      <w:r w:rsidR="00F23C61">
        <w:rPr>
          <w:rFonts w:ascii="Arial"/>
          <w:b/>
          <w:i/>
          <w:color w:val="545456"/>
          <w:spacing w:val="36"/>
          <w:w w:val="95"/>
          <w:sz w:val="21"/>
        </w:rPr>
        <w:t xml:space="preserve"> </w:t>
      </w:r>
      <w:r w:rsidR="00F23C61">
        <w:rPr>
          <w:rFonts w:ascii="Arial"/>
          <w:b/>
          <w:i/>
          <w:color w:val="545456"/>
          <w:w w:val="95"/>
          <w:sz w:val="21"/>
        </w:rPr>
        <w:t>are</w:t>
      </w:r>
      <w:r w:rsidR="00F23C61">
        <w:rPr>
          <w:rFonts w:ascii="Arial"/>
          <w:b/>
          <w:i/>
          <w:color w:val="545456"/>
          <w:spacing w:val="36"/>
          <w:w w:val="95"/>
          <w:sz w:val="21"/>
        </w:rPr>
        <w:t xml:space="preserve"> </w:t>
      </w:r>
      <w:r w:rsidR="00F23C61">
        <w:rPr>
          <w:rFonts w:ascii="Arial"/>
          <w:b/>
          <w:i/>
          <w:color w:val="545456"/>
          <w:w w:val="95"/>
          <w:sz w:val="21"/>
        </w:rPr>
        <w:t>the</w:t>
      </w:r>
      <w:r w:rsidR="00F23C61">
        <w:rPr>
          <w:rFonts w:ascii="Arial"/>
          <w:b/>
          <w:i/>
          <w:color w:val="545456"/>
          <w:spacing w:val="36"/>
          <w:w w:val="95"/>
          <w:sz w:val="21"/>
        </w:rPr>
        <w:t xml:space="preserve"> </w:t>
      </w:r>
      <w:r w:rsidR="00F23C61">
        <w:rPr>
          <w:rFonts w:ascii="Arial"/>
          <w:b/>
          <w:i/>
          <w:color w:val="545456"/>
          <w:w w:val="95"/>
          <w:sz w:val="21"/>
        </w:rPr>
        <w:t>most</w:t>
      </w:r>
      <w:r w:rsidR="00F23C61">
        <w:rPr>
          <w:rFonts w:ascii="Arial"/>
          <w:b/>
          <w:i/>
          <w:color w:val="545456"/>
          <w:spacing w:val="-53"/>
          <w:w w:val="95"/>
          <w:sz w:val="21"/>
        </w:rPr>
        <w:t xml:space="preserve"> </w:t>
      </w:r>
      <w:r w:rsidR="00F23C61">
        <w:rPr>
          <w:rFonts w:ascii="Arial"/>
          <w:b/>
          <w:i/>
          <w:color w:val="545456"/>
          <w:sz w:val="21"/>
        </w:rPr>
        <w:t>widely</w:t>
      </w:r>
      <w:r w:rsidR="00F23C61">
        <w:rPr>
          <w:rFonts w:ascii="Arial"/>
          <w:b/>
          <w:i/>
          <w:color w:val="545456"/>
          <w:spacing w:val="-7"/>
          <w:sz w:val="21"/>
        </w:rPr>
        <w:t xml:space="preserve"> </w:t>
      </w:r>
      <w:r w:rsidR="00F23C61">
        <w:rPr>
          <w:rFonts w:ascii="Arial"/>
          <w:b/>
          <w:i/>
          <w:color w:val="545456"/>
          <w:sz w:val="21"/>
        </w:rPr>
        <w:t>used</w:t>
      </w:r>
      <w:r w:rsidR="00F23C61">
        <w:rPr>
          <w:rFonts w:ascii="Arial"/>
          <w:b/>
          <w:i/>
          <w:color w:val="545456"/>
          <w:spacing w:val="-6"/>
          <w:sz w:val="21"/>
        </w:rPr>
        <w:t xml:space="preserve"> </w:t>
      </w:r>
      <w:r w:rsidR="00F23C61">
        <w:rPr>
          <w:rFonts w:ascii="Arial"/>
          <w:b/>
          <w:i/>
          <w:color w:val="545456"/>
          <w:sz w:val="21"/>
        </w:rPr>
        <w:t>accounting</w:t>
      </w:r>
      <w:r w:rsidR="00F23C61">
        <w:rPr>
          <w:rFonts w:ascii="Arial"/>
          <w:b/>
          <w:i/>
          <w:color w:val="545456"/>
          <w:spacing w:val="-7"/>
          <w:sz w:val="21"/>
        </w:rPr>
        <w:t xml:space="preserve"> </w:t>
      </w:r>
      <w:r w:rsidR="00F23C61">
        <w:rPr>
          <w:rFonts w:ascii="Arial"/>
          <w:b/>
          <w:i/>
          <w:color w:val="545456"/>
          <w:sz w:val="21"/>
        </w:rPr>
        <w:t>tools</w:t>
      </w:r>
    </w:p>
    <w:p w14:paraId="69B3A711" w14:textId="77777777" w:rsidR="0055291C" w:rsidRDefault="00F23C61">
      <w:pPr>
        <w:spacing w:line="278" w:lineRule="auto"/>
        <w:ind w:left="4409" w:right="4683"/>
        <w:rPr>
          <w:rFonts w:ascii="Arial"/>
          <w:b/>
          <w:i/>
          <w:sz w:val="21"/>
        </w:rPr>
      </w:pPr>
      <w:r>
        <w:rPr>
          <w:rFonts w:ascii="Arial"/>
          <w:b/>
          <w:i/>
          <w:color w:val="545456"/>
          <w:sz w:val="21"/>
        </w:rPr>
        <w:t>to measure, manage and report</w:t>
      </w:r>
      <w:r>
        <w:rPr>
          <w:rFonts w:ascii="Arial"/>
          <w:b/>
          <w:i/>
          <w:color w:val="545456"/>
          <w:spacing w:val="-56"/>
          <w:sz w:val="21"/>
        </w:rPr>
        <w:t xml:space="preserve"> </w:t>
      </w:r>
      <w:r>
        <w:rPr>
          <w:rFonts w:ascii="Arial"/>
          <w:b/>
          <w:i/>
          <w:color w:val="545456"/>
          <w:w w:val="95"/>
          <w:sz w:val="21"/>
        </w:rPr>
        <w:t>greenhouse</w:t>
      </w:r>
      <w:r>
        <w:rPr>
          <w:rFonts w:ascii="Arial"/>
          <w:b/>
          <w:i/>
          <w:color w:val="545456"/>
          <w:spacing w:val="2"/>
          <w:w w:val="95"/>
          <w:sz w:val="21"/>
        </w:rPr>
        <w:t xml:space="preserve"> </w:t>
      </w:r>
      <w:r>
        <w:rPr>
          <w:rFonts w:ascii="Arial"/>
          <w:b/>
          <w:i/>
          <w:color w:val="545456"/>
          <w:w w:val="95"/>
          <w:sz w:val="21"/>
        </w:rPr>
        <w:t>gas</w:t>
      </w:r>
      <w:r>
        <w:rPr>
          <w:rFonts w:ascii="Arial"/>
          <w:b/>
          <w:i/>
          <w:color w:val="545456"/>
          <w:spacing w:val="3"/>
          <w:w w:val="95"/>
          <w:sz w:val="21"/>
        </w:rPr>
        <w:t xml:space="preserve"> </w:t>
      </w:r>
      <w:r>
        <w:rPr>
          <w:rFonts w:ascii="Arial"/>
          <w:b/>
          <w:i/>
          <w:color w:val="545456"/>
          <w:w w:val="95"/>
          <w:sz w:val="21"/>
        </w:rPr>
        <w:t>emissions.</w:t>
      </w:r>
    </w:p>
    <w:p w14:paraId="2C1D398D" w14:textId="77777777" w:rsidR="0055291C" w:rsidRDefault="00000000">
      <w:pPr>
        <w:pStyle w:val="a3"/>
        <w:spacing w:before="6"/>
        <w:rPr>
          <w:rFonts w:ascii="Arial"/>
          <w:b/>
          <w:i/>
          <w:sz w:val="22"/>
        </w:rPr>
      </w:pPr>
      <w:r>
        <w:pict w14:anchorId="5C9C9BAC">
          <v:shape id="docshape1766" o:spid="_x0000_s2051" style="position:absolute;margin-left:478.7pt;margin-top:14.2pt;width:95.35pt;height:44.85pt;z-index:-251458048;mso-wrap-distance-left:0;mso-wrap-distance-right:0;mso-position-horizontal-relative:page" coordorigin="9574,284" coordsize="1907,897" o:spt="100" adj="0,,0" path="m11056,925r-13,-81l11006,773r-56,-58l10878,674r-17,-71l10832,536r-39,-61l10744,421r-56,-47l10624,336r-71,-28l10478,290r-80,-6l10316,291r-78,19l10166,340r-65,40l10043,430r-48,58l9973,486r-21,-1l9876,493r-71,20l9741,546r-56,44l9639,642r-35,61l9582,769r-8,72l9582,912r21,66l9638,1038r45,53l9718,1119r37,25l9796,1165r44,15l10865,1180r38,-15l10937,1144r32,-25l10996,1091r25,-37l11040,1014r12,-43l11056,925xm11481,999r-9,-57l11446,892r-40,-41l11355,822r-21,-75l11295,681r-54,-56l11175,583r-76,-27l11015,546r-28,1l10959,550r-27,6l10905,563r7,17l10917,598r6,18l10927,634r63,41l11041,726r38,60l11103,853r8,72l11107,979r-14,53l11070,1081r-32,46l11025,1141r-13,14l10998,1168r-15,12l11346,1180r26,-11l11397,1155r22,-18l11438,1117r18,-26l11470,1063r8,-31l11481,999xe" fillcolor="#f3f4f4" stroked="f">
            <v:stroke joinstyle="round"/>
            <v:formulas/>
            <v:path arrowok="t" o:connecttype="segments"/>
            <w10:wrap type="topAndBottom" anchorx="page"/>
          </v:shape>
        </w:pict>
      </w:r>
    </w:p>
    <w:p w14:paraId="7835B228" w14:textId="77777777" w:rsidR="0055291C" w:rsidRDefault="0055291C">
      <w:pPr>
        <w:pStyle w:val="a3"/>
        <w:rPr>
          <w:rFonts w:ascii="Arial"/>
          <w:b/>
          <w:i/>
          <w:sz w:val="20"/>
        </w:rPr>
      </w:pPr>
    </w:p>
    <w:p w14:paraId="3F00A3DD" w14:textId="77777777" w:rsidR="0055291C" w:rsidRDefault="0055291C">
      <w:pPr>
        <w:pStyle w:val="a3"/>
        <w:rPr>
          <w:rFonts w:ascii="Arial"/>
          <w:b/>
          <w:i/>
          <w:sz w:val="20"/>
        </w:rPr>
      </w:pPr>
    </w:p>
    <w:p w14:paraId="169B2E87" w14:textId="77777777" w:rsidR="0055291C" w:rsidRDefault="0055291C">
      <w:pPr>
        <w:pStyle w:val="a3"/>
        <w:rPr>
          <w:rFonts w:ascii="Arial"/>
          <w:b/>
          <w:i/>
          <w:sz w:val="20"/>
        </w:rPr>
      </w:pPr>
    </w:p>
    <w:p w14:paraId="5A54B155" w14:textId="77777777" w:rsidR="0055291C" w:rsidRDefault="00000000">
      <w:pPr>
        <w:pStyle w:val="a3"/>
        <w:spacing w:before="2"/>
        <w:rPr>
          <w:rFonts w:ascii="Arial"/>
          <w:b/>
          <w:i/>
          <w:sz w:val="23"/>
        </w:rPr>
      </w:pPr>
      <w:r>
        <w:pict w14:anchorId="7F0CFA09">
          <v:shape id="docshape1767" o:spid="_x0000_s2050" style="position:absolute;margin-left:150.9pt;margin-top:14.55pt;width:156.35pt;height:77.1pt;z-index:-251457024;mso-wrap-distance-left:0;mso-wrap-distance-right:0;mso-position-horizontal-relative:page" coordorigin="3018,291" coordsize="3127,1542" o:spt="100" adj="0,,0" path="m5448,1393r-8,-81l5420,1235r-33,-71l5343,1100r-54,-56l5226,998r-70,-36l5141,887r-21,-71l5091,747r-34,-66l5016,620r-46,-58l4919,509r-56,-48l4803,418r-64,-37l4671,349r-72,-25l4525,306r-77,-11l4369,291r-81,4l4208,307r-76,20l4058,353r-70,34l3922,427r-61,46l3804,524r-51,56l3707,641r-17,-1l3673,638r-18,l3638,637r-78,5l3485,656r-71,23l3347,709r-63,38l3226,792r-52,51l3129,900r-38,62l3060,1028r-23,70l3023,1172r-5,77l3024,1331r16,79l3066,1485r36,70l3146,1620r51,58l3253,1728r62,42l3382,1805r71,27l5134,1832r62,-27l5253,1770r51,-43l5349,1678r41,-62l5421,1546r20,-74l5448,1393xm6144,1521r-10,-79l6106,1369r-43,-63l6006,1254r-68,-38l5922,1145r-24,-68l5865,1014r-41,-59l5777,902r-54,-46l5663,816r-64,-32l5530,761r-73,-15l5381,741r-47,2l5288,749r-45,9l5200,771r11,30l5220,831r9,31l5236,893r66,41l5361,983r52,56l5457,1101r35,67l5517,1240r16,75l5538,1393r-5,75l5519,1541r-25,70l5461,1678r-43,63l5397,1766r-22,23l5352,1811r-25,21l5923,1832r43,-19l6006,1788r37,-30l6074,1723r29,-44l6126,1630r13,-53l6144,1521xe" fillcolor="#f3f4f4" stroked="f">
            <v:stroke joinstyle="round"/>
            <v:formulas/>
            <v:path arrowok="t" o:connecttype="segments"/>
            <w10:wrap type="topAndBottom" anchorx="page"/>
          </v:shape>
        </w:pict>
      </w:r>
    </w:p>
    <w:p w14:paraId="7E23DDDF" w14:textId="77777777" w:rsidR="0055291C" w:rsidRDefault="0055291C">
      <w:pPr>
        <w:pStyle w:val="a3"/>
        <w:rPr>
          <w:rFonts w:ascii="Arial"/>
          <w:b/>
          <w:i/>
          <w:sz w:val="20"/>
        </w:rPr>
      </w:pPr>
    </w:p>
    <w:p w14:paraId="4103A59A" w14:textId="77777777" w:rsidR="0055291C" w:rsidRDefault="0055291C">
      <w:pPr>
        <w:pStyle w:val="a3"/>
        <w:rPr>
          <w:rFonts w:ascii="Arial"/>
          <w:b/>
          <w:i/>
          <w:sz w:val="20"/>
        </w:rPr>
      </w:pPr>
    </w:p>
    <w:p w14:paraId="43F4ECDF" w14:textId="77777777" w:rsidR="0055291C" w:rsidRDefault="0055291C">
      <w:pPr>
        <w:pStyle w:val="a3"/>
        <w:rPr>
          <w:rFonts w:ascii="Arial"/>
          <w:b/>
          <w:i/>
          <w:sz w:val="20"/>
        </w:rPr>
      </w:pPr>
    </w:p>
    <w:p w14:paraId="262FFE61" w14:textId="77777777" w:rsidR="0055291C" w:rsidRDefault="0055291C">
      <w:pPr>
        <w:pStyle w:val="a3"/>
        <w:rPr>
          <w:rFonts w:ascii="Arial"/>
          <w:b/>
          <w:i/>
          <w:sz w:val="20"/>
        </w:rPr>
      </w:pPr>
    </w:p>
    <w:p w14:paraId="1A3EA123" w14:textId="77777777" w:rsidR="0055291C" w:rsidRDefault="0055291C">
      <w:pPr>
        <w:pStyle w:val="a3"/>
        <w:rPr>
          <w:rFonts w:ascii="Arial"/>
          <w:b/>
          <w:i/>
          <w:sz w:val="20"/>
        </w:rPr>
      </w:pPr>
    </w:p>
    <w:p w14:paraId="6FB883A5" w14:textId="77777777" w:rsidR="0055291C" w:rsidRDefault="0055291C">
      <w:pPr>
        <w:pStyle w:val="a3"/>
        <w:rPr>
          <w:rFonts w:ascii="Arial"/>
          <w:b/>
          <w:i/>
          <w:sz w:val="20"/>
        </w:rPr>
      </w:pPr>
    </w:p>
    <w:p w14:paraId="149F392B" w14:textId="77777777" w:rsidR="0055291C" w:rsidRDefault="0055291C">
      <w:pPr>
        <w:pStyle w:val="a3"/>
        <w:rPr>
          <w:rFonts w:ascii="Arial"/>
          <w:b/>
          <w:i/>
          <w:sz w:val="20"/>
        </w:rPr>
      </w:pPr>
    </w:p>
    <w:p w14:paraId="3B60F393" w14:textId="77777777" w:rsidR="0055291C" w:rsidRDefault="0055291C">
      <w:pPr>
        <w:pStyle w:val="a3"/>
        <w:spacing w:before="2"/>
        <w:rPr>
          <w:rFonts w:ascii="Arial"/>
          <w:b/>
          <w:i/>
          <w:sz w:val="16"/>
        </w:rPr>
      </w:pPr>
    </w:p>
    <w:p w14:paraId="116D16C9" w14:textId="77777777" w:rsidR="0055291C" w:rsidRDefault="00000000">
      <w:pPr>
        <w:pStyle w:val="a3"/>
        <w:tabs>
          <w:tab w:val="left" w:pos="5453"/>
          <w:tab w:val="left" w:pos="9189"/>
        </w:tabs>
        <w:spacing w:before="102"/>
        <w:ind w:left="1157"/>
      </w:pPr>
      <w:hyperlink r:id="rId437">
        <w:r w:rsidR="00F23C61">
          <w:rPr>
            <w:color w:val="545456"/>
            <w:w w:val="105"/>
          </w:rPr>
          <w:t>www.wri.org</w:t>
        </w:r>
      </w:hyperlink>
      <w:r w:rsidR="00F23C61">
        <w:rPr>
          <w:color w:val="545456"/>
          <w:w w:val="105"/>
        </w:rPr>
        <w:tab/>
      </w:r>
      <w:hyperlink r:id="rId438">
        <w:r w:rsidR="00F23C61">
          <w:rPr>
            <w:color w:val="545456"/>
            <w:w w:val="105"/>
          </w:rPr>
          <w:t>www.wbcsd.org</w:t>
        </w:r>
      </w:hyperlink>
      <w:r w:rsidR="00F23C61">
        <w:rPr>
          <w:color w:val="545456"/>
          <w:w w:val="105"/>
        </w:rPr>
        <w:tab/>
      </w:r>
      <w:hyperlink r:id="rId439">
        <w:r w:rsidR="00F23C61">
          <w:rPr>
            <w:color w:val="545456"/>
            <w:w w:val="105"/>
          </w:rPr>
          <w:t>www.ghgprotocol.org</w:t>
        </w:r>
      </w:hyperlink>
    </w:p>
    <w:sectPr w:rsidR="0055291C">
      <w:headerReference w:type="even" r:id="rId440"/>
      <w:footerReference w:type="even" r:id="rId441"/>
      <w:pgSz w:w="12240" w:h="15840"/>
      <w:pgMar w:top="150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3C16BB" w14:textId="77777777" w:rsidR="007B54DE" w:rsidRDefault="007B54DE">
      <w:r>
        <w:separator/>
      </w:r>
    </w:p>
  </w:endnote>
  <w:endnote w:type="continuationSeparator" w:id="0">
    <w:p w14:paraId="769F9A0E" w14:textId="77777777" w:rsidR="007B54DE" w:rsidRDefault="007B54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icrosoft Sans Serif">
    <w:altName w:val="Microsoft Sans Serif"/>
    <w:panose1 w:val="020B0604020202020204"/>
    <w:charset w:val="00"/>
    <w:family w:val="swiss"/>
    <w:pitch w:val="variable"/>
    <w:sig w:usb0="E5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05D2F" w14:textId="77777777" w:rsidR="0055291C" w:rsidRDefault="0055291C">
    <w:pPr>
      <w:pStyle w:val="a3"/>
      <w:spacing w:line="14" w:lineRule="auto"/>
      <w:rPr>
        <w:sz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4F00CC" w14:textId="561ECA2C" w:rsidR="0055291C" w:rsidRDefault="00844F7E">
    <w:pPr>
      <w:pStyle w:val="a3"/>
      <w:spacing w:line="14" w:lineRule="auto"/>
      <w:rPr>
        <w:sz w:val="20"/>
      </w:rPr>
    </w:pPr>
    <w:r>
      <w:rPr>
        <w:noProof/>
      </w:rPr>
      <mc:AlternateContent>
        <mc:Choice Requires="wps">
          <w:drawing>
            <wp:anchor distT="0" distB="0" distL="114300" distR="114300" simplePos="0" relativeHeight="251656192" behindDoc="1" locked="0" layoutInCell="1" allowOverlap="1" wp14:anchorId="10DD568E" wp14:editId="54F1AA4A">
              <wp:simplePos x="0" y="0"/>
              <wp:positionH relativeFrom="page">
                <wp:posOffset>720090</wp:posOffset>
              </wp:positionH>
              <wp:positionV relativeFrom="page">
                <wp:posOffset>9337040</wp:posOffset>
              </wp:positionV>
              <wp:extent cx="6332855" cy="1270"/>
              <wp:effectExtent l="0" t="0" r="0" b="0"/>
              <wp:wrapNone/>
              <wp:docPr id="44" name="フリーフォーム: 図形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32855" cy="1270"/>
                      </a:xfrm>
                      <a:custGeom>
                        <a:avLst/>
                        <a:gdLst>
                          <a:gd name="T0" fmla="+- 0 1134 1134"/>
                          <a:gd name="T1" fmla="*/ T0 w 9973"/>
                          <a:gd name="T2" fmla="+- 0 11106 1134"/>
                          <a:gd name="T3" fmla="*/ T2 w 9973"/>
                          <a:gd name="T4" fmla="+- 0 1134 1134"/>
                          <a:gd name="T5" fmla="*/ T4 w 9973"/>
                          <a:gd name="T6" fmla="+- 0 11106 1134"/>
                          <a:gd name="T7" fmla="*/ T6 w 9973"/>
                        </a:gdLst>
                        <a:ahLst/>
                        <a:cxnLst>
                          <a:cxn ang="0">
                            <a:pos x="T1" y="0"/>
                          </a:cxn>
                          <a:cxn ang="0">
                            <a:pos x="T3" y="0"/>
                          </a:cxn>
                          <a:cxn ang="0">
                            <a:pos x="T5" y="0"/>
                          </a:cxn>
                          <a:cxn ang="0">
                            <a:pos x="T7" y="0"/>
                          </a:cxn>
                        </a:cxnLst>
                        <a:rect l="0" t="0" r="r" b="b"/>
                        <a:pathLst>
                          <a:path w="9973">
                            <a:moveTo>
                              <a:pt x="0" y="0"/>
                            </a:moveTo>
                            <a:lnTo>
                              <a:pt x="9972" y="0"/>
                            </a:lnTo>
                            <a:moveTo>
                              <a:pt x="0" y="0"/>
                            </a:moveTo>
                            <a:lnTo>
                              <a:pt x="9972" y="0"/>
                            </a:lnTo>
                          </a:path>
                        </a:pathLst>
                      </a:custGeom>
                      <a:noFill/>
                      <a:ln w="3175">
                        <a:solidFill>
                          <a:srgbClr val="00ACA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D90E91" id="フリーフォーム: 図形 44" o:spid="_x0000_s1026" style="position:absolute;left:0;text-align:left;margin-left:56.7pt;margin-top:735.2pt;width:498.65pt;height:.1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9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" path="m,l9972,m,l9972,e" filled="f" strokecolor="#00aca1" strokeweight=".25pt">
              <v:path arrowok="t" o:connecttype="custom" o:connectlocs="0,0;6332220,0;0,0;6332220,0" o:connectangles="0,0,0,0"/>
              <w10:wrap anchorx="page" anchory="page"/>
            </v:shape>
          </w:pict>
        </mc:Fallback>
      </mc:AlternateContent>
    </w:r>
    <w:r>
      <w:rPr>
        <w:noProof/>
      </w:rPr>
      <mc:AlternateContent>
        <mc:Choice Requires="wps">
          <w:drawing>
            <wp:anchor distT="0" distB="0" distL="114300" distR="114300" simplePos="0" relativeHeight="251661312" behindDoc="1" locked="0" layoutInCell="1" allowOverlap="1" wp14:anchorId="164E438E" wp14:editId="5C5A862E">
              <wp:simplePos x="0" y="0"/>
              <wp:positionH relativeFrom="page">
                <wp:posOffset>6865620</wp:posOffset>
              </wp:positionH>
              <wp:positionV relativeFrom="page">
                <wp:posOffset>9502775</wp:posOffset>
              </wp:positionV>
              <wp:extent cx="203200" cy="139700"/>
              <wp:effectExtent l="0" t="0" r="0" b="0"/>
              <wp:wrapNone/>
              <wp:docPr id="42" name="テキスト ボックス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40E915"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11</w:t>
                          </w:r>
                          <w:r>
                            <w:fldChar w:fldCharType="end"/>
                          </w:r>
                          <w:r>
                            <w:rPr>
                              <w:color w:val="7F3F98"/>
                              <w:w w:val="105"/>
                              <w:sz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4E438E" id="_x0000_t202" coordsize="21600,21600" o:spt="202" path="m,l,21600r21600,l21600,xe">
              <v:stroke joinstyle="miter"/>
              <v:path gradientshapeok="t" o:connecttype="rect"/>
            </v:shapetype>
            <v:shape id="テキスト ボックス 42" o:spid="_x0000_s1148" type="#_x0000_t202" style="position:absolute;margin-left:540.6pt;margin-top:748.25pt;width:16pt;height:11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" filled="f" stroked="f">
              <v:textbox inset="0,0,0,0">
                <w:txbxContent>
                  <w:p w14:paraId="4940E915"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11</w:t>
                    </w:r>
                    <w:r>
                      <w:fldChar w:fldCharType="end"/>
                    </w:r>
                    <w:r>
                      <w:rPr>
                        <w:color w:val="7F3F98"/>
                        <w:w w:val="105"/>
                        <w:sz w:val="16"/>
                      </w:rPr>
                      <w:t>]</w:t>
                    </w:r>
                  </w:p>
                </w:txbxContent>
              </v:textbox>
              <w10:wrap anchorx="page" anchory="page"/>
            </v:shape>
          </w:pict>
        </mc:Fallback>
      </mc:AlternateContent>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A0CD2" w14:textId="77777777" w:rsidR="0055291C" w:rsidRDefault="00000000">
    <w:pPr>
      <w:pStyle w:val="a3"/>
      <w:spacing w:line="14" w:lineRule="auto"/>
      <w:rPr>
        <w:sz w:val="20"/>
      </w:rPr>
    </w:pPr>
    <w:r>
      <w:pict w14:anchorId="36FB2EC4">
        <v:line id="_x0000_s1093" style="position:absolute;z-index:-21116928;mso-position-horizontal-relative:page;mso-position-vertical-relative:page" from="56.7pt,735.2pt" to="555.3pt,735.2pt" strokecolor="#00aca1" strokeweight=".25pt">
          <w10:wrap anchorx="page" anchory="page"/>
        </v:line>
      </w:pict>
    </w:r>
    <w:r>
      <w:pict w14:anchorId="5D3DF69C">
        <v:shapetype id="_x0000_t202" coordsize="21600,21600" o:spt="202" path="m,l,21600r21600,l21600,xe">
          <v:stroke joinstyle="miter"/>
          <v:path gradientshapeok="t" o:connecttype="rect"/>
        </v:shapetype>
        <v:shape id="docshape1480" o:spid="_x0000_s1092" type="#_x0000_t202" style="position:absolute;margin-left:55.7pt;margin-top:748.25pt;width:233.2pt;height:11pt;z-index:-21116416;mso-position-horizontal-relative:page;mso-position-vertical-relative:page" filled="f" stroked="f">
          <v:textbox style="mso-next-textbox:#docshape1480" inset="0,0,0,0">
            <w:txbxContent>
              <w:p w14:paraId="51D422A3"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110</w:t>
                </w:r>
                <w:r>
                  <w:fldChar w:fldCharType="end"/>
                </w:r>
                <w:r>
                  <w:rPr>
                    <w:color w:val="7F3F98"/>
                    <w:w w:val="95"/>
                    <w:sz w:val="16"/>
                  </w:rPr>
                  <w:t>]</w:t>
                </w:r>
                <w:r>
                  <w:rPr>
                    <w:color w:val="7F3F98"/>
                    <w:spacing w:val="39"/>
                    <w:sz w:val="16"/>
                  </w:rPr>
                  <w:t xml:space="preserve">  </w:t>
                </w:r>
                <w:r>
                  <w:rPr>
                    <w:rFonts w:ascii="Arial"/>
                    <w:b/>
                    <w:i/>
                    <w:color w:val="545456"/>
                    <w:w w:val="95"/>
                    <w:sz w:val="16"/>
                  </w:rPr>
                  <w:t>Product</w:t>
                </w:r>
                <w:r>
                  <w:rPr>
                    <w:rFonts w:ascii="Arial"/>
                    <w:b/>
                    <w:i/>
                    <w:color w:val="545456"/>
                    <w:spacing w:val="18"/>
                    <w:w w:val="95"/>
                    <w:sz w:val="16"/>
                  </w:rPr>
                  <w:t xml:space="preserve"> </w:t>
                </w:r>
                <w:r>
                  <w:rPr>
                    <w:rFonts w:ascii="Arial"/>
                    <w:b/>
                    <w:i/>
                    <w:color w:val="545456"/>
                    <w:w w:val="95"/>
                    <w:sz w:val="16"/>
                  </w:rPr>
                  <w:t>Life</w:t>
                </w:r>
                <w:r>
                  <w:rPr>
                    <w:rFonts w:ascii="Arial"/>
                    <w:b/>
                    <w:i/>
                    <w:color w:val="545456"/>
                    <w:spacing w:val="17"/>
                    <w:w w:val="95"/>
                    <w:sz w:val="16"/>
                  </w:rPr>
                  <w:t xml:space="preserve"> </w:t>
                </w:r>
                <w:r>
                  <w:rPr>
                    <w:rFonts w:ascii="Arial"/>
                    <w:b/>
                    <w:i/>
                    <w:color w:val="545456"/>
                    <w:w w:val="95"/>
                    <w:sz w:val="16"/>
                  </w:rPr>
                  <w:t>Cycle</w:t>
                </w:r>
                <w:r>
                  <w:rPr>
                    <w:rFonts w:ascii="Arial"/>
                    <w:b/>
                    <w:i/>
                    <w:color w:val="545456"/>
                    <w:spacing w:val="18"/>
                    <w:w w:val="95"/>
                    <w:sz w:val="16"/>
                  </w:rPr>
                  <w:t xml:space="preserve"> </w:t>
                </w:r>
                <w:r>
                  <w:rPr>
                    <w:rFonts w:ascii="Arial"/>
                    <w:b/>
                    <w:i/>
                    <w:color w:val="545456"/>
                    <w:w w:val="95"/>
                    <w:sz w:val="16"/>
                  </w:rPr>
                  <w:t>Accounting</w:t>
                </w:r>
                <w:r>
                  <w:rPr>
                    <w:rFonts w:ascii="Arial"/>
                    <w:b/>
                    <w:i/>
                    <w:color w:val="545456"/>
                    <w:spacing w:val="18"/>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8"/>
                    <w:w w:val="95"/>
                    <w:sz w:val="16"/>
                  </w:rPr>
                  <w:t xml:space="preserve"> </w:t>
                </w:r>
                <w:r>
                  <w:rPr>
                    <w:rFonts w:ascii="Arial"/>
                    <w:b/>
                    <w:i/>
                    <w:color w:val="545456"/>
                    <w:w w:val="95"/>
                    <w:sz w:val="16"/>
                  </w:rPr>
                  <w:t>Standard</w:t>
                </w:r>
              </w:p>
            </w:txbxContent>
          </v:textbox>
          <w10:wrap anchorx="page" anchory="page"/>
        </v:shape>
      </w:pict>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B7406" w14:textId="77777777" w:rsidR="0055291C" w:rsidRDefault="00000000">
    <w:pPr>
      <w:pStyle w:val="a3"/>
      <w:spacing w:line="14" w:lineRule="auto"/>
      <w:rPr>
        <w:sz w:val="20"/>
      </w:rPr>
    </w:pPr>
    <w:r>
      <w:pict w14:anchorId="2D2A9D9C">
        <v:line id="_x0000_s1095" style="position:absolute;z-index:-21117952;mso-position-horizontal-relative:page;mso-position-vertical-relative:page" from="56.7pt,735.2pt" to="555.3pt,735.2pt" strokecolor="#00aca1" strokeweight=".25pt">
          <w10:wrap anchorx="page" anchory="page"/>
        </v:line>
      </w:pict>
    </w:r>
    <w:r>
      <w:pict w14:anchorId="56ED2277">
        <v:shapetype id="_x0000_t202" coordsize="21600,21600" o:spt="202" path="m,l,21600r21600,l21600,xe">
          <v:stroke joinstyle="miter"/>
          <v:path gradientshapeok="t" o:connecttype="rect"/>
        </v:shapetype>
        <v:shape id="docshape1479" o:spid="_x0000_s1094" type="#_x0000_t202" style="position:absolute;margin-left:536.1pt;margin-top:748.25pt;width:20.5pt;height:11pt;z-index:-21117440;mso-position-horizontal-relative:page;mso-position-vertical-relative:page" filled="f" stroked="f">
          <v:textbox style="mso-next-textbox:#docshape1479" inset="0,0,0,0">
            <w:txbxContent>
              <w:p w14:paraId="2FB9A0CD"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109</w:t>
                </w:r>
                <w:r>
                  <w:fldChar w:fldCharType="end"/>
                </w:r>
                <w:r>
                  <w:rPr>
                    <w:color w:val="7F3F98"/>
                    <w:w w:val="105"/>
                    <w:sz w:val="16"/>
                  </w:rPr>
                  <w:t>]</w:t>
                </w:r>
              </w:p>
            </w:txbxContent>
          </v:textbox>
          <w10:wrap anchorx="page" anchory="page"/>
        </v:shape>
      </w:pict>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97A754" w14:textId="77777777" w:rsidR="0055291C" w:rsidRDefault="00000000">
    <w:pPr>
      <w:pStyle w:val="a3"/>
      <w:spacing w:line="14" w:lineRule="auto"/>
      <w:rPr>
        <w:sz w:val="20"/>
      </w:rPr>
    </w:pPr>
    <w:r>
      <w:pict w14:anchorId="0278678C">
        <v:line id="_x0000_s1087" style="position:absolute;z-index:-21113856;mso-position-horizontal-relative:page;mso-position-vertical-relative:page" from="56.7pt,735.2pt" to="555.3pt,735.2pt" strokecolor="#00aca1" strokeweight=".25pt">
          <w10:wrap anchorx="page" anchory="page"/>
        </v:line>
      </w:pict>
    </w:r>
    <w:r>
      <w:pict w14:anchorId="6029198F">
        <v:shapetype id="_x0000_t202" coordsize="21600,21600" o:spt="202" path="m,l,21600r21600,l21600,xe">
          <v:stroke joinstyle="miter"/>
          <v:path gradientshapeok="t" o:connecttype="rect"/>
        </v:shapetype>
        <v:shape id="docshape1497" o:spid="_x0000_s1086" type="#_x0000_t202" style="position:absolute;margin-left:55.7pt;margin-top:748.25pt;width:233.2pt;height:11pt;z-index:-21113344;mso-position-horizontal-relative:page;mso-position-vertical-relative:page" filled="f" stroked="f">
          <v:textbox style="mso-next-textbox:#docshape1497" inset="0,0,0,0">
            <w:txbxContent>
              <w:p w14:paraId="525D3FB3"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112</w:t>
                </w:r>
                <w:r>
                  <w:fldChar w:fldCharType="end"/>
                </w:r>
                <w:r>
                  <w:rPr>
                    <w:color w:val="7F3F98"/>
                    <w:w w:val="95"/>
                    <w:sz w:val="16"/>
                  </w:rPr>
                  <w:t>]</w:t>
                </w:r>
                <w:r>
                  <w:rPr>
                    <w:color w:val="7F3F98"/>
                    <w:spacing w:val="39"/>
                    <w:sz w:val="16"/>
                  </w:rPr>
                  <w:t xml:space="preserve">  </w:t>
                </w:r>
                <w:r>
                  <w:rPr>
                    <w:rFonts w:ascii="Arial"/>
                    <w:b/>
                    <w:i/>
                    <w:color w:val="545456"/>
                    <w:w w:val="95"/>
                    <w:sz w:val="16"/>
                  </w:rPr>
                  <w:t>Product</w:t>
                </w:r>
                <w:r>
                  <w:rPr>
                    <w:rFonts w:ascii="Arial"/>
                    <w:b/>
                    <w:i/>
                    <w:color w:val="545456"/>
                    <w:spacing w:val="18"/>
                    <w:w w:val="95"/>
                    <w:sz w:val="16"/>
                  </w:rPr>
                  <w:t xml:space="preserve"> </w:t>
                </w:r>
                <w:r>
                  <w:rPr>
                    <w:rFonts w:ascii="Arial"/>
                    <w:b/>
                    <w:i/>
                    <w:color w:val="545456"/>
                    <w:w w:val="95"/>
                    <w:sz w:val="16"/>
                  </w:rPr>
                  <w:t>Life</w:t>
                </w:r>
                <w:r>
                  <w:rPr>
                    <w:rFonts w:ascii="Arial"/>
                    <w:b/>
                    <w:i/>
                    <w:color w:val="545456"/>
                    <w:spacing w:val="17"/>
                    <w:w w:val="95"/>
                    <w:sz w:val="16"/>
                  </w:rPr>
                  <w:t xml:space="preserve"> </w:t>
                </w:r>
                <w:r>
                  <w:rPr>
                    <w:rFonts w:ascii="Arial"/>
                    <w:b/>
                    <w:i/>
                    <w:color w:val="545456"/>
                    <w:w w:val="95"/>
                    <w:sz w:val="16"/>
                  </w:rPr>
                  <w:t>Cycle</w:t>
                </w:r>
                <w:r>
                  <w:rPr>
                    <w:rFonts w:ascii="Arial"/>
                    <w:b/>
                    <w:i/>
                    <w:color w:val="545456"/>
                    <w:spacing w:val="18"/>
                    <w:w w:val="95"/>
                    <w:sz w:val="16"/>
                  </w:rPr>
                  <w:t xml:space="preserve"> </w:t>
                </w:r>
                <w:r>
                  <w:rPr>
                    <w:rFonts w:ascii="Arial"/>
                    <w:b/>
                    <w:i/>
                    <w:color w:val="545456"/>
                    <w:w w:val="95"/>
                    <w:sz w:val="16"/>
                  </w:rPr>
                  <w:t>Accounting</w:t>
                </w:r>
                <w:r>
                  <w:rPr>
                    <w:rFonts w:ascii="Arial"/>
                    <w:b/>
                    <w:i/>
                    <w:color w:val="545456"/>
                    <w:spacing w:val="18"/>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8"/>
                    <w:w w:val="95"/>
                    <w:sz w:val="16"/>
                  </w:rPr>
                  <w:t xml:space="preserve"> </w:t>
                </w:r>
                <w:r>
                  <w:rPr>
                    <w:rFonts w:ascii="Arial"/>
                    <w:b/>
                    <w:i/>
                    <w:color w:val="545456"/>
                    <w:w w:val="95"/>
                    <w:sz w:val="16"/>
                  </w:rPr>
                  <w:t>Standard</w:t>
                </w:r>
              </w:p>
            </w:txbxContent>
          </v:textbox>
          <w10:wrap anchorx="page" anchory="page"/>
        </v:shape>
      </w:pict>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CDFE4C" w14:textId="77777777" w:rsidR="0055291C" w:rsidRDefault="00000000">
    <w:pPr>
      <w:pStyle w:val="a3"/>
      <w:spacing w:line="14" w:lineRule="auto"/>
      <w:rPr>
        <w:sz w:val="20"/>
      </w:rPr>
    </w:pPr>
    <w:r>
      <w:pict w14:anchorId="23C66988">
        <v:line id="_x0000_s1085" style="position:absolute;z-index:-21112832;mso-position-horizontal-relative:page;mso-position-vertical-relative:page" from="56.7pt,735.2pt" to="555.3pt,735.2pt" strokecolor="#00aca1" strokeweight=".25pt">
          <w10:wrap anchorx="page" anchory="page"/>
        </v:line>
      </w:pict>
    </w:r>
    <w:r>
      <w:pict w14:anchorId="0DCB4413">
        <v:shapetype id="_x0000_t202" coordsize="21600,21600" o:spt="202" path="m,l,21600r21600,l21600,xe">
          <v:stroke joinstyle="miter"/>
          <v:path gradientshapeok="t" o:connecttype="rect"/>
        </v:shapetype>
        <v:shape id="docshape1498" o:spid="_x0000_s1084" type="#_x0000_t202" style="position:absolute;margin-left:536.1pt;margin-top:748.25pt;width:20.5pt;height:11pt;z-index:-21112320;mso-position-horizontal-relative:page;mso-position-vertical-relative:page" filled="f" stroked="f">
          <v:textbox style="mso-next-textbox:#docshape1498" inset="0,0,0,0">
            <w:txbxContent>
              <w:p w14:paraId="5F1B51DB"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113</w:t>
                </w:r>
                <w:r>
                  <w:fldChar w:fldCharType="end"/>
                </w:r>
                <w:r>
                  <w:rPr>
                    <w:color w:val="7F3F98"/>
                    <w:w w:val="105"/>
                    <w:sz w:val="16"/>
                  </w:rPr>
                  <w:t>]</w:t>
                </w:r>
              </w:p>
            </w:txbxContent>
          </v:textbox>
          <w10:wrap anchorx="page" anchory="page"/>
        </v:shape>
      </w:pict>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0CDFA4" w14:textId="77777777" w:rsidR="0055291C" w:rsidRDefault="0055291C">
    <w:pPr>
      <w:pStyle w:val="a3"/>
      <w:spacing w:line="14" w:lineRule="auto"/>
      <w:rPr>
        <w:sz w:val="2"/>
      </w:rPr>
    </w:pP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6365CB" w14:textId="77777777" w:rsidR="0055291C" w:rsidRDefault="00000000">
    <w:pPr>
      <w:pStyle w:val="a3"/>
      <w:spacing w:line="14" w:lineRule="auto"/>
      <w:rPr>
        <w:sz w:val="20"/>
      </w:rPr>
    </w:pPr>
    <w:r>
      <w:pict w14:anchorId="49FF532F">
        <v:line id="_x0000_s1081" style="position:absolute;z-index:-21110784;mso-position-horizontal-relative:page;mso-position-vertical-relative:page" from="56.7pt,735.2pt" to="555.3pt,735.2pt" strokecolor="#00aca1" strokeweight=".25pt">
          <w10:wrap anchorx="page" anchory="page"/>
        </v:line>
      </w:pict>
    </w:r>
    <w:r>
      <w:pict w14:anchorId="63271A73">
        <v:shapetype id="_x0000_t202" coordsize="21600,21600" o:spt="202" path="m,l,21600r21600,l21600,xe">
          <v:stroke joinstyle="miter"/>
          <v:path gradientshapeok="t" o:connecttype="rect"/>
        </v:shapetype>
        <v:shape id="docshape1507" o:spid="_x0000_s1080" type="#_x0000_t202" style="position:absolute;margin-left:55.7pt;margin-top:748.25pt;width:233.2pt;height:11pt;z-index:-21110272;mso-position-horizontal-relative:page;mso-position-vertical-relative:page" filled="f" stroked="f">
          <v:textbox inset="0,0,0,0">
            <w:txbxContent>
              <w:p w14:paraId="5FDBEDB4"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116</w:t>
                </w:r>
                <w:r>
                  <w:fldChar w:fldCharType="end"/>
                </w:r>
                <w:r>
                  <w:rPr>
                    <w:color w:val="7F3F98"/>
                    <w:w w:val="95"/>
                    <w:sz w:val="16"/>
                  </w:rPr>
                  <w:t>]</w:t>
                </w:r>
                <w:r>
                  <w:rPr>
                    <w:color w:val="7F3F98"/>
                    <w:spacing w:val="39"/>
                    <w:sz w:val="16"/>
                  </w:rPr>
                  <w:t xml:space="preserve">  </w:t>
                </w:r>
                <w:r>
                  <w:rPr>
                    <w:rFonts w:ascii="Arial"/>
                    <w:b/>
                    <w:i/>
                    <w:color w:val="545456"/>
                    <w:w w:val="95"/>
                    <w:sz w:val="16"/>
                  </w:rPr>
                  <w:t>Product</w:t>
                </w:r>
                <w:r>
                  <w:rPr>
                    <w:rFonts w:ascii="Arial"/>
                    <w:b/>
                    <w:i/>
                    <w:color w:val="545456"/>
                    <w:spacing w:val="18"/>
                    <w:w w:val="95"/>
                    <w:sz w:val="16"/>
                  </w:rPr>
                  <w:t xml:space="preserve"> </w:t>
                </w:r>
                <w:r>
                  <w:rPr>
                    <w:rFonts w:ascii="Arial"/>
                    <w:b/>
                    <w:i/>
                    <w:color w:val="545456"/>
                    <w:w w:val="95"/>
                    <w:sz w:val="16"/>
                  </w:rPr>
                  <w:t>Life</w:t>
                </w:r>
                <w:r>
                  <w:rPr>
                    <w:rFonts w:ascii="Arial"/>
                    <w:b/>
                    <w:i/>
                    <w:color w:val="545456"/>
                    <w:spacing w:val="17"/>
                    <w:w w:val="95"/>
                    <w:sz w:val="16"/>
                  </w:rPr>
                  <w:t xml:space="preserve"> </w:t>
                </w:r>
                <w:r>
                  <w:rPr>
                    <w:rFonts w:ascii="Arial"/>
                    <w:b/>
                    <w:i/>
                    <w:color w:val="545456"/>
                    <w:w w:val="95"/>
                    <w:sz w:val="16"/>
                  </w:rPr>
                  <w:t>Cycle</w:t>
                </w:r>
                <w:r>
                  <w:rPr>
                    <w:rFonts w:ascii="Arial"/>
                    <w:b/>
                    <w:i/>
                    <w:color w:val="545456"/>
                    <w:spacing w:val="18"/>
                    <w:w w:val="95"/>
                    <w:sz w:val="16"/>
                  </w:rPr>
                  <w:t xml:space="preserve"> </w:t>
                </w:r>
                <w:r>
                  <w:rPr>
                    <w:rFonts w:ascii="Arial"/>
                    <w:b/>
                    <w:i/>
                    <w:color w:val="545456"/>
                    <w:w w:val="95"/>
                    <w:sz w:val="16"/>
                  </w:rPr>
                  <w:t>Accounting</w:t>
                </w:r>
                <w:r>
                  <w:rPr>
                    <w:rFonts w:ascii="Arial"/>
                    <w:b/>
                    <w:i/>
                    <w:color w:val="545456"/>
                    <w:spacing w:val="18"/>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8"/>
                    <w:w w:val="95"/>
                    <w:sz w:val="16"/>
                  </w:rPr>
                  <w:t xml:space="preserve"> </w:t>
                </w:r>
                <w:r>
                  <w:rPr>
                    <w:rFonts w:ascii="Arial"/>
                    <w:b/>
                    <w:i/>
                    <w:color w:val="545456"/>
                    <w:w w:val="95"/>
                    <w:sz w:val="16"/>
                  </w:rPr>
                  <w:t>Standard</w:t>
                </w:r>
              </w:p>
            </w:txbxContent>
          </v:textbox>
          <w10:wrap anchorx="page" anchory="page"/>
        </v:shape>
      </w:pict>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C40E94" w14:textId="77777777" w:rsidR="0055291C" w:rsidRDefault="00000000">
    <w:pPr>
      <w:pStyle w:val="a3"/>
      <w:spacing w:line="14" w:lineRule="auto"/>
      <w:rPr>
        <w:sz w:val="20"/>
      </w:rPr>
    </w:pPr>
    <w:r>
      <w:pict w14:anchorId="6E2E8897">
        <v:line id="_x0000_s1083" style="position:absolute;z-index:-21111808;mso-position-horizontal-relative:page;mso-position-vertical-relative:page" from="56.7pt,735.2pt" to="555.3pt,735.2pt" strokecolor="#00aca1" strokeweight=".25pt">
          <w10:wrap anchorx="page" anchory="page"/>
        </v:line>
      </w:pict>
    </w:r>
    <w:r>
      <w:pict w14:anchorId="0A3AE865">
        <v:shapetype id="_x0000_t202" coordsize="21600,21600" o:spt="202" path="m,l,21600r21600,l21600,xe">
          <v:stroke joinstyle="miter"/>
          <v:path gradientshapeok="t" o:connecttype="rect"/>
        </v:shapetype>
        <v:shape id="docshape1506" o:spid="_x0000_s1082" type="#_x0000_t202" style="position:absolute;margin-left:536.1pt;margin-top:748.25pt;width:20.5pt;height:11pt;z-index:-21111296;mso-position-horizontal-relative:page;mso-position-vertical-relative:page" filled="f" stroked="f">
          <v:textbox inset="0,0,0,0">
            <w:txbxContent>
              <w:p w14:paraId="08C7CD8F"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115</w:t>
                </w:r>
                <w:r>
                  <w:fldChar w:fldCharType="end"/>
                </w:r>
                <w:r>
                  <w:rPr>
                    <w:color w:val="7F3F98"/>
                    <w:w w:val="105"/>
                    <w:sz w:val="16"/>
                  </w:rPr>
                  <w:t>]</w:t>
                </w:r>
              </w:p>
            </w:txbxContent>
          </v:textbox>
          <w10:wrap anchorx="page" anchory="page"/>
        </v:shape>
      </w:pict>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F55060" w14:textId="77777777" w:rsidR="0055291C" w:rsidRDefault="00000000">
    <w:pPr>
      <w:pStyle w:val="a3"/>
      <w:spacing w:line="14" w:lineRule="auto"/>
      <w:rPr>
        <w:sz w:val="20"/>
      </w:rPr>
    </w:pPr>
    <w:r>
      <w:pict w14:anchorId="05E94045">
        <v:line id="_x0000_s1076" style="position:absolute;z-index:-21108224;mso-position-horizontal-relative:page;mso-position-vertical-relative:page" from="56.7pt,735.2pt" to="555.3pt,735.2pt" strokecolor="#00aca1" strokeweight=".25pt">
          <w10:wrap anchorx="page" anchory="page"/>
        </v:line>
      </w:pict>
    </w:r>
    <w:r>
      <w:pict w14:anchorId="6053400D">
        <v:shapetype id="_x0000_t202" coordsize="21600,21600" o:spt="202" path="m,l,21600r21600,l21600,xe">
          <v:stroke joinstyle="miter"/>
          <v:path gradientshapeok="t" o:connecttype="rect"/>
        </v:shapetype>
        <v:shape id="docshape1543" o:spid="_x0000_s1075" type="#_x0000_t202" style="position:absolute;margin-left:55.7pt;margin-top:748.25pt;width:233.2pt;height:11pt;z-index:-21107712;mso-position-horizontal-relative:page;mso-position-vertical-relative:page" filled="f" stroked="f">
          <v:textbox inset="0,0,0,0">
            <w:txbxContent>
              <w:p w14:paraId="758CACB2"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118</w:t>
                </w:r>
                <w:r>
                  <w:fldChar w:fldCharType="end"/>
                </w:r>
                <w:r>
                  <w:rPr>
                    <w:color w:val="7F3F98"/>
                    <w:w w:val="95"/>
                    <w:sz w:val="16"/>
                  </w:rPr>
                  <w:t>]</w:t>
                </w:r>
                <w:r>
                  <w:rPr>
                    <w:color w:val="7F3F98"/>
                    <w:spacing w:val="39"/>
                    <w:sz w:val="16"/>
                  </w:rPr>
                  <w:t xml:space="preserve">  </w:t>
                </w:r>
                <w:r>
                  <w:rPr>
                    <w:rFonts w:ascii="Arial"/>
                    <w:b/>
                    <w:i/>
                    <w:color w:val="545456"/>
                    <w:w w:val="95"/>
                    <w:sz w:val="16"/>
                  </w:rPr>
                  <w:t>Product</w:t>
                </w:r>
                <w:r>
                  <w:rPr>
                    <w:rFonts w:ascii="Arial"/>
                    <w:b/>
                    <w:i/>
                    <w:color w:val="545456"/>
                    <w:spacing w:val="18"/>
                    <w:w w:val="95"/>
                    <w:sz w:val="16"/>
                  </w:rPr>
                  <w:t xml:space="preserve"> </w:t>
                </w:r>
                <w:r>
                  <w:rPr>
                    <w:rFonts w:ascii="Arial"/>
                    <w:b/>
                    <w:i/>
                    <w:color w:val="545456"/>
                    <w:w w:val="95"/>
                    <w:sz w:val="16"/>
                  </w:rPr>
                  <w:t>Life</w:t>
                </w:r>
                <w:r>
                  <w:rPr>
                    <w:rFonts w:ascii="Arial"/>
                    <w:b/>
                    <w:i/>
                    <w:color w:val="545456"/>
                    <w:spacing w:val="17"/>
                    <w:w w:val="95"/>
                    <w:sz w:val="16"/>
                  </w:rPr>
                  <w:t xml:space="preserve"> </w:t>
                </w:r>
                <w:r>
                  <w:rPr>
                    <w:rFonts w:ascii="Arial"/>
                    <w:b/>
                    <w:i/>
                    <w:color w:val="545456"/>
                    <w:w w:val="95"/>
                    <w:sz w:val="16"/>
                  </w:rPr>
                  <w:t>Cycle</w:t>
                </w:r>
                <w:r>
                  <w:rPr>
                    <w:rFonts w:ascii="Arial"/>
                    <w:b/>
                    <w:i/>
                    <w:color w:val="545456"/>
                    <w:spacing w:val="18"/>
                    <w:w w:val="95"/>
                    <w:sz w:val="16"/>
                  </w:rPr>
                  <w:t xml:space="preserve"> </w:t>
                </w:r>
                <w:r>
                  <w:rPr>
                    <w:rFonts w:ascii="Arial"/>
                    <w:b/>
                    <w:i/>
                    <w:color w:val="545456"/>
                    <w:w w:val="95"/>
                    <w:sz w:val="16"/>
                  </w:rPr>
                  <w:t>Accounting</w:t>
                </w:r>
                <w:r>
                  <w:rPr>
                    <w:rFonts w:ascii="Arial"/>
                    <w:b/>
                    <w:i/>
                    <w:color w:val="545456"/>
                    <w:spacing w:val="18"/>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8"/>
                    <w:w w:val="95"/>
                    <w:sz w:val="16"/>
                  </w:rPr>
                  <w:t xml:space="preserve"> </w:t>
                </w:r>
                <w:r>
                  <w:rPr>
                    <w:rFonts w:ascii="Arial"/>
                    <w:b/>
                    <w:i/>
                    <w:color w:val="545456"/>
                    <w:w w:val="95"/>
                    <w:sz w:val="16"/>
                  </w:rPr>
                  <w:t>Standard</w:t>
                </w:r>
              </w:p>
            </w:txbxContent>
          </v:textbox>
          <w10:wrap anchorx="page" anchory="page"/>
        </v:shape>
      </w:pict>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B1A6A" w14:textId="77777777" w:rsidR="0055291C" w:rsidRDefault="00000000">
    <w:pPr>
      <w:pStyle w:val="a3"/>
      <w:spacing w:line="14" w:lineRule="auto"/>
      <w:rPr>
        <w:sz w:val="20"/>
      </w:rPr>
    </w:pPr>
    <w:r>
      <w:pict w14:anchorId="74CD1A45">
        <v:line id="_x0000_s1074" style="position:absolute;z-index:-21107200;mso-position-horizontal-relative:page;mso-position-vertical-relative:page" from="56.7pt,735.2pt" to="555.3pt,735.2pt" strokecolor="#00aca1" strokeweight=".25pt">
          <w10:wrap anchorx="page" anchory="page"/>
        </v:line>
      </w:pict>
    </w:r>
    <w:r>
      <w:pict w14:anchorId="7B75CA50">
        <v:shapetype id="_x0000_t202" coordsize="21600,21600" o:spt="202" path="m,l,21600r21600,l21600,xe">
          <v:stroke joinstyle="miter"/>
          <v:path gradientshapeok="t" o:connecttype="rect"/>
        </v:shapetype>
        <v:shape id="docshape1544" o:spid="_x0000_s1073" type="#_x0000_t202" style="position:absolute;margin-left:536.1pt;margin-top:748.25pt;width:20.5pt;height:11pt;z-index:-21106688;mso-position-horizontal-relative:page;mso-position-vertical-relative:page" filled="f" stroked="f">
          <v:textbox inset="0,0,0,0">
            <w:txbxContent>
              <w:p w14:paraId="5380C192"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119</w:t>
                </w:r>
                <w:r>
                  <w:fldChar w:fldCharType="end"/>
                </w:r>
                <w:r>
                  <w:rPr>
                    <w:color w:val="7F3F98"/>
                    <w:w w:val="105"/>
                    <w:sz w:val="16"/>
                  </w:rPr>
                  <w:t>]</w:t>
                </w:r>
              </w:p>
            </w:txbxContent>
          </v:textbox>
          <w10:wrap anchorx="page" anchory="page"/>
        </v:shape>
      </w:pict>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09793" w14:textId="77777777" w:rsidR="0055291C" w:rsidRDefault="00000000">
    <w:pPr>
      <w:pStyle w:val="a3"/>
      <w:spacing w:line="14" w:lineRule="auto"/>
      <w:rPr>
        <w:sz w:val="20"/>
      </w:rPr>
    </w:pPr>
    <w:r>
      <w:pict w14:anchorId="010CBEA1">
        <v:line id="_x0000_s1068" style="position:absolute;z-index:-21104128;mso-position-horizontal-relative:page;mso-position-vertical-relative:page" from="56.7pt,735.2pt" to="555.3pt,735.2pt" strokecolor="#00aca1" strokeweight=".25pt">
          <w10:wrap anchorx="page" anchory="page"/>
        </v:line>
      </w:pict>
    </w:r>
    <w:r>
      <w:pict w14:anchorId="60F9C429">
        <v:shapetype id="_x0000_t202" coordsize="21600,21600" o:spt="202" path="m,l,21600r21600,l21600,xe">
          <v:stroke joinstyle="miter"/>
          <v:path gradientshapeok="t" o:connecttype="rect"/>
        </v:shapetype>
        <v:shape id="docshape1587" o:spid="_x0000_s1067" type="#_x0000_t202" style="position:absolute;margin-left:55.7pt;margin-top:748.25pt;width:233.2pt;height:11pt;z-index:-21103616;mso-position-horizontal-relative:page;mso-position-vertical-relative:page" filled="f" stroked="f">
          <v:textbox inset="0,0,0,0">
            <w:txbxContent>
              <w:p w14:paraId="748F0EAF"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124</w:t>
                </w:r>
                <w:r>
                  <w:fldChar w:fldCharType="end"/>
                </w:r>
                <w:r>
                  <w:rPr>
                    <w:color w:val="7F3F98"/>
                    <w:w w:val="95"/>
                    <w:sz w:val="16"/>
                  </w:rPr>
                  <w:t>]</w:t>
                </w:r>
                <w:r>
                  <w:rPr>
                    <w:color w:val="7F3F98"/>
                    <w:spacing w:val="39"/>
                    <w:sz w:val="16"/>
                  </w:rPr>
                  <w:t xml:space="preserve">  </w:t>
                </w:r>
                <w:r>
                  <w:rPr>
                    <w:rFonts w:ascii="Arial"/>
                    <w:b/>
                    <w:i/>
                    <w:color w:val="545456"/>
                    <w:w w:val="95"/>
                    <w:sz w:val="16"/>
                  </w:rPr>
                  <w:t>Product</w:t>
                </w:r>
                <w:r>
                  <w:rPr>
                    <w:rFonts w:ascii="Arial"/>
                    <w:b/>
                    <w:i/>
                    <w:color w:val="545456"/>
                    <w:spacing w:val="18"/>
                    <w:w w:val="95"/>
                    <w:sz w:val="16"/>
                  </w:rPr>
                  <w:t xml:space="preserve"> </w:t>
                </w:r>
                <w:r>
                  <w:rPr>
                    <w:rFonts w:ascii="Arial"/>
                    <w:b/>
                    <w:i/>
                    <w:color w:val="545456"/>
                    <w:w w:val="95"/>
                    <w:sz w:val="16"/>
                  </w:rPr>
                  <w:t>Life</w:t>
                </w:r>
                <w:r>
                  <w:rPr>
                    <w:rFonts w:ascii="Arial"/>
                    <w:b/>
                    <w:i/>
                    <w:color w:val="545456"/>
                    <w:spacing w:val="17"/>
                    <w:w w:val="95"/>
                    <w:sz w:val="16"/>
                  </w:rPr>
                  <w:t xml:space="preserve"> </w:t>
                </w:r>
                <w:r>
                  <w:rPr>
                    <w:rFonts w:ascii="Arial"/>
                    <w:b/>
                    <w:i/>
                    <w:color w:val="545456"/>
                    <w:w w:val="95"/>
                    <w:sz w:val="16"/>
                  </w:rPr>
                  <w:t>Cycle</w:t>
                </w:r>
                <w:r>
                  <w:rPr>
                    <w:rFonts w:ascii="Arial"/>
                    <w:b/>
                    <w:i/>
                    <w:color w:val="545456"/>
                    <w:spacing w:val="18"/>
                    <w:w w:val="95"/>
                    <w:sz w:val="16"/>
                  </w:rPr>
                  <w:t xml:space="preserve"> </w:t>
                </w:r>
                <w:r>
                  <w:rPr>
                    <w:rFonts w:ascii="Arial"/>
                    <w:b/>
                    <w:i/>
                    <w:color w:val="545456"/>
                    <w:w w:val="95"/>
                    <w:sz w:val="16"/>
                  </w:rPr>
                  <w:t>Accounting</w:t>
                </w:r>
                <w:r>
                  <w:rPr>
                    <w:rFonts w:ascii="Arial"/>
                    <w:b/>
                    <w:i/>
                    <w:color w:val="545456"/>
                    <w:spacing w:val="18"/>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8"/>
                    <w:w w:val="95"/>
                    <w:sz w:val="16"/>
                  </w:rPr>
                  <w:t xml:space="preserve"> </w:t>
                </w:r>
                <w:r>
                  <w:rPr>
                    <w:rFonts w:ascii="Arial"/>
                    <w:b/>
                    <w:i/>
                    <w:color w:val="545456"/>
                    <w:w w:val="95"/>
                    <w:sz w:val="16"/>
                  </w:rPr>
                  <w:t>Standard</w:t>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6A48C" w14:textId="77777777" w:rsidR="0055291C" w:rsidRDefault="0055291C">
    <w:pPr>
      <w:pStyle w:val="a3"/>
      <w:spacing w:line="14" w:lineRule="auto"/>
      <w:rPr>
        <w:sz w:val="2"/>
      </w:rPr>
    </w:pP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AD914" w14:textId="77777777" w:rsidR="0055291C" w:rsidRDefault="00000000">
    <w:pPr>
      <w:pStyle w:val="a3"/>
      <w:spacing w:line="14" w:lineRule="auto"/>
      <w:rPr>
        <w:sz w:val="20"/>
      </w:rPr>
    </w:pPr>
    <w:r>
      <w:pict w14:anchorId="68E73009">
        <v:line id="_x0000_s1070" style="position:absolute;z-index:-21105152;mso-position-horizontal-relative:page;mso-position-vertical-relative:page" from="56.7pt,735.2pt" to="555.3pt,735.2pt" strokecolor="#00aca1" strokeweight=".25pt">
          <w10:wrap anchorx="page" anchory="page"/>
        </v:line>
      </w:pict>
    </w:r>
    <w:r>
      <w:pict w14:anchorId="082AB818">
        <v:shapetype id="_x0000_t202" coordsize="21600,21600" o:spt="202" path="m,l,21600r21600,l21600,xe">
          <v:stroke joinstyle="miter"/>
          <v:path gradientshapeok="t" o:connecttype="rect"/>
        </v:shapetype>
        <v:shape id="docshape1586" o:spid="_x0000_s1069" type="#_x0000_t202" style="position:absolute;margin-left:536.1pt;margin-top:748.25pt;width:20.5pt;height:11pt;z-index:-21104640;mso-position-horizontal-relative:page;mso-position-vertical-relative:page" filled="f" stroked="f">
          <v:textbox inset="0,0,0,0">
            <w:txbxContent>
              <w:p w14:paraId="3D649358"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123</w:t>
                </w:r>
                <w:r>
                  <w:fldChar w:fldCharType="end"/>
                </w:r>
                <w:r>
                  <w:rPr>
                    <w:color w:val="7F3F98"/>
                    <w:w w:val="105"/>
                    <w:sz w:val="16"/>
                  </w:rPr>
                  <w:t>]</w:t>
                </w:r>
              </w:p>
            </w:txbxContent>
          </v:textbox>
          <w10:wrap anchorx="page" anchory="page"/>
        </v:shape>
      </w:pict>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9B782" w14:textId="77777777" w:rsidR="0055291C" w:rsidRDefault="00000000">
    <w:pPr>
      <w:pStyle w:val="a3"/>
      <w:spacing w:line="14" w:lineRule="auto"/>
      <w:rPr>
        <w:sz w:val="20"/>
      </w:rPr>
    </w:pPr>
    <w:r>
      <w:pict w14:anchorId="14A21B3F">
        <v:line id="_x0000_s1063" style="position:absolute;z-index:-21101568;mso-position-horizontal-relative:page;mso-position-vertical-relative:page" from="56.7pt,735.2pt" to="555.3pt,735.2pt" strokecolor="#00aca1" strokeweight=".25pt">
          <w10:wrap anchorx="page" anchory="page"/>
        </v:line>
      </w:pict>
    </w:r>
    <w:r>
      <w:pict w14:anchorId="29FC03EC">
        <v:shapetype id="_x0000_t202" coordsize="21600,21600" o:spt="202" path="m,l,21600r21600,l21600,xe">
          <v:stroke joinstyle="miter"/>
          <v:path gradientshapeok="t" o:connecttype="rect"/>
        </v:shapetype>
        <v:shape id="docshape1616" o:spid="_x0000_s1062" type="#_x0000_t202" style="position:absolute;margin-left:55.7pt;margin-top:748.25pt;width:233.2pt;height:11pt;z-index:-21101056;mso-position-horizontal-relative:page;mso-position-vertical-relative:page" filled="f" stroked="f">
          <v:textbox inset="0,0,0,0">
            <w:txbxContent>
              <w:p w14:paraId="1255A002"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126</w:t>
                </w:r>
                <w:r>
                  <w:fldChar w:fldCharType="end"/>
                </w:r>
                <w:r>
                  <w:rPr>
                    <w:color w:val="7F3F98"/>
                    <w:w w:val="95"/>
                    <w:sz w:val="16"/>
                  </w:rPr>
                  <w:t>]</w:t>
                </w:r>
                <w:r>
                  <w:rPr>
                    <w:color w:val="7F3F98"/>
                    <w:spacing w:val="39"/>
                    <w:sz w:val="16"/>
                  </w:rPr>
                  <w:t xml:space="preserve">  </w:t>
                </w:r>
                <w:r>
                  <w:rPr>
                    <w:rFonts w:ascii="Arial"/>
                    <w:b/>
                    <w:i/>
                    <w:color w:val="545456"/>
                    <w:w w:val="95"/>
                    <w:sz w:val="16"/>
                  </w:rPr>
                  <w:t>Product</w:t>
                </w:r>
                <w:r>
                  <w:rPr>
                    <w:rFonts w:ascii="Arial"/>
                    <w:b/>
                    <w:i/>
                    <w:color w:val="545456"/>
                    <w:spacing w:val="18"/>
                    <w:w w:val="95"/>
                    <w:sz w:val="16"/>
                  </w:rPr>
                  <w:t xml:space="preserve"> </w:t>
                </w:r>
                <w:r>
                  <w:rPr>
                    <w:rFonts w:ascii="Arial"/>
                    <w:b/>
                    <w:i/>
                    <w:color w:val="545456"/>
                    <w:w w:val="95"/>
                    <w:sz w:val="16"/>
                  </w:rPr>
                  <w:t>Life</w:t>
                </w:r>
                <w:r>
                  <w:rPr>
                    <w:rFonts w:ascii="Arial"/>
                    <w:b/>
                    <w:i/>
                    <w:color w:val="545456"/>
                    <w:spacing w:val="17"/>
                    <w:w w:val="95"/>
                    <w:sz w:val="16"/>
                  </w:rPr>
                  <w:t xml:space="preserve"> </w:t>
                </w:r>
                <w:r>
                  <w:rPr>
                    <w:rFonts w:ascii="Arial"/>
                    <w:b/>
                    <w:i/>
                    <w:color w:val="545456"/>
                    <w:w w:val="95"/>
                    <w:sz w:val="16"/>
                  </w:rPr>
                  <w:t>Cycle</w:t>
                </w:r>
                <w:r>
                  <w:rPr>
                    <w:rFonts w:ascii="Arial"/>
                    <w:b/>
                    <w:i/>
                    <w:color w:val="545456"/>
                    <w:spacing w:val="18"/>
                    <w:w w:val="95"/>
                    <w:sz w:val="16"/>
                  </w:rPr>
                  <w:t xml:space="preserve"> </w:t>
                </w:r>
                <w:r>
                  <w:rPr>
                    <w:rFonts w:ascii="Arial"/>
                    <w:b/>
                    <w:i/>
                    <w:color w:val="545456"/>
                    <w:w w:val="95"/>
                    <w:sz w:val="16"/>
                  </w:rPr>
                  <w:t>Accounting</w:t>
                </w:r>
                <w:r>
                  <w:rPr>
                    <w:rFonts w:ascii="Arial"/>
                    <w:b/>
                    <w:i/>
                    <w:color w:val="545456"/>
                    <w:spacing w:val="18"/>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8"/>
                    <w:w w:val="95"/>
                    <w:sz w:val="16"/>
                  </w:rPr>
                  <w:t xml:space="preserve"> </w:t>
                </w:r>
                <w:r>
                  <w:rPr>
                    <w:rFonts w:ascii="Arial"/>
                    <w:b/>
                    <w:i/>
                    <w:color w:val="545456"/>
                    <w:w w:val="95"/>
                    <w:sz w:val="16"/>
                  </w:rPr>
                  <w:t>Standard</w:t>
                </w:r>
              </w:p>
            </w:txbxContent>
          </v:textbox>
          <w10:wrap anchorx="page" anchory="page"/>
        </v:shape>
      </w:pict>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90C0A" w14:textId="77777777" w:rsidR="0055291C" w:rsidRDefault="00000000">
    <w:pPr>
      <w:pStyle w:val="a3"/>
      <w:spacing w:line="14" w:lineRule="auto"/>
      <w:rPr>
        <w:sz w:val="20"/>
      </w:rPr>
    </w:pPr>
    <w:r>
      <w:pict w14:anchorId="442F4BE0">
        <v:line id="_x0000_s1065" style="position:absolute;z-index:-21102592;mso-position-horizontal-relative:page;mso-position-vertical-relative:page" from="56.7pt,735.2pt" to="555.3pt,735.2pt" strokecolor="#00aca1" strokeweight=".25pt">
          <w10:wrap anchorx="page" anchory="page"/>
        </v:line>
      </w:pict>
    </w:r>
    <w:r>
      <w:pict w14:anchorId="657EB3BA">
        <v:shapetype id="_x0000_t202" coordsize="21600,21600" o:spt="202" path="m,l,21600r21600,l21600,xe">
          <v:stroke joinstyle="miter"/>
          <v:path gradientshapeok="t" o:connecttype="rect"/>
        </v:shapetype>
        <v:shape id="docshape1615" o:spid="_x0000_s1064" type="#_x0000_t202" style="position:absolute;margin-left:536.1pt;margin-top:748.25pt;width:20.5pt;height:11pt;z-index:-21102080;mso-position-horizontal-relative:page;mso-position-vertical-relative:page" filled="f" stroked="f">
          <v:textbox inset="0,0,0,0">
            <w:txbxContent>
              <w:p w14:paraId="45524825"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125</w:t>
                </w:r>
                <w:r>
                  <w:fldChar w:fldCharType="end"/>
                </w:r>
                <w:r>
                  <w:rPr>
                    <w:color w:val="7F3F98"/>
                    <w:w w:val="105"/>
                    <w:sz w:val="16"/>
                  </w:rPr>
                  <w:t>]</w:t>
                </w:r>
              </w:p>
            </w:txbxContent>
          </v:textbox>
          <w10:wrap anchorx="page" anchory="page"/>
        </v:shape>
      </w:pict>
    </w: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7B37CF" w14:textId="77777777" w:rsidR="0055291C" w:rsidRDefault="00000000">
    <w:pPr>
      <w:pStyle w:val="a3"/>
      <w:spacing w:line="14" w:lineRule="auto"/>
      <w:rPr>
        <w:sz w:val="20"/>
      </w:rPr>
    </w:pPr>
    <w:r>
      <w:pict w14:anchorId="50EA552C">
        <v:line id="_x0000_s1058" style="position:absolute;z-index:-21099008;mso-position-horizontal-relative:page;mso-position-vertical-relative:page" from="56.7pt,735.2pt" to="555.3pt,735.2pt" strokecolor="#00aca1" strokeweight=".25pt">
          <w10:wrap anchorx="page" anchory="page"/>
        </v:line>
      </w:pict>
    </w:r>
    <w:r>
      <w:pict w14:anchorId="48D2506D">
        <v:shapetype id="_x0000_t202" coordsize="21600,21600" o:spt="202" path="m,l,21600r21600,l21600,xe">
          <v:stroke joinstyle="miter"/>
          <v:path gradientshapeok="t" o:connecttype="rect"/>
        </v:shapetype>
        <v:shape id="docshape1625" o:spid="_x0000_s1057" type="#_x0000_t202" style="position:absolute;margin-left:55.7pt;margin-top:748.25pt;width:233.2pt;height:11pt;z-index:-21098496;mso-position-horizontal-relative:page;mso-position-vertical-relative:page" filled="f" stroked="f">
          <v:textbox inset="0,0,0,0">
            <w:txbxContent>
              <w:p w14:paraId="6C725860"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128</w:t>
                </w:r>
                <w:r>
                  <w:fldChar w:fldCharType="end"/>
                </w:r>
                <w:r>
                  <w:rPr>
                    <w:color w:val="7F3F98"/>
                    <w:w w:val="95"/>
                    <w:sz w:val="16"/>
                  </w:rPr>
                  <w:t>]</w:t>
                </w:r>
                <w:r>
                  <w:rPr>
                    <w:color w:val="7F3F98"/>
                    <w:spacing w:val="39"/>
                    <w:sz w:val="16"/>
                  </w:rPr>
                  <w:t xml:space="preserve">  </w:t>
                </w:r>
                <w:r>
                  <w:rPr>
                    <w:rFonts w:ascii="Arial"/>
                    <w:b/>
                    <w:i/>
                    <w:color w:val="545456"/>
                    <w:w w:val="95"/>
                    <w:sz w:val="16"/>
                  </w:rPr>
                  <w:t>Product</w:t>
                </w:r>
                <w:r>
                  <w:rPr>
                    <w:rFonts w:ascii="Arial"/>
                    <w:b/>
                    <w:i/>
                    <w:color w:val="545456"/>
                    <w:spacing w:val="18"/>
                    <w:w w:val="95"/>
                    <w:sz w:val="16"/>
                  </w:rPr>
                  <w:t xml:space="preserve"> </w:t>
                </w:r>
                <w:r>
                  <w:rPr>
                    <w:rFonts w:ascii="Arial"/>
                    <w:b/>
                    <w:i/>
                    <w:color w:val="545456"/>
                    <w:w w:val="95"/>
                    <w:sz w:val="16"/>
                  </w:rPr>
                  <w:t>Life</w:t>
                </w:r>
                <w:r>
                  <w:rPr>
                    <w:rFonts w:ascii="Arial"/>
                    <w:b/>
                    <w:i/>
                    <w:color w:val="545456"/>
                    <w:spacing w:val="17"/>
                    <w:w w:val="95"/>
                    <w:sz w:val="16"/>
                  </w:rPr>
                  <w:t xml:space="preserve"> </w:t>
                </w:r>
                <w:r>
                  <w:rPr>
                    <w:rFonts w:ascii="Arial"/>
                    <w:b/>
                    <w:i/>
                    <w:color w:val="545456"/>
                    <w:w w:val="95"/>
                    <w:sz w:val="16"/>
                  </w:rPr>
                  <w:t>Cycle</w:t>
                </w:r>
                <w:r>
                  <w:rPr>
                    <w:rFonts w:ascii="Arial"/>
                    <w:b/>
                    <w:i/>
                    <w:color w:val="545456"/>
                    <w:spacing w:val="18"/>
                    <w:w w:val="95"/>
                    <w:sz w:val="16"/>
                  </w:rPr>
                  <w:t xml:space="preserve"> </w:t>
                </w:r>
                <w:r>
                  <w:rPr>
                    <w:rFonts w:ascii="Arial"/>
                    <w:b/>
                    <w:i/>
                    <w:color w:val="545456"/>
                    <w:w w:val="95"/>
                    <w:sz w:val="16"/>
                  </w:rPr>
                  <w:t>Accounting</w:t>
                </w:r>
                <w:r>
                  <w:rPr>
                    <w:rFonts w:ascii="Arial"/>
                    <w:b/>
                    <w:i/>
                    <w:color w:val="545456"/>
                    <w:spacing w:val="18"/>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8"/>
                    <w:w w:val="95"/>
                    <w:sz w:val="16"/>
                  </w:rPr>
                  <w:t xml:space="preserve"> </w:t>
                </w:r>
                <w:r>
                  <w:rPr>
                    <w:rFonts w:ascii="Arial"/>
                    <w:b/>
                    <w:i/>
                    <w:color w:val="545456"/>
                    <w:w w:val="95"/>
                    <w:sz w:val="16"/>
                  </w:rPr>
                  <w:t>Standard</w:t>
                </w:r>
              </w:p>
            </w:txbxContent>
          </v:textbox>
          <w10:wrap anchorx="page" anchory="page"/>
        </v:shape>
      </w:pict>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662F56" w14:textId="77777777" w:rsidR="0055291C" w:rsidRDefault="00000000">
    <w:pPr>
      <w:pStyle w:val="a3"/>
      <w:spacing w:line="14" w:lineRule="auto"/>
      <w:rPr>
        <w:sz w:val="20"/>
      </w:rPr>
    </w:pPr>
    <w:r>
      <w:pict w14:anchorId="47643E76">
        <v:line id="_x0000_s1060" style="position:absolute;z-index:-21100032;mso-position-horizontal-relative:page;mso-position-vertical-relative:page" from="56.7pt,735.2pt" to="555.3pt,735.2pt" strokecolor="#00aca1" strokeweight=".25pt">
          <w10:wrap anchorx="page" anchory="page"/>
        </v:line>
      </w:pict>
    </w:r>
    <w:r>
      <w:pict w14:anchorId="6BBD1F0A">
        <v:shapetype id="_x0000_t202" coordsize="21600,21600" o:spt="202" path="m,l,21600r21600,l21600,xe">
          <v:stroke joinstyle="miter"/>
          <v:path gradientshapeok="t" o:connecttype="rect"/>
        </v:shapetype>
        <v:shape id="docshape1624" o:spid="_x0000_s1059" type="#_x0000_t202" style="position:absolute;margin-left:536.1pt;margin-top:748.25pt;width:20.5pt;height:11pt;z-index:-21099520;mso-position-horizontal-relative:page;mso-position-vertical-relative:page" filled="f" stroked="f">
          <v:textbox inset="0,0,0,0">
            <w:txbxContent>
              <w:p w14:paraId="3DCA829F"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127</w:t>
                </w:r>
                <w:r>
                  <w:fldChar w:fldCharType="end"/>
                </w:r>
                <w:r>
                  <w:rPr>
                    <w:color w:val="7F3F98"/>
                    <w:w w:val="105"/>
                    <w:sz w:val="16"/>
                  </w:rPr>
                  <w:t>]</w:t>
                </w:r>
              </w:p>
            </w:txbxContent>
          </v:textbox>
          <w10:wrap anchorx="page" anchory="page"/>
        </v:shape>
      </w:pict>
    </w: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90C9B" w14:textId="77777777" w:rsidR="0055291C" w:rsidRDefault="00000000">
    <w:pPr>
      <w:pStyle w:val="a3"/>
      <w:spacing w:line="14" w:lineRule="auto"/>
      <w:rPr>
        <w:sz w:val="20"/>
      </w:rPr>
    </w:pPr>
    <w:r>
      <w:pict w14:anchorId="5173DEA3">
        <v:shapetype id="_x0000_t202" coordsize="21600,21600" o:spt="202" path="m,l,21600r21600,l21600,xe">
          <v:stroke joinstyle="miter"/>
          <v:path gradientshapeok="t" o:connecttype="rect"/>
        </v:shapetype>
        <v:shape id="docshape1656" o:spid="_x0000_s1048" type="#_x0000_t202" style="position:absolute;margin-left:55.7pt;margin-top:748.25pt;width:233.2pt;height:11pt;z-index:-21093888;mso-position-horizontal-relative:page;mso-position-vertical-relative:page" filled="f" stroked="f">
          <v:textbox style="mso-next-textbox:#docshape1656" inset="0,0,0,0">
            <w:txbxContent>
              <w:p w14:paraId="1ABAC0B8"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132</w:t>
                </w:r>
                <w:r>
                  <w:fldChar w:fldCharType="end"/>
                </w:r>
                <w:r>
                  <w:rPr>
                    <w:color w:val="7F3F98"/>
                    <w:w w:val="95"/>
                    <w:sz w:val="16"/>
                  </w:rPr>
                  <w:t>]</w:t>
                </w:r>
                <w:r>
                  <w:rPr>
                    <w:color w:val="7F3F98"/>
                    <w:spacing w:val="39"/>
                    <w:sz w:val="16"/>
                  </w:rPr>
                  <w:t xml:space="preserve">  </w:t>
                </w:r>
                <w:r>
                  <w:rPr>
                    <w:rFonts w:ascii="Arial"/>
                    <w:b/>
                    <w:i/>
                    <w:color w:val="545456"/>
                    <w:w w:val="95"/>
                    <w:sz w:val="16"/>
                  </w:rPr>
                  <w:t>Product</w:t>
                </w:r>
                <w:r>
                  <w:rPr>
                    <w:rFonts w:ascii="Arial"/>
                    <w:b/>
                    <w:i/>
                    <w:color w:val="545456"/>
                    <w:spacing w:val="18"/>
                    <w:w w:val="95"/>
                    <w:sz w:val="16"/>
                  </w:rPr>
                  <w:t xml:space="preserve"> </w:t>
                </w:r>
                <w:r>
                  <w:rPr>
                    <w:rFonts w:ascii="Arial"/>
                    <w:b/>
                    <w:i/>
                    <w:color w:val="545456"/>
                    <w:w w:val="95"/>
                    <w:sz w:val="16"/>
                  </w:rPr>
                  <w:t>Life</w:t>
                </w:r>
                <w:r>
                  <w:rPr>
                    <w:rFonts w:ascii="Arial"/>
                    <w:b/>
                    <w:i/>
                    <w:color w:val="545456"/>
                    <w:spacing w:val="17"/>
                    <w:w w:val="95"/>
                    <w:sz w:val="16"/>
                  </w:rPr>
                  <w:t xml:space="preserve"> </w:t>
                </w:r>
                <w:r>
                  <w:rPr>
                    <w:rFonts w:ascii="Arial"/>
                    <w:b/>
                    <w:i/>
                    <w:color w:val="545456"/>
                    <w:w w:val="95"/>
                    <w:sz w:val="16"/>
                  </w:rPr>
                  <w:t>Cycle</w:t>
                </w:r>
                <w:r>
                  <w:rPr>
                    <w:rFonts w:ascii="Arial"/>
                    <w:b/>
                    <w:i/>
                    <w:color w:val="545456"/>
                    <w:spacing w:val="18"/>
                    <w:w w:val="95"/>
                    <w:sz w:val="16"/>
                  </w:rPr>
                  <w:t xml:space="preserve"> </w:t>
                </w:r>
                <w:r>
                  <w:rPr>
                    <w:rFonts w:ascii="Arial"/>
                    <w:b/>
                    <w:i/>
                    <w:color w:val="545456"/>
                    <w:w w:val="95"/>
                    <w:sz w:val="16"/>
                  </w:rPr>
                  <w:t>Accounting</w:t>
                </w:r>
                <w:r>
                  <w:rPr>
                    <w:rFonts w:ascii="Arial"/>
                    <w:b/>
                    <w:i/>
                    <w:color w:val="545456"/>
                    <w:spacing w:val="18"/>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8"/>
                    <w:w w:val="95"/>
                    <w:sz w:val="16"/>
                  </w:rPr>
                  <w:t xml:space="preserve"> </w:t>
                </w:r>
                <w:r>
                  <w:rPr>
                    <w:rFonts w:ascii="Arial"/>
                    <w:b/>
                    <w:i/>
                    <w:color w:val="545456"/>
                    <w:w w:val="95"/>
                    <w:sz w:val="16"/>
                  </w:rPr>
                  <w:t>Standard</w:t>
                </w:r>
              </w:p>
            </w:txbxContent>
          </v:textbox>
          <w10:wrap anchorx="page" anchory="page"/>
        </v:shape>
      </w:pict>
    </w: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3F109" w14:textId="77777777" w:rsidR="0055291C" w:rsidRDefault="00000000">
    <w:pPr>
      <w:pStyle w:val="a3"/>
      <w:spacing w:line="14" w:lineRule="auto"/>
      <w:rPr>
        <w:sz w:val="20"/>
      </w:rPr>
    </w:pPr>
    <w:r>
      <w:pict w14:anchorId="6530EEB3">
        <v:line id="_x0000_s1050" style="position:absolute;z-index:-21094912;mso-position-horizontal-relative:page;mso-position-vertical-relative:page" from="56.7pt,735.2pt" to="555.3pt,735.2pt" strokecolor="#00aca1" strokeweight=".25pt">
          <w10:wrap anchorx="page" anchory="page"/>
        </v:line>
      </w:pict>
    </w:r>
    <w:r>
      <w:pict w14:anchorId="214240EA">
        <v:shapetype id="_x0000_t202" coordsize="21600,21600" o:spt="202" path="m,l,21600r21600,l21600,xe">
          <v:stroke joinstyle="miter"/>
          <v:path gradientshapeok="t" o:connecttype="rect"/>
        </v:shapetype>
        <v:shape id="docshape1655" o:spid="_x0000_s1049" type="#_x0000_t202" style="position:absolute;margin-left:536.1pt;margin-top:748.25pt;width:20.5pt;height:11pt;z-index:-21094400;mso-position-horizontal-relative:page;mso-position-vertical-relative:page" filled="f" stroked="f">
          <v:textbox style="mso-next-textbox:#docshape1655" inset="0,0,0,0">
            <w:txbxContent>
              <w:p w14:paraId="3B0A9E4B"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131</w:t>
                </w:r>
                <w:r>
                  <w:fldChar w:fldCharType="end"/>
                </w:r>
                <w:r>
                  <w:rPr>
                    <w:color w:val="7F3F98"/>
                    <w:w w:val="105"/>
                    <w:sz w:val="16"/>
                  </w:rPr>
                  <w:t>]</w:t>
                </w:r>
              </w:p>
            </w:txbxContent>
          </v:textbox>
          <w10:wrap anchorx="page" anchory="page"/>
        </v:shape>
      </w:pict>
    </w: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89334" w14:textId="77777777" w:rsidR="0055291C" w:rsidRDefault="00000000">
    <w:pPr>
      <w:pStyle w:val="a3"/>
      <w:spacing w:line="14" w:lineRule="auto"/>
      <w:rPr>
        <w:sz w:val="20"/>
      </w:rPr>
    </w:pPr>
    <w:r>
      <w:pict w14:anchorId="05C11C77">
        <v:line id="_x0000_s1045" style="position:absolute;z-index:-21092352;mso-position-horizontal-relative:page;mso-position-vertical-relative:page" from="56.7pt,735.2pt" to="555.3pt,735.2pt" strokecolor="#00aca1" strokeweight=".25pt">
          <w10:wrap anchorx="page" anchory="page"/>
        </v:line>
      </w:pict>
    </w:r>
    <w:r>
      <w:pict w14:anchorId="5C6DB155">
        <v:shapetype id="_x0000_t202" coordsize="21600,21600" o:spt="202" path="m,l,21600r21600,l21600,xe">
          <v:stroke joinstyle="miter"/>
          <v:path gradientshapeok="t" o:connecttype="rect"/>
        </v:shapetype>
        <v:shape id="docshape1704" o:spid="_x0000_s1044" type="#_x0000_t202" style="position:absolute;margin-left:55.7pt;margin-top:748.25pt;width:233.2pt;height:11pt;z-index:-21091840;mso-position-horizontal-relative:page;mso-position-vertical-relative:page" filled="f" stroked="f">
          <v:textbox style="mso-next-textbox:#docshape1704" inset="0,0,0,0">
            <w:txbxContent>
              <w:p w14:paraId="675AF011"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134</w:t>
                </w:r>
                <w:r>
                  <w:fldChar w:fldCharType="end"/>
                </w:r>
                <w:r>
                  <w:rPr>
                    <w:color w:val="7F3F98"/>
                    <w:w w:val="95"/>
                    <w:sz w:val="16"/>
                  </w:rPr>
                  <w:t>]</w:t>
                </w:r>
                <w:r>
                  <w:rPr>
                    <w:color w:val="7F3F98"/>
                    <w:spacing w:val="39"/>
                    <w:sz w:val="16"/>
                  </w:rPr>
                  <w:t xml:space="preserve">  </w:t>
                </w:r>
                <w:r>
                  <w:rPr>
                    <w:rFonts w:ascii="Arial"/>
                    <w:b/>
                    <w:i/>
                    <w:color w:val="545456"/>
                    <w:w w:val="95"/>
                    <w:sz w:val="16"/>
                  </w:rPr>
                  <w:t>Product</w:t>
                </w:r>
                <w:r>
                  <w:rPr>
                    <w:rFonts w:ascii="Arial"/>
                    <w:b/>
                    <w:i/>
                    <w:color w:val="545456"/>
                    <w:spacing w:val="18"/>
                    <w:w w:val="95"/>
                    <w:sz w:val="16"/>
                  </w:rPr>
                  <w:t xml:space="preserve"> </w:t>
                </w:r>
                <w:r>
                  <w:rPr>
                    <w:rFonts w:ascii="Arial"/>
                    <w:b/>
                    <w:i/>
                    <w:color w:val="545456"/>
                    <w:w w:val="95"/>
                    <w:sz w:val="16"/>
                  </w:rPr>
                  <w:t>Life</w:t>
                </w:r>
                <w:r>
                  <w:rPr>
                    <w:rFonts w:ascii="Arial"/>
                    <w:b/>
                    <w:i/>
                    <w:color w:val="545456"/>
                    <w:spacing w:val="17"/>
                    <w:w w:val="95"/>
                    <w:sz w:val="16"/>
                  </w:rPr>
                  <w:t xml:space="preserve"> </w:t>
                </w:r>
                <w:r>
                  <w:rPr>
                    <w:rFonts w:ascii="Arial"/>
                    <w:b/>
                    <w:i/>
                    <w:color w:val="545456"/>
                    <w:w w:val="95"/>
                    <w:sz w:val="16"/>
                  </w:rPr>
                  <w:t>Cycle</w:t>
                </w:r>
                <w:r>
                  <w:rPr>
                    <w:rFonts w:ascii="Arial"/>
                    <w:b/>
                    <w:i/>
                    <w:color w:val="545456"/>
                    <w:spacing w:val="18"/>
                    <w:w w:val="95"/>
                    <w:sz w:val="16"/>
                  </w:rPr>
                  <w:t xml:space="preserve"> </w:t>
                </w:r>
                <w:r>
                  <w:rPr>
                    <w:rFonts w:ascii="Arial"/>
                    <w:b/>
                    <w:i/>
                    <w:color w:val="545456"/>
                    <w:w w:val="95"/>
                    <w:sz w:val="16"/>
                  </w:rPr>
                  <w:t>Accounting</w:t>
                </w:r>
                <w:r>
                  <w:rPr>
                    <w:rFonts w:ascii="Arial"/>
                    <w:b/>
                    <w:i/>
                    <w:color w:val="545456"/>
                    <w:spacing w:val="18"/>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8"/>
                    <w:w w:val="95"/>
                    <w:sz w:val="16"/>
                  </w:rPr>
                  <w:t xml:space="preserve"> </w:t>
                </w:r>
                <w:r>
                  <w:rPr>
                    <w:rFonts w:ascii="Arial"/>
                    <w:b/>
                    <w:i/>
                    <w:color w:val="545456"/>
                    <w:w w:val="95"/>
                    <w:sz w:val="16"/>
                  </w:rPr>
                  <w:t>Standard</w:t>
                </w:r>
              </w:p>
            </w:txbxContent>
          </v:textbox>
          <w10:wrap anchorx="page" anchory="page"/>
        </v:shape>
      </w:pict>
    </w: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A4DED4" w14:textId="77777777" w:rsidR="0055291C" w:rsidRDefault="00000000">
    <w:pPr>
      <w:pStyle w:val="a3"/>
      <w:spacing w:line="14" w:lineRule="auto"/>
      <w:rPr>
        <w:sz w:val="20"/>
      </w:rPr>
    </w:pPr>
    <w:r>
      <w:pict w14:anchorId="7738FB3E">
        <v:line id="_x0000_s1047" style="position:absolute;z-index:-21093376;mso-position-horizontal-relative:page;mso-position-vertical-relative:page" from="56.7pt,735.2pt" to="555.3pt,735.2pt" strokecolor="#00aca1" strokeweight=".25pt">
          <w10:wrap anchorx="page" anchory="page"/>
        </v:line>
      </w:pict>
    </w:r>
    <w:r>
      <w:pict w14:anchorId="600B72E8">
        <v:shapetype id="_x0000_t202" coordsize="21600,21600" o:spt="202" path="m,l,21600r21600,l21600,xe">
          <v:stroke joinstyle="miter"/>
          <v:path gradientshapeok="t" o:connecttype="rect"/>
        </v:shapetype>
        <v:shape id="docshape1703" o:spid="_x0000_s1046" type="#_x0000_t202" style="position:absolute;margin-left:536.1pt;margin-top:748.25pt;width:20.5pt;height:11pt;z-index:-21092864;mso-position-horizontal-relative:page;mso-position-vertical-relative:page" filled="f" stroked="f">
          <v:textbox style="mso-next-textbox:#docshape1703" inset="0,0,0,0">
            <w:txbxContent>
              <w:p w14:paraId="0FC4465C"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133</w:t>
                </w:r>
                <w:r>
                  <w:fldChar w:fldCharType="end"/>
                </w:r>
                <w:r>
                  <w:rPr>
                    <w:color w:val="7F3F98"/>
                    <w:w w:val="105"/>
                    <w:sz w:val="16"/>
                  </w:rPr>
                  <w:t>]</w:t>
                </w:r>
              </w:p>
            </w:txbxContent>
          </v:textbox>
          <w10:wrap anchorx="page" anchory="page"/>
        </v:shape>
      </w:pict>
    </w: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3BA589" w14:textId="77777777" w:rsidR="0055291C" w:rsidRDefault="00000000">
    <w:pPr>
      <w:pStyle w:val="a3"/>
      <w:spacing w:line="14" w:lineRule="auto"/>
      <w:rPr>
        <w:sz w:val="20"/>
      </w:rPr>
    </w:pPr>
    <w:r>
      <w:pict w14:anchorId="0DAD69C9">
        <v:line id="_x0000_s1039" style="position:absolute;z-index:-21089280;mso-position-horizontal-relative:page;mso-position-vertical-relative:page" from="56.7pt,735.2pt" to="555.3pt,735.2pt" strokecolor="#00aca1" strokeweight=".25pt">
          <w10:wrap anchorx="page" anchory="page"/>
        </v:line>
      </w:pict>
    </w:r>
    <w:r>
      <w:pict w14:anchorId="50BFF70C">
        <v:shapetype id="_x0000_t202" coordsize="21600,21600" o:spt="202" path="m,l,21600r21600,l21600,xe">
          <v:stroke joinstyle="miter"/>
          <v:path gradientshapeok="t" o:connecttype="rect"/>
        </v:shapetype>
        <v:shape id="docshape1712" o:spid="_x0000_s1038" type="#_x0000_t202" style="position:absolute;margin-left:55.7pt;margin-top:748.25pt;width:233.2pt;height:11pt;z-index:-21088768;mso-position-horizontal-relative:page;mso-position-vertical-relative:page" filled="f" stroked="f">
          <v:textbox style="mso-next-textbox:#docshape1712" inset="0,0,0,0">
            <w:txbxContent>
              <w:p w14:paraId="77034632"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136</w:t>
                </w:r>
                <w:r>
                  <w:fldChar w:fldCharType="end"/>
                </w:r>
                <w:r>
                  <w:rPr>
                    <w:color w:val="7F3F98"/>
                    <w:w w:val="95"/>
                    <w:sz w:val="16"/>
                  </w:rPr>
                  <w:t>]</w:t>
                </w:r>
                <w:r>
                  <w:rPr>
                    <w:color w:val="7F3F98"/>
                    <w:spacing w:val="39"/>
                    <w:sz w:val="16"/>
                  </w:rPr>
                  <w:t xml:space="preserve">  </w:t>
                </w:r>
                <w:r>
                  <w:rPr>
                    <w:rFonts w:ascii="Arial"/>
                    <w:b/>
                    <w:i/>
                    <w:color w:val="545456"/>
                    <w:w w:val="95"/>
                    <w:sz w:val="16"/>
                  </w:rPr>
                  <w:t>Product</w:t>
                </w:r>
                <w:r>
                  <w:rPr>
                    <w:rFonts w:ascii="Arial"/>
                    <w:b/>
                    <w:i/>
                    <w:color w:val="545456"/>
                    <w:spacing w:val="18"/>
                    <w:w w:val="95"/>
                    <w:sz w:val="16"/>
                  </w:rPr>
                  <w:t xml:space="preserve"> </w:t>
                </w:r>
                <w:r>
                  <w:rPr>
                    <w:rFonts w:ascii="Arial"/>
                    <w:b/>
                    <w:i/>
                    <w:color w:val="545456"/>
                    <w:w w:val="95"/>
                    <w:sz w:val="16"/>
                  </w:rPr>
                  <w:t>Life</w:t>
                </w:r>
                <w:r>
                  <w:rPr>
                    <w:rFonts w:ascii="Arial"/>
                    <w:b/>
                    <w:i/>
                    <w:color w:val="545456"/>
                    <w:spacing w:val="17"/>
                    <w:w w:val="95"/>
                    <w:sz w:val="16"/>
                  </w:rPr>
                  <w:t xml:space="preserve"> </w:t>
                </w:r>
                <w:r>
                  <w:rPr>
                    <w:rFonts w:ascii="Arial"/>
                    <w:b/>
                    <w:i/>
                    <w:color w:val="545456"/>
                    <w:w w:val="95"/>
                    <w:sz w:val="16"/>
                  </w:rPr>
                  <w:t>Cycle</w:t>
                </w:r>
                <w:r>
                  <w:rPr>
                    <w:rFonts w:ascii="Arial"/>
                    <w:b/>
                    <w:i/>
                    <w:color w:val="545456"/>
                    <w:spacing w:val="18"/>
                    <w:w w:val="95"/>
                    <w:sz w:val="16"/>
                  </w:rPr>
                  <w:t xml:space="preserve"> </w:t>
                </w:r>
                <w:r>
                  <w:rPr>
                    <w:rFonts w:ascii="Arial"/>
                    <w:b/>
                    <w:i/>
                    <w:color w:val="545456"/>
                    <w:w w:val="95"/>
                    <w:sz w:val="16"/>
                  </w:rPr>
                  <w:t>Accounting</w:t>
                </w:r>
                <w:r>
                  <w:rPr>
                    <w:rFonts w:ascii="Arial"/>
                    <w:b/>
                    <w:i/>
                    <w:color w:val="545456"/>
                    <w:spacing w:val="18"/>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8"/>
                    <w:w w:val="95"/>
                    <w:sz w:val="16"/>
                  </w:rPr>
                  <w:t xml:space="preserve"> </w:t>
                </w:r>
                <w:r>
                  <w:rPr>
                    <w:rFonts w:ascii="Arial"/>
                    <w:b/>
                    <w:i/>
                    <w:color w:val="545456"/>
                    <w:w w:val="95"/>
                    <w:sz w:val="16"/>
                  </w:rPr>
                  <w:t>Standard</w:t>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3CED2" w14:textId="77777777" w:rsidR="0055291C" w:rsidRDefault="00000000">
    <w:pPr>
      <w:pStyle w:val="a3"/>
      <w:spacing w:line="14" w:lineRule="auto"/>
      <w:rPr>
        <w:sz w:val="20"/>
      </w:rPr>
    </w:pPr>
    <w:r>
      <w:pict w14:anchorId="53825A61">
        <v:line id="_x0000_s1302" style="position:absolute;z-index:-21223936;mso-position-horizontal-relative:page;mso-position-vertical-relative:page" from="56.7pt,735.2pt" to="555.3pt,735.2pt" strokecolor="#00aca1" strokeweight=".25pt">
          <w10:wrap anchorx="page" anchory="page"/>
        </v:line>
      </w:pict>
    </w:r>
    <w:r>
      <w:pict w14:anchorId="4AD21321">
        <v:shapetype id="_x0000_t202" coordsize="21600,21600" o:spt="202" path="m,l,21600r21600,l21600,xe">
          <v:stroke joinstyle="miter"/>
          <v:path gradientshapeok="t" o:connecttype="rect"/>
        </v:shapetype>
        <v:shape id="docshape266" o:spid="_x0000_s1301" type="#_x0000_t202" style="position:absolute;margin-left:55.7pt;margin-top:748.25pt;width:228.5pt;height:11pt;z-index:-21223424;mso-position-horizontal-relative:page;mso-position-vertical-relative:page" filled="f" stroked="f">
          <v:textbox style="mso-next-textbox:#docshape266" inset="0,0,0,0">
            <w:txbxContent>
              <w:p w14:paraId="62878638"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14</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7EFF56" w14:textId="77777777" w:rsidR="0055291C" w:rsidRDefault="00000000">
    <w:pPr>
      <w:pStyle w:val="a3"/>
      <w:spacing w:line="14" w:lineRule="auto"/>
      <w:rPr>
        <w:sz w:val="20"/>
      </w:rPr>
    </w:pPr>
    <w:r>
      <w:pict w14:anchorId="6F755595">
        <v:line id="_x0000_s1041" style="position:absolute;z-index:-21090304;mso-position-horizontal-relative:page;mso-position-vertical-relative:page" from="56.7pt,735.2pt" to="555.3pt,735.2pt" strokecolor="#00aca1" strokeweight=".25pt">
          <w10:wrap anchorx="page" anchory="page"/>
        </v:line>
      </w:pict>
    </w:r>
    <w:r>
      <w:pict w14:anchorId="03612740">
        <v:shapetype id="_x0000_t202" coordsize="21600,21600" o:spt="202" path="m,l,21600r21600,l21600,xe">
          <v:stroke joinstyle="miter"/>
          <v:path gradientshapeok="t" o:connecttype="rect"/>
        </v:shapetype>
        <v:shape id="docshape1711" o:spid="_x0000_s1040" type="#_x0000_t202" style="position:absolute;margin-left:536.1pt;margin-top:748.25pt;width:20.5pt;height:11pt;z-index:-21089792;mso-position-horizontal-relative:page;mso-position-vertical-relative:page" filled="f" stroked="f">
          <v:textbox style="mso-next-textbox:#docshape1711" inset="0,0,0,0">
            <w:txbxContent>
              <w:p w14:paraId="77DC3649"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135</w:t>
                </w:r>
                <w:r>
                  <w:fldChar w:fldCharType="end"/>
                </w:r>
                <w:r>
                  <w:rPr>
                    <w:color w:val="7F3F98"/>
                    <w:w w:val="105"/>
                    <w:sz w:val="16"/>
                  </w:rPr>
                  <w:t>]</w:t>
                </w:r>
              </w:p>
            </w:txbxContent>
          </v:textbox>
          <w10:wrap anchorx="page" anchory="page"/>
        </v:shape>
      </w:pict>
    </w: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F19DE3" w14:textId="77777777" w:rsidR="0055291C" w:rsidRDefault="0055291C">
    <w:pPr>
      <w:pStyle w:val="a3"/>
      <w:spacing w:line="14" w:lineRule="auto"/>
      <w:rPr>
        <w:sz w:val="2"/>
      </w:rPr>
    </w:pP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98C95" w14:textId="77777777" w:rsidR="0055291C" w:rsidRDefault="00000000">
    <w:pPr>
      <w:pStyle w:val="a3"/>
      <w:spacing w:line="14" w:lineRule="auto"/>
      <w:rPr>
        <w:sz w:val="20"/>
      </w:rPr>
    </w:pPr>
    <w:r>
      <w:pict w14:anchorId="393F4A0A">
        <v:line id="_x0000_s1036" style="position:absolute;z-index:-21087744;mso-position-horizontal-relative:page;mso-position-vertical-relative:page" from="56.7pt,735.2pt" to="555.3pt,735.2pt" strokecolor="#00aca1" strokeweight=".25pt">
          <w10:wrap anchorx="page" anchory="page"/>
        </v:line>
      </w:pict>
    </w:r>
    <w:r>
      <w:pict w14:anchorId="4C083208">
        <v:shapetype id="_x0000_t202" coordsize="21600,21600" o:spt="202" path="m,l,21600r21600,l21600,xe">
          <v:stroke joinstyle="miter"/>
          <v:path gradientshapeok="t" o:connecttype="rect"/>
        </v:shapetype>
        <v:shape id="docshape1721" o:spid="_x0000_s1035" type="#_x0000_t202" style="position:absolute;margin-left:55.7pt;margin-top:748.25pt;width:233.2pt;height:11pt;z-index:-21087232;mso-position-horizontal-relative:page;mso-position-vertical-relative:page" filled="f" stroked="f">
          <v:textbox style="mso-next-textbox:#docshape1721" inset="0,0,0,0">
            <w:txbxContent>
              <w:p w14:paraId="3C8F585F"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138</w:t>
                </w:r>
                <w:r>
                  <w:fldChar w:fldCharType="end"/>
                </w:r>
                <w:r>
                  <w:rPr>
                    <w:color w:val="7F3F98"/>
                    <w:w w:val="95"/>
                    <w:sz w:val="16"/>
                  </w:rPr>
                  <w:t>]</w:t>
                </w:r>
                <w:r>
                  <w:rPr>
                    <w:color w:val="7F3F98"/>
                    <w:spacing w:val="39"/>
                    <w:sz w:val="16"/>
                  </w:rPr>
                  <w:t xml:space="preserve">  </w:t>
                </w:r>
                <w:r>
                  <w:rPr>
                    <w:rFonts w:ascii="Arial"/>
                    <w:b/>
                    <w:i/>
                    <w:color w:val="545456"/>
                    <w:w w:val="95"/>
                    <w:sz w:val="16"/>
                  </w:rPr>
                  <w:t>Product</w:t>
                </w:r>
                <w:r>
                  <w:rPr>
                    <w:rFonts w:ascii="Arial"/>
                    <w:b/>
                    <w:i/>
                    <w:color w:val="545456"/>
                    <w:spacing w:val="18"/>
                    <w:w w:val="95"/>
                    <w:sz w:val="16"/>
                  </w:rPr>
                  <w:t xml:space="preserve"> </w:t>
                </w:r>
                <w:r>
                  <w:rPr>
                    <w:rFonts w:ascii="Arial"/>
                    <w:b/>
                    <w:i/>
                    <w:color w:val="545456"/>
                    <w:w w:val="95"/>
                    <w:sz w:val="16"/>
                  </w:rPr>
                  <w:t>Life</w:t>
                </w:r>
                <w:r>
                  <w:rPr>
                    <w:rFonts w:ascii="Arial"/>
                    <w:b/>
                    <w:i/>
                    <w:color w:val="545456"/>
                    <w:spacing w:val="17"/>
                    <w:w w:val="95"/>
                    <w:sz w:val="16"/>
                  </w:rPr>
                  <w:t xml:space="preserve"> </w:t>
                </w:r>
                <w:r>
                  <w:rPr>
                    <w:rFonts w:ascii="Arial"/>
                    <w:b/>
                    <w:i/>
                    <w:color w:val="545456"/>
                    <w:w w:val="95"/>
                    <w:sz w:val="16"/>
                  </w:rPr>
                  <w:t>Cycle</w:t>
                </w:r>
                <w:r>
                  <w:rPr>
                    <w:rFonts w:ascii="Arial"/>
                    <w:b/>
                    <w:i/>
                    <w:color w:val="545456"/>
                    <w:spacing w:val="18"/>
                    <w:w w:val="95"/>
                    <w:sz w:val="16"/>
                  </w:rPr>
                  <w:t xml:space="preserve"> </w:t>
                </w:r>
                <w:r>
                  <w:rPr>
                    <w:rFonts w:ascii="Arial"/>
                    <w:b/>
                    <w:i/>
                    <w:color w:val="545456"/>
                    <w:w w:val="95"/>
                    <w:sz w:val="16"/>
                  </w:rPr>
                  <w:t>Accounting</w:t>
                </w:r>
                <w:r>
                  <w:rPr>
                    <w:rFonts w:ascii="Arial"/>
                    <w:b/>
                    <w:i/>
                    <w:color w:val="545456"/>
                    <w:spacing w:val="18"/>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8"/>
                    <w:w w:val="95"/>
                    <w:sz w:val="16"/>
                  </w:rPr>
                  <w:t xml:space="preserve"> </w:t>
                </w:r>
                <w:r>
                  <w:rPr>
                    <w:rFonts w:ascii="Arial"/>
                    <w:b/>
                    <w:i/>
                    <w:color w:val="545456"/>
                    <w:w w:val="95"/>
                    <w:sz w:val="16"/>
                  </w:rPr>
                  <w:t>Standard</w:t>
                </w:r>
              </w:p>
            </w:txbxContent>
          </v:textbox>
          <w10:wrap anchorx="page" anchory="page"/>
        </v:shape>
      </w:pict>
    </w: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548DA0" w14:textId="77777777" w:rsidR="0055291C" w:rsidRDefault="00000000">
    <w:pPr>
      <w:pStyle w:val="a3"/>
      <w:spacing w:line="14" w:lineRule="auto"/>
      <w:rPr>
        <w:sz w:val="20"/>
      </w:rPr>
    </w:pPr>
    <w:r>
      <w:pict w14:anchorId="717432EC">
        <v:line id="_x0000_s1034" style="position:absolute;z-index:-21086720;mso-position-horizontal-relative:page;mso-position-vertical-relative:page" from="56.7pt,735.2pt" to="555.3pt,735.2pt" strokecolor="#00aca1" strokeweight=".25pt">
          <w10:wrap anchorx="page" anchory="page"/>
        </v:line>
      </w:pict>
    </w:r>
    <w:r>
      <w:pict w14:anchorId="11D275A8">
        <v:shapetype id="_x0000_t202" coordsize="21600,21600" o:spt="202" path="m,l,21600r21600,l21600,xe">
          <v:stroke joinstyle="miter"/>
          <v:path gradientshapeok="t" o:connecttype="rect"/>
        </v:shapetype>
        <v:shape id="docshape1722" o:spid="_x0000_s1033" type="#_x0000_t202" style="position:absolute;margin-left:536.1pt;margin-top:748.25pt;width:20.5pt;height:11pt;z-index:-21086208;mso-position-horizontal-relative:page;mso-position-vertical-relative:page" filled="f" stroked="f">
          <v:textbox style="mso-next-textbox:#docshape1722" inset="0,0,0,0">
            <w:txbxContent>
              <w:p w14:paraId="7F71DE9E"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139</w:t>
                </w:r>
                <w:r>
                  <w:fldChar w:fldCharType="end"/>
                </w:r>
                <w:r>
                  <w:rPr>
                    <w:color w:val="7F3F98"/>
                    <w:w w:val="105"/>
                    <w:sz w:val="16"/>
                  </w:rPr>
                  <w:t>]</w:t>
                </w:r>
              </w:p>
            </w:txbxContent>
          </v:textbox>
          <w10:wrap anchorx="page" anchory="page"/>
        </v:shape>
      </w:pict>
    </w: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AA453" w14:textId="77777777" w:rsidR="0055291C" w:rsidRDefault="00000000">
    <w:pPr>
      <w:pStyle w:val="a3"/>
      <w:spacing w:line="14" w:lineRule="auto"/>
      <w:rPr>
        <w:sz w:val="20"/>
      </w:rPr>
    </w:pPr>
    <w:r>
      <w:pict w14:anchorId="51F8737D">
        <v:line id="_x0000_s1032" style="position:absolute;z-index:-21085696;mso-position-horizontal-relative:page;mso-position-vertical-relative:page" from="56.7pt,735.2pt" to="555.3pt,735.2pt" strokecolor="#00aca1" strokeweight=".25pt">
          <w10:wrap anchorx="page" anchory="page"/>
        </v:line>
      </w:pict>
    </w:r>
    <w:r>
      <w:pict w14:anchorId="43736ADC">
        <v:shapetype id="_x0000_t202" coordsize="21600,21600" o:spt="202" path="m,l,21600r21600,l21600,xe">
          <v:stroke joinstyle="miter"/>
          <v:path gradientshapeok="t" o:connecttype="rect"/>
        </v:shapetype>
        <v:shape id="docshape1730" o:spid="_x0000_s1031" type="#_x0000_t202" style="position:absolute;margin-left:55.7pt;margin-top:748.25pt;width:233.2pt;height:11pt;z-index:-21085184;mso-position-horizontal-relative:page;mso-position-vertical-relative:page" filled="f" stroked="f">
          <v:textbox inset="0,0,0,0">
            <w:txbxContent>
              <w:p w14:paraId="2B443A59"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140</w:t>
                </w:r>
                <w:r>
                  <w:fldChar w:fldCharType="end"/>
                </w:r>
                <w:r>
                  <w:rPr>
                    <w:color w:val="7F3F98"/>
                    <w:w w:val="95"/>
                    <w:sz w:val="16"/>
                  </w:rPr>
                  <w:t>]</w:t>
                </w:r>
                <w:r>
                  <w:rPr>
                    <w:color w:val="7F3F98"/>
                    <w:spacing w:val="39"/>
                    <w:sz w:val="16"/>
                  </w:rPr>
                  <w:t xml:space="preserve">  </w:t>
                </w:r>
                <w:r>
                  <w:rPr>
                    <w:rFonts w:ascii="Arial"/>
                    <w:b/>
                    <w:i/>
                    <w:color w:val="545456"/>
                    <w:w w:val="95"/>
                    <w:sz w:val="16"/>
                  </w:rPr>
                  <w:t>Product</w:t>
                </w:r>
                <w:r>
                  <w:rPr>
                    <w:rFonts w:ascii="Arial"/>
                    <w:b/>
                    <w:i/>
                    <w:color w:val="545456"/>
                    <w:spacing w:val="18"/>
                    <w:w w:val="95"/>
                    <w:sz w:val="16"/>
                  </w:rPr>
                  <w:t xml:space="preserve"> </w:t>
                </w:r>
                <w:r>
                  <w:rPr>
                    <w:rFonts w:ascii="Arial"/>
                    <w:b/>
                    <w:i/>
                    <w:color w:val="545456"/>
                    <w:w w:val="95"/>
                    <w:sz w:val="16"/>
                  </w:rPr>
                  <w:t>Life</w:t>
                </w:r>
                <w:r>
                  <w:rPr>
                    <w:rFonts w:ascii="Arial"/>
                    <w:b/>
                    <w:i/>
                    <w:color w:val="545456"/>
                    <w:spacing w:val="17"/>
                    <w:w w:val="95"/>
                    <w:sz w:val="16"/>
                  </w:rPr>
                  <w:t xml:space="preserve"> </w:t>
                </w:r>
                <w:r>
                  <w:rPr>
                    <w:rFonts w:ascii="Arial"/>
                    <w:b/>
                    <w:i/>
                    <w:color w:val="545456"/>
                    <w:w w:val="95"/>
                    <w:sz w:val="16"/>
                  </w:rPr>
                  <w:t>Cycle</w:t>
                </w:r>
                <w:r>
                  <w:rPr>
                    <w:rFonts w:ascii="Arial"/>
                    <w:b/>
                    <w:i/>
                    <w:color w:val="545456"/>
                    <w:spacing w:val="18"/>
                    <w:w w:val="95"/>
                    <w:sz w:val="16"/>
                  </w:rPr>
                  <w:t xml:space="preserve"> </w:t>
                </w:r>
                <w:r>
                  <w:rPr>
                    <w:rFonts w:ascii="Arial"/>
                    <w:b/>
                    <w:i/>
                    <w:color w:val="545456"/>
                    <w:w w:val="95"/>
                    <w:sz w:val="16"/>
                  </w:rPr>
                  <w:t>Accounting</w:t>
                </w:r>
                <w:r>
                  <w:rPr>
                    <w:rFonts w:ascii="Arial"/>
                    <w:b/>
                    <w:i/>
                    <w:color w:val="545456"/>
                    <w:spacing w:val="18"/>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8"/>
                    <w:w w:val="95"/>
                    <w:sz w:val="16"/>
                  </w:rPr>
                  <w:t xml:space="preserve"> </w:t>
                </w:r>
                <w:r>
                  <w:rPr>
                    <w:rFonts w:ascii="Arial"/>
                    <w:b/>
                    <w:i/>
                    <w:color w:val="545456"/>
                    <w:w w:val="95"/>
                    <w:sz w:val="16"/>
                  </w:rPr>
                  <w:t>Standard</w:t>
                </w:r>
              </w:p>
            </w:txbxContent>
          </v:textbox>
          <w10:wrap anchorx="page" anchory="page"/>
        </v:shape>
      </w:pict>
    </w: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16F508" w14:textId="77777777" w:rsidR="0055291C" w:rsidRDefault="00000000">
    <w:pPr>
      <w:pStyle w:val="a3"/>
      <w:spacing w:line="14" w:lineRule="auto"/>
      <w:rPr>
        <w:sz w:val="20"/>
      </w:rPr>
    </w:pPr>
    <w:r>
      <w:pict w14:anchorId="3DD75BB4">
        <v:line id="_x0000_s1030" style="position:absolute;z-index:-21084672;mso-position-horizontal-relative:page;mso-position-vertical-relative:page" from="56.7pt,735.2pt" to="555.3pt,735.2pt" strokecolor="#00aca1" strokeweight=".25pt">
          <w10:wrap anchorx="page" anchory="page"/>
        </v:line>
      </w:pict>
    </w:r>
    <w:r>
      <w:pict w14:anchorId="09E5E3CF">
        <v:shapetype id="_x0000_t202" coordsize="21600,21600" o:spt="202" path="m,l,21600r21600,l21600,xe">
          <v:stroke joinstyle="miter"/>
          <v:path gradientshapeok="t" o:connecttype="rect"/>
        </v:shapetype>
        <v:shape id="docshape1731" o:spid="_x0000_s1029" type="#_x0000_t202" style="position:absolute;margin-left:536.1pt;margin-top:748.25pt;width:20.5pt;height:11pt;z-index:-21084160;mso-position-horizontal-relative:page;mso-position-vertical-relative:page" filled="f" stroked="f">
          <v:textbox inset="0,0,0,0">
            <w:txbxContent>
              <w:p w14:paraId="71FB1C19"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141</w:t>
                </w:r>
                <w:r>
                  <w:fldChar w:fldCharType="end"/>
                </w:r>
                <w:r>
                  <w:rPr>
                    <w:color w:val="7F3F98"/>
                    <w:w w:val="105"/>
                    <w:sz w:val="16"/>
                  </w:rPr>
                  <w:t>]</w:t>
                </w:r>
              </w:p>
            </w:txbxContent>
          </v:textbox>
          <w10:wrap anchorx="page" anchory="page"/>
        </v:shape>
      </w:pict>
    </w: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24CFA" w14:textId="77777777" w:rsidR="0055291C" w:rsidRDefault="00000000">
    <w:pPr>
      <w:pStyle w:val="a3"/>
      <w:spacing w:line="14" w:lineRule="auto"/>
      <w:rPr>
        <w:sz w:val="20"/>
      </w:rPr>
    </w:pPr>
    <w:r>
      <w:pict w14:anchorId="204C5303">
        <v:line id="_x0000_s1026" style="position:absolute;z-index:-21082624;mso-position-horizontal-relative:page;mso-position-vertical-relative:page" from="56.7pt,735.2pt" to="555.3pt,735.2pt" strokecolor="#00aca1" strokeweight=".25pt">
          <w10:wrap anchorx="page" anchory="page"/>
        </v:line>
      </w:pict>
    </w:r>
    <w:r>
      <w:pict w14:anchorId="2B19689E">
        <v:shapetype id="_x0000_t202" coordsize="21600,21600" o:spt="202" path="m,l,21600r21600,l21600,xe">
          <v:stroke joinstyle="miter"/>
          <v:path gradientshapeok="t" o:connecttype="rect"/>
        </v:shapetype>
        <v:shape id="docshape1741" o:spid="_x0000_s1025" type="#_x0000_t202" style="position:absolute;margin-left:536.1pt;margin-top:748.25pt;width:20.5pt;height:11pt;z-index:-21082112;mso-position-horizontal-relative:page;mso-position-vertical-relative:page" filled="f" stroked="f">
          <v:textbox inset="0,0,0,0">
            <w:txbxContent>
              <w:p w14:paraId="1F409ED4"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143</w:t>
                </w:r>
                <w:r>
                  <w:fldChar w:fldCharType="end"/>
                </w:r>
                <w:r>
                  <w:rPr>
                    <w:color w:val="7F3F98"/>
                    <w:w w:val="105"/>
                    <w:sz w:val="16"/>
                  </w:rPr>
                  <w:t>]</w:t>
                </w:r>
              </w:p>
            </w:txbxContent>
          </v:textbox>
          <w10:wrap anchorx="page" anchory="page"/>
        </v:shape>
      </w:pict>
    </w: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356AF1" w14:textId="77777777" w:rsidR="0055291C" w:rsidRDefault="0055291C">
    <w:pPr>
      <w:pStyle w:val="a3"/>
      <w:spacing w:line="14" w:lineRule="auto"/>
      <w:rPr>
        <w:sz w:val="2"/>
      </w:rPr>
    </w:pP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60F3C" w14:textId="77777777" w:rsidR="0055291C" w:rsidRDefault="0055291C">
    <w:pPr>
      <w:pStyle w:val="a3"/>
      <w:spacing w:line="14" w:lineRule="auto"/>
      <w:rPr>
        <w:sz w:val="2"/>
      </w:rPr>
    </w:pP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BDD06" w14:textId="77777777" w:rsidR="0055291C" w:rsidRDefault="0055291C">
    <w:pPr>
      <w:pStyle w:val="a3"/>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35D3F" w14:textId="77777777" w:rsidR="0055291C" w:rsidRDefault="00000000">
    <w:pPr>
      <w:pStyle w:val="a3"/>
      <w:spacing w:line="14" w:lineRule="auto"/>
      <w:rPr>
        <w:sz w:val="20"/>
      </w:rPr>
    </w:pPr>
    <w:r>
      <w:pict w14:anchorId="7834B54C">
        <v:line id="_x0000_s1304" style="position:absolute;z-index:-21224960;mso-position-horizontal-relative:page;mso-position-vertical-relative:page" from="56.7pt,735.2pt" to="555.3pt,735.2pt" strokecolor="#00aca1" strokeweight=".25pt">
          <w10:wrap anchorx="page" anchory="page"/>
        </v:line>
      </w:pict>
    </w:r>
    <w:r>
      <w:pict w14:anchorId="191C1C6C">
        <v:shapetype id="_x0000_t202" coordsize="21600,21600" o:spt="202" path="m,l,21600r21600,l21600,xe">
          <v:stroke joinstyle="miter"/>
          <v:path gradientshapeok="t" o:connecttype="rect"/>
        </v:shapetype>
        <v:shape id="docshape265" o:spid="_x0000_s1303" type="#_x0000_t202" style="position:absolute;margin-left:540.6pt;margin-top:748.25pt;width:16pt;height:11pt;z-index:-21224448;mso-position-horizontal-relative:page;mso-position-vertical-relative:page" filled="f" stroked="f">
          <v:textbox style="mso-next-textbox:#docshape265" inset="0,0,0,0">
            <w:txbxContent>
              <w:p w14:paraId="17E3D456"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13</w:t>
                </w:r>
                <w:r>
                  <w:fldChar w:fldCharType="end"/>
                </w:r>
                <w:r>
                  <w:rPr>
                    <w:color w:val="7F3F98"/>
                    <w:w w:val="105"/>
                    <w:sz w:val="16"/>
                  </w:rPr>
                  <w:t>]</w:t>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FAA449" w14:textId="77777777" w:rsidR="0055291C" w:rsidRDefault="00000000">
    <w:pPr>
      <w:pStyle w:val="a3"/>
      <w:spacing w:line="14" w:lineRule="auto"/>
      <w:rPr>
        <w:sz w:val="20"/>
      </w:rPr>
    </w:pPr>
    <w:r>
      <w:pict w14:anchorId="76B65B69">
        <v:line id="_x0000_s1296" style="position:absolute;z-index:-21220864;mso-position-horizontal-relative:page;mso-position-vertical-relative:page" from="56.7pt,735.2pt" to="555.3pt,735.2pt" strokecolor="#00aca1" strokeweight=".25pt">
          <w10:wrap anchorx="page" anchory="page"/>
        </v:line>
      </w:pict>
    </w:r>
    <w:r>
      <w:pict w14:anchorId="4CDDD22A">
        <v:shapetype id="_x0000_t202" coordsize="21600,21600" o:spt="202" path="m,l,21600r21600,l21600,xe">
          <v:stroke joinstyle="miter"/>
          <v:path gradientshapeok="t" o:connecttype="rect"/>
        </v:shapetype>
        <v:shape id="docshape339" o:spid="_x0000_s1295" type="#_x0000_t202" style="position:absolute;margin-left:55.7pt;margin-top:748.25pt;width:228.5pt;height:11pt;z-index:-21220352;mso-position-horizontal-relative:page;mso-position-vertical-relative:page" filled="f" stroked="f">
          <v:textbox style="mso-next-textbox:#docshape339" inset="0,0,0,0">
            <w:txbxContent>
              <w:p w14:paraId="21B22CB4"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16</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5CB5C5" w14:textId="77777777" w:rsidR="0055291C" w:rsidRDefault="00000000">
    <w:pPr>
      <w:pStyle w:val="a3"/>
      <w:spacing w:line="14" w:lineRule="auto"/>
      <w:rPr>
        <w:sz w:val="20"/>
      </w:rPr>
    </w:pPr>
    <w:r>
      <w:pict w14:anchorId="74D47B62">
        <v:line id="_x0000_s1294" style="position:absolute;z-index:-21219840;mso-position-horizontal-relative:page;mso-position-vertical-relative:page" from="56.7pt,735.2pt" to="555.3pt,735.2pt" strokecolor="#00aca1" strokeweight=".25pt">
          <w10:wrap anchorx="page" anchory="page"/>
        </v:line>
      </w:pict>
    </w:r>
    <w:r>
      <w:pict w14:anchorId="168E4E8C">
        <v:shapetype id="_x0000_t202" coordsize="21600,21600" o:spt="202" path="m,l,21600r21600,l21600,xe">
          <v:stroke joinstyle="miter"/>
          <v:path gradientshapeok="t" o:connecttype="rect"/>
        </v:shapetype>
        <v:shape id="docshape340" o:spid="_x0000_s1293" type="#_x0000_t202" style="position:absolute;margin-left:540.6pt;margin-top:748.25pt;width:16pt;height:11pt;z-index:-21219328;mso-position-horizontal-relative:page;mso-position-vertical-relative:page" filled="f" stroked="f">
          <v:textbox style="mso-next-textbox:#docshape340" inset="0,0,0,0">
            <w:txbxContent>
              <w:p w14:paraId="327F9BCB"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17</w:t>
                </w:r>
                <w:r>
                  <w:fldChar w:fldCharType="end"/>
                </w:r>
                <w:r>
                  <w:rPr>
                    <w:color w:val="7F3F98"/>
                    <w:w w:val="105"/>
                    <w:sz w:val="16"/>
                  </w:rPr>
                  <w:t>]</w:t>
                </w:r>
              </w:p>
            </w:txbxContent>
          </v:textbox>
          <w10:wrap anchorx="page" anchory="page"/>
        </v:shape>
      </w:pic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40DB19" w14:textId="77777777" w:rsidR="0055291C" w:rsidRDefault="0055291C">
    <w:pPr>
      <w:pStyle w:val="a3"/>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798069" w14:textId="77777777" w:rsidR="0055291C" w:rsidRDefault="00000000">
    <w:pPr>
      <w:pStyle w:val="a3"/>
      <w:spacing w:line="14" w:lineRule="auto"/>
      <w:rPr>
        <w:sz w:val="20"/>
      </w:rPr>
    </w:pPr>
    <w:r>
      <w:pict w14:anchorId="6C6812B8">
        <v:line id="_x0000_s1292" style="position:absolute;z-index:-21218816;mso-position-horizontal-relative:page;mso-position-vertical-relative:page" from="56.7pt,735.2pt" to="555.3pt,735.2pt" strokecolor="#00aca1" strokeweight=".25pt">
          <w10:wrap anchorx="page" anchory="page"/>
        </v:line>
      </w:pict>
    </w:r>
    <w:r>
      <w:pict w14:anchorId="6FA31015">
        <v:shapetype id="_x0000_t202" coordsize="21600,21600" o:spt="202" path="m,l,21600r21600,l21600,xe">
          <v:stroke joinstyle="miter"/>
          <v:path gradientshapeok="t" o:connecttype="rect"/>
        </v:shapetype>
        <v:shape id="docshape359" o:spid="_x0000_s1291" type="#_x0000_t202" style="position:absolute;margin-left:540.6pt;margin-top:748.25pt;width:16pt;height:11pt;z-index:-21218304;mso-position-horizontal-relative:page;mso-position-vertical-relative:page" filled="f" stroked="f">
          <v:textbox style="mso-next-textbox:#docshape359" inset="0,0,0,0">
            <w:txbxContent>
              <w:p w14:paraId="62BC9E13"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19</w:t>
                </w:r>
                <w:r>
                  <w:fldChar w:fldCharType="end"/>
                </w:r>
                <w:r>
                  <w:rPr>
                    <w:color w:val="7F3F98"/>
                    <w:w w:val="105"/>
                    <w:sz w:val="16"/>
                  </w:rPr>
                  <w:t>]</w:t>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08CB1" w14:textId="77777777" w:rsidR="0055291C" w:rsidRDefault="0055291C">
    <w:pPr>
      <w:pStyle w:val="a3"/>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1A25" w14:textId="77777777" w:rsidR="0055291C" w:rsidRDefault="00000000">
    <w:pPr>
      <w:pStyle w:val="a3"/>
      <w:spacing w:line="14" w:lineRule="auto"/>
      <w:rPr>
        <w:sz w:val="20"/>
      </w:rPr>
    </w:pPr>
    <w:r>
      <w:pict w14:anchorId="5DACDD8E">
        <v:line id="_x0000_s1288" style="position:absolute;z-index:-21216768;mso-position-horizontal-relative:page;mso-position-vertical-relative:page" from="56.7pt,735.2pt" to="555.3pt,735.2pt" strokecolor="#00aca1" strokeweight=".25pt">
          <w10:wrap anchorx="page" anchory="page"/>
        </v:line>
      </w:pict>
    </w:r>
    <w:r>
      <w:pict w14:anchorId="4BBC6807">
        <v:shapetype id="_x0000_t202" coordsize="21600,21600" o:spt="202" path="m,l,21600r21600,l21600,xe">
          <v:stroke joinstyle="miter"/>
          <v:path gradientshapeok="t" o:connecttype="rect"/>
        </v:shapetype>
        <v:shape id="docshape375" o:spid="_x0000_s1287" type="#_x0000_t202" style="position:absolute;margin-left:55.7pt;margin-top:748.25pt;width:228.5pt;height:11pt;z-index:-21216256;mso-position-horizontal-relative:page;mso-position-vertical-relative:page" filled="f" stroked="f">
          <v:textbox style="mso-next-textbox:#docshape375" inset="0,0,0,0">
            <w:txbxContent>
              <w:p w14:paraId="6B13C407"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22</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C3C63B" w14:textId="77777777" w:rsidR="0055291C" w:rsidRDefault="00000000">
    <w:pPr>
      <w:pStyle w:val="a3"/>
      <w:spacing w:line="14" w:lineRule="auto"/>
      <w:rPr>
        <w:sz w:val="20"/>
      </w:rPr>
    </w:pPr>
    <w:r>
      <w:pict w14:anchorId="5027B180">
        <v:line id="_x0000_s1320" style="position:absolute;z-index:-21233152;mso-position-horizontal-relative:page;mso-position-vertical-relative:page" from="56.7pt,735.2pt" to="555.3pt,735.2pt" strokecolor="#00aca1" strokeweight=".25pt">
          <w10:wrap anchorx="page" anchory="page"/>
        </v:line>
      </w:pict>
    </w:r>
    <w:r>
      <w:pict w14:anchorId="1DD168AC">
        <v:shapetype id="_x0000_t202" coordsize="21600,21600" o:spt="202" path="m,l,21600r21600,l21600,xe">
          <v:stroke joinstyle="miter"/>
          <v:path gradientshapeok="t" o:connecttype="rect"/>
        </v:shapetype>
        <v:shape id="docshape180" o:spid="_x0000_s1319" type="#_x0000_t202" style="position:absolute;margin-left:55.7pt;margin-top:748.25pt;width:228.5pt;height:11pt;z-index:-21232640;mso-position-horizontal-relative:page;mso-position-vertical-relative:page" filled="f" stroked="f">
          <v:textbox style="mso-next-textbox:#docshape180" inset="0,0,0,0">
            <w:txbxContent>
              <w:p w14:paraId="0E742504" w14:textId="77777777" w:rsidR="0055291C" w:rsidRDefault="00F23C61">
                <w:pPr>
                  <w:spacing w:before="19"/>
                  <w:ind w:left="20"/>
                  <w:rPr>
                    <w:rFonts w:ascii="Arial"/>
                    <w:b/>
                    <w:i/>
                    <w:sz w:val="16"/>
                  </w:rPr>
                </w:pPr>
                <w:r>
                  <w:rPr>
                    <w:color w:val="7F3F98"/>
                    <w:w w:val="95"/>
                    <w:sz w:val="16"/>
                  </w:rPr>
                  <w:t>[04]</w:t>
                </w:r>
                <w:r>
                  <w:rPr>
                    <w:color w:val="7F3F98"/>
                    <w:spacing w:val="40"/>
                    <w:sz w:val="16"/>
                  </w:rPr>
                  <w:t xml:space="preserve">  </w:t>
                </w:r>
                <w:r>
                  <w:rPr>
                    <w:rFonts w:ascii="Arial"/>
                    <w:b/>
                    <w:i/>
                    <w:color w:val="545456"/>
                    <w:w w:val="95"/>
                    <w:sz w:val="16"/>
                  </w:rPr>
                  <w:t>Product</w:t>
                </w:r>
                <w:r>
                  <w:rPr>
                    <w:rFonts w:ascii="Arial"/>
                    <w:b/>
                    <w:i/>
                    <w:color w:val="545456"/>
                    <w:spacing w:val="18"/>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9"/>
                    <w:w w:val="95"/>
                    <w:sz w:val="16"/>
                  </w:rPr>
                  <w:t xml:space="preserve"> </w:t>
                </w:r>
                <w:r>
                  <w:rPr>
                    <w:rFonts w:ascii="Arial"/>
                    <w:b/>
                    <w:i/>
                    <w:color w:val="545456"/>
                    <w:w w:val="95"/>
                    <w:sz w:val="16"/>
                  </w:rPr>
                  <w:t>Accounting</w:t>
                </w:r>
                <w:r>
                  <w:rPr>
                    <w:rFonts w:ascii="Arial"/>
                    <w:b/>
                    <w:i/>
                    <w:color w:val="545456"/>
                    <w:spacing w:val="18"/>
                    <w:w w:val="95"/>
                    <w:sz w:val="16"/>
                  </w:rPr>
                  <w:t xml:space="preserve"> </w:t>
                </w:r>
                <w:r>
                  <w:rPr>
                    <w:rFonts w:ascii="Arial"/>
                    <w:b/>
                    <w:i/>
                    <w:color w:val="545456"/>
                    <w:w w:val="95"/>
                    <w:sz w:val="16"/>
                  </w:rPr>
                  <w:t>and</w:t>
                </w:r>
                <w:r>
                  <w:rPr>
                    <w:rFonts w:ascii="Arial"/>
                    <w:b/>
                    <w:i/>
                    <w:color w:val="545456"/>
                    <w:spacing w:val="18"/>
                    <w:w w:val="95"/>
                    <w:sz w:val="16"/>
                  </w:rPr>
                  <w:t xml:space="preserve"> </w:t>
                </w:r>
                <w:r>
                  <w:rPr>
                    <w:rFonts w:ascii="Arial"/>
                    <w:b/>
                    <w:i/>
                    <w:color w:val="545456"/>
                    <w:w w:val="95"/>
                    <w:sz w:val="16"/>
                  </w:rPr>
                  <w:t>Reporting</w:t>
                </w:r>
                <w:r>
                  <w:rPr>
                    <w:rFonts w:ascii="Arial"/>
                    <w:b/>
                    <w:i/>
                    <w:color w:val="545456"/>
                    <w:spacing w:val="19"/>
                    <w:w w:val="95"/>
                    <w:sz w:val="16"/>
                  </w:rPr>
                  <w:t xml:space="preserve"> </w:t>
                </w:r>
                <w:r>
                  <w:rPr>
                    <w:rFonts w:ascii="Arial"/>
                    <w:b/>
                    <w:i/>
                    <w:color w:val="545456"/>
                    <w:w w:val="95"/>
                    <w:sz w:val="16"/>
                  </w:rPr>
                  <w:t>Standard</w:t>
                </w: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B71219" w14:textId="77777777" w:rsidR="0055291C" w:rsidRDefault="00000000">
    <w:pPr>
      <w:pStyle w:val="a3"/>
      <w:spacing w:line="14" w:lineRule="auto"/>
      <w:rPr>
        <w:sz w:val="20"/>
      </w:rPr>
    </w:pPr>
    <w:r>
      <w:pict w14:anchorId="15EFAD69">
        <v:line id="_x0000_s1290" style="position:absolute;z-index:-21217792;mso-position-horizontal-relative:page;mso-position-vertical-relative:page" from="56.7pt,735.2pt" to="555.3pt,735.2pt" strokecolor="#00aca1" strokeweight=".25pt">
          <w10:wrap anchorx="page" anchory="page"/>
        </v:line>
      </w:pict>
    </w:r>
    <w:r>
      <w:pict w14:anchorId="26DC58F5">
        <v:shapetype id="_x0000_t202" coordsize="21600,21600" o:spt="202" path="m,l,21600r21600,l21600,xe">
          <v:stroke joinstyle="miter"/>
          <v:path gradientshapeok="t" o:connecttype="rect"/>
        </v:shapetype>
        <v:shape id="docshape374" o:spid="_x0000_s1289" type="#_x0000_t202" style="position:absolute;margin-left:540.6pt;margin-top:748.25pt;width:16pt;height:11pt;z-index:-21217280;mso-position-horizontal-relative:page;mso-position-vertical-relative:page" filled="f" stroked="f">
          <v:textbox style="mso-next-textbox:#docshape374" inset="0,0,0,0">
            <w:txbxContent>
              <w:p w14:paraId="6DBC1A8C"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21</w:t>
                </w:r>
                <w:r>
                  <w:fldChar w:fldCharType="end"/>
                </w:r>
                <w:r>
                  <w:rPr>
                    <w:color w:val="7F3F98"/>
                    <w:w w:val="105"/>
                    <w:sz w:val="16"/>
                  </w:rPr>
                  <w:t>]</w:t>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33E478" w14:textId="77777777" w:rsidR="0055291C" w:rsidRDefault="00000000">
    <w:pPr>
      <w:pStyle w:val="a3"/>
      <w:spacing w:line="14" w:lineRule="auto"/>
      <w:rPr>
        <w:sz w:val="20"/>
      </w:rPr>
    </w:pPr>
    <w:r>
      <w:pict w14:anchorId="6E4D713D">
        <v:line id="_x0000_s1284" style="position:absolute;z-index:-21214720;mso-position-horizontal-relative:page;mso-position-vertical-relative:page" from="56.7pt,735.2pt" to="555.3pt,735.2pt" strokecolor="#00aca1" strokeweight=".25pt">
          <w10:wrap anchorx="page" anchory="page"/>
        </v:line>
      </w:pict>
    </w:r>
    <w:r>
      <w:pict w14:anchorId="2BFE20E1">
        <v:shapetype id="_x0000_t202" coordsize="21600,21600" o:spt="202" path="m,l,21600r21600,l21600,xe">
          <v:stroke joinstyle="miter"/>
          <v:path gradientshapeok="t" o:connecttype="rect"/>
        </v:shapetype>
        <v:shape id="docshape392" o:spid="_x0000_s1283" type="#_x0000_t202" style="position:absolute;margin-left:55.7pt;margin-top:748.25pt;width:228.5pt;height:11pt;z-index:-21214208;mso-position-horizontal-relative:page;mso-position-vertical-relative:page" filled="f" stroked="f">
          <v:textbox style="mso-next-textbox:#docshape392" inset="0,0,0,0">
            <w:txbxContent>
              <w:p w14:paraId="2B375F5F"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24</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009ED" w14:textId="77777777" w:rsidR="0055291C" w:rsidRDefault="00000000">
    <w:pPr>
      <w:pStyle w:val="a3"/>
      <w:spacing w:line="14" w:lineRule="auto"/>
      <w:rPr>
        <w:sz w:val="20"/>
      </w:rPr>
    </w:pPr>
    <w:r>
      <w:pict w14:anchorId="4F402AFC">
        <v:line id="_x0000_s1286" style="position:absolute;z-index:-21215744;mso-position-horizontal-relative:page;mso-position-vertical-relative:page" from="56.7pt,735.2pt" to="555.3pt,735.2pt" strokecolor="#00aca1" strokeweight=".25pt">
          <w10:wrap anchorx="page" anchory="page"/>
        </v:line>
      </w:pict>
    </w:r>
    <w:r>
      <w:pict w14:anchorId="6BBDD7D1">
        <v:shapetype id="_x0000_t202" coordsize="21600,21600" o:spt="202" path="m,l,21600r21600,l21600,xe">
          <v:stroke joinstyle="miter"/>
          <v:path gradientshapeok="t" o:connecttype="rect"/>
        </v:shapetype>
        <v:shape id="docshape391" o:spid="_x0000_s1285" type="#_x0000_t202" style="position:absolute;margin-left:540.6pt;margin-top:748.25pt;width:16pt;height:11pt;z-index:-21215232;mso-position-horizontal-relative:page;mso-position-vertical-relative:page" filled="f" stroked="f">
          <v:textbox style="mso-next-textbox:#docshape391" inset="0,0,0,0">
            <w:txbxContent>
              <w:p w14:paraId="6AD4961A"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23</w:t>
                </w:r>
                <w:r>
                  <w:fldChar w:fldCharType="end"/>
                </w:r>
                <w:r>
                  <w:rPr>
                    <w:color w:val="7F3F98"/>
                    <w:w w:val="105"/>
                    <w:sz w:val="16"/>
                  </w:rPr>
                  <w:t>]</w:t>
                </w:r>
              </w:p>
            </w:txbxContent>
          </v:textbox>
          <w10:wrap anchorx="page" anchory="page"/>
        </v:shape>
      </w:pic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6579C1" w14:textId="77777777" w:rsidR="0055291C" w:rsidRDefault="00000000">
    <w:pPr>
      <w:pStyle w:val="a3"/>
      <w:spacing w:line="14" w:lineRule="auto"/>
      <w:rPr>
        <w:sz w:val="20"/>
      </w:rPr>
    </w:pPr>
    <w:r>
      <w:pict w14:anchorId="6D0D57B2">
        <v:line id="_x0000_s1282" style="position:absolute;z-index:-21213696;mso-position-horizontal-relative:page;mso-position-vertical-relative:page" from="56.7pt,735.2pt" to="555.3pt,735.2pt" strokecolor="#00aca1" strokeweight=".25pt">
          <w10:wrap anchorx="page" anchory="page"/>
        </v:line>
      </w:pict>
    </w:r>
    <w:r>
      <w:pict w14:anchorId="33EA41B9">
        <v:shapetype id="_x0000_t202" coordsize="21600,21600" o:spt="202" path="m,l,21600r21600,l21600,xe">
          <v:stroke joinstyle="miter"/>
          <v:path gradientshapeok="t" o:connecttype="rect"/>
        </v:shapetype>
        <v:shape id="docshape441" o:spid="_x0000_s1281" type="#_x0000_t202" style="position:absolute;margin-left:540.6pt;margin-top:748.25pt;width:16pt;height:11pt;z-index:-21213184;mso-position-horizontal-relative:page;mso-position-vertical-relative:page" filled="f" stroked="f">
          <v:textbox style="mso-next-textbox:#docshape441" inset="0,0,0,0">
            <w:txbxContent>
              <w:p w14:paraId="25BB9272"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25</w:t>
                </w:r>
                <w:r>
                  <w:fldChar w:fldCharType="end"/>
                </w:r>
                <w:r>
                  <w:rPr>
                    <w:color w:val="7F3F98"/>
                    <w:w w:val="105"/>
                    <w:sz w:val="16"/>
                  </w:rPr>
                  <w:t>]</w:t>
                </w:r>
              </w:p>
            </w:txbxContent>
          </v:textbox>
          <w10:wrap anchorx="page" anchory="page"/>
        </v:shape>
      </w:pic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4EB2D" w14:textId="77777777" w:rsidR="0055291C" w:rsidRDefault="0055291C">
    <w:pPr>
      <w:pStyle w:val="a3"/>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4B27DF" w14:textId="77777777" w:rsidR="0055291C" w:rsidRDefault="00000000">
    <w:pPr>
      <w:pStyle w:val="a3"/>
      <w:spacing w:line="14" w:lineRule="auto"/>
      <w:rPr>
        <w:sz w:val="20"/>
      </w:rPr>
    </w:pPr>
    <w:r>
      <w:pict w14:anchorId="3CE82C00">
        <v:line id="_x0000_s1278" style="position:absolute;z-index:-21211648;mso-position-horizontal-relative:page;mso-position-vertical-relative:page" from="56.7pt,735.2pt" to="555.3pt,735.2pt" strokecolor="#00aca1" strokeweight=".25pt">
          <w10:wrap anchorx="page" anchory="page"/>
        </v:line>
      </w:pict>
    </w:r>
    <w:r>
      <w:pict w14:anchorId="31ECD504">
        <v:shapetype id="_x0000_t202" coordsize="21600,21600" o:spt="202" path="m,l,21600r21600,l21600,xe">
          <v:stroke joinstyle="miter"/>
          <v:path gradientshapeok="t" o:connecttype="rect"/>
        </v:shapetype>
        <v:shape id="docshape450" o:spid="_x0000_s1277" type="#_x0000_t202" style="position:absolute;margin-left:55.7pt;margin-top:748.25pt;width:228.5pt;height:11pt;z-index:-21211136;mso-position-horizontal-relative:page;mso-position-vertical-relative:page" filled="f" stroked="f">
          <v:textbox style="mso-next-textbox:#docshape450" inset="0,0,0,0">
            <w:txbxContent>
              <w:p w14:paraId="0436E362"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28</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AD6936" w14:textId="77777777" w:rsidR="0055291C" w:rsidRDefault="00000000">
    <w:pPr>
      <w:pStyle w:val="a3"/>
      <w:spacing w:line="14" w:lineRule="auto"/>
      <w:rPr>
        <w:sz w:val="20"/>
      </w:rPr>
    </w:pPr>
    <w:r>
      <w:pict w14:anchorId="65B4CC33">
        <v:line id="_x0000_s1280" style="position:absolute;z-index:-21212672;mso-position-horizontal-relative:page;mso-position-vertical-relative:page" from="56.7pt,735.2pt" to="555.3pt,735.2pt" strokecolor="#00aca1" strokeweight=".25pt">
          <w10:wrap anchorx="page" anchory="page"/>
        </v:line>
      </w:pict>
    </w:r>
    <w:r>
      <w:pict w14:anchorId="640AA0E2">
        <v:shapetype id="_x0000_t202" coordsize="21600,21600" o:spt="202" path="m,l,21600r21600,l21600,xe">
          <v:stroke joinstyle="miter"/>
          <v:path gradientshapeok="t" o:connecttype="rect"/>
        </v:shapetype>
        <v:shape id="docshape449" o:spid="_x0000_s1279" type="#_x0000_t202" style="position:absolute;margin-left:540.6pt;margin-top:748.25pt;width:16pt;height:11pt;z-index:-21212160;mso-position-horizontal-relative:page;mso-position-vertical-relative:page" filled="f" stroked="f">
          <v:textbox style="mso-next-textbox:#docshape449" inset="0,0,0,0">
            <w:txbxContent>
              <w:p w14:paraId="6A44808C"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27</w:t>
                </w:r>
                <w:r>
                  <w:fldChar w:fldCharType="end"/>
                </w:r>
                <w:r>
                  <w:rPr>
                    <w:color w:val="7F3F98"/>
                    <w:w w:val="105"/>
                    <w:sz w:val="16"/>
                  </w:rPr>
                  <w:t>]</w:t>
                </w:r>
              </w:p>
            </w:txbxContent>
          </v:textbox>
          <w10:wrap anchorx="page" anchory="page"/>
        </v:shape>
      </w:pic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C712BB" w14:textId="77777777" w:rsidR="0055291C" w:rsidRDefault="00000000">
    <w:pPr>
      <w:pStyle w:val="a3"/>
      <w:spacing w:line="14" w:lineRule="auto"/>
      <w:rPr>
        <w:sz w:val="20"/>
      </w:rPr>
    </w:pPr>
    <w:r>
      <w:pict w14:anchorId="06CAEE93">
        <v:line id="_x0000_s1274" style="position:absolute;z-index:-21209600;mso-position-horizontal-relative:page;mso-position-vertical-relative:page" from="56.7pt,735.2pt" to="555.3pt,735.2pt" strokecolor="#00aca1" strokeweight=".25pt">
          <w10:wrap anchorx="page" anchory="page"/>
        </v:line>
      </w:pict>
    </w:r>
    <w:r>
      <w:pict w14:anchorId="322F232B">
        <v:shapetype id="_x0000_t202" coordsize="21600,21600" o:spt="202" path="m,l,21600r21600,l21600,xe">
          <v:stroke joinstyle="miter"/>
          <v:path gradientshapeok="t" o:connecttype="rect"/>
        </v:shapetype>
        <v:shape id="docshape474" o:spid="_x0000_s1273" type="#_x0000_t202" style="position:absolute;margin-left:55.7pt;margin-top:748.25pt;width:228.5pt;height:11pt;z-index:-21209088;mso-position-horizontal-relative:page;mso-position-vertical-relative:page" filled="f" stroked="f">
          <v:textbox style="mso-next-textbox:#docshape474" inset="0,0,0,0">
            <w:txbxContent>
              <w:p w14:paraId="7757E892"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30</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199519" w14:textId="77777777" w:rsidR="0055291C" w:rsidRDefault="00000000">
    <w:pPr>
      <w:pStyle w:val="a3"/>
      <w:spacing w:line="14" w:lineRule="auto"/>
      <w:rPr>
        <w:sz w:val="20"/>
      </w:rPr>
    </w:pPr>
    <w:r>
      <w:pict w14:anchorId="5564F113">
        <v:line id="_x0000_s1276" style="position:absolute;z-index:-21210624;mso-position-horizontal-relative:page;mso-position-vertical-relative:page" from="56.7pt,735.2pt" to="555.3pt,735.2pt" strokecolor="#00aca1" strokeweight=".25pt">
          <w10:wrap anchorx="page" anchory="page"/>
        </v:line>
      </w:pict>
    </w:r>
    <w:r>
      <w:pict w14:anchorId="1C81588C">
        <v:shapetype id="_x0000_t202" coordsize="21600,21600" o:spt="202" path="m,l,21600r21600,l21600,xe">
          <v:stroke joinstyle="miter"/>
          <v:path gradientshapeok="t" o:connecttype="rect"/>
        </v:shapetype>
        <v:shape id="docshape473" o:spid="_x0000_s1275" type="#_x0000_t202" style="position:absolute;margin-left:540.6pt;margin-top:748.25pt;width:16pt;height:11pt;z-index:-21210112;mso-position-horizontal-relative:page;mso-position-vertical-relative:page" filled="f" stroked="f">
          <v:textbox style="mso-next-textbox:#docshape473" inset="0,0,0,0">
            <w:txbxContent>
              <w:p w14:paraId="38BFA7C8"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29</w:t>
                </w:r>
                <w:r>
                  <w:fldChar w:fldCharType="end"/>
                </w:r>
                <w:r>
                  <w:rPr>
                    <w:color w:val="7F3F98"/>
                    <w:w w:val="105"/>
                    <w:sz w:val="16"/>
                  </w:rPr>
                  <w:t>]</w:t>
                </w:r>
              </w:p>
            </w:txbxContent>
          </v:textbox>
          <w10:wrap anchorx="page" anchory="page"/>
        </v:shape>
      </w:pic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F9F8D" w14:textId="77777777" w:rsidR="0055291C" w:rsidRDefault="00000000">
    <w:pPr>
      <w:pStyle w:val="a3"/>
      <w:spacing w:line="14" w:lineRule="auto"/>
      <w:rPr>
        <w:sz w:val="20"/>
      </w:rPr>
    </w:pPr>
    <w:r>
      <w:pict w14:anchorId="292EA2E4">
        <v:line id="_x0000_s1272" style="position:absolute;z-index:-21208576;mso-position-horizontal-relative:page;mso-position-vertical-relative:page" from="56.7pt,735.2pt" to="555.3pt,735.2pt" strokecolor="#00aca1" strokeweight=".25pt">
          <w10:wrap anchorx="page" anchory="page"/>
        </v:line>
      </w:pict>
    </w:r>
    <w:r>
      <w:pict w14:anchorId="7D2BC8DC">
        <v:shapetype id="_x0000_t202" coordsize="21600,21600" o:spt="202" path="m,l,21600r21600,l21600,xe">
          <v:stroke joinstyle="miter"/>
          <v:path gradientshapeok="t" o:connecttype="rect"/>
        </v:shapetype>
        <v:shape id="docshape485" o:spid="_x0000_s1271" type="#_x0000_t202" style="position:absolute;margin-left:540.6pt;margin-top:748.25pt;width:16pt;height:11pt;z-index:-21208064;mso-position-horizontal-relative:page;mso-position-vertical-relative:page" filled="f" stroked="f">
          <v:textbox style="mso-next-textbox:#docshape485" inset="0,0,0,0">
            <w:txbxContent>
              <w:p w14:paraId="52C06BF2"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31</w:t>
                </w:r>
                <w:r>
                  <w:fldChar w:fldCharType="end"/>
                </w:r>
                <w:r>
                  <w:rPr>
                    <w:color w:val="7F3F98"/>
                    <w:w w:val="105"/>
                    <w:sz w:val="16"/>
                  </w:rPr>
                  <w:t>]</w:t>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196F6" w14:textId="77777777" w:rsidR="0055291C" w:rsidRDefault="00000000">
    <w:pPr>
      <w:pStyle w:val="a3"/>
      <w:spacing w:line="14" w:lineRule="auto"/>
      <w:rPr>
        <w:sz w:val="20"/>
      </w:rPr>
    </w:pPr>
    <w:r>
      <w:pict w14:anchorId="05A95AEA">
        <v:shapetype id="_x0000_t202" coordsize="21600,21600" o:spt="202" path="m,l,21600r21600,l21600,xe">
          <v:stroke joinstyle="miter"/>
          <v:path gradientshapeok="t" o:connecttype="rect"/>
        </v:shapetype>
        <v:shape id="docshape179" o:spid="_x0000_s1321" type="#_x0000_t202" style="position:absolute;margin-left:540.6pt;margin-top:748.25pt;width:16pt;height:11pt;z-index:-21233664;mso-position-horizontal-relative:page;mso-position-vertical-relative:page" filled="f" stroked="f">
          <v:textbox style="mso-next-textbox:#docshape179" inset="0,0,0,0">
            <w:txbxContent>
              <w:p w14:paraId="7BBDC1C6" w14:textId="77777777" w:rsidR="0055291C" w:rsidRDefault="00F23C61">
                <w:pPr>
                  <w:spacing w:before="21"/>
                  <w:ind w:left="20"/>
                  <w:rPr>
                    <w:sz w:val="16"/>
                  </w:rPr>
                </w:pPr>
                <w:r>
                  <w:rPr>
                    <w:color w:val="7F3F98"/>
                    <w:w w:val="105"/>
                    <w:sz w:val="16"/>
                  </w:rPr>
                  <w:t>[03]</w:t>
                </w:r>
              </w:p>
            </w:txbxContent>
          </v:textbox>
          <w10:wrap anchorx="page" anchory="page"/>
        </v:shape>
      </w:pic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1AF7B" w14:textId="77777777" w:rsidR="0055291C" w:rsidRDefault="0055291C">
    <w:pPr>
      <w:pStyle w:val="a3"/>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C299A4" w14:textId="77777777" w:rsidR="0055291C" w:rsidRDefault="00000000">
    <w:pPr>
      <w:pStyle w:val="a3"/>
      <w:spacing w:line="14" w:lineRule="auto"/>
      <w:rPr>
        <w:sz w:val="20"/>
      </w:rPr>
    </w:pPr>
    <w:r>
      <w:pict w14:anchorId="13C59D6E">
        <v:shape id="docshape496" o:spid="_x0000_s1268" style="position:absolute;margin-left:56.7pt;margin-top:735.2pt;width:498.65pt;height:.1pt;z-index:-21206528;mso-position-horizontal-relative:page;mso-position-vertical-relative:page" coordorigin="1134,14704" coordsize="9973,0" o:spt="100" adj="0,,0" path="m1134,14704r9972,m1134,14704r9972,e" filled="f" strokecolor="#00aca1" strokeweight=".25pt">
          <v:stroke joinstyle="round"/>
          <v:formulas/>
          <v:path arrowok="t" o:connecttype="segments"/>
          <w10:wrap anchorx="page" anchory="page"/>
        </v:shape>
      </w:pict>
    </w:r>
    <w:r>
      <w:pict w14:anchorId="1F354208">
        <v:shapetype id="_x0000_t202" coordsize="21600,21600" o:spt="202" path="m,l,21600r21600,l21600,xe">
          <v:stroke joinstyle="miter"/>
          <v:path gradientshapeok="t" o:connecttype="rect"/>
        </v:shapetype>
        <v:shape id="docshape497" o:spid="_x0000_s1267" type="#_x0000_t202" style="position:absolute;margin-left:55.7pt;margin-top:748.25pt;width:228.5pt;height:11pt;z-index:-21206016;mso-position-horizontal-relative:page;mso-position-vertical-relative:page" filled="f" stroked="f">
          <v:textbox style="mso-next-textbox:#docshape497" inset="0,0,0,0">
            <w:txbxContent>
              <w:p w14:paraId="7D894014"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34</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F0CC8" w14:textId="77777777" w:rsidR="0055291C" w:rsidRDefault="00000000">
    <w:pPr>
      <w:pStyle w:val="a3"/>
      <w:spacing w:line="14" w:lineRule="auto"/>
      <w:rPr>
        <w:sz w:val="20"/>
      </w:rPr>
    </w:pPr>
    <w:r>
      <w:pict w14:anchorId="5932E1CE">
        <v:line id="_x0000_s1270" style="position:absolute;z-index:-21207552;mso-position-horizontal-relative:page;mso-position-vertical-relative:page" from="56.7pt,735.2pt" to="555.3pt,735.2pt" strokecolor="#00aca1" strokeweight=".25pt">
          <w10:wrap anchorx="page" anchory="page"/>
        </v:line>
      </w:pict>
    </w:r>
    <w:r>
      <w:pict w14:anchorId="100D7ED2">
        <v:shapetype id="_x0000_t202" coordsize="21600,21600" o:spt="202" path="m,l,21600r21600,l21600,xe">
          <v:stroke joinstyle="miter"/>
          <v:path gradientshapeok="t" o:connecttype="rect"/>
        </v:shapetype>
        <v:shape id="docshape495" o:spid="_x0000_s1269" type="#_x0000_t202" style="position:absolute;margin-left:540.6pt;margin-top:748.25pt;width:16pt;height:11pt;z-index:-21207040;mso-position-horizontal-relative:page;mso-position-vertical-relative:page" filled="f" stroked="f">
          <v:textbox style="mso-next-textbox:#docshape495" inset="0,0,0,0">
            <w:txbxContent>
              <w:p w14:paraId="26F197CB"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33</w:t>
                </w:r>
                <w:r>
                  <w:fldChar w:fldCharType="end"/>
                </w:r>
                <w:r>
                  <w:rPr>
                    <w:color w:val="7F3F98"/>
                    <w:w w:val="105"/>
                    <w:sz w:val="16"/>
                  </w:rPr>
                  <w:t>]</w:t>
                </w:r>
              </w:p>
            </w:txbxContent>
          </v:textbox>
          <w10:wrap anchorx="page" anchory="page"/>
        </v:shape>
      </w:pic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0F09A0" w14:textId="77777777" w:rsidR="0055291C" w:rsidRDefault="0055291C">
    <w:pPr>
      <w:pStyle w:val="a3"/>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C7D4CB" w14:textId="77777777" w:rsidR="0055291C" w:rsidRDefault="00000000">
    <w:pPr>
      <w:pStyle w:val="a3"/>
      <w:spacing w:line="14" w:lineRule="auto"/>
      <w:rPr>
        <w:sz w:val="20"/>
      </w:rPr>
    </w:pPr>
    <w:r>
      <w:pict w14:anchorId="73D53EA3">
        <v:shape id="docshape571" o:spid="_x0000_s1262" style="position:absolute;margin-left:56.7pt;margin-top:735.2pt;width:498.65pt;height:.1pt;z-index:-21203456;mso-position-horizontal-relative:page;mso-position-vertical-relative:page" coordorigin="1134,14704" coordsize="9973,0" o:spt="100" adj="0,,0" path="m1134,14704r9972,m1134,14704r9972,e" filled="f" strokecolor="#00aca1" strokeweight=".25pt">
          <v:stroke joinstyle="round"/>
          <v:formulas/>
          <v:path arrowok="t" o:connecttype="segments"/>
          <w10:wrap anchorx="page" anchory="page"/>
        </v:shape>
      </w:pict>
    </w:r>
    <w:r>
      <w:pict w14:anchorId="56D0F930">
        <v:shapetype id="_x0000_t202" coordsize="21600,21600" o:spt="202" path="m,l,21600r21600,l21600,xe">
          <v:stroke joinstyle="miter"/>
          <v:path gradientshapeok="t" o:connecttype="rect"/>
        </v:shapetype>
        <v:shape id="docshape572" o:spid="_x0000_s1261" type="#_x0000_t202" style="position:absolute;margin-left:55.7pt;margin-top:748.25pt;width:228.5pt;height:11pt;z-index:-21202944;mso-position-horizontal-relative:page;mso-position-vertical-relative:page" filled="f" stroked="f">
          <v:textbox style="mso-next-textbox:#docshape572" inset="0,0,0,0">
            <w:txbxContent>
              <w:p w14:paraId="500DC8B4"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36</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7F992" w14:textId="77777777" w:rsidR="0055291C" w:rsidRDefault="00000000">
    <w:pPr>
      <w:pStyle w:val="a3"/>
      <w:spacing w:line="14" w:lineRule="auto"/>
      <w:rPr>
        <w:sz w:val="20"/>
      </w:rPr>
    </w:pPr>
    <w:r>
      <w:pict w14:anchorId="29F47796">
        <v:line id="_x0000_s1260" style="position:absolute;z-index:-21202432;mso-position-horizontal-relative:page;mso-position-vertical-relative:page" from="56.7pt,735.2pt" to="555.3pt,735.2pt" strokecolor="#00aca1" strokeweight=".25pt">
          <w10:wrap anchorx="page" anchory="page"/>
        </v:line>
      </w:pict>
    </w:r>
    <w:r>
      <w:pict w14:anchorId="229C8478">
        <v:shapetype id="_x0000_t202" coordsize="21600,21600" o:spt="202" path="m,l,21600r21600,l21600,xe">
          <v:stroke joinstyle="miter"/>
          <v:path gradientshapeok="t" o:connecttype="rect"/>
        </v:shapetype>
        <v:shape id="docshape573" o:spid="_x0000_s1259" type="#_x0000_t202" style="position:absolute;margin-left:540.6pt;margin-top:748.25pt;width:16pt;height:11pt;z-index:-21201920;mso-position-horizontal-relative:page;mso-position-vertical-relative:page" filled="f" stroked="f">
          <v:textbox style="mso-next-textbox:#docshape573" inset="0,0,0,0">
            <w:txbxContent>
              <w:p w14:paraId="210BBB99"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37</w:t>
                </w:r>
                <w:r>
                  <w:fldChar w:fldCharType="end"/>
                </w:r>
                <w:r>
                  <w:rPr>
                    <w:color w:val="7F3F98"/>
                    <w:w w:val="105"/>
                    <w:sz w:val="16"/>
                  </w:rPr>
                  <w:t>]</w:t>
                </w:r>
              </w:p>
            </w:txbxContent>
          </v:textbox>
          <w10:wrap anchorx="page" anchory="page"/>
        </v:shape>
      </w:pic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3445A7" w14:textId="77777777" w:rsidR="0055291C" w:rsidRDefault="00000000">
    <w:pPr>
      <w:pStyle w:val="a3"/>
      <w:spacing w:line="14" w:lineRule="auto"/>
      <w:rPr>
        <w:sz w:val="20"/>
      </w:rPr>
    </w:pPr>
    <w:r>
      <w:pict w14:anchorId="140C02DD">
        <v:shape id="docshape637" o:spid="_x0000_s1256" style="position:absolute;margin-left:56.7pt;margin-top:735.2pt;width:498.65pt;height:.1pt;z-index:-21200384;mso-position-horizontal-relative:page;mso-position-vertical-relative:page" coordorigin="1134,14704" coordsize="9973,0" o:spt="100" adj="0,,0" path="m1134,14704r9972,m1134,14704r9972,e" filled="f" strokecolor="#00aca1" strokeweight=".25pt">
          <v:stroke joinstyle="round"/>
          <v:formulas/>
          <v:path arrowok="t" o:connecttype="segments"/>
          <w10:wrap anchorx="page" anchory="page"/>
        </v:shape>
      </w:pict>
    </w:r>
    <w:r>
      <w:pict w14:anchorId="2BD68997">
        <v:shapetype id="_x0000_t202" coordsize="21600,21600" o:spt="202" path="m,l,21600r21600,l21600,xe">
          <v:stroke joinstyle="miter"/>
          <v:path gradientshapeok="t" o:connecttype="rect"/>
        </v:shapetype>
        <v:shape id="docshape638" o:spid="_x0000_s1255" type="#_x0000_t202" style="position:absolute;margin-left:55.7pt;margin-top:748.25pt;width:228.5pt;height:11pt;z-index:-21199872;mso-position-horizontal-relative:page;mso-position-vertical-relative:page" filled="f" stroked="f">
          <v:textbox style="mso-next-textbox:#docshape638" inset="0,0,0,0">
            <w:txbxContent>
              <w:p w14:paraId="16835028"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38</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22C03D" w14:textId="77777777" w:rsidR="0055291C" w:rsidRDefault="00000000">
    <w:pPr>
      <w:pStyle w:val="a3"/>
      <w:spacing w:line="14" w:lineRule="auto"/>
      <w:rPr>
        <w:sz w:val="20"/>
      </w:rPr>
    </w:pPr>
    <w:r>
      <w:pict w14:anchorId="60692D43">
        <v:line id="_x0000_s1254" style="position:absolute;z-index:-21199360;mso-position-horizontal-relative:page;mso-position-vertical-relative:page" from="56.7pt,735.2pt" to="555.3pt,735.2pt" strokecolor="#00aca1" strokeweight=".25pt">
          <w10:wrap anchorx="page" anchory="page"/>
        </v:line>
      </w:pict>
    </w:r>
    <w:r>
      <w:pict w14:anchorId="3DFA4127">
        <v:shapetype id="_x0000_t202" coordsize="21600,21600" o:spt="202" path="m,l,21600r21600,l21600,xe">
          <v:stroke joinstyle="miter"/>
          <v:path gradientshapeok="t" o:connecttype="rect"/>
        </v:shapetype>
        <v:shape id="docshape639" o:spid="_x0000_s1253" type="#_x0000_t202" style="position:absolute;margin-left:540.6pt;margin-top:748.25pt;width:16pt;height:11pt;z-index:-21198848;mso-position-horizontal-relative:page;mso-position-vertical-relative:page" filled="f" stroked="f">
          <v:textbox style="mso-next-textbox:#docshape639" inset="0,0,0,0">
            <w:txbxContent>
              <w:p w14:paraId="05A74153"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39</w:t>
                </w:r>
                <w:r>
                  <w:fldChar w:fldCharType="end"/>
                </w:r>
                <w:r>
                  <w:rPr>
                    <w:color w:val="7F3F98"/>
                    <w:w w:val="105"/>
                    <w:sz w:val="16"/>
                  </w:rPr>
                  <w:t>]</w:t>
                </w:r>
              </w:p>
            </w:txbxContent>
          </v:textbox>
          <w10:wrap anchorx="page" anchory="page"/>
        </v:shape>
      </w:pic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38C02" w14:textId="77777777" w:rsidR="0055291C" w:rsidRDefault="00000000">
    <w:pPr>
      <w:pStyle w:val="a3"/>
      <w:spacing w:line="14" w:lineRule="auto"/>
      <w:rPr>
        <w:sz w:val="20"/>
      </w:rPr>
    </w:pPr>
    <w:r>
      <w:pict w14:anchorId="4F92F83F">
        <v:shape id="docshape696" o:spid="_x0000_s1250" style="position:absolute;margin-left:56.7pt;margin-top:735.2pt;width:498.65pt;height:.1pt;z-index:-21197312;mso-position-horizontal-relative:page;mso-position-vertical-relative:page" coordorigin="1134,14704" coordsize="9973,0" o:spt="100" adj="0,,0" path="m1134,14704r9972,m1134,14704r9972,e" filled="f" strokecolor="#00aca1" strokeweight=".25pt">
          <v:stroke joinstyle="round"/>
          <v:formulas/>
          <v:path arrowok="t" o:connecttype="segments"/>
          <w10:wrap anchorx="page" anchory="page"/>
        </v:shape>
      </w:pict>
    </w:r>
    <w:r>
      <w:pict w14:anchorId="544A59CF">
        <v:shapetype id="_x0000_t202" coordsize="21600,21600" o:spt="202" path="m,l,21600r21600,l21600,xe">
          <v:stroke joinstyle="miter"/>
          <v:path gradientshapeok="t" o:connecttype="rect"/>
        </v:shapetype>
        <v:shape id="docshape697" o:spid="_x0000_s1249" type="#_x0000_t202" style="position:absolute;margin-left:55.7pt;margin-top:748.25pt;width:228.5pt;height:11pt;z-index:-21196800;mso-position-horizontal-relative:page;mso-position-vertical-relative:page" filled="f" stroked="f">
          <v:textbox style="mso-next-textbox:#docshape697" inset="0,0,0,0">
            <w:txbxContent>
              <w:p w14:paraId="1805E02F"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40</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734541" w14:textId="77777777" w:rsidR="0055291C" w:rsidRDefault="00000000">
    <w:pPr>
      <w:pStyle w:val="a3"/>
      <w:spacing w:line="14" w:lineRule="auto"/>
      <w:rPr>
        <w:sz w:val="20"/>
      </w:rPr>
    </w:pPr>
    <w:r>
      <w:pict w14:anchorId="43643AA2">
        <v:line id="_x0000_s1248" style="position:absolute;z-index:-21196288;mso-position-horizontal-relative:page;mso-position-vertical-relative:page" from="56.7pt,735.2pt" to="555.3pt,735.2pt" strokecolor="#00aca1" strokeweight=".25pt">
          <w10:wrap anchorx="page" anchory="page"/>
        </v:line>
      </w:pict>
    </w:r>
    <w:r>
      <w:pict w14:anchorId="772A29EC">
        <v:shapetype id="_x0000_t202" coordsize="21600,21600" o:spt="202" path="m,l,21600r21600,l21600,xe">
          <v:stroke joinstyle="miter"/>
          <v:path gradientshapeok="t" o:connecttype="rect"/>
        </v:shapetype>
        <v:shape id="docshape698" o:spid="_x0000_s1247" type="#_x0000_t202" style="position:absolute;margin-left:540.6pt;margin-top:748.25pt;width:16pt;height:11pt;z-index:-21195776;mso-position-horizontal-relative:page;mso-position-vertical-relative:page" filled="f" stroked="f">
          <v:textbox style="mso-next-textbox:#docshape698" inset="0,0,0,0">
            <w:txbxContent>
              <w:p w14:paraId="368F6A14"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41</w:t>
                </w:r>
                <w:r>
                  <w:fldChar w:fldCharType="end"/>
                </w:r>
                <w:r>
                  <w:rPr>
                    <w:color w:val="7F3F98"/>
                    <w:w w:val="105"/>
                    <w:sz w:val="16"/>
                  </w:rPr>
                  <w:t>]</w:t>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FD2F70" w14:textId="77777777" w:rsidR="0055291C" w:rsidRDefault="00000000">
    <w:pPr>
      <w:pStyle w:val="a3"/>
      <w:spacing w:line="14" w:lineRule="auto"/>
      <w:rPr>
        <w:sz w:val="20"/>
      </w:rPr>
    </w:pPr>
    <w:r>
      <w:pict w14:anchorId="5E0A08ED">
        <v:line id="_x0000_s1314" style="position:absolute;z-index:-21230080;mso-position-horizontal-relative:page;mso-position-vertical-relative:page" from="56.7pt,735.2pt" to="555.3pt,735.2pt" strokecolor="#00aca1" strokeweight=".25pt">
          <w10:wrap anchorx="page" anchory="page"/>
        </v:line>
      </w:pict>
    </w:r>
    <w:r>
      <w:pict w14:anchorId="42054869">
        <v:shapetype id="_x0000_t202" coordsize="21600,21600" o:spt="202" path="m,l,21600r21600,l21600,xe">
          <v:stroke joinstyle="miter"/>
          <v:path gradientshapeok="t" o:connecttype="rect"/>
        </v:shapetype>
        <v:shape id="docshape194" o:spid="_x0000_s1313" type="#_x0000_t202" style="position:absolute;margin-left:55.7pt;margin-top:748.25pt;width:228.5pt;height:11pt;z-index:-21229568;mso-position-horizontal-relative:page;mso-position-vertical-relative:page" filled="f" stroked="f">
          <v:textbox style="mso-next-textbox:#docshape194" inset="0,0,0,0">
            <w:txbxContent>
              <w:p w14:paraId="22989B5B" w14:textId="77777777" w:rsidR="0055291C" w:rsidRDefault="00F23C61">
                <w:pPr>
                  <w:spacing w:before="19"/>
                  <w:ind w:left="20"/>
                  <w:rPr>
                    <w:rFonts w:ascii="Arial"/>
                    <w:b/>
                    <w:i/>
                    <w:sz w:val="16"/>
                  </w:rPr>
                </w:pPr>
                <w:r>
                  <w:rPr>
                    <w:color w:val="7F3F98"/>
                    <w:w w:val="95"/>
                    <w:sz w:val="16"/>
                  </w:rPr>
                  <w:t>[06]</w:t>
                </w:r>
                <w:r>
                  <w:rPr>
                    <w:color w:val="7F3F98"/>
                    <w:spacing w:val="40"/>
                    <w:sz w:val="16"/>
                  </w:rPr>
                  <w:t xml:space="preserve">  </w:t>
                </w:r>
                <w:r>
                  <w:rPr>
                    <w:rFonts w:ascii="Arial"/>
                    <w:b/>
                    <w:i/>
                    <w:color w:val="545456"/>
                    <w:w w:val="95"/>
                    <w:sz w:val="16"/>
                  </w:rPr>
                  <w:t>Product</w:t>
                </w:r>
                <w:r>
                  <w:rPr>
                    <w:rFonts w:ascii="Arial"/>
                    <w:b/>
                    <w:i/>
                    <w:color w:val="545456"/>
                    <w:spacing w:val="18"/>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9"/>
                    <w:w w:val="95"/>
                    <w:sz w:val="16"/>
                  </w:rPr>
                  <w:t xml:space="preserve"> </w:t>
                </w:r>
                <w:r>
                  <w:rPr>
                    <w:rFonts w:ascii="Arial"/>
                    <w:b/>
                    <w:i/>
                    <w:color w:val="545456"/>
                    <w:w w:val="95"/>
                    <w:sz w:val="16"/>
                  </w:rPr>
                  <w:t>Accounting</w:t>
                </w:r>
                <w:r>
                  <w:rPr>
                    <w:rFonts w:ascii="Arial"/>
                    <w:b/>
                    <w:i/>
                    <w:color w:val="545456"/>
                    <w:spacing w:val="18"/>
                    <w:w w:val="95"/>
                    <w:sz w:val="16"/>
                  </w:rPr>
                  <w:t xml:space="preserve"> </w:t>
                </w:r>
                <w:r>
                  <w:rPr>
                    <w:rFonts w:ascii="Arial"/>
                    <w:b/>
                    <w:i/>
                    <w:color w:val="545456"/>
                    <w:w w:val="95"/>
                    <w:sz w:val="16"/>
                  </w:rPr>
                  <w:t>and</w:t>
                </w:r>
                <w:r>
                  <w:rPr>
                    <w:rFonts w:ascii="Arial"/>
                    <w:b/>
                    <w:i/>
                    <w:color w:val="545456"/>
                    <w:spacing w:val="18"/>
                    <w:w w:val="95"/>
                    <w:sz w:val="16"/>
                  </w:rPr>
                  <w:t xml:space="preserve"> </w:t>
                </w:r>
                <w:r>
                  <w:rPr>
                    <w:rFonts w:ascii="Arial"/>
                    <w:b/>
                    <w:i/>
                    <w:color w:val="545456"/>
                    <w:w w:val="95"/>
                    <w:sz w:val="16"/>
                  </w:rPr>
                  <w:t>Reporting</w:t>
                </w:r>
                <w:r>
                  <w:rPr>
                    <w:rFonts w:ascii="Arial"/>
                    <w:b/>
                    <w:i/>
                    <w:color w:val="545456"/>
                    <w:spacing w:val="19"/>
                    <w:w w:val="95"/>
                    <w:sz w:val="16"/>
                  </w:rPr>
                  <w:t xml:space="preserve"> </w:t>
                </w:r>
                <w:r>
                  <w:rPr>
                    <w:rFonts w:ascii="Arial"/>
                    <w:b/>
                    <w:i/>
                    <w:color w:val="545456"/>
                    <w:w w:val="95"/>
                    <w:sz w:val="16"/>
                  </w:rPr>
                  <w:t>Standard</w:t>
                </w:r>
              </w:p>
            </w:txbxContent>
          </v:textbox>
          <w10:wrap anchorx="page" anchory="page"/>
        </v:shape>
      </w:pic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51412" w14:textId="77777777" w:rsidR="0055291C" w:rsidRDefault="00000000">
    <w:pPr>
      <w:pStyle w:val="a3"/>
      <w:spacing w:line="14" w:lineRule="auto"/>
      <w:rPr>
        <w:sz w:val="20"/>
      </w:rPr>
    </w:pPr>
    <w:r>
      <w:pict w14:anchorId="339FB935">
        <v:shape id="docshape735" o:spid="_x0000_s1244" style="position:absolute;margin-left:56.7pt;margin-top:735.2pt;width:498.65pt;height:.1pt;z-index:-21194240;mso-position-horizontal-relative:page;mso-position-vertical-relative:page" coordorigin="1134,14704" coordsize="9973,0" o:spt="100" adj="0,,0" path="m1134,14704r9972,m1134,14704r9972,e" filled="f" strokecolor="#00aca1" strokeweight=".25pt">
          <v:stroke joinstyle="round"/>
          <v:formulas/>
          <v:path arrowok="t" o:connecttype="segments"/>
          <w10:wrap anchorx="page" anchory="page"/>
        </v:shape>
      </w:pict>
    </w:r>
    <w:r>
      <w:pict w14:anchorId="1190E3EC">
        <v:shapetype id="_x0000_t202" coordsize="21600,21600" o:spt="202" path="m,l,21600r21600,l21600,xe">
          <v:stroke joinstyle="miter"/>
          <v:path gradientshapeok="t" o:connecttype="rect"/>
        </v:shapetype>
        <v:shape id="docshape736" o:spid="_x0000_s1243" type="#_x0000_t202" style="position:absolute;margin-left:55.7pt;margin-top:748.25pt;width:228.5pt;height:11pt;z-index:-21193728;mso-position-horizontal-relative:page;mso-position-vertical-relative:page" filled="f" stroked="f">
          <v:textbox style="mso-next-textbox:#docshape736" inset="0,0,0,0">
            <w:txbxContent>
              <w:p w14:paraId="1E9665AC"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42</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B7471B" w14:textId="77777777" w:rsidR="0055291C" w:rsidRDefault="00000000">
    <w:pPr>
      <w:pStyle w:val="a3"/>
      <w:spacing w:line="14" w:lineRule="auto"/>
      <w:rPr>
        <w:sz w:val="20"/>
      </w:rPr>
    </w:pPr>
    <w:r>
      <w:pict w14:anchorId="7E849B03">
        <v:line id="_x0000_s1242" style="position:absolute;z-index:-21193216;mso-position-horizontal-relative:page;mso-position-vertical-relative:page" from="56.7pt,735.2pt" to="555.3pt,735.2pt" strokecolor="#00aca1" strokeweight=".25pt">
          <w10:wrap anchorx="page" anchory="page"/>
        </v:line>
      </w:pict>
    </w:r>
    <w:r>
      <w:pict w14:anchorId="403BD0D4">
        <v:shapetype id="_x0000_t202" coordsize="21600,21600" o:spt="202" path="m,l,21600r21600,l21600,xe">
          <v:stroke joinstyle="miter"/>
          <v:path gradientshapeok="t" o:connecttype="rect"/>
        </v:shapetype>
        <v:shape id="docshape737" o:spid="_x0000_s1241" type="#_x0000_t202" style="position:absolute;margin-left:540.6pt;margin-top:748.25pt;width:16pt;height:11pt;z-index:-21192704;mso-position-horizontal-relative:page;mso-position-vertical-relative:page" filled="f" stroked="f">
          <v:textbox style="mso-next-textbox:#docshape737" inset="0,0,0,0">
            <w:txbxContent>
              <w:p w14:paraId="1AB8B823"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43</w:t>
                </w:r>
                <w:r>
                  <w:fldChar w:fldCharType="end"/>
                </w:r>
                <w:r>
                  <w:rPr>
                    <w:color w:val="7F3F98"/>
                    <w:w w:val="105"/>
                    <w:sz w:val="16"/>
                  </w:rPr>
                  <w:t>]</w:t>
                </w:r>
              </w:p>
            </w:txbxContent>
          </v:textbox>
          <w10:wrap anchorx="page" anchory="page"/>
        </v:shape>
      </w:pic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0F320" w14:textId="77777777" w:rsidR="0055291C" w:rsidRDefault="00000000">
    <w:pPr>
      <w:pStyle w:val="a3"/>
      <w:spacing w:line="14" w:lineRule="auto"/>
      <w:rPr>
        <w:sz w:val="20"/>
      </w:rPr>
    </w:pPr>
    <w:r>
      <w:pict w14:anchorId="5D0ED04A">
        <v:shape id="docshape766" o:spid="_x0000_s1238" style="position:absolute;margin-left:56.7pt;margin-top:735.2pt;width:498.65pt;height:.1pt;z-index:-21191168;mso-position-horizontal-relative:page;mso-position-vertical-relative:page" coordorigin="1134,14704" coordsize="9973,0" o:spt="100" adj="0,,0" path="m1134,14704r9972,m1134,14704r9972,e" filled="f" strokecolor="#00aca1" strokeweight=".25pt">
          <v:stroke joinstyle="round"/>
          <v:formulas/>
          <v:path arrowok="t" o:connecttype="segments"/>
          <w10:wrap anchorx="page" anchory="page"/>
        </v:shape>
      </w:pict>
    </w:r>
    <w:r>
      <w:pict w14:anchorId="1C59A0B8">
        <v:shapetype id="_x0000_t202" coordsize="21600,21600" o:spt="202" path="m,l,21600r21600,l21600,xe">
          <v:stroke joinstyle="miter"/>
          <v:path gradientshapeok="t" o:connecttype="rect"/>
        </v:shapetype>
        <v:shape id="docshape767" o:spid="_x0000_s1237" type="#_x0000_t202" style="position:absolute;margin-left:55.7pt;margin-top:748.25pt;width:228.5pt;height:11pt;z-index:-21190656;mso-position-horizontal-relative:page;mso-position-vertical-relative:page" filled="f" stroked="f">
          <v:textbox style="mso-next-textbox:#docshape767" inset="0,0,0,0">
            <w:txbxContent>
              <w:p w14:paraId="34426195"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44</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C54C25" w14:textId="77777777" w:rsidR="0055291C" w:rsidRDefault="00000000">
    <w:pPr>
      <w:pStyle w:val="a3"/>
      <w:spacing w:line="14" w:lineRule="auto"/>
      <w:rPr>
        <w:sz w:val="20"/>
      </w:rPr>
    </w:pPr>
    <w:r>
      <w:pict w14:anchorId="357773A8">
        <v:line id="_x0000_s1236" style="position:absolute;z-index:-21190144;mso-position-horizontal-relative:page;mso-position-vertical-relative:page" from="56.7pt,735.2pt" to="555.3pt,735.2pt" strokecolor="#00aca1" strokeweight=".25pt">
          <w10:wrap anchorx="page" anchory="page"/>
        </v:line>
      </w:pict>
    </w:r>
    <w:r>
      <w:pict w14:anchorId="429CD271">
        <v:shapetype id="_x0000_t202" coordsize="21600,21600" o:spt="202" path="m,l,21600r21600,l21600,xe">
          <v:stroke joinstyle="miter"/>
          <v:path gradientshapeok="t" o:connecttype="rect"/>
        </v:shapetype>
        <v:shape id="docshape768" o:spid="_x0000_s1235" type="#_x0000_t202" style="position:absolute;margin-left:540.6pt;margin-top:748.25pt;width:16pt;height:11pt;z-index:-21189632;mso-position-horizontal-relative:page;mso-position-vertical-relative:page" filled="f" stroked="f">
          <v:textbox style="mso-next-textbox:#docshape768" inset="0,0,0,0">
            <w:txbxContent>
              <w:p w14:paraId="1679D3C1"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45</w:t>
                </w:r>
                <w:r>
                  <w:fldChar w:fldCharType="end"/>
                </w:r>
                <w:r>
                  <w:rPr>
                    <w:color w:val="7F3F98"/>
                    <w:w w:val="105"/>
                    <w:sz w:val="16"/>
                  </w:rPr>
                  <w:t>]</w:t>
                </w:r>
              </w:p>
            </w:txbxContent>
          </v:textbox>
          <w10:wrap anchorx="page" anchory="page"/>
        </v:shape>
      </w:pic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BD4B06" w14:textId="77777777" w:rsidR="0055291C" w:rsidRDefault="0055291C">
    <w:pPr>
      <w:pStyle w:val="a3"/>
      <w:spacing w:line="14" w:lineRule="auto"/>
      <w:rPr>
        <w:sz w:val="2"/>
      </w:rP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43204" w14:textId="77777777" w:rsidR="0055291C" w:rsidRDefault="00000000">
    <w:pPr>
      <w:pStyle w:val="a3"/>
      <w:spacing w:line="14" w:lineRule="auto"/>
      <w:rPr>
        <w:sz w:val="20"/>
      </w:rPr>
    </w:pPr>
    <w:r>
      <w:pict w14:anchorId="15420DCC">
        <v:line id="_x0000_s1232" style="position:absolute;z-index:-21188096;mso-position-horizontal-relative:page;mso-position-vertical-relative:page" from="56.7pt,735.2pt" to="555.3pt,735.2pt" strokecolor="#00aca1" strokeweight=".25pt">
          <w10:wrap anchorx="page" anchory="page"/>
        </v:line>
      </w:pict>
    </w:r>
    <w:r>
      <w:pict w14:anchorId="22180F4C">
        <v:shapetype id="_x0000_t202" coordsize="21600,21600" o:spt="202" path="m,l,21600r21600,l21600,xe">
          <v:stroke joinstyle="miter"/>
          <v:path gradientshapeok="t" o:connecttype="rect"/>
        </v:shapetype>
        <v:shape id="docshape780" o:spid="_x0000_s1231" type="#_x0000_t202" style="position:absolute;margin-left:55.7pt;margin-top:748.25pt;width:228.5pt;height:11pt;z-index:-21187584;mso-position-horizontal-relative:page;mso-position-vertical-relative:page" filled="f" stroked="f">
          <v:textbox style="mso-next-textbox:#docshape780" inset="0,0,0,0">
            <w:txbxContent>
              <w:p w14:paraId="63A2AE80"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48</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D0A2C8" w14:textId="77777777" w:rsidR="0055291C" w:rsidRDefault="00000000">
    <w:pPr>
      <w:pStyle w:val="a3"/>
      <w:spacing w:line="14" w:lineRule="auto"/>
      <w:rPr>
        <w:sz w:val="20"/>
      </w:rPr>
    </w:pPr>
    <w:r>
      <w:pict w14:anchorId="100F9554">
        <v:line id="_x0000_s1234" style="position:absolute;z-index:-21189120;mso-position-horizontal-relative:page;mso-position-vertical-relative:page" from="56.7pt,735.2pt" to="555.3pt,735.2pt" strokecolor="#00aca1" strokeweight=".25pt">
          <w10:wrap anchorx="page" anchory="page"/>
        </v:line>
      </w:pict>
    </w:r>
    <w:r>
      <w:pict w14:anchorId="40E06C44">
        <v:shapetype id="_x0000_t202" coordsize="21600,21600" o:spt="202" path="m,l,21600r21600,l21600,xe">
          <v:stroke joinstyle="miter"/>
          <v:path gradientshapeok="t" o:connecttype="rect"/>
        </v:shapetype>
        <v:shape id="docshape779" o:spid="_x0000_s1233" type="#_x0000_t202" style="position:absolute;margin-left:540.6pt;margin-top:748.25pt;width:16pt;height:11pt;z-index:-21188608;mso-position-horizontal-relative:page;mso-position-vertical-relative:page" filled="f" stroked="f">
          <v:textbox style="mso-next-textbox:#docshape779" inset="0,0,0,0">
            <w:txbxContent>
              <w:p w14:paraId="2BB9CFFA"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47</w:t>
                </w:r>
                <w:r>
                  <w:fldChar w:fldCharType="end"/>
                </w:r>
                <w:r>
                  <w:rPr>
                    <w:color w:val="7F3F98"/>
                    <w:w w:val="105"/>
                    <w:sz w:val="16"/>
                  </w:rPr>
                  <w:t>]</w:t>
                </w:r>
              </w:p>
            </w:txbxContent>
          </v:textbox>
          <w10:wrap anchorx="page" anchory="page"/>
        </v:shape>
      </w:pic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4D7C05" w14:textId="77777777" w:rsidR="0055291C" w:rsidRDefault="00000000">
    <w:pPr>
      <w:pStyle w:val="a3"/>
      <w:spacing w:line="14" w:lineRule="auto"/>
      <w:rPr>
        <w:sz w:val="20"/>
      </w:rPr>
    </w:pPr>
    <w:r>
      <w:pict w14:anchorId="7CA641BE">
        <v:line id="_x0000_s1228" style="position:absolute;z-index:-21186048;mso-position-horizontal-relative:page;mso-position-vertical-relative:page" from="56.7pt,735.2pt" to="555.3pt,735.2pt" strokecolor="#00aca1" strokeweight=".25pt">
          <w10:wrap anchorx="page" anchory="page"/>
        </v:line>
      </w:pict>
    </w:r>
    <w:r>
      <w:pict w14:anchorId="11351C73">
        <v:shapetype id="_x0000_t202" coordsize="21600,21600" o:spt="202" path="m,l,21600r21600,l21600,xe">
          <v:stroke joinstyle="miter"/>
          <v:path gradientshapeok="t" o:connecttype="rect"/>
        </v:shapetype>
        <v:shape id="docshape803" o:spid="_x0000_s1227" type="#_x0000_t202" style="position:absolute;margin-left:55.7pt;margin-top:748.25pt;width:228.5pt;height:11pt;z-index:-21185536;mso-position-horizontal-relative:page;mso-position-vertical-relative:page" filled="f" stroked="f">
          <v:textbox style="mso-next-textbox:#docshape803" inset="0,0,0,0">
            <w:txbxContent>
              <w:p w14:paraId="369BC6B1"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50</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C925E" w14:textId="77777777" w:rsidR="0055291C" w:rsidRDefault="00000000">
    <w:pPr>
      <w:pStyle w:val="a3"/>
      <w:spacing w:line="14" w:lineRule="auto"/>
      <w:rPr>
        <w:sz w:val="20"/>
      </w:rPr>
    </w:pPr>
    <w:r>
      <w:pict w14:anchorId="3D911629">
        <v:line id="_x0000_s1230" style="position:absolute;z-index:-21187072;mso-position-horizontal-relative:page;mso-position-vertical-relative:page" from="56.7pt,735.2pt" to="555.3pt,735.2pt" strokecolor="#00aca1" strokeweight=".25pt">
          <w10:wrap anchorx="page" anchory="page"/>
        </v:line>
      </w:pict>
    </w:r>
    <w:r>
      <w:pict w14:anchorId="020BE715">
        <v:shapetype id="_x0000_t202" coordsize="21600,21600" o:spt="202" path="m,l,21600r21600,l21600,xe">
          <v:stroke joinstyle="miter"/>
          <v:path gradientshapeok="t" o:connecttype="rect"/>
        </v:shapetype>
        <v:shape id="docshape802" o:spid="_x0000_s1229" type="#_x0000_t202" style="position:absolute;margin-left:540.6pt;margin-top:748.25pt;width:16pt;height:11pt;z-index:-21186560;mso-position-horizontal-relative:page;mso-position-vertical-relative:page" filled="f" stroked="f">
          <v:textbox style="mso-next-textbox:#docshape802" inset="0,0,0,0">
            <w:txbxContent>
              <w:p w14:paraId="6330A6D2"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49</w:t>
                </w:r>
                <w:r>
                  <w:fldChar w:fldCharType="end"/>
                </w:r>
                <w:r>
                  <w:rPr>
                    <w:color w:val="7F3F98"/>
                    <w:w w:val="105"/>
                    <w:sz w:val="16"/>
                  </w:rPr>
                  <w:t>]</w:t>
                </w:r>
              </w:p>
            </w:txbxContent>
          </v:textbox>
          <w10:wrap anchorx="page" anchory="page"/>
        </v:shape>
      </w:pic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7E84C" w14:textId="77777777" w:rsidR="0055291C" w:rsidRDefault="00000000">
    <w:pPr>
      <w:pStyle w:val="a3"/>
      <w:spacing w:line="14" w:lineRule="auto"/>
      <w:rPr>
        <w:sz w:val="20"/>
      </w:rPr>
    </w:pPr>
    <w:r>
      <w:pict w14:anchorId="16D67387">
        <v:line id="_x0000_s1222" style="position:absolute;z-index:-21182976;mso-position-horizontal-relative:page;mso-position-vertical-relative:page" from="56.7pt,735.2pt" to="555.3pt,735.2pt" strokecolor="#00aca1" strokeweight=".25pt">
          <w10:wrap anchorx="page" anchory="page"/>
        </v:line>
      </w:pict>
    </w:r>
    <w:r>
      <w:pict w14:anchorId="3C1AB837">
        <v:shapetype id="_x0000_t202" coordsize="21600,21600" o:spt="202" path="m,l,21600r21600,l21600,xe">
          <v:stroke joinstyle="miter"/>
          <v:path gradientshapeok="t" o:connecttype="rect"/>
        </v:shapetype>
        <v:shape id="docshape819" o:spid="_x0000_s1221" type="#_x0000_t202" style="position:absolute;margin-left:55.7pt;margin-top:748.25pt;width:228.5pt;height:11pt;z-index:-21182464;mso-position-horizontal-relative:page;mso-position-vertical-relative:page" filled="f" stroked="f">
          <v:textbox style="mso-next-textbox:#docshape819" inset="0,0,0,0">
            <w:txbxContent>
              <w:p w14:paraId="5B1137C7"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52</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140AB" w14:textId="77777777" w:rsidR="0055291C" w:rsidRDefault="00000000">
    <w:pPr>
      <w:pStyle w:val="a3"/>
      <w:spacing w:line="14" w:lineRule="auto"/>
      <w:rPr>
        <w:sz w:val="20"/>
      </w:rPr>
    </w:pPr>
    <w:r>
      <w:pict w14:anchorId="5FB7B597">
        <v:line id="_x0000_s1316" style="position:absolute;z-index:-21231104;mso-position-horizontal-relative:page;mso-position-vertical-relative:page" from="56.7pt,735.2pt" to="555.3pt,735.2pt" strokecolor="#00aca1" strokeweight=".25pt">
          <w10:wrap anchorx="page" anchory="page"/>
        </v:line>
      </w:pict>
    </w:r>
    <w:r>
      <w:pict w14:anchorId="25BE4CB5">
        <v:shapetype id="_x0000_t202" coordsize="21600,21600" o:spt="202" path="m,l,21600r21600,l21600,xe">
          <v:stroke joinstyle="miter"/>
          <v:path gradientshapeok="t" o:connecttype="rect"/>
        </v:shapetype>
        <v:shape id="docshape193" o:spid="_x0000_s1315" type="#_x0000_t202" style="position:absolute;margin-left:540.6pt;margin-top:748.25pt;width:16pt;height:11pt;z-index:-21230592;mso-position-horizontal-relative:page;mso-position-vertical-relative:page" filled="f" stroked="f">
          <v:textbox style="mso-next-textbox:#docshape193" inset="0,0,0,0">
            <w:txbxContent>
              <w:p w14:paraId="18835B8E" w14:textId="77777777" w:rsidR="0055291C" w:rsidRDefault="00F23C61">
                <w:pPr>
                  <w:spacing w:before="21"/>
                  <w:ind w:left="20"/>
                  <w:rPr>
                    <w:sz w:val="16"/>
                  </w:rPr>
                </w:pPr>
                <w:r>
                  <w:rPr>
                    <w:color w:val="7F3F98"/>
                    <w:w w:val="105"/>
                    <w:sz w:val="16"/>
                  </w:rPr>
                  <w:t>[05]</w:t>
                </w:r>
              </w:p>
            </w:txbxContent>
          </v:textbox>
          <w10:wrap anchorx="page" anchory="page"/>
        </v:shape>
      </w:pic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C69B9B" w14:textId="77777777" w:rsidR="0055291C" w:rsidRDefault="00000000">
    <w:pPr>
      <w:pStyle w:val="a3"/>
      <w:spacing w:line="14" w:lineRule="auto"/>
      <w:rPr>
        <w:sz w:val="20"/>
      </w:rPr>
    </w:pPr>
    <w:r>
      <w:pict w14:anchorId="6819FC55">
        <v:line id="_x0000_s1220" style="position:absolute;z-index:-21181952;mso-position-horizontal-relative:page;mso-position-vertical-relative:page" from="56.7pt,735.2pt" to="555.3pt,735.2pt" strokecolor="#00aca1" strokeweight=".25pt">
          <w10:wrap anchorx="page" anchory="page"/>
        </v:line>
      </w:pict>
    </w:r>
    <w:r>
      <w:pict w14:anchorId="47F2275D">
        <v:shapetype id="_x0000_t202" coordsize="21600,21600" o:spt="202" path="m,l,21600r21600,l21600,xe">
          <v:stroke joinstyle="miter"/>
          <v:path gradientshapeok="t" o:connecttype="rect"/>
        </v:shapetype>
        <v:shape id="docshape820" o:spid="_x0000_s1219" type="#_x0000_t202" style="position:absolute;margin-left:540.6pt;margin-top:748.25pt;width:16pt;height:11pt;z-index:-21181440;mso-position-horizontal-relative:page;mso-position-vertical-relative:page" filled="f" stroked="f">
          <v:textbox style="mso-next-textbox:#docshape820" inset="0,0,0,0">
            <w:txbxContent>
              <w:p w14:paraId="102ADEA7"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53</w:t>
                </w:r>
                <w:r>
                  <w:fldChar w:fldCharType="end"/>
                </w:r>
                <w:r>
                  <w:rPr>
                    <w:color w:val="7F3F98"/>
                    <w:w w:val="105"/>
                    <w:sz w:val="16"/>
                  </w:rPr>
                  <w:t>]</w:t>
                </w:r>
              </w:p>
            </w:txbxContent>
          </v:textbox>
          <w10:wrap anchorx="page" anchory="page"/>
        </v:shape>
      </w:pic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057926" w14:textId="77777777" w:rsidR="0055291C" w:rsidRDefault="00000000">
    <w:pPr>
      <w:pStyle w:val="a3"/>
      <w:spacing w:line="14" w:lineRule="auto"/>
      <w:rPr>
        <w:sz w:val="20"/>
      </w:rPr>
    </w:pPr>
    <w:r>
      <w:pict w14:anchorId="732B15C3">
        <v:line id="_x0000_s1216" style="position:absolute;z-index:-21179904;mso-position-horizontal-relative:page;mso-position-vertical-relative:page" from="56.7pt,735.2pt" to="555.3pt,735.2pt" strokecolor="#00aca1" strokeweight=".25pt">
          <w10:wrap anchorx="page" anchory="page"/>
        </v:line>
      </w:pict>
    </w:r>
    <w:r>
      <w:pict w14:anchorId="56EED7CB">
        <v:shapetype id="_x0000_t202" coordsize="21600,21600" o:spt="202" path="m,l,21600r21600,l21600,xe">
          <v:stroke joinstyle="miter"/>
          <v:path gradientshapeok="t" o:connecttype="rect"/>
        </v:shapetype>
        <v:shape id="docshape832" o:spid="_x0000_s1215" type="#_x0000_t202" style="position:absolute;margin-left:55.7pt;margin-top:748.25pt;width:228.5pt;height:11pt;z-index:-21179392;mso-position-horizontal-relative:page;mso-position-vertical-relative:page" filled="f" stroked="f">
          <v:textbox style="mso-next-textbox:#docshape832" inset="0,0,0,0">
            <w:txbxContent>
              <w:p w14:paraId="5CDBDE4B"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54</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B584A" w14:textId="77777777" w:rsidR="0055291C" w:rsidRDefault="00000000">
    <w:pPr>
      <w:pStyle w:val="a3"/>
      <w:spacing w:line="14" w:lineRule="auto"/>
      <w:rPr>
        <w:sz w:val="20"/>
      </w:rPr>
    </w:pPr>
    <w:r>
      <w:pict w14:anchorId="23D96DA0">
        <v:line id="_x0000_s1214" style="position:absolute;z-index:-21178880;mso-position-horizontal-relative:page;mso-position-vertical-relative:page" from="56.7pt,735.2pt" to="555.3pt,735.2pt" strokecolor="#00aca1" strokeweight=".25pt">
          <w10:wrap anchorx="page" anchory="page"/>
        </v:line>
      </w:pict>
    </w:r>
    <w:r>
      <w:pict w14:anchorId="674F55A9">
        <v:shapetype id="_x0000_t202" coordsize="21600,21600" o:spt="202" path="m,l,21600r21600,l21600,xe">
          <v:stroke joinstyle="miter"/>
          <v:path gradientshapeok="t" o:connecttype="rect"/>
        </v:shapetype>
        <v:shape id="docshape833" o:spid="_x0000_s1213" type="#_x0000_t202" style="position:absolute;margin-left:540.6pt;margin-top:748.25pt;width:16pt;height:11pt;z-index:-21178368;mso-position-horizontal-relative:page;mso-position-vertical-relative:page" filled="f" stroked="f">
          <v:textbox style="mso-next-textbox:#docshape833" inset="0,0,0,0">
            <w:txbxContent>
              <w:p w14:paraId="67623CE4"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55</w:t>
                </w:r>
                <w:r>
                  <w:fldChar w:fldCharType="end"/>
                </w:r>
                <w:r>
                  <w:rPr>
                    <w:color w:val="7F3F98"/>
                    <w:w w:val="105"/>
                    <w:sz w:val="16"/>
                  </w:rPr>
                  <w:t>]</w:t>
                </w:r>
              </w:p>
            </w:txbxContent>
          </v:textbox>
          <w10:wrap anchorx="page" anchory="page"/>
        </v:shape>
      </w:pic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2D6A7" w14:textId="77777777" w:rsidR="0055291C" w:rsidRDefault="00000000">
    <w:pPr>
      <w:pStyle w:val="a3"/>
      <w:spacing w:line="14" w:lineRule="auto"/>
      <w:rPr>
        <w:sz w:val="20"/>
      </w:rPr>
    </w:pPr>
    <w:r>
      <w:pict w14:anchorId="21FE0198">
        <v:line id="_x0000_s1209" style="position:absolute;z-index:-21176320;mso-position-horizontal-relative:page;mso-position-vertical-relative:page" from="56.7pt,735.2pt" to="555.3pt,735.2pt" strokecolor="#00aca1" strokeweight=".25pt">
          <w10:wrap anchorx="page" anchory="page"/>
        </v:line>
      </w:pict>
    </w:r>
    <w:r>
      <w:pict w14:anchorId="288FF1C5">
        <v:shapetype id="_x0000_t202" coordsize="21600,21600" o:spt="202" path="m,l,21600r21600,l21600,xe">
          <v:stroke joinstyle="miter"/>
          <v:path gradientshapeok="t" o:connecttype="rect"/>
        </v:shapetype>
        <v:shape id="docshape888" o:spid="_x0000_s1208" type="#_x0000_t202" style="position:absolute;margin-left:55.7pt;margin-top:748.25pt;width:228.5pt;height:11pt;z-index:-21175808;mso-position-horizontal-relative:page;mso-position-vertical-relative:page" filled="f" stroked="f">
          <v:textbox style="mso-next-textbox:#docshape888" inset="0,0,0,0">
            <w:txbxContent>
              <w:p w14:paraId="1614552C"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56</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B0B91C" w14:textId="77777777" w:rsidR="0055291C" w:rsidRDefault="00000000">
    <w:pPr>
      <w:pStyle w:val="a3"/>
      <w:spacing w:line="14" w:lineRule="auto"/>
      <w:rPr>
        <w:sz w:val="20"/>
      </w:rPr>
    </w:pPr>
    <w:r>
      <w:pict w14:anchorId="353AEC55">
        <v:line id="_x0000_s1207" style="position:absolute;z-index:-21175296;mso-position-horizontal-relative:page;mso-position-vertical-relative:page" from="56.7pt,735.2pt" to="555.3pt,735.2pt" strokecolor="#00aca1" strokeweight=".25pt">
          <w10:wrap anchorx="page" anchory="page"/>
        </v:line>
      </w:pict>
    </w:r>
    <w:r>
      <w:pict w14:anchorId="30894395">
        <v:shapetype id="_x0000_t202" coordsize="21600,21600" o:spt="202" path="m,l,21600r21600,l21600,xe">
          <v:stroke joinstyle="miter"/>
          <v:path gradientshapeok="t" o:connecttype="rect"/>
        </v:shapetype>
        <v:shape id="docshape889" o:spid="_x0000_s1206" type="#_x0000_t202" style="position:absolute;margin-left:540.6pt;margin-top:748.25pt;width:16pt;height:11pt;z-index:-21174784;mso-position-horizontal-relative:page;mso-position-vertical-relative:page" filled="f" stroked="f">
          <v:textbox style="mso-next-textbox:#docshape889" inset="0,0,0,0">
            <w:txbxContent>
              <w:p w14:paraId="14F43A45"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57</w:t>
                </w:r>
                <w:r>
                  <w:fldChar w:fldCharType="end"/>
                </w:r>
                <w:r>
                  <w:rPr>
                    <w:color w:val="7F3F98"/>
                    <w:w w:val="105"/>
                    <w:sz w:val="16"/>
                  </w:rPr>
                  <w:t>]</w:t>
                </w:r>
              </w:p>
            </w:txbxContent>
          </v:textbox>
          <w10:wrap anchorx="page" anchory="page"/>
        </v:shape>
      </w:pic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29FD8" w14:textId="77777777" w:rsidR="0055291C" w:rsidRDefault="0055291C">
    <w:pPr>
      <w:pStyle w:val="a3"/>
      <w:spacing w:line="14" w:lineRule="auto"/>
      <w:rPr>
        <w:sz w:val="2"/>
      </w:rP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BFD39" w14:textId="77777777" w:rsidR="0055291C" w:rsidRDefault="00000000">
    <w:pPr>
      <w:pStyle w:val="a3"/>
      <w:spacing w:line="14" w:lineRule="auto"/>
      <w:rPr>
        <w:sz w:val="20"/>
      </w:rPr>
    </w:pPr>
    <w:r>
      <w:pict w14:anchorId="1CF288A4">
        <v:shapetype id="_x0000_t202" coordsize="21600,21600" o:spt="202" path="m,l,21600r21600,l21600,xe">
          <v:stroke joinstyle="miter"/>
          <v:path gradientshapeok="t" o:connecttype="rect"/>
        </v:shapetype>
        <v:shape id="docshape941" o:spid="_x0000_s1203" type="#_x0000_t202" style="position:absolute;margin-left:55.7pt;margin-top:748.25pt;width:228.5pt;height:11pt;z-index:-21173248;mso-position-horizontal-relative:page;mso-position-vertical-relative:page" filled="f" stroked="f">
          <v:textbox style="mso-next-textbox:#docshape941" inset="0,0,0,0">
            <w:txbxContent>
              <w:p w14:paraId="21C1E854"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62</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9BDA48" w14:textId="77777777" w:rsidR="0055291C" w:rsidRDefault="00000000">
    <w:pPr>
      <w:pStyle w:val="a3"/>
      <w:spacing w:line="14" w:lineRule="auto"/>
      <w:rPr>
        <w:sz w:val="20"/>
      </w:rPr>
    </w:pPr>
    <w:r>
      <w:pict w14:anchorId="1F70C96E">
        <v:line id="_x0000_s1205" style="position:absolute;z-index:-21174272;mso-position-horizontal-relative:page;mso-position-vertical-relative:page" from="56.7pt,735.2pt" to="555.3pt,735.2pt" strokecolor="#00aca1" strokeweight=".25pt">
          <w10:wrap anchorx="page" anchory="page"/>
        </v:line>
      </w:pict>
    </w:r>
    <w:r>
      <w:pict w14:anchorId="44EC503C">
        <v:shapetype id="_x0000_t202" coordsize="21600,21600" o:spt="202" path="m,l,21600r21600,l21600,xe">
          <v:stroke joinstyle="miter"/>
          <v:path gradientshapeok="t" o:connecttype="rect"/>
        </v:shapetype>
        <v:shape id="docshape940" o:spid="_x0000_s1204" type="#_x0000_t202" style="position:absolute;margin-left:536.1pt;margin-top:748.25pt;width:20.5pt;height:11pt;z-index:-21173760;mso-position-horizontal-relative:page;mso-position-vertical-relative:page" filled="f" stroked="f">
          <v:textbox style="mso-next-textbox:#docshape940" inset="0,0,0,0">
            <w:txbxContent>
              <w:p w14:paraId="698F4FA3"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101</w:t>
                </w:r>
                <w:r>
                  <w:fldChar w:fldCharType="end"/>
                </w:r>
                <w:r>
                  <w:rPr>
                    <w:color w:val="7F3F98"/>
                    <w:w w:val="105"/>
                    <w:sz w:val="16"/>
                  </w:rPr>
                  <w:t>]</w:t>
                </w:r>
              </w:p>
            </w:txbxContent>
          </v:textbox>
          <w10:wrap anchorx="page" anchory="page"/>
        </v:shape>
      </w:pic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BCF66" w14:textId="77777777" w:rsidR="0055291C" w:rsidRDefault="00000000">
    <w:pPr>
      <w:pStyle w:val="a3"/>
      <w:spacing w:line="14" w:lineRule="auto"/>
      <w:rPr>
        <w:sz w:val="20"/>
      </w:rPr>
    </w:pPr>
    <w:r>
      <w:pict w14:anchorId="22E096EE">
        <v:shapetype id="_x0000_t202" coordsize="21600,21600" o:spt="202" path="m,l,21600r21600,l21600,xe">
          <v:stroke joinstyle="miter"/>
          <v:path gradientshapeok="t" o:connecttype="rect"/>
        </v:shapetype>
        <v:shape id="docshape1018" o:spid="_x0000_s1198" type="#_x0000_t202" style="position:absolute;margin-left:55.7pt;margin-top:748.25pt;width:228.5pt;height:11pt;z-index:-21170688;mso-position-horizontal-relative:page;mso-position-vertical-relative:page" filled="f" stroked="f">
          <v:textbox style="mso-next-textbox:#docshape1018" inset="0,0,0,0">
            <w:txbxContent>
              <w:p w14:paraId="60A8264B"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64</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F90F2F" w14:textId="77777777" w:rsidR="0055291C" w:rsidRDefault="00000000">
    <w:pPr>
      <w:pStyle w:val="a3"/>
      <w:spacing w:line="14" w:lineRule="auto"/>
      <w:rPr>
        <w:sz w:val="20"/>
      </w:rPr>
    </w:pPr>
    <w:r>
      <w:pict w14:anchorId="1D0AEA40">
        <v:line id="_x0000_s1197" style="position:absolute;z-index:-21170176;mso-position-horizontal-relative:page;mso-position-vertical-relative:page" from="56.7pt,735.2pt" to="555.3pt,735.2pt" strokecolor="#00aca1" strokeweight=".25pt">
          <w10:wrap anchorx="page" anchory="page"/>
        </v:line>
      </w:pict>
    </w:r>
    <w:r>
      <w:pict w14:anchorId="46C95F28">
        <v:shapetype id="_x0000_t202" coordsize="21600,21600" o:spt="202" path="m,l,21600r21600,l21600,xe">
          <v:stroke joinstyle="miter"/>
          <v:path gradientshapeok="t" o:connecttype="rect"/>
        </v:shapetype>
        <v:shape id="docshape1019" o:spid="_x0000_s1196" type="#_x0000_t202" style="position:absolute;margin-left:540.6pt;margin-top:748.25pt;width:16pt;height:11pt;z-index:-21169664;mso-position-horizontal-relative:page;mso-position-vertical-relative:page" filled="f" stroked="f">
          <v:textbox style="mso-next-textbox:#docshape1019" inset="0,0,0,0">
            <w:txbxContent>
              <w:p w14:paraId="6BA9C7FE"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65</w:t>
                </w:r>
                <w:r>
                  <w:fldChar w:fldCharType="end"/>
                </w:r>
                <w:r>
                  <w:rPr>
                    <w:color w:val="7F3F98"/>
                    <w:w w:val="105"/>
                    <w:sz w:val="16"/>
                  </w:rPr>
                  <w:t>]</w:t>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C896C8" w14:textId="77777777" w:rsidR="0055291C" w:rsidRDefault="00000000">
    <w:pPr>
      <w:pStyle w:val="a3"/>
      <w:spacing w:line="14" w:lineRule="auto"/>
      <w:rPr>
        <w:sz w:val="20"/>
      </w:rPr>
    </w:pPr>
    <w:r>
      <w:pict w14:anchorId="29E8941B">
        <v:line id="_x0000_s1310" style="position:absolute;z-index:-21228032;mso-position-horizontal-relative:page;mso-position-vertical-relative:page" from="56.7pt,735.2pt" to="555.3pt,735.2pt" strokecolor="#00aca1" strokeweight=".25pt">
          <w10:wrap anchorx="page" anchory="page"/>
        </v:line>
      </w:pict>
    </w:r>
    <w:r>
      <w:pict w14:anchorId="5A86A1C7">
        <v:shapetype id="_x0000_t202" coordsize="21600,21600" o:spt="202" path="m,l,21600r21600,l21600,xe">
          <v:stroke joinstyle="miter"/>
          <v:path gradientshapeok="t" o:connecttype="rect"/>
        </v:shapetype>
        <v:shape id="docshape200" o:spid="_x0000_s1309" type="#_x0000_t202" style="position:absolute;margin-left:540.6pt;margin-top:748.25pt;width:16pt;height:11pt;z-index:-21227520;mso-position-horizontal-relative:page;mso-position-vertical-relative:page" filled="f" stroked="f">
          <v:textbox style="mso-next-textbox:#docshape200" inset="0,0,0,0">
            <w:txbxContent>
              <w:p w14:paraId="2E58E774" w14:textId="77777777" w:rsidR="0055291C" w:rsidRDefault="00F23C61">
                <w:pPr>
                  <w:spacing w:before="21"/>
                  <w:ind w:left="20"/>
                  <w:rPr>
                    <w:sz w:val="16"/>
                  </w:rPr>
                </w:pPr>
                <w:r>
                  <w:rPr>
                    <w:color w:val="7F3F98"/>
                    <w:w w:val="105"/>
                    <w:sz w:val="16"/>
                  </w:rPr>
                  <w:t>[07]</w:t>
                </w:r>
              </w:p>
            </w:txbxContent>
          </v:textbox>
          <w10:wrap anchorx="page" anchory="page"/>
        </v:shape>
      </w:pic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749B0" w14:textId="77777777" w:rsidR="0055291C" w:rsidRDefault="00000000">
    <w:pPr>
      <w:pStyle w:val="a3"/>
      <w:spacing w:line="14" w:lineRule="auto"/>
      <w:rPr>
        <w:sz w:val="20"/>
      </w:rPr>
    </w:pPr>
    <w:r>
      <w:pict w14:anchorId="1CB01D1E">
        <v:line id="_x0000_s1193" style="position:absolute;z-index:-21168128;mso-position-horizontal-relative:page;mso-position-vertical-relative:page" from="56.7pt,735.2pt" to="555.3pt,735.2pt" strokecolor="#00aca1" strokeweight=".25pt">
          <w10:wrap anchorx="page" anchory="page"/>
        </v:line>
      </w:pict>
    </w:r>
    <w:r>
      <w:pict w14:anchorId="2B59BD53">
        <v:shapetype id="_x0000_t202" coordsize="21600,21600" o:spt="202" path="m,l,21600r21600,l21600,xe">
          <v:stroke joinstyle="miter"/>
          <v:path gradientshapeok="t" o:connecttype="rect"/>
        </v:shapetype>
        <v:shape id="docshape1029" o:spid="_x0000_s1192" type="#_x0000_t202" style="position:absolute;margin-left:55.7pt;margin-top:748.25pt;width:228.5pt;height:11pt;z-index:-21167616;mso-position-horizontal-relative:page;mso-position-vertical-relative:page" filled="f" stroked="f">
          <v:textbox style="mso-next-textbox:#docshape1029" inset="0,0,0,0">
            <w:txbxContent>
              <w:p w14:paraId="47503745"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66</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382AB1" w14:textId="77777777" w:rsidR="0055291C" w:rsidRDefault="00000000">
    <w:pPr>
      <w:pStyle w:val="a3"/>
      <w:spacing w:line="14" w:lineRule="auto"/>
      <w:rPr>
        <w:sz w:val="20"/>
      </w:rPr>
    </w:pPr>
    <w:r>
      <w:pict w14:anchorId="2CC0E030">
        <v:line id="_x0000_s1191" style="position:absolute;z-index:-21167104;mso-position-horizontal-relative:page;mso-position-vertical-relative:page" from="56.7pt,735.2pt" to="555.3pt,735.2pt" strokecolor="#00aca1" strokeweight=".25pt">
          <w10:wrap anchorx="page" anchory="page"/>
        </v:line>
      </w:pict>
    </w:r>
    <w:r>
      <w:pict w14:anchorId="7E654C67">
        <v:shapetype id="_x0000_t202" coordsize="21600,21600" o:spt="202" path="m,l,21600r21600,l21600,xe">
          <v:stroke joinstyle="miter"/>
          <v:path gradientshapeok="t" o:connecttype="rect"/>
        </v:shapetype>
        <v:shape id="docshape1030" o:spid="_x0000_s1190" type="#_x0000_t202" style="position:absolute;margin-left:540.6pt;margin-top:748.25pt;width:16pt;height:11pt;z-index:-21166592;mso-position-horizontal-relative:page;mso-position-vertical-relative:page" filled="f" stroked="f">
          <v:textbox style="mso-next-textbox:#docshape1030" inset="0,0,0,0">
            <w:txbxContent>
              <w:p w14:paraId="217ACA2A"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67</w:t>
                </w:r>
                <w:r>
                  <w:fldChar w:fldCharType="end"/>
                </w:r>
                <w:r>
                  <w:rPr>
                    <w:color w:val="7F3F98"/>
                    <w:w w:val="105"/>
                    <w:sz w:val="16"/>
                  </w:rPr>
                  <w:t>]</w:t>
                </w:r>
              </w:p>
            </w:txbxContent>
          </v:textbox>
          <w10:wrap anchorx="page" anchory="page"/>
        </v:shape>
      </w:pic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B3E15A" w14:textId="77777777" w:rsidR="0055291C" w:rsidRDefault="00000000">
    <w:pPr>
      <w:pStyle w:val="a3"/>
      <w:spacing w:line="14" w:lineRule="auto"/>
      <w:rPr>
        <w:sz w:val="20"/>
      </w:rPr>
    </w:pPr>
    <w:r>
      <w:pict w14:anchorId="7AB1782F">
        <v:line id="_x0000_s1187" style="position:absolute;z-index:-21165056;mso-position-horizontal-relative:page;mso-position-vertical-relative:page" from="56.7pt,735.2pt" to="555.3pt,735.2pt" strokecolor="#00aca1" strokeweight=".25pt">
          <w10:wrap anchorx="page" anchory="page"/>
        </v:line>
      </w:pict>
    </w:r>
    <w:r>
      <w:pict w14:anchorId="055CAC6C">
        <v:shapetype id="_x0000_t202" coordsize="21600,21600" o:spt="202" path="m,l,21600r21600,l21600,xe">
          <v:stroke joinstyle="miter"/>
          <v:path gradientshapeok="t" o:connecttype="rect"/>
        </v:shapetype>
        <v:shape id="docshape1090" o:spid="_x0000_s1186" type="#_x0000_t202" style="position:absolute;margin-left:55.7pt;margin-top:748.25pt;width:228.5pt;height:11pt;z-index:-21164544;mso-position-horizontal-relative:page;mso-position-vertical-relative:page" filled="f" stroked="f">
          <v:textbox style="mso-next-textbox:#docshape1090" inset="0,0,0,0">
            <w:txbxContent>
              <w:p w14:paraId="7B0F7E59"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68</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0586F7" w14:textId="77777777" w:rsidR="0055291C" w:rsidRDefault="00000000">
    <w:pPr>
      <w:pStyle w:val="a3"/>
      <w:spacing w:line="14" w:lineRule="auto"/>
      <w:rPr>
        <w:sz w:val="20"/>
      </w:rPr>
    </w:pPr>
    <w:r>
      <w:pict w14:anchorId="4F4F5CC3">
        <v:line id="_x0000_s1185" style="position:absolute;z-index:-21164032;mso-position-horizontal-relative:page;mso-position-vertical-relative:page" from="56.7pt,735.2pt" to="555.3pt,735.2pt" strokecolor="#00aca1" strokeweight=".25pt">
          <w10:wrap anchorx="page" anchory="page"/>
        </v:line>
      </w:pict>
    </w:r>
    <w:r>
      <w:pict w14:anchorId="32A68127">
        <v:shapetype id="_x0000_t202" coordsize="21600,21600" o:spt="202" path="m,l,21600r21600,l21600,xe">
          <v:stroke joinstyle="miter"/>
          <v:path gradientshapeok="t" o:connecttype="rect"/>
        </v:shapetype>
        <v:shape id="docshape1091" o:spid="_x0000_s1184" type="#_x0000_t202" style="position:absolute;margin-left:540.6pt;margin-top:748.25pt;width:16pt;height:11pt;z-index:-21163520;mso-position-horizontal-relative:page;mso-position-vertical-relative:page" filled="f" stroked="f">
          <v:textbox style="mso-next-textbox:#docshape1091" inset="0,0,0,0">
            <w:txbxContent>
              <w:p w14:paraId="6D6A284E"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69</w:t>
                </w:r>
                <w:r>
                  <w:fldChar w:fldCharType="end"/>
                </w:r>
                <w:r>
                  <w:rPr>
                    <w:color w:val="7F3F98"/>
                    <w:w w:val="105"/>
                    <w:sz w:val="16"/>
                  </w:rPr>
                  <w:t>]</w:t>
                </w:r>
              </w:p>
            </w:txbxContent>
          </v:textbox>
          <w10:wrap anchorx="page" anchory="page"/>
        </v:shape>
      </w:pic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BC637B" w14:textId="77777777" w:rsidR="0055291C" w:rsidRDefault="00000000">
    <w:pPr>
      <w:pStyle w:val="a3"/>
      <w:spacing w:line="14" w:lineRule="auto"/>
      <w:rPr>
        <w:sz w:val="20"/>
      </w:rPr>
    </w:pPr>
    <w:r>
      <w:pict w14:anchorId="64A5FBB0">
        <v:line id="_x0000_s1181" style="position:absolute;z-index:-21161984;mso-position-horizontal-relative:page;mso-position-vertical-relative:page" from="56.7pt,735.2pt" to="555.3pt,735.2pt" strokecolor="#00aca1" strokeweight=".25pt">
          <w10:wrap anchorx="page" anchory="page"/>
        </v:line>
      </w:pict>
    </w:r>
    <w:r>
      <w:pict w14:anchorId="4EB57FEE">
        <v:shapetype id="_x0000_t202" coordsize="21600,21600" o:spt="202" path="m,l,21600r21600,l21600,xe">
          <v:stroke joinstyle="miter"/>
          <v:path gradientshapeok="t" o:connecttype="rect"/>
        </v:shapetype>
        <v:shape id="docshape1100" o:spid="_x0000_s1180" type="#_x0000_t202" style="position:absolute;margin-left:55.7pt;margin-top:748.25pt;width:228.5pt;height:11pt;z-index:-21161472;mso-position-horizontal-relative:page;mso-position-vertical-relative:page" filled="f" stroked="f">
          <v:textbox style="mso-next-textbox:#docshape1100" inset="0,0,0,0">
            <w:txbxContent>
              <w:p w14:paraId="70B70151"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70</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D3A70A" w14:textId="77777777" w:rsidR="0055291C" w:rsidRDefault="00000000">
    <w:pPr>
      <w:pStyle w:val="a3"/>
      <w:spacing w:line="14" w:lineRule="auto"/>
      <w:rPr>
        <w:sz w:val="20"/>
      </w:rPr>
    </w:pPr>
    <w:r>
      <w:pict w14:anchorId="23F9A401">
        <v:line id="_x0000_s1179" style="position:absolute;z-index:-21160960;mso-position-horizontal-relative:page;mso-position-vertical-relative:page" from="56.7pt,735.2pt" to="555.3pt,735.2pt" strokecolor="#00aca1" strokeweight=".25pt">
          <w10:wrap anchorx="page" anchory="page"/>
        </v:line>
      </w:pict>
    </w:r>
    <w:r>
      <w:pict w14:anchorId="3B158C56">
        <v:shapetype id="_x0000_t202" coordsize="21600,21600" o:spt="202" path="m,l,21600r21600,l21600,xe">
          <v:stroke joinstyle="miter"/>
          <v:path gradientshapeok="t" o:connecttype="rect"/>
        </v:shapetype>
        <v:shape id="docshape1101" o:spid="_x0000_s1178" type="#_x0000_t202" style="position:absolute;margin-left:540.6pt;margin-top:748.25pt;width:16pt;height:11pt;z-index:-21160448;mso-position-horizontal-relative:page;mso-position-vertical-relative:page" filled="f" stroked="f">
          <v:textbox style="mso-next-textbox:#docshape1101" inset="0,0,0,0">
            <w:txbxContent>
              <w:p w14:paraId="097DCB4F"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71</w:t>
                </w:r>
                <w:r>
                  <w:fldChar w:fldCharType="end"/>
                </w:r>
                <w:r>
                  <w:rPr>
                    <w:color w:val="7F3F98"/>
                    <w:w w:val="105"/>
                    <w:sz w:val="16"/>
                  </w:rPr>
                  <w:t>]</w:t>
                </w:r>
              </w:p>
            </w:txbxContent>
          </v:textbox>
          <w10:wrap anchorx="page" anchory="page"/>
        </v:shape>
      </w:pic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51C56E" w14:textId="77777777" w:rsidR="0055291C" w:rsidRDefault="00000000">
    <w:pPr>
      <w:pStyle w:val="a3"/>
      <w:spacing w:line="14" w:lineRule="auto"/>
      <w:rPr>
        <w:sz w:val="20"/>
      </w:rPr>
    </w:pPr>
    <w:r>
      <w:pict w14:anchorId="15F0DB54">
        <v:line id="_x0000_s1175" style="position:absolute;z-index:-21158912;mso-position-horizontal-relative:page;mso-position-vertical-relative:page" from="56.7pt,735.2pt" to="555.3pt,735.2pt" strokecolor="#00aca1" strokeweight=".25pt">
          <w10:wrap anchorx="page" anchory="page"/>
        </v:line>
      </w:pict>
    </w:r>
    <w:r>
      <w:pict w14:anchorId="541AE368">
        <v:shapetype id="_x0000_t202" coordsize="21600,21600" o:spt="202" path="m,l,21600r21600,l21600,xe">
          <v:stroke joinstyle="miter"/>
          <v:path gradientshapeok="t" o:connecttype="rect"/>
        </v:shapetype>
        <v:shape id="docshape1113" o:spid="_x0000_s1174" type="#_x0000_t202" style="position:absolute;margin-left:55.7pt;margin-top:748.25pt;width:228.5pt;height:11pt;z-index:-21158400;mso-position-horizontal-relative:page;mso-position-vertical-relative:page" filled="f" stroked="f">
          <v:textbox style="mso-next-textbox:#docshape1113" inset="0,0,0,0">
            <w:txbxContent>
              <w:p w14:paraId="37152019"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72</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7AB39E" w14:textId="77777777" w:rsidR="0055291C" w:rsidRDefault="00000000">
    <w:pPr>
      <w:pStyle w:val="a3"/>
      <w:spacing w:line="14" w:lineRule="auto"/>
      <w:rPr>
        <w:sz w:val="20"/>
      </w:rPr>
    </w:pPr>
    <w:r>
      <w:pict w14:anchorId="2692E7F9">
        <v:line id="_x0000_s1173" style="position:absolute;z-index:-21157888;mso-position-horizontal-relative:page;mso-position-vertical-relative:page" from="56.7pt,735.2pt" to="555.3pt,735.2pt" strokecolor="#00aca1" strokeweight=".25pt">
          <w10:wrap anchorx="page" anchory="page"/>
        </v:line>
      </w:pict>
    </w:r>
    <w:r>
      <w:pict w14:anchorId="6CD9F11A">
        <v:shapetype id="_x0000_t202" coordsize="21600,21600" o:spt="202" path="m,l,21600r21600,l21600,xe">
          <v:stroke joinstyle="miter"/>
          <v:path gradientshapeok="t" o:connecttype="rect"/>
        </v:shapetype>
        <v:shape id="docshape1114" o:spid="_x0000_s1172" type="#_x0000_t202" style="position:absolute;margin-left:540.6pt;margin-top:748.25pt;width:16pt;height:11pt;z-index:-21157376;mso-position-horizontal-relative:page;mso-position-vertical-relative:page" filled="f" stroked="f">
          <v:textbox style="mso-next-textbox:#docshape1114" inset="0,0,0,0">
            <w:txbxContent>
              <w:p w14:paraId="1DAD368A"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73</w:t>
                </w:r>
                <w:r>
                  <w:fldChar w:fldCharType="end"/>
                </w:r>
                <w:r>
                  <w:rPr>
                    <w:color w:val="7F3F98"/>
                    <w:w w:val="105"/>
                    <w:sz w:val="16"/>
                  </w:rPr>
                  <w:t>]</w:t>
                </w:r>
              </w:p>
            </w:txbxContent>
          </v:textbox>
          <w10:wrap anchorx="page" anchory="page"/>
        </v:shape>
      </w:pic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D0009" w14:textId="77777777" w:rsidR="0055291C" w:rsidRDefault="00000000">
    <w:pPr>
      <w:pStyle w:val="a3"/>
      <w:spacing w:line="14" w:lineRule="auto"/>
      <w:rPr>
        <w:sz w:val="20"/>
      </w:rPr>
    </w:pPr>
    <w:r>
      <w:pict w14:anchorId="3BBE9405">
        <v:line id="_x0000_s1169" style="position:absolute;z-index:-21155840;mso-position-horizontal-relative:page;mso-position-vertical-relative:page" from="56.7pt,735.2pt" to="555.3pt,735.2pt" strokecolor="#00aca1" strokeweight=".25pt">
          <w10:wrap anchorx="page" anchory="page"/>
        </v:line>
      </w:pict>
    </w:r>
    <w:r>
      <w:pict w14:anchorId="1941663D">
        <v:shapetype id="_x0000_t202" coordsize="21600,21600" o:spt="202" path="m,l,21600r21600,l21600,xe">
          <v:stroke joinstyle="miter"/>
          <v:path gradientshapeok="t" o:connecttype="rect"/>
        </v:shapetype>
        <v:shape id="docshape1210" o:spid="_x0000_s1168" type="#_x0000_t202" style="position:absolute;margin-left:55.7pt;margin-top:748.25pt;width:228.5pt;height:11pt;z-index:-21155328;mso-position-horizontal-relative:page;mso-position-vertical-relative:page" filled="f" stroked="f">
          <v:textbox style="mso-next-textbox:#docshape1210" inset="0,0,0,0">
            <w:txbxContent>
              <w:p w14:paraId="0CC26370"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74</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B063BC" w14:textId="77777777" w:rsidR="0055291C" w:rsidRDefault="00000000">
    <w:pPr>
      <w:pStyle w:val="a3"/>
      <w:spacing w:line="14" w:lineRule="auto"/>
      <w:rPr>
        <w:sz w:val="20"/>
      </w:rPr>
    </w:pPr>
    <w:r>
      <w:pict w14:anchorId="7CFBE8DB">
        <v:line id="_x0000_s1167" style="position:absolute;z-index:-21154816;mso-position-horizontal-relative:page;mso-position-vertical-relative:page" from="56.7pt,735.2pt" to="555.3pt,735.2pt" strokecolor="#00aca1" strokeweight=".25pt">
          <w10:wrap anchorx="page" anchory="page"/>
        </v:line>
      </w:pict>
    </w:r>
    <w:r>
      <w:pict w14:anchorId="67210A53">
        <v:shapetype id="_x0000_t202" coordsize="21600,21600" o:spt="202" path="m,l,21600r21600,l21600,xe">
          <v:stroke joinstyle="miter"/>
          <v:path gradientshapeok="t" o:connecttype="rect"/>
        </v:shapetype>
        <v:shape id="docshape1211" o:spid="_x0000_s1166" type="#_x0000_t202" style="position:absolute;margin-left:540.6pt;margin-top:748.25pt;width:16pt;height:11pt;z-index:-21154304;mso-position-horizontal-relative:page;mso-position-vertical-relative:page" filled="f" stroked="f">
          <v:textbox style="mso-next-textbox:#docshape1211" inset="0,0,0,0">
            <w:txbxContent>
              <w:p w14:paraId="3C9CA4C3"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75</w:t>
                </w:r>
                <w:r>
                  <w:fldChar w:fldCharType="end"/>
                </w:r>
                <w:r>
                  <w:rPr>
                    <w:color w:val="7F3F98"/>
                    <w:w w:val="105"/>
                    <w:sz w:val="16"/>
                  </w:rPr>
                  <w:t>]</w:t>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F9E44" w14:textId="77777777" w:rsidR="0055291C" w:rsidRDefault="0055291C">
    <w:pPr>
      <w:pStyle w:val="a3"/>
      <w:spacing w:line="14" w:lineRule="auto"/>
      <w:rPr>
        <w:sz w:val="2"/>
      </w:rP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D9F68D" w14:textId="77777777" w:rsidR="0055291C" w:rsidRDefault="00000000">
    <w:pPr>
      <w:pStyle w:val="a3"/>
      <w:spacing w:line="14" w:lineRule="auto"/>
      <w:rPr>
        <w:sz w:val="20"/>
      </w:rPr>
    </w:pPr>
    <w:r>
      <w:pict w14:anchorId="5C89F487">
        <v:line id="_x0000_s1163" style="position:absolute;z-index:-21152768;mso-position-horizontal-relative:page;mso-position-vertical-relative:page" from="56.7pt,735.2pt" to="555.3pt,735.2pt" strokecolor="#00aca1" strokeweight=".25pt">
          <w10:wrap anchorx="page" anchory="page"/>
        </v:line>
      </w:pict>
    </w:r>
    <w:r>
      <w:pict w14:anchorId="3376CE16">
        <v:shapetype id="_x0000_t202" coordsize="21600,21600" o:spt="202" path="m,l,21600r21600,l21600,xe">
          <v:stroke joinstyle="miter"/>
          <v:path gradientshapeok="t" o:connecttype="rect"/>
        </v:shapetype>
        <v:shape id="docshape1223" o:spid="_x0000_s1162" type="#_x0000_t202" style="position:absolute;margin-left:55.7pt;margin-top:748.25pt;width:228.5pt;height:11pt;z-index:-21152256;mso-position-horizontal-relative:page;mso-position-vertical-relative:page" filled="f" stroked="f">
          <v:textbox style="mso-next-textbox:#docshape1223" inset="0,0,0,0">
            <w:txbxContent>
              <w:p w14:paraId="74136756"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76</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4D7BD2" w14:textId="77777777" w:rsidR="0055291C" w:rsidRDefault="00000000">
    <w:pPr>
      <w:pStyle w:val="a3"/>
      <w:spacing w:line="14" w:lineRule="auto"/>
      <w:rPr>
        <w:sz w:val="20"/>
      </w:rPr>
    </w:pPr>
    <w:r>
      <w:pict w14:anchorId="6FCD032C">
        <v:line id="_x0000_s1161" style="position:absolute;z-index:-21151744;mso-position-horizontal-relative:page;mso-position-vertical-relative:page" from="56.7pt,735.2pt" to="555.3pt,735.2pt" strokecolor="#00aca1" strokeweight=".25pt">
          <w10:wrap anchorx="page" anchory="page"/>
        </v:line>
      </w:pict>
    </w:r>
    <w:r>
      <w:pict w14:anchorId="26FF9F61">
        <v:shapetype id="_x0000_t202" coordsize="21600,21600" o:spt="202" path="m,l,21600r21600,l21600,xe">
          <v:stroke joinstyle="miter"/>
          <v:path gradientshapeok="t" o:connecttype="rect"/>
        </v:shapetype>
        <v:shape id="docshape1224" o:spid="_x0000_s1160" type="#_x0000_t202" style="position:absolute;margin-left:540.6pt;margin-top:748.25pt;width:16pt;height:11pt;z-index:-21151232;mso-position-horizontal-relative:page;mso-position-vertical-relative:page" filled="f" stroked="f">
          <v:textbox style="mso-next-textbox:#docshape1224" inset="0,0,0,0">
            <w:txbxContent>
              <w:p w14:paraId="1A366079"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77</w:t>
                </w:r>
                <w:r>
                  <w:fldChar w:fldCharType="end"/>
                </w:r>
                <w:r>
                  <w:rPr>
                    <w:color w:val="7F3F98"/>
                    <w:w w:val="105"/>
                    <w:sz w:val="16"/>
                  </w:rPr>
                  <w:t>]</w:t>
                </w:r>
              </w:p>
            </w:txbxContent>
          </v:textbox>
          <w10:wrap anchorx="page" anchory="page"/>
        </v:shape>
      </w:pic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E31DD" w14:textId="77777777" w:rsidR="0055291C" w:rsidRDefault="0055291C">
    <w:pPr>
      <w:pStyle w:val="a3"/>
      <w:spacing w:line="14" w:lineRule="auto"/>
      <w:rPr>
        <w:sz w:val="2"/>
      </w:rP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91208C" w14:textId="77777777" w:rsidR="0055291C" w:rsidRDefault="00000000">
    <w:pPr>
      <w:pStyle w:val="a3"/>
      <w:spacing w:line="14" w:lineRule="auto"/>
      <w:rPr>
        <w:sz w:val="20"/>
      </w:rPr>
    </w:pPr>
    <w:r>
      <w:pict w14:anchorId="37921166">
        <v:line id="_x0000_s1157" style="position:absolute;z-index:-21149696;mso-position-horizontal-relative:page;mso-position-vertical-relative:page" from="56.7pt,735.2pt" to="555.3pt,735.2pt" strokecolor="#00aca1" strokeweight=".25pt">
          <w10:wrap anchorx="page" anchory="page"/>
        </v:line>
      </w:pict>
    </w:r>
    <w:r>
      <w:pict w14:anchorId="79B242A1">
        <v:shapetype id="_x0000_t202" coordsize="21600,21600" o:spt="202" path="m,l,21600r21600,l21600,xe">
          <v:stroke joinstyle="miter"/>
          <v:path gradientshapeok="t" o:connecttype="rect"/>
        </v:shapetype>
        <v:shape id="docshape1241" o:spid="_x0000_s1156" type="#_x0000_t202" style="position:absolute;margin-left:55.7pt;margin-top:748.25pt;width:228.5pt;height:11pt;z-index:-21149184;mso-position-horizontal-relative:page;mso-position-vertical-relative:page" filled="f" stroked="f">
          <v:textbox style="mso-next-textbox:#docshape1241" inset="0,0,0,0">
            <w:txbxContent>
              <w:p w14:paraId="18B172A0"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80</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BC0AE9" w14:textId="77777777" w:rsidR="0055291C" w:rsidRDefault="00000000">
    <w:pPr>
      <w:pStyle w:val="a3"/>
      <w:spacing w:line="14" w:lineRule="auto"/>
      <w:rPr>
        <w:sz w:val="20"/>
      </w:rPr>
    </w:pPr>
    <w:r>
      <w:pict w14:anchorId="46B30CC1">
        <v:line id="_x0000_s1159" style="position:absolute;z-index:-21150720;mso-position-horizontal-relative:page;mso-position-vertical-relative:page" from="56.7pt,735.2pt" to="555.3pt,735.2pt" strokecolor="#00aca1" strokeweight=".25pt">
          <w10:wrap anchorx="page" anchory="page"/>
        </v:line>
      </w:pict>
    </w:r>
    <w:r>
      <w:pict w14:anchorId="5DFD221A">
        <v:shapetype id="_x0000_t202" coordsize="21600,21600" o:spt="202" path="m,l,21600r21600,l21600,xe">
          <v:stroke joinstyle="miter"/>
          <v:path gradientshapeok="t" o:connecttype="rect"/>
        </v:shapetype>
        <v:shape id="docshape1240" o:spid="_x0000_s1158" type="#_x0000_t202" style="position:absolute;margin-left:540.6pt;margin-top:748.25pt;width:16pt;height:11pt;z-index:-21150208;mso-position-horizontal-relative:page;mso-position-vertical-relative:page" filled="f" stroked="f">
          <v:textbox style="mso-next-textbox:#docshape1240" inset="0,0,0,0">
            <w:txbxContent>
              <w:p w14:paraId="62B6D289"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79</w:t>
                </w:r>
                <w:r>
                  <w:fldChar w:fldCharType="end"/>
                </w:r>
                <w:r>
                  <w:rPr>
                    <w:color w:val="7F3F98"/>
                    <w:w w:val="105"/>
                    <w:sz w:val="16"/>
                  </w:rPr>
                  <w:t>]</w:t>
                </w:r>
              </w:p>
            </w:txbxContent>
          </v:textbox>
          <w10:wrap anchorx="page" anchory="page"/>
        </v:shape>
      </w:pict>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AFE84" w14:textId="77777777" w:rsidR="0055291C" w:rsidRDefault="00000000">
    <w:pPr>
      <w:pStyle w:val="a3"/>
      <w:spacing w:line="14" w:lineRule="auto"/>
      <w:rPr>
        <w:sz w:val="20"/>
      </w:rPr>
    </w:pPr>
    <w:r>
      <w:pict w14:anchorId="5E4DD973">
        <v:line id="_x0000_s1151" style="position:absolute;z-index:-21146624;mso-position-horizontal-relative:page;mso-position-vertical-relative:page" from="56.7pt,735.2pt" to="555.3pt,735.2pt" strokecolor="#00aca1" strokeweight=".25pt">
          <w10:wrap anchorx="page" anchory="page"/>
        </v:line>
      </w:pict>
    </w:r>
    <w:r>
      <w:pict w14:anchorId="6B9BED29">
        <v:shapetype id="_x0000_t202" coordsize="21600,21600" o:spt="202" path="m,l,21600r21600,l21600,xe">
          <v:stroke joinstyle="miter"/>
          <v:path gradientshapeok="t" o:connecttype="rect"/>
        </v:shapetype>
        <v:shape id="docshape1297" o:spid="_x0000_s1150" type="#_x0000_t202" style="position:absolute;margin-left:55.7pt;margin-top:748.25pt;width:228.5pt;height:11pt;z-index:-21146112;mso-position-horizontal-relative:page;mso-position-vertical-relative:page" filled="f" stroked="f">
          <v:textbox style="mso-next-textbox:#docshape1297" inset="0,0,0,0">
            <w:txbxContent>
              <w:p w14:paraId="37A900E9"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82</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6C0BC" w14:textId="77777777" w:rsidR="0055291C" w:rsidRDefault="00000000">
    <w:pPr>
      <w:pStyle w:val="a3"/>
      <w:spacing w:line="14" w:lineRule="auto"/>
      <w:rPr>
        <w:sz w:val="20"/>
      </w:rPr>
    </w:pPr>
    <w:r>
      <w:pict w14:anchorId="57E63CAC">
        <v:line id="_x0000_s1149" style="position:absolute;z-index:-21145600;mso-position-horizontal-relative:page;mso-position-vertical-relative:page" from="56.7pt,735.2pt" to="555.3pt,735.2pt" strokecolor="#00aca1" strokeweight=".25pt">
          <w10:wrap anchorx="page" anchory="page"/>
        </v:line>
      </w:pict>
    </w:r>
    <w:r>
      <w:pict w14:anchorId="36B27936">
        <v:shapetype id="_x0000_t202" coordsize="21600,21600" o:spt="202" path="m,l,21600r21600,l21600,xe">
          <v:stroke joinstyle="miter"/>
          <v:path gradientshapeok="t" o:connecttype="rect"/>
        </v:shapetype>
        <v:shape id="docshape1298" o:spid="_x0000_s1148" type="#_x0000_t202" style="position:absolute;margin-left:540.6pt;margin-top:748.25pt;width:16pt;height:11pt;z-index:-21145088;mso-position-horizontal-relative:page;mso-position-vertical-relative:page" filled="f" stroked="f">
          <v:textbox style="mso-next-textbox:#docshape1298" inset="0,0,0,0">
            <w:txbxContent>
              <w:p w14:paraId="07D0226D"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83</w:t>
                </w:r>
                <w:r>
                  <w:fldChar w:fldCharType="end"/>
                </w:r>
                <w:r>
                  <w:rPr>
                    <w:color w:val="7F3F98"/>
                    <w:w w:val="105"/>
                    <w:sz w:val="16"/>
                  </w:rPr>
                  <w:t>]</w:t>
                </w:r>
              </w:p>
            </w:txbxContent>
          </v:textbox>
          <w10:wrap anchorx="page" anchory="page"/>
        </v:shape>
      </w:pict>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1D885" w14:textId="77777777" w:rsidR="0055291C" w:rsidRDefault="0055291C">
    <w:pPr>
      <w:pStyle w:val="a3"/>
      <w:spacing w:line="14" w:lineRule="auto"/>
      <w:rPr>
        <w:sz w:val="2"/>
      </w:rPr>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CFD0B" w14:textId="77777777" w:rsidR="0055291C" w:rsidRDefault="00000000">
    <w:pPr>
      <w:pStyle w:val="a3"/>
      <w:spacing w:line="14" w:lineRule="auto"/>
      <w:rPr>
        <w:sz w:val="20"/>
      </w:rPr>
    </w:pPr>
    <w:r>
      <w:pict w14:anchorId="77E0E794">
        <v:shape id="docshape1311" o:spid="_x0000_s1145" style="position:absolute;margin-left:56.7pt;margin-top:735.2pt;width:498.65pt;height:.1pt;z-index:-21143552;mso-position-horizontal-relative:page;mso-position-vertical-relative:page" coordorigin="1134,14704" coordsize="9973,0" o:spt="100" adj="0,,0" path="m1134,14704r9972,m1134,14704r9972,e" filled="f" strokecolor="#00aca1" strokeweight=".25pt">
          <v:stroke joinstyle="round"/>
          <v:formulas/>
          <v:path arrowok="t" o:connecttype="segments"/>
          <w10:wrap anchorx="page" anchory="page"/>
        </v:shape>
      </w:pict>
    </w:r>
    <w:r>
      <w:pict w14:anchorId="0A21063D">
        <v:shapetype id="_x0000_t202" coordsize="21600,21600" o:spt="202" path="m,l,21600r21600,l21600,xe">
          <v:stroke joinstyle="miter"/>
          <v:path gradientshapeok="t" o:connecttype="rect"/>
        </v:shapetype>
        <v:shape id="docshape1312" o:spid="_x0000_s1144" type="#_x0000_t202" style="position:absolute;margin-left:55.7pt;margin-top:748.25pt;width:228.5pt;height:11pt;z-index:-21143040;mso-position-horizontal-relative:page;mso-position-vertical-relative:page" filled="f" stroked="f">
          <v:textbox style="mso-next-textbox:#docshape1312" inset="0,0,0,0">
            <w:txbxContent>
              <w:p w14:paraId="1206AF87"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86</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B498CA" w14:textId="77777777" w:rsidR="0055291C" w:rsidRDefault="00000000">
    <w:pPr>
      <w:pStyle w:val="a3"/>
      <w:spacing w:line="14" w:lineRule="auto"/>
      <w:rPr>
        <w:sz w:val="20"/>
      </w:rPr>
    </w:pPr>
    <w:r>
      <w:pict w14:anchorId="2FF9142C">
        <v:line id="_x0000_s1147" style="position:absolute;z-index:-21144576;mso-position-horizontal-relative:page;mso-position-vertical-relative:page" from="56.7pt,735.2pt" to="555.3pt,735.2pt" strokecolor="#00aca1" strokeweight=".25pt">
          <w10:wrap anchorx="page" anchory="page"/>
        </v:line>
      </w:pict>
    </w:r>
    <w:r>
      <w:pict w14:anchorId="0187B6CD">
        <v:shapetype id="_x0000_t202" coordsize="21600,21600" o:spt="202" path="m,l,21600r21600,l21600,xe">
          <v:stroke joinstyle="miter"/>
          <v:path gradientshapeok="t" o:connecttype="rect"/>
        </v:shapetype>
        <v:shape id="docshape1310" o:spid="_x0000_s1146" type="#_x0000_t202" style="position:absolute;margin-left:540.6pt;margin-top:748.25pt;width:16pt;height:11pt;z-index:-21144064;mso-position-horizontal-relative:page;mso-position-vertical-relative:page" filled="f" stroked="f">
          <v:textbox style="mso-next-textbox:#docshape1310" inset="0,0,0,0">
            <w:txbxContent>
              <w:p w14:paraId="6D45C3C5"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85</w:t>
                </w:r>
                <w:r>
                  <w:fldChar w:fldCharType="end"/>
                </w:r>
                <w:r>
                  <w:rPr>
                    <w:color w:val="7F3F98"/>
                    <w:w w:val="105"/>
                    <w:sz w:val="16"/>
                  </w:rPr>
                  <w:t>]</w:t>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452032" w14:textId="77777777" w:rsidR="0055291C" w:rsidRDefault="00000000">
    <w:pPr>
      <w:pStyle w:val="a3"/>
      <w:spacing w:line="14" w:lineRule="auto"/>
      <w:rPr>
        <w:sz w:val="20"/>
      </w:rPr>
    </w:pPr>
    <w:r>
      <w:pict w14:anchorId="79F9448D">
        <v:line id="_x0000_s1308" style="position:absolute;z-index:-21227008;mso-position-horizontal-relative:page;mso-position-vertical-relative:page" from="56.7pt,735.2pt" to="555.3pt,735.2pt" strokecolor="#00aca1" strokeweight=".25pt">
          <w10:wrap anchorx="page" anchory="page"/>
        </v:line>
      </w:pict>
    </w:r>
    <w:r>
      <w:pict w14:anchorId="6AC7DFB0">
        <v:shapetype id="_x0000_t202" coordsize="21600,21600" o:spt="202" path="m,l,21600r21600,l21600,xe">
          <v:stroke joinstyle="miter"/>
          <v:path gradientshapeok="t" o:connecttype="rect"/>
        </v:shapetype>
        <v:shape id="docshape233" o:spid="_x0000_s1307" type="#_x0000_t202" style="position:absolute;margin-left:540.6pt;margin-top:748.25pt;width:16pt;height:11pt;z-index:-21226496;mso-position-horizontal-relative:page;mso-position-vertical-relative:page" filled="f" stroked="f">
          <v:textbox style="mso-next-textbox:#docshape233" inset="0,0,0,0">
            <w:txbxContent>
              <w:p w14:paraId="4EC459D3" w14:textId="77777777" w:rsidR="0055291C" w:rsidRDefault="00F23C61">
                <w:pPr>
                  <w:spacing w:before="21"/>
                  <w:ind w:left="20"/>
                  <w:rPr>
                    <w:sz w:val="16"/>
                  </w:rPr>
                </w:pPr>
                <w:r>
                  <w:rPr>
                    <w:color w:val="7F3F98"/>
                    <w:w w:val="105"/>
                    <w:sz w:val="16"/>
                  </w:rPr>
                  <w:t>[09]</w:t>
                </w:r>
              </w:p>
            </w:txbxContent>
          </v:textbox>
          <w10:wrap anchorx="page" anchory="page"/>
        </v:shape>
      </w:pic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5DD5A1" w14:textId="77777777" w:rsidR="0055291C" w:rsidRDefault="00000000">
    <w:pPr>
      <w:pStyle w:val="a3"/>
      <w:spacing w:line="14" w:lineRule="auto"/>
      <w:rPr>
        <w:sz w:val="20"/>
      </w:rPr>
    </w:pPr>
    <w:r>
      <w:pict w14:anchorId="4E7C8FA4">
        <v:shape id="docshape1336" o:spid="_x0000_s1141" style="position:absolute;margin-left:56.7pt;margin-top:735.2pt;width:498.65pt;height:.1pt;z-index:-21141504;mso-position-horizontal-relative:page;mso-position-vertical-relative:page" coordorigin="1134,14704" coordsize="9973,0" o:spt="100" adj="0,,0" path="m1134,14704r9972,m1134,14704r9972,e" filled="f" strokecolor="#00aca1" strokeweight=".25pt">
          <v:stroke joinstyle="round"/>
          <v:formulas/>
          <v:path arrowok="t" o:connecttype="segments"/>
          <w10:wrap anchorx="page" anchory="page"/>
        </v:shape>
      </w:pict>
    </w:r>
    <w:r>
      <w:pict w14:anchorId="1B9F7720">
        <v:shapetype id="_x0000_t202" coordsize="21600,21600" o:spt="202" path="m,l,21600r21600,l21600,xe">
          <v:stroke joinstyle="miter"/>
          <v:path gradientshapeok="t" o:connecttype="rect"/>
        </v:shapetype>
        <v:shape id="docshape1337" o:spid="_x0000_s1140" type="#_x0000_t202" style="position:absolute;margin-left:55.7pt;margin-top:748.25pt;width:228.5pt;height:11pt;z-index:-21140992;mso-position-horizontal-relative:page;mso-position-vertical-relative:page" filled="f" stroked="f">
          <v:textbox style="mso-next-textbox:#docshape1337" inset="0,0,0,0">
            <w:txbxContent>
              <w:p w14:paraId="7A29AF45"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88</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57F9C6" w14:textId="77777777" w:rsidR="0055291C" w:rsidRDefault="00000000">
    <w:pPr>
      <w:pStyle w:val="a3"/>
      <w:spacing w:line="14" w:lineRule="auto"/>
      <w:rPr>
        <w:sz w:val="20"/>
      </w:rPr>
    </w:pPr>
    <w:r>
      <w:pict w14:anchorId="4FA9BED2">
        <v:shape id="docshape1334" o:spid="_x0000_s1143" style="position:absolute;margin-left:56.7pt;margin-top:735.2pt;width:498.65pt;height:.1pt;z-index:-21142528;mso-position-horizontal-relative:page;mso-position-vertical-relative:page" coordorigin="1134,14704" coordsize="9973,0" o:spt="100" adj="0,,0" path="m1134,14704r9972,m1134,14704r9972,e" filled="f" strokecolor="#00aca1" strokeweight=".25pt">
          <v:stroke joinstyle="round"/>
          <v:formulas/>
          <v:path arrowok="t" o:connecttype="segments"/>
          <w10:wrap anchorx="page" anchory="page"/>
        </v:shape>
      </w:pict>
    </w:r>
    <w:r>
      <w:pict w14:anchorId="3E0A60F8">
        <v:shapetype id="_x0000_t202" coordsize="21600,21600" o:spt="202" path="m,l,21600r21600,l21600,xe">
          <v:stroke joinstyle="miter"/>
          <v:path gradientshapeok="t" o:connecttype="rect"/>
        </v:shapetype>
        <v:shape id="docshape1335" o:spid="_x0000_s1142" type="#_x0000_t202" style="position:absolute;margin-left:540.6pt;margin-top:748.25pt;width:16pt;height:11pt;z-index:-21142016;mso-position-horizontal-relative:page;mso-position-vertical-relative:page" filled="f" stroked="f">
          <v:textbox style="mso-next-textbox:#docshape1335" inset="0,0,0,0">
            <w:txbxContent>
              <w:p w14:paraId="01FA3030"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87</w:t>
                </w:r>
                <w:r>
                  <w:fldChar w:fldCharType="end"/>
                </w:r>
                <w:r>
                  <w:rPr>
                    <w:color w:val="7F3F98"/>
                    <w:w w:val="105"/>
                    <w:sz w:val="16"/>
                  </w:rPr>
                  <w:t>]</w:t>
                </w:r>
              </w:p>
            </w:txbxContent>
          </v:textbox>
          <w10:wrap anchorx="page" anchory="page"/>
        </v:shape>
      </w:pict>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9D32E" w14:textId="77777777" w:rsidR="0055291C" w:rsidRDefault="00000000">
    <w:pPr>
      <w:pStyle w:val="a3"/>
      <w:spacing w:line="14" w:lineRule="auto"/>
      <w:rPr>
        <w:sz w:val="20"/>
      </w:rPr>
    </w:pPr>
    <w:r>
      <w:pict w14:anchorId="0C389E85">
        <v:shape id="docshape1350" o:spid="_x0000_s1135" style="position:absolute;margin-left:56.7pt;margin-top:735.2pt;width:498.65pt;height:.1pt;z-index:-21138432;mso-position-horizontal-relative:page;mso-position-vertical-relative:page" coordorigin="1134,14704" coordsize="9973,0" o:spt="100" adj="0,,0" path="m1134,14704r9972,m1134,14704r9972,e" filled="f" strokecolor="#00aca1" strokeweight=".25pt">
          <v:stroke joinstyle="round"/>
          <v:formulas/>
          <v:path arrowok="t" o:connecttype="segments"/>
          <w10:wrap anchorx="page" anchory="page"/>
        </v:shape>
      </w:pict>
    </w:r>
    <w:r>
      <w:pict w14:anchorId="732605B1">
        <v:shapetype id="_x0000_t202" coordsize="21600,21600" o:spt="202" path="m,l,21600r21600,l21600,xe">
          <v:stroke joinstyle="miter"/>
          <v:path gradientshapeok="t" o:connecttype="rect"/>
        </v:shapetype>
        <v:shape id="docshape1351" o:spid="_x0000_s1134" type="#_x0000_t202" style="position:absolute;margin-left:55.7pt;margin-top:748.25pt;width:228.5pt;height:11pt;z-index:-21137920;mso-position-horizontal-relative:page;mso-position-vertical-relative:page" filled="f" stroked="f">
          <v:textbox style="mso-next-textbox:#docshape1351" inset="0,0,0,0">
            <w:txbxContent>
              <w:p w14:paraId="1766B155"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90</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1567F7" w14:textId="77777777" w:rsidR="0055291C" w:rsidRDefault="00000000">
    <w:pPr>
      <w:pStyle w:val="a3"/>
      <w:spacing w:line="14" w:lineRule="auto"/>
      <w:rPr>
        <w:sz w:val="20"/>
      </w:rPr>
    </w:pPr>
    <w:r>
      <w:pict w14:anchorId="14B54C0B">
        <v:shape id="docshape1352" o:spid="_x0000_s1133" style="position:absolute;margin-left:56.7pt;margin-top:735.2pt;width:498.65pt;height:.1pt;z-index:-21137408;mso-position-horizontal-relative:page;mso-position-vertical-relative:page" coordorigin="1134,14704" coordsize="9973,0" o:spt="100" adj="0,,0" path="m1134,14704r9972,m1134,14704r9972,e" filled="f" strokecolor="#00aca1" strokeweight=".25pt">
          <v:stroke joinstyle="round"/>
          <v:formulas/>
          <v:path arrowok="t" o:connecttype="segments"/>
          <w10:wrap anchorx="page" anchory="page"/>
        </v:shape>
      </w:pict>
    </w:r>
    <w:r>
      <w:pict w14:anchorId="0A32F57A">
        <v:shapetype id="_x0000_t202" coordsize="21600,21600" o:spt="202" path="m,l,21600r21600,l21600,xe">
          <v:stroke joinstyle="miter"/>
          <v:path gradientshapeok="t" o:connecttype="rect"/>
        </v:shapetype>
        <v:shape id="docshape1353" o:spid="_x0000_s1132" type="#_x0000_t202" style="position:absolute;margin-left:540.6pt;margin-top:748.25pt;width:16pt;height:11pt;z-index:-21136896;mso-position-horizontal-relative:page;mso-position-vertical-relative:page" filled="f" stroked="f">
          <v:textbox style="mso-next-textbox:#docshape1353" inset="0,0,0,0">
            <w:txbxContent>
              <w:p w14:paraId="7AC46C87"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91</w:t>
                </w:r>
                <w:r>
                  <w:fldChar w:fldCharType="end"/>
                </w:r>
                <w:r>
                  <w:rPr>
                    <w:color w:val="7F3F98"/>
                    <w:w w:val="105"/>
                    <w:sz w:val="16"/>
                  </w:rPr>
                  <w:t>]</w:t>
                </w:r>
              </w:p>
            </w:txbxContent>
          </v:textbox>
          <w10:wrap anchorx="page" anchory="page"/>
        </v:shape>
      </w:pic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703173" w14:textId="77777777" w:rsidR="0055291C" w:rsidRDefault="0055291C">
    <w:pPr>
      <w:pStyle w:val="a3"/>
      <w:spacing w:line="14" w:lineRule="auto"/>
      <w:rPr>
        <w:sz w:val="2"/>
      </w:rPr>
    </w:pP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1E3F2" w14:textId="77777777" w:rsidR="0055291C" w:rsidRDefault="00000000">
    <w:pPr>
      <w:pStyle w:val="a3"/>
      <w:spacing w:line="14" w:lineRule="auto"/>
      <w:rPr>
        <w:sz w:val="20"/>
      </w:rPr>
    </w:pPr>
    <w:r>
      <w:pict w14:anchorId="5FFFF4A1">
        <v:line id="_x0000_s1129" style="position:absolute;z-index:-21135360;mso-position-horizontal-relative:page;mso-position-vertical-relative:page" from="56.7pt,735.2pt" to="555.3pt,735.2pt" strokecolor="#00aca1" strokeweight=".25pt">
          <w10:wrap anchorx="page" anchory="page"/>
        </v:line>
      </w:pict>
    </w:r>
    <w:r>
      <w:pict w14:anchorId="79589DE0">
        <v:shapetype id="_x0000_t202" coordsize="21600,21600" o:spt="202" path="m,l,21600r21600,l21600,xe">
          <v:stroke joinstyle="miter"/>
          <v:path gradientshapeok="t" o:connecttype="rect"/>
        </v:shapetype>
        <v:shape id="docshape1365" o:spid="_x0000_s1128" type="#_x0000_t202" style="position:absolute;margin-left:55.7pt;margin-top:748.25pt;width:228.5pt;height:11pt;z-index:-21134848;mso-position-horizontal-relative:page;mso-position-vertical-relative:page" filled="f" stroked="f">
          <v:textbox style="mso-next-textbox:#docshape1365" inset="0,0,0,0">
            <w:txbxContent>
              <w:p w14:paraId="42CAAC97"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94</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42FFF" w14:textId="77777777" w:rsidR="0055291C" w:rsidRDefault="00000000">
    <w:pPr>
      <w:pStyle w:val="a3"/>
      <w:spacing w:line="14" w:lineRule="auto"/>
      <w:rPr>
        <w:sz w:val="20"/>
      </w:rPr>
    </w:pPr>
    <w:r>
      <w:pict w14:anchorId="57AD8EF6">
        <v:line id="_x0000_s1131" style="position:absolute;z-index:-21136384;mso-position-horizontal-relative:page;mso-position-vertical-relative:page" from="56.7pt,735.2pt" to="555.3pt,735.2pt" strokecolor="#00aca1" strokeweight=".25pt">
          <w10:wrap anchorx="page" anchory="page"/>
        </v:line>
      </w:pict>
    </w:r>
    <w:r>
      <w:pict w14:anchorId="3852657C">
        <v:shapetype id="_x0000_t202" coordsize="21600,21600" o:spt="202" path="m,l,21600r21600,l21600,xe">
          <v:stroke joinstyle="miter"/>
          <v:path gradientshapeok="t" o:connecttype="rect"/>
        </v:shapetype>
        <v:shape id="docshape1364" o:spid="_x0000_s1130" type="#_x0000_t202" style="position:absolute;margin-left:540.6pt;margin-top:748.25pt;width:16pt;height:11pt;z-index:-21135872;mso-position-horizontal-relative:page;mso-position-vertical-relative:page" filled="f" stroked="f">
          <v:textbox style="mso-next-textbox:#docshape1364" inset="0,0,0,0">
            <w:txbxContent>
              <w:p w14:paraId="5F27B17E"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93</w:t>
                </w:r>
                <w:r>
                  <w:fldChar w:fldCharType="end"/>
                </w:r>
                <w:r>
                  <w:rPr>
                    <w:color w:val="7F3F98"/>
                    <w:w w:val="105"/>
                    <w:sz w:val="16"/>
                  </w:rPr>
                  <w:t>]</w:t>
                </w:r>
              </w:p>
            </w:txbxContent>
          </v:textbox>
          <w10:wrap anchorx="page" anchory="page"/>
        </v:shape>
      </w:pict>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9E5BB" w14:textId="77777777" w:rsidR="0055291C" w:rsidRDefault="00000000">
    <w:pPr>
      <w:pStyle w:val="a3"/>
      <w:spacing w:line="14" w:lineRule="auto"/>
      <w:rPr>
        <w:sz w:val="20"/>
      </w:rPr>
    </w:pPr>
    <w:r>
      <w:pict w14:anchorId="02B308C3">
        <v:line id="_x0000_s1123" style="position:absolute;z-index:-21132288;mso-position-horizontal-relative:page;mso-position-vertical-relative:page" from="56.7pt,735.2pt" to="555.3pt,735.2pt" strokecolor="#00aca1" strokeweight=".25pt">
          <w10:wrap anchorx="page" anchory="page"/>
        </v:line>
      </w:pict>
    </w:r>
    <w:r>
      <w:pict w14:anchorId="2963D478">
        <v:shapetype id="_x0000_t202" coordsize="21600,21600" o:spt="202" path="m,l,21600r21600,l21600,xe">
          <v:stroke joinstyle="miter"/>
          <v:path gradientshapeok="t" o:connecttype="rect"/>
        </v:shapetype>
        <v:shape id="docshape1403" o:spid="_x0000_s1122" type="#_x0000_t202" style="position:absolute;margin-left:55.7pt;margin-top:748.25pt;width:228.5pt;height:11pt;z-index:-21131776;mso-position-horizontal-relative:page;mso-position-vertical-relative:page" filled="f" stroked="f">
          <v:textbox style="mso-next-textbox:#docshape1403" inset="0,0,0,0">
            <w:txbxContent>
              <w:p w14:paraId="5D3D9D3D"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96</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3D022" w14:textId="77777777" w:rsidR="0055291C" w:rsidRDefault="00000000">
    <w:pPr>
      <w:pStyle w:val="a3"/>
      <w:spacing w:line="14" w:lineRule="auto"/>
      <w:rPr>
        <w:sz w:val="20"/>
      </w:rPr>
    </w:pPr>
    <w:r>
      <w:pict w14:anchorId="75DAB8D7">
        <v:line id="_x0000_s1121" style="position:absolute;z-index:-21131264;mso-position-horizontal-relative:page;mso-position-vertical-relative:page" from="56.7pt,735.2pt" to="555.3pt,735.2pt" strokecolor="#00aca1" strokeweight=".25pt">
          <w10:wrap anchorx="page" anchory="page"/>
        </v:line>
      </w:pict>
    </w:r>
    <w:r>
      <w:pict w14:anchorId="62F1F841">
        <v:shapetype id="_x0000_t202" coordsize="21600,21600" o:spt="202" path="m,l,21600r21600,l21600,xe">
          <v:stroke joinstyle="miter"/>
          <v:path gradientshapeok="t" o:connecttype="rect"/>
        </v:shapetype>
        <v:shape id="docshape1404" o:spid="_x0000_s1120" type="#_x0000_t202" style="position:absolute;margin-left:540.6pt;margin-top:748.25pt;width:16pt;height:11pt;z-index:-21130752;mso-position-horizontal-relative:page;mso-position-vertical-relative:page" filled="f" stroked="f">
          <v:textbox style="mso-next-textbox:#docshape1404" inset="0,0,0,0">
            <w:txbxContent>
              <w:p w14:paraId="0CD347FC"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97</w:t>
                </w:r>
                <w:r>
                  <w:fldChar w:fldCharType="end"/>
                </w:r>
                <w:r>
                  <w:rPr>
                    <w:color w:val="7F3F98"/>
                    <w:w w:val="105"/>
                    <w:sz w:val="16"/>
                  </w:rPr>
                  <w:t>]</w:t>
                </w:r>
              </w:p>
            </w:txbxContent>
          </v:textbox>
          <w10:wrap anchorx="page" anchory="page"/>
        </v:shape>
      </w:pict>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B04D55" w14:textId="77777777" w:rsidR="0055291C" w:rsidRDefault="00000000">
    <w:pPr>
      <w:pStyle w:val="a3"/>
      <w:spacing w:line="14" w:lineRule="auto"/>
      <w:rPr>
        <w:sz w:val="20"/>
      </w:rPr>
    </w:pPr>
    <w:r>
      <w:pict w14:anchorId="409E87FD">
        <v:line id="_x0000_s1117" style="position:absolute;z-index:-21129216;mso-position-horizontal-relative:page;mso-position-vertical-relative:page" from="56.7pt,735.2pt" to="555.3pt,735.2pt" strokecolor="#00aca1" strokeweight=".25pt">
          <w10:wrap anchorx="page" anchory="page"/>
        </v:line>
      </w:pict>
    </w:r>
    <w:r>
      <w:pict w14:anchorId="1CD3BAE5">
        <v:shapetype id="_x0000_t202" coordsize="21600,21600" o:spt="202" path="m,l,21600r21600,l21600,xe">
          <v:stroke joinstyle="miter"/>
          <v:path gradientshapeok="t" o:connecttype="rect"/>
        </v:shapetype>
        <v:shape id="docshape1416" o:spid="_x0000_s1116" type="#_x0000_t202" style="position:absolute;margin-left:55.7pt;margin-top:748.25pt;width:228.5pt;height:11pt;z-index:-21128704;mso-position-horizontal-relative:page;mso-position-vertical-relative:page" filled="f" stroked="f">
          <v:textbox style="mso-next-textbox:#docshape1416" inset="0,0,0,0">
            <w:txbxContent>
              <w:p w14:paraId="36BE411C"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98</w:t>
                </w:r>
                <w:r>
                  <w:fldChar w:fldCharType="end"/>
                </w:r>
                <w:r>
                  <w:rPr>
                    <w:color w:val="7F3F98"/>
                    <w:w w:val="95"/>
                    <w:sz w:val="16"/>
                  </w:rPr>
                  <w:t>]</w:t>
                </w:r>
                <w:r>
                  <w:rPr>
                    <w:color w:val="7F3F98"/>
                    <w:spacing w:val="38"/>
                    <w:sz w:val="16"/>
                  </w:rPr>
                  <w:t xml:space="preserve">  </w:t>
                </w:r>
                <w:r>
                  <w:rPr>
                    <w:rFonts w:ascii="Arial"/>
                    <w:b/>
                    <w:i/>
                    <w:color w:val="545456"/>
                    <w:w w:val="95"/>
                    <w:sz w:val="16"/>
                  </w:rPr>
                  <w:t>Product</w:t>
                </w:r>
                <w:r>
                  <w:rPr>
                    <w:rFonts w:ascii="Arial"/>
                    <w:b/>
                    <w:i/>
                    <w:color w:val="545456"/>
                    <w:spacing w:val="17"/>
                    <w:w w:val="95"/>
                    <w:sz w:val="16"/>
                  </w:rPr>
                  <w:t xml:space="preserve"> </w:t>
                </w:r>
                <w:r>
                  <w:rPr>
                    <w:rFonts w:ascii="Arial"/>
                    <w:b/>
                    <w:i/>
                    <w:color w:val="545456"/>
                    <w:w w:val="95"/>
                    <w:sz w:val="16"/>
                  </w:rPr>
                  <w:t>Life</w:t>
                </w:r>
                <w:r>
                  <w:rPr>
                    <w:rFonts w:ascii="Arial"/>
                    <w:b/>
                    <w:i/>
                    <w:color w:val="545456"/>
                    <w:spacing w:val="18"/>
                    <w:w w:val="95"/>
                    <w:sz w:val="16"/>
                  </w:rPr>
                  <w:t xml:space="preserve"> </w:t>
                </w:r>
                <w:r>
                  <w:rPr>
                    <w:rFonts w:ascii="Arial"/>
                    <w:b/>
                    <w:i/>
                    <w:color w:val="545456"/>
                    <w:w w:val="95"/>
                    <w:sz w:val="16"/>
                  </w:rPr>
                  <w:t>Cycle</w:t>
                </w:r>
                <w:r>
                  <w:rPr>
                    <w:rFonts w:ascii="Arial"/>
                    <w:b/>
                    <w:i/>
                    <w:color w:val="545456"/>
                    <w:spacing w:val="17"/>
                    <w:w w:val="95"/>
                    <w:sz w:val="16"/>
                  </w:rPr>
                  <w:t xml:space="preserve"> </w:t>
                </w:r>
                <w:r>
                  <w:rPr>
                    <w:rFonts w:ascii="Arial"/>
                    <w:b/>
                    <w:i/>
                    <w:color w:val="545456"/>
                    <w:w w:val="95"/>
                    <w:sz w:val="16"/>
                  </w:rPr>
                  <w:t>Accounting</w:t>
                </w:r>
                <w:r>
                  <w:rPr>
                    <w:rFonts w:ascii="Arial"/>
                    <w:b/>
                    <w:i/>
                    <w:color w:val="545456"/>
                    <w:spacing w:val="17"/>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7"/>
                    <w:w w:val="95"/>
                    <w:sz w:val="16"/>
                  </w:rPr>
                  <w:t xml:space="preserve"> </w:t>
                </w:r>
                <w:r>
                  <w:rPr>
                    <w:rFonts w:ascii="Arial"/>
                    <w:b/>
                    <w:i/>
                    <w:color w:val="545456"/>
                    <w:w w:val="95"/>
                    <w:sz w:val="16"/>
                  </w:rPr>
                  <w:t>Standard</w:t>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C45044" w14:textId="77777777" w:rsidR="0055291C" w:rsidRDefault="0055291C">
    <w:pPr>
      <w:pStyle w:val="a3"/>
      <w:spacing w:line="14" w:lineRule="auto"/>
      <w:rPr>
        <w:sz w:val="2"/>
      </w:rPr>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F28612" w14:textId="77777777" w:rsidR="0055291C" w:rsidRDefault="00000000">
    <w:pPr>
      <w:pStyle w:val="a3"/>
      <w:spacing w:line="14" w:lineRule="auto"/>
      <w:rPr>
        <w:sz w:val="20"/>
      </w:rPr>
    </w:pPr>
    <w:r>
      <w:pict w14:anchorId="01B5AFB3">
        <v:line id="_x0000_s1115" style="position:absolute;z-index:-21128192;mso-position-horizontal-relative:page;mso-position-vertical-relative:page" from="56.7pt,735.2pt" to="555.3pt,735.2pt" strokecolor="#00aca1" strokeweight=".25pt">
          <w10:wrap anchorx="page" anchory="page"/>
        </v:line>
      </w:pict>
    </w:r>
    <w:r>
      <w:pict w14:anchorId="32220499">
        <v:shapetype id="_x0000_t202" coordsize="21600,21600" o:spt="202" path="m,l,21600r21600,l21600,xe">
          <v:stroke joinstyle="miter"/>
          <v:path gradientshapeok="t" o:connecttype="rect"/>
        </v:shapetype>
        <v:shape id="docshape1417" o:spid="_x0000_s1114" type="#_x0000_t202" style="position:absolute;margin-left:540.6pt;margin-top:748.25pt;width:16pt;height:11pt;z-index:-21127680;mso-position-horizontal-relative:page;mso-position-vertical-relative:page" filled="f" stroked="f">
          <v:textbox style="mso-next-textbox:#docshape1417" inset="0,0,0,0">
            <w:txbxContent>
              <w:p w14:paraId="696A3DFE"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99</w:t>
                </w:r>
                <w:r>
                  <w:fldChar w:fldCharType="end"/>
                </w:r>
                <w:r>
                  <w:rPr>
                    <w:color w:val="7F3F98"/>
                    <w:w w:val="105"/>
                    <w:sz w:val="16"/>
                  </w:rPr>
                  <w:t>]</w:t>
                </w:r>
              </w:p>
            </w:txbxContent>
          </v:textbox>
          <w10:wrap anchorx="page" anchory="page"/>
        </v:shape>
      </w:pict>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0C9286" w14:textId="77777777" w:rsidR="0055291C" w:rsidRDefault="0055291C">
    <w:pPr>
      <w:pStyle w:val="a3"/>
      <w:spacing w:line="14" w:lineRule="auto"/>
      <w:rPr>
        <w:sz w:val="2"/>
      </w:rPr>
    </w:pP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2EB49" w14:textId="77777777" w:rsidR="0055291C" w:rsidRDefault="00000000">
    <w:pPr>
      <w:pStyle w:val="a3"/>
      <w:spacing w:line="14" w:lineRule="auto"/>
      <w:rPr>
        <w:sz w:val="20"/>
      </w:rPr>
    </w:pPr>
    <w:r>
      <w:pict w14:anchorId="5E173F9E">
        <v:line id="_x0000_s1111" style="position:absolute;z-index:-21126144;mso-position-horizontal-relative:page;mso-position-vertical-relative:page" from="56.7pt,735.2pt" to="555.3pt,735.2pt" strokecolor="#00aca1" strokeweight=".25pt">
          <w10:wrap anchorx="page" anchory="page"/>
        </v:line>
      </w:pict>
    </w:r>
    <w:r>
      <w:pict w14:anchorId="3CF07FAB">
        <v:shapetype id="_x0000_t202" coordsize="21600,21600" o:spt="202" path="m,l,21600r21600,l21600,xe">
          <v:stroke joinstyle="miter"/>
          <v:path gradientshapeok="t" o:connecttype="rect"/>
        </v:shapetype>
        <v:shape id="docshape1437" o:spid="_x0000_s1110" type="#_x0000_t202" style="position:absolute;margin-left:55.7pt;margin-top:748.25pt;width:233.2pt;height:11pt;z-index:-21125632;mso-position-horizontal-relative:page;mso-position-vertical-relative:page" filled="f" stroked="f">
          <v:textbox style="mso-next-textbox:#docshape1437" inset="0,0,0,0">
            <w:txbxContent>
              <w:p w14:paraId="4CBE6945"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102</w:t>
                </w:r>
                <w:r>
                  <w:fldChar w:fldCharType="end"/>
                </w:r>
                <w:r>
                  <w:rPr>
                    <w:color w:val="7F3F98"/>
                    <w:w w:val="95"/>
                    <w:sz w:val="16"/>
                  </w:rPr>
                  <w:t>]</w:t>
                </w:r>
                <w:r>
                  <w:rPr>
                    <w:color w:val="7F3F98"/>
                    <w:spacing w:val="39"/>
                    <w:sz w:val="16"/>
                  </w:rPr>
                  <w:t xml:space="preserve">  </w:t>
                </w:r>
                <w:r>
                  <w:rPr>
                    <w:rFonts w:ascii="Arial"/>
                    <w:b/>
                    <w:i/>
                    <w:color w:val="545456"/>
                    <w:w w:val="95"/>
                    <w:sz w:val="16"/>
                  </w:rPr>
                  <w:t>Product</w:t>
                </w:r>
                <w:r>
                  <w:rPr>
                    <w:rFonts w:ascii="Arial"/>
                    <w:b/>
                    <w:i/>
                    <w:color w:val="545456"/>
                    <w:spacing w:val="18"/>
                    <w:w w:val="95"/>
                    <w:sz w:val="16"/>
                  </w:rPr>
                  <w:t xml:space="preserve"> </w:t>
                </w:r>
                <w:r>
                  <w:rPr>
                    <w:rFonts w:ascii="Arial"/>
                    <w:b/>
                    <w:i/>
                    <w:color w:val="545456"/>
                    <w:w w:val="95"/>
                    <w:sz w:val="16"/>
                  </w:rPr>
                  <w:t>Life</w:t>
                </w:r>
                <w:r>
                  <w:rPr>
                    <w:rFonts w:ascii="Arial"/>
                    <w:b/>
                    <w:i/>
                    <w:color w:val="545456"/>
                    <w:spacing w:val="17"/>
                    <w:w w:val="95"/>
                    <w:sz w:val="16"/>
                  </w:rPr>
                  <w:t xml:space="preserve"> </w:t>
                </w:r>
                <w:r>
                  <w:rPr>
                    <w:rFonts w:ascii="Arial"/>
                    <w:b/>
                    <w:i/>
                    <w:color w:val="545456"/>
                    <w:w w:val="95"/>
                    <w:sz w:val="16"/>
                  </w:rPr>
                  <w:t>Cycle</w:t>
                </w:r>
                <w:r>
                  <w:rPr>
                    <w:rFonts w:ascii="Arial"/>
                    <w:b/>
                    <w:i/>
                    <w:color w:val="545456"/>
                    <w:spacing w:val="18"/>
                    <w:w w:val="95"/>
                    <w:sz w:val="16"/>
                  </w:rPr>
                  <w:t xml:space="preserve"> </w:t>
                </w:r>
                <w:r>
                  <w:rPr>
                    <w:rFonts w:ascii="Arial"/>
                    <w:b/>
                    <w:i/>
                    <w:color w:val="545456"/>
                    <w:w w:val="95"/>
                    <w:sz w:val="16"/>
                  </w:rPr>
                  <w:t>Accounting</w:t>
                </w:r>
                <w:r>
                  <w:rPr>
                    <w:rFonts w:ascii="Arial"/>
                    <w:b/>
                    <w:i/>
                    <w:color w:val="545456"/>
                    <w:spacing w:val="18"/>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8"/>
                    <w:w w:val="95"/>
                    <w:sz w:val="16"/>
                  </w:rPr>
                  <w:t xml:space="preserve"> </w:t>
                </w:r>
                <w:r>
                  <w:rPr>
                    <w:rFonts w:ascii="Arial"/>
                    <w:b/>
                    <w:i/>
                    <w:color w:val="545456"/>
                    <w:w w:val="95"/>
                    <w:sz w:val="16"/>
                  </w:rPr>
                  <w:t>Standard</w:t>
                </w:r>
              </w:p>
            </w:txbxContent>
          </v:textbox>
          <w10:wrap anchorx="page" anchory="page"/>
        </v:shape>
      </w:pict>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2108E3" w14:textId="77777777" w:rsidR="0055291C" w:rsidRDefault="00000000">
    <w:pPr>
      <w:pStyle w:val="a3"/>
      <w:spacing w:line="14" w:lineRule="auto"/>
      <w:rPr>
        <w:sz w:val="20"/>
      </w:rPr>
    </w:pPr>
    <w:r>
      <w:pict w14:anchorId="715E92D8">
        <v:shape id="docshape1435" o:spid="_x0000_s1113" style="position:absolute;margin-left:56.7pt;margin-top:735.2pt;width:498.65pt;height:.1pt;z-index:-21127168;mso-position-horizontal-relative:page;mso-position-vertical-relative:page" coordorigin="1134,14704" coordsize="9973,0" o:spt="100" adj="0,,0" path="m1134,14704r9972,m1134,14704r9972,e" filled="f" strokecolor="#00aca1" strokeweight=".25pt">
          <v:stroke joinstyle="round"/>
          <v:formulas/>
          <v:path arrowok="t" o:connecttype="segments"/>
          <w10:wrap anchorx="page" anchory="page"/>
        </v:shape>
      </w:pict>
    </w:r>
    <w:r>
      <w:pict w14:anchorId="54344C7F">
        <v:shapetype id="_x0000_t202" coordsize="21600,21600" o:spt="202" path="m,l,21600r21600,l21600,xe">
          <v:stroke joinstyle="miter"/>
          <v:path gradientshapeok="t" o:connecttype="rect"/>
        </v:shapetype>
        <v:shape id="docshape1436" o:spid="_x0000_s1112" type="#_x0000_t202" style="position:absolute;margin-left:536.1pt;margin-top:748.25pt;width:20.5pt;height:11pt;z-index:-21126656;mso-position-horizontal-relative:page;mso-position-vertical-relative:page" filled="f" stroked="f">
          <v:textbox style="mso-next-textbox:#docshape1436" inset="0,0,0,0">
            <w:txbxContent>
              <w:p w14:paraId="42F8631C"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101</w:t>
                </w:r>
                <w:r>
                  <w:fldChar w:fldCharType="end"/>
                </w:r>
                <w:r>
                  <w:rPr>
                    <w:color w:val="7F3F98"/>
                    <w:w w:val="105"/>
                    <w:sz w:val="16"/>
                  </w:rPr>
                  <w:t>]</w:t>
                </w:r>
              </w:p>
            </w:txbxContent>
          </v:textbox>
          <w10:wrap anchorx="page" anchory="page"/>
        </v:shape>
      </w:pict>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5974B" w14:textId="77777777" w:rsidR="0055291C" w:rsidRDefault="0055291C">
    <w:pPr>
      <w:pStyle w:val="a3"/>
      <w:spacing w:line="14" w:lineRule="auto"/>
      <w:rPr>
        <w:sz w:val="2"/>
      </w:rPr>
    </w:pP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B2FB07" w14:textId="77777777" w:rsidR="0055291C" w:rsidRDefault="00000000">
    <w:pPr>
      <w:pStyle w:val="a3"/>
      <w:spacing w:line="14" w:lineRule="auto"/>
      <w:rPr>
        <w:sz w:val="20"/>
      </w:rPr>
    </w:pPr>
    <w:r>
      <w:pict w14:anchorId="2CA29292">
        <v:line id="_x0000_s1105" style="position:absolute;z-index:-21123072;mso-position-horizontal-relative:page;mso-position-vertical-relative:page" from="56.7pt,735.2pt" to="555.3pt,735.2pt" strokecolor="#00aca1" strokeweight=".25pt">
          <w10:wrap anchorx="page" anchory="page"/>
        </v:line>
      </w:pict>
    </w:r>
    <w:r>
      <w:pict w14:anchorId="73DDAA47">
        <v:shapetype id="_x0000_t202" coordsize="21600,21600" o:spt="202" path="m,l,21600r21600,l21600,xe">
          <v:stroke joinstyle="miter"/>
          <v:path gradientshapeok="t" o:connecttype="rect"/>
        </v:shapetype>
        <v:shape id="docshape1456" o:spid="_x0000_s1104" type="#_x0000_t202" style="position:absolute;margin-left:55.7pt;margin-top:748.25pt;width:233.2pt;height:11pt;z-index:-21122560;mso-position-horizontal-relative:page;mso-position-vertical-relative:page" filled="f" stroked="f">
          <v:textbox style="mso-next-textbox:#docshape1456" inset="0,0,0,0">
            <w:txbxContent>
              <w:p w14:paraId="5C0AF1A8"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104</w:t>
                </w:r>
                <w:r>
                  <w:fldChar w:fldCharType="end"/>
                </w:r>
                <w:r>
                  <w:rPr>
                    <w:color w:val="7F3F98"/>
                    <w:w w:val="95"/>
                    <w:sz w:val="16"/>
                  </w:rPr>
                  <w:t>]</w:t>
                </w:r>
                <w:r>
                  <w:rPr>
                    <w:color w:val="7F3F98"/>
                    <w:spacing w:val="39"/>
                    <w:sz w:val="16"/>
                  </w:rPr>
                  <w:t xml:space="preserve">  </w:t>
                </w:r>
                <w:r>
                  <w:rPr>
                    <w:rFonts w:ascii="Arial"/>
                    <w:b/>
                    <w:i/>
                    <w:color w:val="545456"/>
                    <w:w w:val="95"/>
                    <w:sz w:val="16"/>
                  </w:rPr>
                  <w:t>Product</w:t>
                </w:r>
                <w:r>
                  <w:rPr>
                    <w:rFonts w:ascii="Arial"/>
                    <w:b/>
                    <w:i/>
                    <w:color w:val="545456"/>
                    <w:spacing w:val="18"/>
                    <w:w w:val="95"/>
                    <w:sz w:val="16"/>
                  </w:rPr>
                  <w:t xml:space="preserve"> </w:t>
                </w:r>
                <w:r>
                  <w:rPr>
                    <w:rFonts w:ascii="Arial"/>
                    <w:b/>
                    <w:i/>
                    <w:color w:val="545456"/>
                    <w:w w:val="95"/>
                    <w:sz w:val="16"/>
                  </w:rPr>
                  <w:t>Life</w:t>
                </w:r>
                <w:r>
                  <w:rPr>
                    <w:rFonts w:ascii="Arial"/>
                    <w:b/>
                    <w:i/>
                    <w:color w:val="545456"/>
                    <w:spacing w:val="17"/>
                    <w:w w:val="95"/>
                    <w:sz w:val="16"/>
                  </w:rPr>
                  <w:t xml:space="preserve"> </w:t>
                </w:r>
                <w:r>
                  <w:rPr>
                    <w:rFonts w:ascii="Arial"/>
                    <w:b/>
                    <w:i/>
                    <w:color w:val="545456"/>
                    <w:w w:val="95"/>
                    <w:sz w:val="16"/>
                  </w:rPr>
                  <w:t>Cycle</w:t>
                </w:r>
                <w:r>
                  <w:rPr>
                    <w:rFonts w:ascii="Arial"/>
                    <w:b/>
                    <w:i/>
                    <w:color w:val="545456"/>
                    <w:spacing w:val="18"/>
                    <w:w w:val="95"/>
                    <w:sz w:val="16"/>
                  </w:rPr>
                  <w:t xml:space="preserve"> </w:t>
                </w:r>
                <w:r>
                  <w:rPr>
                    <w:rFonts w:ascii="Arial"/>
                    <w:b/>
                    <w:i/>
                    <w:color w:val="545456"/>
                    <w:w w:val="95"/>
                    <w:sz w:val="16"/>
                  </w:rPr>
                  <w:t>Accounting</w:t>
                </w:r>
                <w:r>
                  <w:rPr>
                    <w:rFonts w:ascii="Arial"/>
                    <w:b/>
                    <w:i/>
                    <w:color w:val="545456"/>
                    <w:spacing w:val="18"/>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8"/>
                    <w:w w:val="95"/>
                    <w:sz w:val="16"/>
                  </w:rPr>
                  <w:t xml:space="preserve"> </w:t>
                </w:r>
                <w:r>
                  <w:rPr>
                    <w:rFonts w:ascii="Arial"/>
                    <w:b/>
                    <w:i/>
                    <w:color w:val="545456"/>
                    <w:w w:val="95"/>
                    <w:sz w:val="16"/>
                  </w:rPr>
                  <w:t>Standard</w:t>
                </w:r>
              </w:p>
            </w:txbxContent>
          </v:textbox>
          <w10:wrap anchorx="page" anchory="page"/>
        </v:shape>
      </w:pict>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F2D98" w14:textId="77777777" w:rsidR="0055291C" w:rsidRDefault="00000000">
    <w:pPr>
      <w:pStyle w:val="a3"/>
      <w:spacing w:line="14" w:lineRule="auto"/>
      <w:rPr>
        <w:sz w:val="20"/>
      </w:rPr>
    </w:pPr>
    <w:r>
      <w:pict w14:anchorId="19DA4B53">
        <v:line id="_x0000_s1103" style="position:absolute;z-index:-21122048;mso-position-horizontal-relative:page;mso-position-vertical-relative:page" from="56.7pt,735.2pt" to="555.3pt,735.2pt" strokecolor="#00aca1" strokeweight=".25pt">
          <w10:wrap anchorx="page" anchory="page"/>
        </v:line>
      </w:pict>
    </w:r>
    <w:r>
      <w:pict w14:anchorId="6688676C">
        <v:shapetype id="_x0000_t202" coordsize="21600,21600" o:spt="202" path="m,l,21600r21600,l21600,xe">
          <v:stroke joinstyle="miter"/>
          <v:path gradientshapeok="t" o:connecttype="rect"/>
        </v:shapetype>
        <v:shape id="docshape1457" o:spid="_x0000_s1102" type="#_x0000_t202" style="position:absolute;margin-left:536.1pt;margin-top:748.25pt;width:20.5pt;height:11pt;z-index:-21121536;mso-position-horizontal-relative:page;mso-position-vertical-relative:page" filled="f" stroked="f">
          <v:textbox style="mso-next-textbox:#docshape1457" inset="0,0,0,0">
            <w:txbxContent>
              <w:p w14:paraId="4394CD20"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105</w:t>
                </w:r>
                <w:r>
                  <w:fldChar w:fldCharType="end"/>
                </w:r>
                <w:r>
                  <w:rPr>
                    <w:color w:val="7F3F98"/>
                    <w:w w:val="105"/>
                    <w:sz w:val="16"/>
                  </w:rPr>
                  <w:t>]</w:t>
                </w:r>
              </w:p>
            </w:txbxContent>
          </v:textbox>
          <w10:wrap anchorx="page" anchory="page"/>
        </v:shape>
      </w:pict>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00E335" w14:textId="77777777" w:rsidR="0055291C" w:rsidRDefault="00000000">
    <w:pPr>
      <w:pStyle w:val="a3"/>
      <w:spacing w:line="14" w:lineRule="auto"/>
      <w:rPr>
        <w:sz w:val="20"/>
      </w:rPr>
    </w:pPr>
    <w:r>
      <w:pict w14:anchorId="0DABFDBA">
        <v:line id="_x0000_s1099" style="position:absolute;z-index:-21120000;mso-position-horizontal-relative:page;mso-position-vertical-relative:page" from="56.7pt,735.2pt" to="555.3pt,735.2pt" strokecolor="#00aca1" strokeweight=".25pt">
          <w10:wrap anchorx="page" anchory="page"/>
        </v:line>
      </w:pict>
    </w:r>
    <w:r>
      <w:pict w14:anchorId="1A3172C2">
        <v:shapetype id="_x0000_t202" coordsize="21600,21600" o:spt="202" path="m,l,21600r21600,l21600,xe">
          <v:stroke joinstyle="miter"/>
          <v:path gradientshapeok="t" o:connecttype="rect"/>
        </v:shapetype>
        <v:shape id="docshape1470" o:spid="_x0000_s1098" type="#_x0000_t202" style="position:absolute;margin-left:55.7pt;margin-top:748.25pt;width:233.2pt;height:11pt;z-index:-21119488;mso-position-horizontal-relative:page;mso-position-vertical-relative:page" filled="f" stroked="f">
          <v:textbox style="mso-next-textbox:#docshape1470" inset="0,0,0,0">
            <w:txbxContent>
              <w:p w14:paraId="27E68A6F" w14:textId="77777777" w:rsidR="0055291C" w:rsidRDefault="00F23C61">
                <w:pPr>
                  <w:spacing w:before="19"/>
                  <w:ind w:left="20"/>
                  <w:rPr>
                    <w:rFonts w:ascii="Arial"/>
                    <w:b/>
                    <w:i/>
                    <w:sz w:val="16"/>
                  </w:rPr>
                </w:pPr>
                <w:r>
                  <w:rPr>
                    <w:color w:val="7F3F98"/>
                    <w:w w:val="95"/>
                    <w:sz w:val="16"/>
                  </w:rPr>
                  <w:t>[</w:t>
                </w:r>
                <w:r>
                  <w:fldChar w:fldCharType="begin"/>
                </w:r>
                <w:r>
                  <w:rPr>
                    <w:color w:val="7F3F98"/>
                    <w:w w:val="95"/>
                    <w:sz w:val="16"/>
                  </w:rPr>
                  <w:instrText xml:space="preserve"> PAGE </w:instrText>
                </w:r>
                <w:r>
                  <w:fldChar w:fldCharType="separate"/>
                </w:r>
                <w:r>
                  <w:t>106</w:t>
                </w:r>
                <w:r>
                  <w:fldChar w:fldCharType="end"/>
                </w:r>
                <w:r>
                  <w:rPr>
                    <w:color w:val="7F3F98"/>
                    <w:w w:val="95"/>
                    <w:sz w:val="16"/>
                  </w:rPr>
                  <w:t>]</w:t>
                </w:r>
                <w:r>
                  <w:rPr>
                    <w:color w:val="7F3F98"/>
                    <w:spacing w:val="39"/>
                    <w:sz w:val="16"/>
                  </w:rPr>
                  <w:t xml:space="preserve">  </w:t>
                </w:r>
                <w:r>
                  <w:rPr>
                    <w:rFonts w:ascii="Arial"/>
                    <w:b/>
                    <w:i/>
                    <w:color w:val="545456"/>
                    <w:w w:val="95"/>
                    <w:sz w:val="16"/>
                  </w:rPr>
                  <w:t>Product</w:t>
                </w:r>
                <w:r>
                  <w:rPr>
                    <w:rFonts w:ascii="Arial"/>
                    <w:b/>
                    <w:i/>
                    <w:color w:val="545456"/>
                    <w:spacing w:val="18"/>
                    <w:w w:val="95"/>
                    <w:sz w:val="16"/>
                  </w:rPr>
                  <w:t xml:space="preserve"> </w:t>
                </w:r>
                <w:r>
                  <w:rPr>
                    <w:rFonts w:ascii="Arial"/>
                    <w:b/>
                    <w:i/>
                    <w:color w:val="545456"/>
                    <w:w w:val="95"/>
                    <w:sz w:val="16"/>
                  </w:rPr>
                  <w:t>Life</w:t>
                </w:r>
                <w:r>
                  <w:rPr>
                    <w:rFonts w:ascii="Arial"/>
                    <w:b/>
                    <w:i/>
                    <w:color w:val="545456"/>
                    <w:spacing w:val="17"/>
                    <w:w w:val="95"/>
                    <w:sz w:val="16"/>
                  </w:rPr>
                  <w:t xml:space="preserve"> </w:t>
                </w:r>
                <w:r>
                  <w:rPr>
                    <w:rFonts w:ascii="Arial"/>
                    <w:b/>
                    <w:i/>
                    <w:color w:val="545456"/>
                    <w:w w:val="95"/>
                    <w:sz w:val="16"/>
                  </w:rPr>
                  <w:t>Cycle</w:t>
                </w:r>
                <w:r>
                  <w:rPr>
                    <w:rFonts w:ascii="Arial"/>
                    <w:b/>
                    <w:i/>
                    <w:color w:val="545456"/>
                    <w:spacing w:val="18"/>
                    <w:w w:val="95"/>
                    <w:sz w:val="16"/>
                  </w:rPr>
                  <w:t xml:space="preserve"> </w:t>
                </w:r>
                <w:r>
                  <w:rPr>
                    <w:rFonts w:ascii="Arial"/>
                    <w:b/>
                    <w:i/>
                    <w:color w:val="545456"/>
                    <w:w w:val="95"/>
                    <w:sz w:val="16"/>
                  </w:rPr>
                  <w:t>Accounting</w:t>
                </w:r>
                <w:r>
                  <w:rPr>
                    <w:rFonts w:ascii="Arial"/>
                    <w:b/>
                    <w:i/>
                    <w:color w:val="545456"/>
                    <w:spacing w:val="18"/>
                    <w:w w:val="95"/>
                    <w:sz w:val="16"/>
                  </w:rPr>
                  <w:t xml:space="preserve"> </w:t>
                </w:r>
                <w:r>
                  <w:rPr>
                    <w:rFonts w:ascii="Arial"/>
                    <w:b/>
                    <w:i/>
                    <w:color w:val="545456"/>
                    <w:w w:val="95"/>
                    <w:sz w:val="16"/>
                  </w:rPr>
                  <w:t>and</w:t>
                </w:r>
                <w:r>
                  <w:rPr>
                    <w:rFonts w:ascii="Arial"/>
                    <w:b/>
                    <w:i/>
                    <w:color w:val="545456"/>
                    <w:spacing w:val="17"/>
                    <w:w w:val="95"/>
                    <w:sz w:val="16"/>
                  </w:rPr>
                  <w:t xml:space="preserve"> </w:t>
                </w:r>
                <w:r>
                  <w:rPr>
                    <w:rFonts w:ascii="Arial"/>
                    <w:b/>
                    <w:i/>
                    <w:color w:val="545456"/>
                    <w:w w:val="95"/>
                    <w:sz w:val="16"/>
                  </w:rPr>
                  <w:t>Reporting</w:t>
                </w:r>
                <w:r>
                  <w:rPr>
                    <w:rFonts w:ascii="Arial"/>
                    <w:b/>
                    <w:i/>
                    <w:color w:val="545456"/>
                    <w:spacing w:val="18"/>
                    <w:w w:val="95"/>
                    <w:sz w:val="16"/>
                  </w:rPr>
                  <w:t xml:space="preserve"> </w:t>
                </w:r>
                <w:r>
                  <w:rPr>
                    <w:rFonts w:ascii="Arial"/>
                    <w:b/>
                    <w:i/>
                    <w:color w:val="545456"/>
                    <w:w w:val="95"/>
                    <w:sz w:val="16"/>
                  </w:rPr>
                  <w:t>Standard</w:t>
                </w:r>
              </w:p>
            </w:txbxContent>
          </v:textbox>
          <w10:wrap anchorx="page" anchory="page"/>
        </v:shape>
      </w:pict>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16244" w14:textId="77777777" w:rsidR="0055291C" w:rsidRDefault="00000000">
    <w:pPr>
      <w:pStyle w:val="a3"/>
      <w:spacing w:line="14" w:lineRule="auto"/>
      <w:rPr>
        <w:sz w:val="20"/>
      </w:rPr>
    </w:pPr>
    <w:r>
      <w:pict w14:anchorId="760C3A11">
        <v:line id="_x0000_s1097" style="position:absolute;z-index:-21118976;mso-position-horizontal-relative:page;mso-position-vertical-relative:page" from="56.7pt,735.2pt" to="555.3pt,735.2pt" strokecolor="#00aca1" strokeweight=".25pt">
          <w10:wrap anchorx="page" anchory="page"/>
        </v:line>
      </w:pict>
    </w:r>
    <w:r>
      <w:pict w14:anchorId="4E1C83DA">
        <v:shapetype id="_x0000_t202" coordsize="21600,21600" o:spt="202" path="m,l,21600r21600,l21600,xe">
          <v:stroke joinstyle="miter"/>
          <v:path gradientshapeok="t" o:connecttype="rect"/>
        </v:shapetype>
        <v:shape id="docshape1471" o:spid="_x0000_s1096" type="#_x0000_t202" style="position:absolute;margin-left:536.1pt;margin-top:748.25pt;width:20.5pt;height:11pt;z-index:-21118464;mso-position-horizontal-relative:page;mso-position-vertical-relative:page" filled="f" stroked="f">
          <v:textbox style="mso-next-textbox:#docshape1471" inset="0,0,0,0">
            <w:txbxContent>
              <w:p w14:paraId="52FE83F7" w14:textId="77777777" w:rsidR="0055291C" w:rsidRDefault="00F23C61">
                <w:pPr>
                  <w:spacing w:before="21"/>
                  <w:ind w:left="20"/>
                  <w:rPr>
                    <w:sz w:val="16"/>
                  </w:rPr>
                </w:pPr>
                <w:r>
                  <w:rPr>
                    <w:color w:val="7F3F98"/>
                    <w:w w:val="105"/>
                    <w:sz w:val="16"/>
                  </w:rPr>
                  <w:t>[</w:t>
                </w:r>
                <w:r>
                  <w:fldChar w:fldCharType="begin"/>
                </w:r>
                <w:r>
                  <w:rPr>
                    <w:color w:val="7F3F98"/>
                    <w:w w:val="105"/>
                    <w:sz w:val="16"/>
                  </w:rPr>
                  <w:instrText xml:space="preserve"> PAGE </w:instrText>
                </w:r>
                <w:r>
                  <w:fldChar w:fldCharType="separate"/>
                </w:r>
                <w:r>
                  <w:t>107</w:t>
                </w:r>
                <w:r>
                  <w:fldChar w:fldCharType="end"/>
                </w:r>
                <w:r>
                  <w:rPr>
                    <w:color w:val="7F3F98"/>
                    <w:w w:val="105"/>
                    <w:sz w:val="16"/>
                  </w:rPr>
                  <w:t>]</w:t>
                </w:r>
              </w:p>
            </w:txbxContent>
          </v:textbox>
          <w10:wrap anchorx="page" anchory="page"/>
        </v:shape>
      </w:pict>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8F486A" w14:textId="77777777" w:rsidR="0055291C" w:rsidRDefault="0055291C">
    <w:pPr>
      <w:pStyle w:val="a3"/>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4EA53F" w14:textId="77777777" w:rsidR="007B54DE" w:rsidRDefault="007B54DE">
      <w:r>
        <w:separator/>
      </w:r>
    </w:p>
  </w:footnote>
  <w:footnote w:type="continuationSeparator" w:id="0">
    <w:p w14:paraId="53434CE6" w14:textId="77777777" w:rsidR="007B54DE" w:rsidRDefault="007B54D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C084AE" w14:textId="77777777" w:rsidR="0055291C" w:rsidRDefault="0055291C">
    <w:pPr>
      <w:pStyle w:val="a3"/>
      <w:spacing w:line="14" w:lineRule="auto"/>
      <w:rPr>
        <w:sz w:val="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BA30BE" w14:textId="77777777" w:rsidR="0055291C" w:rsidRDefault="00000000">
    <w:pPr>
      <w:pStyle w:val="a3"/>
      <w:spacing w:line="14" w:lineRule="auto"/>
      <w:rPr>
        <w:sz w:val="20"/>
      </w:rPr>
    </w:pPr>
    <w:r>
      <w:pict w14:anchorId="667B1FCB">
        <v:shape id="docshape323" o:spid="_x0000_s1300" style="position:absolute;margin-left:0;margin-top:0;width:297pt;height:31.8pt;z-index:-21222912;mso-position-horizontal-relative:page;mso-position-vertical-relative:page" coordsize="5940,636" path="m5940,l,,,635r5713,l5844,632r68,-25l5936,539r4,-131l5940,xe" fillcolor="#7f3f98" stroked="f">
          <v:path arrowok="t"/>
          <w10:wrap anchorx="page" anchory="page"/>
        </v:shape>
      </w:pict>
    </w:r>
    <w:r>
      <w:pict w14:anchorId="1C7F904E">
        <v:shapetype id="_x0000_t202" coordsize="21600,21600" o:spt="202" path="m,l,21600r21600,l21600,xe">
          <v:stroke joinstyle="miter"/>
          <v:path gradientshapeok="t" o:connecttype="rect"/>
        </v:shapetype>
        <v:shape id="docshape324" o:spid="_x0000_s1299" type="#_x0000_t202" style="position:absolute;margin-left:55.7pt;margin-top:10.05pt;width:180.55pt;height:17.7pt;z-index:-21222400;mso-position-horizontal-relative:page;mso-position-vertical-relative:page" filled="f" stroked="f">
          <v:textbox style="mso-next-textbox:#docshape324" inset="0,0,0,0">
            <w:txbxContent>
              <w:p w14:paraId="7FF07ABD" w14:textId="77777777" w:rsidR="0055291C" w:rsidRDefault="00F23C61">
                <w:pPr>
                  <w:spacing w:before="18"/>
                  <w:ind w:left="20"/>
                  <w:rPr>
                    <w:rFonts w:ascii="Arial"/>
                    <w:b/>
                    <w:i/>
                    <w:sz w:val="28"/>
                  </w:rPr>
                </w:pPr>
                <w:r>
                  <w:rPr>
                    <w:rFonts w:ascii="Arial"/>
                    <w:b/>
                    <w:i/>
                    <w:color w:val="F3F4F4"/>
                    <w:sz w:val="28"/>
                  </w:rPr>
                  <w:t>r</w:t>
                </w:r>
                <w:r>
                  <w:rPr>
                    <w:rFonts w:ascii="Arial"/>
                    <w:b/>
                    <w:i/>
                    <w:color w:val="F3F4F4"/>
                    <w:spacing w:val="79"/>
                    <w:sz w:val="28"/>
                  </w:rPr>
                  <w:t xml:space="preserve"> </w:t>
                </w:r>
                <w:r>
                  <w:rPr>
                    <w:rFonts w:ascii="Arial"/>
                    <w:b/>
                    <w:i/>
                    <w:color w:val="F3F4F4"/>
                    <w:sz w:val="28"/>
                  </w:rPr>
                  <w:t>e</w:t>
                </w:r>
                <w:r>
                  <w:rPr>
                    <w:rFonts w:ascii="Arial"/>
                    <w:b/>
                    <w:i/>
                    <w:color w:val="F3F4F4"/>
                    <w:spacing w:val="86"/>
                    <w:sz w:val="28"/>
                  </w:rPr>
                  <w:t xml:space="preserve"> </w:t>
                </w:r>
                <w:r>
                  <w:rPr>
                    <w:rFonts w:ascii="Arial"/>
                    <w:b/>
                    <w:i/>
                    <w:color w:val="F3F4F4"/>
                    <w:sz w:val="28"/>
                  </w:rPr>
                  <w:t>q</w:t>
                </w:r>
                <w:r>
                  <w:rPr>
                    <w:rFonts w:ascii="Arial"/>
                    <w:b/>
                    <w:i/>
                    <w:color w:val="F3F4F4"/>
                    <w:spacing w:val="86"/>
                    <w:sz w:val="28"/>
                  </w:rPr>
                  <w:t xml:space="preserve"> </w:t>
                </w:r>
                <w:r>
                  <w:rPr>
                    <w:rFonts w:ascii="Arial"/>
                    <w:b/>
                    <w:i/>
                    <w:color w:val="F3F4F4"/>
                    <w:sz w:val="28"/>
                  </w:rPr>
                  <w:t>u</w:t>
                </w:r>
                <w:r>
                  <w:rPr>
                    <w:rFonts w:ascii="Arial"/>
                    <w:b/>
                    <w:i/>
                    <w:color w:val="F3F4F4"/>
                    <w:spacing w:val="86"/>
                    <w:sz w:val="28"/>
                  </w:rPr>
                  <w:t xml:space="preserve"> </w:t>
                </w:r>
                <w:proofErr w:type="spellStart"/>
                <w:r>
                  <w:rPr>
                    <w:rFonts w:ascii="Arial"/>
                    <w:b/>
                    <w:i/>
                    <w:color w:val="F3F4F4"/>
                    <w:sz w:val="28"/>
                  </w:rPr>
                  <w:t>i</w:t>
                </w:r>
                <w:proofErr w:type="spellEnd"/>
                <w:r>
                  <w:rPr>
                    <w:rFonts w:ascii="Arial"/>
                    <w:b/>
                    <w:i/>
                    <w:color w:val="F3F4F4"/>
                    <w:spacing w:val="85"/>
                    <w:sz w:val="28"/>
                  </w:rPr>
                  <w:t xml:space="preserve"> </w:t>
                </w:r>
                <w:r>
                  <w:rPr>
                    <w:rFonts w:ascii="Arial"/>
                    <w:b/>
                    <w:i/>
                    <w:color w:val="F3F4F4"/>
                    <w:sz w:val="28"/>
                  </w:rPr>
                  <w:t>r</w:t>
                </w:r>
                <w:r>
                  <w:rPr>
                    <w:rFonts w:ascii="Arial"/>
                    <w:b/>
                    <w:i/>
                    <w:color w:val="F3F4F4"/>
                    <w:spacing w:val="80"/>
                    <w:sz w:val="28"/>
                  </w:rPr>
                  <w:t xml:space="preserve"> </w:t>
                </w:r>
                <w:r>
                  <w:rPr>
                    <w:rFonts w:ascii="Arial"/>
                    <w:b/>
                    <w:i/>
                    <w:color w:val="F3F4F4"/>
                    <w:sz w:val="28"/>
                  </w:rPr>
                  <w:t>e</w:t>
                </w:r>
                <w:r>
                  <w:rPr>
                    <w:rFonts w:ascii="Arial"/>
                    <w:b/>
                    <w:i/>
                    <w:color w:val="F3F4F4"/>
                    <w:spacing w:val="86"/>
                    <w:sz w:val="28"/>
                  </w:rPr>
                  <w:t xml:space="preserve"> </w:t>
                </w:r>
                <w:r>
                  <w:rPr>
                    <w:rFonts w:ascii="Arial"/>
                    <w:b/>
                    <w:i/>
                    <w:color w:val="F3F4F4"/>
                    <w:sz w:val="28"/>
                  </w:rPr>
                  <w:t>m</w:t>
                </w:r>
                <w:r>
                  <w:rPr>
                    <w:rFonts w:ascii="Arial"/>
                    <w:b/>
                    <w:i/>
                    <w:color w:val="F3F4F4"/>
                    <w:spacing w:val="86"/>
                    <w:sz w:val="28"/>
                  </w:rPr>
                  <w:t xml:space="preserve"> </w:t>
                </w:r>
                <w:r>
                  <w:rPr>
                    <w:rFonts w:ascii="Arial"/>
                    <w:b/>
                    <w:i/>
                    <w:color w:val="F3F4F4"/>
                    <w:sz w:val="28"/>
                  </w:rPr>
                  <w:t>e</w:t>
                </w:r>
                <w:r>
                  <w:rPr>
                    <w:rFonts w:ascii="Arial"/>
                    <w:b/>
                    <w:i/>
                    <w:color w:val="F3F4F4"/>
                    <w:spacing w:val="85"/>
                    <w:sz w:val="28"/>
                  </w:rPr>
                  <w:t xml:space="preserve"> </w:t>
                </w:r>
                <w:r>
                  <w:rPr>
                    <w:rFonts w:ascii="Arial"/>
                    <w:b/>
                    <w:i/>
                    <w:color w:val="F3F4F4"/>
                    <w:sz w:val="28"/>
                  </w:rPr>
                  <w:t>n</w:t>
                </w:r>
                <w:r>
                  <w:rPr>
                    <w:rFonts w:ascii="Arial"/>
                    <w:b/>
                    <w:i/>
                    <w:color w:val="F3F4F4"/>
                    <w:spacing w:val="86"/>
                    <w:sz w:val="28"/>
                  </w:rPr>
                  <w:t xml:space="preserve"> </w:t>
                </w:r>
                <w:r>
                  <w:rPr>
                    <w:rFonts w:ascii="Arial"/>
                    <w:b/>
                    <w:i/>
                    <w:color w:val="F3F4F4"/>
                    <w:w w:val="105"/>
                    <w:sz w:val="28"/>
                  </w:rPr>
                  <w:t xml:space="preserve">t  </w:t>
                </w:r>
                <w:r>
                  <w:rPr>
                    <w:rFonts w:ascii="Arial"/>
                    <w:b/>
                    <w:i/>
                    <w:color w:val="F3F4F4"/>
                    <w:sz w:val="28"/>
                  </w:rPr>
                  <w:t>s</w:t>
                </w:r>
              </w:p>
            </w:txbxContent>
          </v:textbox>
          <w10:wrap anchorx="page" anchory="page"/>
        </v:shape>
      </w:pict>
    </w: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9F2B13" w14:textId="77777777" w:rsidR="0055291C" w:rsidRDefault="00000000">
    <w:pPr>
      <w:pStyle w:val="a3"/>
      <w:spacing w:line="14" w:lineRule="auto"/>
      <w:rPr>
        <w:sz w:val="20"/>
      </w:rPr>
    </w:pPr>
    <w:r>
      <w:pict w14:anchorId="19F483E3">
        <v:shape id="docshape1468" o:spid="_x0000_s1101" style="position:absolute;margin-left:0;margin-top:0;width:297pt;height:31.8pt;z-index:-21121024;mso-position-horizontal-relative:page;mso-position-vertical-relative:page" coordsize="5940,636" path="m5940,l,,,635r5713,l5844,632r68,-25l5936,539r4,-131l5940,xe" fillcolor="#00aca1" stroked="f">
          <v:path arrowok="t"/>
          <w10:wrap anchorx="page" anchory="page"/>
        </v:shape>
      </w:pict>
    </w:r>
    <w:r>
      <w:pict w14:anchorId="54745349">
        <v:shapetype id="_x0000_t202" coordsize="21600,21600" o:spt="202" path="m,l,21600r21600,l21600,xe">
          <v:stroke joinstyle="miter"/>
          <v:path gradientshapeok="t" o:connecttype="rect"/>
        </v:shapetype>
        <v:shape id="docshape1469" o:spid="_x0000_s1100" type="#_x0000_t202" style="position:absolute;margin-left:55.7pt;margin-top:10.05pt;width:119.1pt;height:17.7pt;z-index:-21120512;mso-position-horizontal-relative:page;mso-position-vertical-relative:page" filled="f" stroked="f">
          <v:textbox style="mso-next-textbox:#docshape1469" inset="0,0,0,0">
            <w:txbxContent>
              <w:p w14:paraId="6C397827"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anchory="page"/>
        </v:shape>
      </w:pict>
    </w: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9E73B" w14:textId="77777777" w:rsidR="0055291C" w:rsidRDefault="0055291C">
    <w:pPr>
      <w:pStyle w:val="a3"/>
      <w:spacing w:line="14" w:lineRule="auto"/>
      <w:rPr>
        <w:sz w:val="2"/>
      </w:rPr>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445B4" w14:textId="77777777" w:rsidR="0055291C" w:rsidRDefault="0055291C">
    <w:pPr>
      <w:pStyle w:val="a3"/>
      <w:spacing w:line="14" w:lineRule="auto"/>
      <w:rPr>
        <w:sz w:val="2"/>
      </w:rPr>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110560" w14:textId="77777777" w:rsidR="0055291C" w:rsidRDefault="0055291C">
    <w:pPr>
      <w:pStyle w:val="a3"/>
      <w:spacing w:line="14" w:lineRule="auto"/>
      <w:rPr>
        <w:sz w:val="2"/>
      </w:rP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7E9540" w14:textId="77777777" w:rsidR="0055291C" w:rsidRDefault="00000000">
    <w:pPr>
      <w:pStyle w:val="a3"/>
      <w:spacing w:line="14" w:lineRule="auto"/>
      <w:rPr>
        <w:sz w:val="20"/>
      </w:rPr>
    </w:pPr>
    <w:r>
      <w:pict w14:anchorId="6250234B">
        <v:shape id="docshape1488" o:spid="_x0000_s1091" style="position:absolute;margin-left:0;margin-top:0;width:297pt;height:31.8pt;z-index:-21115904;mso-position-horizontal-relative:page;mso-position-vertical-relative:page" coordsize="5940,636" path="m5940,l,,,635r5713,l5844,632r68,-25l5936,539r4,-131l5940,xe" fillcolor="#00aca1" stroked="f">
          <v:path arrowok="t"/>
          <w10:wrap anchorx="page" anchory="page"/>
        </v:shape>
      </w:pict>
    </w:r>
    <w:r>
      <w:pict w14:anchorId="3766DBF3">
        <v:shapetype id="_x0000_t202" coordsize="21600,21600" o:spt="202" path="m,l,21600r21600,l21600,xe">
          <v:stroke joinstyle="miter"/>
          <v:path gradientshapeok="t" o:connecttype="rect"/>
        </v:shapetype>
        <v:shape id="docshape1489" o:spid="_x0000_s1090" type="#_x0000_t202" style="position:absolute;margin-left:55.7pt;margin-top:10.05pt;width:119.1pt;height:17.7pt;z-index:-21115392;mso-position-horizontal-relative:page;mso-position-vertical-relative:page" filled="f" stroked="f">
          <v:textbox style="mso-next-textbox:#docshape1489" inset="0,0,0,0">
            <w:txbxContent>
              <w:p w14:paraId="39A17535"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anchory="page"/>
        </v:shape>
      </w:pict>
    </w: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EB7354" w14:textId="77777777" w:rsidR="0055291C" w:rsidRDefault="0055291C">
    <w:pPr>
      <w:pStyle w:val="a3"/>
      <w:spacing w:line="14" w:lineRule="auto"/>
      <w:rPr>
        <w:sz w:val="2"/>
      </w:rPr>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FE4CD0" w14:textId="77777777" w:rsidR="0055291C" w:rsidRDefault="00000000">
    <w:pPr>
      <w:pStyle w:val="a3"/>
      <w:spacing w:line="14" w:lineRule="auto"/>
      <w:rPr>
        <w:sz w:val="20"/>
      </w:rPr>
    </w:pPr>
    <w:r>
      <w:pict w14:anchorId="0010BBBE">
        <v:shape id="docshape1495" o:spid="_x0000_s1089" style="position:absolute;margin-left:0;margin-top:0;width:297pt;height:31.8pt;z-index:-21114880;mso-position-horizontal-relative:page;mso-position-vertical-relative:page" coordsize="5940,636" path="m5940,l,,,635r5713,l5844,632r68,-25l5936,539r4,-131l5940,xe" fillcolor="#00aca1" stroked="f">
          <v:path arrowok="t"/>
          <w10:wrap anchorx="page" anchory="page"/>
        </v:shape>
      </w:pict>
    </w:r>
    <w:r>
      <w:pict w14:anchorId="1CFF1FEC">
        <v:shapetype id="_x0000_t202" coordsize="21600,21600" o:spt="202" path="m,l,21600r21600,l21600,xe">
          <v:stroke joinstyle="miter"/>
          <v:path gradientshapeok="t" o:connecttype="rect"/>
        </v:shapetype>
        <v:shape id="docshape1496" o:spid="_x0000_s1088" type="#_x0000_t202" style="position:absolute;margin-left:55.7pt;margin-top:10.05pt;width:119.1pt;height:17.7pt;z-index:-21114368;mso-position-horizontal-relative:page;mso-position-vertical-relative:page" filled="f" stroked="f">
          <v:textbox style="mso-next-textbox:#docshape1496" inset="0,0,0,0">
            <w:txbxContent>
              <w:p w14:paraId="46D1BBC9"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anchory="page"/>
        </v:shape>
      </w:pict>
    </w: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FA04E5" w14:textId="77777777" w:rsidR="0055291C" w:rsidRDefault="0055291C">
    <w:pPr>
      <w:pStyle w:val="a3"/>
      <w:spacing w:line="14" w:lineRule="auto"/>
      <w:rPr>
        <w:sz w:val="2"/>
      </w:rPr>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C1653" w14:textId="77777777" w:rsidR="0055291C" w:rsidRDefault="0055291C">
    <w:pPr>
      <w:pStyle w:val="a3"/>
      <w:spacing w:line="14" w:lineRule="auto"/>
      <w:rPr>
        <w:sz w:val="2"/>
      </w:rPr>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EA8057" w14:textId="77777777" w:rsidR="0055291C" w:rsidRDefault="0055291C">
    <w:pPr>
      <w:pStyle w:val="a3"/>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B4362C" w14:textId="77777777" w:rsidR="0055291C" w:rsidRDefault="0055291C">
    <w:pPr>
      <w:pStyle w:val="a3"/>
      <w:spacing w:line="14" w:lineRule="auto"/>
      <w:rPr>
        <w:sz w:val="2"/>
      </w:rPr>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1B8143" w14:textId="77777777" w:rsidR="0055291C" w:rsidRDefault="00000000">
    <w:pPr>
      <w:pStyle w:val="a3"/>
      <w:spacing w:line="14" w:lineRule="auto"/>
      <w:rPr>
        <w:sz w:val="20"/>
      </w:rPr>
    </w:pPr>
    <w:r>
      <w:pict w14:anchorId="10F20E96">
        <v:shape id="docshape1520" o:spid="_x0000_s1079" style="position:absolute;margin-left:0;margin-top:0;width:297pt;height:31.8pt;z-index:-21109760;mso-position-horizontal-relative:page;mso-position-vertical-relative:page" coordsize="5940,636" path="m5940,l,,,635r5713,l5844,632r68,-25l5936,539r4,-131l5940,xe" fillcolor="#00aca1" stroked="f">
          <v:path arrowok="t"/>
          <w10:wrap anchorx="page" anchory="page"/>
        </v:shape>
      </w:pict>
    </w: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E2483" w14:textId="77777777" w:rsidR="0055291C" w:rsidRDefault="0055291C">
    <w:pPr>
      <w:pStyle w:val="a3"/>
      <w:spacing w:line="14" w:lineRule="auto"/>
      <w:rPr>
        <w:sz w:val="2"/>
      </w:rPr>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9312C" w14:textId="77777777" w:rsidR="0055291C" w:rsidRDefault="00000000">
    <w:pPr>
      <w:pStyle w:val="a3"/>
      <w:spacing w:line="14" w:lineRule="auto"/>
      <w:rPr>
        <w:sz w:val="20"/>
      </w:rPr>
    </w:pPr>
    <w:r>
      <w:pict w14:anchorId="31264432">
        <v:shape id="docshape1541" o:spid="_x0000_s1078" style="position:absolute;margin-left:0;margin-top:0;width:297pt;height:31.8pt;z-index:-21109248;mso-position-horizontal-relative:page;mso-position-vertical-relative:page" coordsize="5940,636" path="m5940,l,,,635r5713,l5844,632r68,-25l5936,539r4,-131l5940,xe" fillcolor="#00aca1" stroked="f">
          <v:path arrowok="t"/>
          <w10:wrap anchorx="page" anchory="page"/>
        </v:shape>
      </w:pict>
    </w: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5F32A" w14:textId="77777777" w:rsidR="0055291C" w:rsidRDefault="00000000">
    <w:pPr>
      <w:pStyle w:val="a3"/>
      <w:spacing w:line="14" w:lineRule="auto"/>
      <w:rPr>
        <w:sz w:val="20"/>
      </w:rPr>
    </w:pPr>
    <w:r>
      <w:pict w14:anchorId="2412F261">
        <v:shapetype id="_x0000_t202" coordsize="21600,21600" o:spt="202" path="m,l,21600r21600,l21600,xe">
          <v:stroke joinstyle="miter"/>
          <v:path gradientshapeok="t" o:connecttype="rect"/>
        </v:shapetype>
        <v:shape id="docshape1542" o:spid="_x0000_s1077" type="#_x0000_t202" style="position:absolute;margin-left:378.25pt;margin-top:46.85pt;width:174.8pt;height:12.65pt;z-index:-21108736;mso-position-horizontal-relative:page;mso-position-vertical-relative:page" filled="f" stroked="f">
          <v:textbox inset="0,0,0,0">
            <w:txbxContent>
              <w:p w14:paraId="564BE7B1" w14:textId="77777777" w:rsidR="0055291C" w:rsidRDefault="00F23C61">
                <w:pPr>
                  <w:spacing w:before="19"/>
                  <w:ind w:left="20"/>
                  <w:rPr>
                    <w:rFonts w:ascii="Arial"/>
                    <w:b/>
                    <w:i/>
                    <w:sz w:val="19"/>
                  </w:rPr>
                </w:pPr>
                <w:r>
                  <w:rPr>
                    <w:rFonts w:ascii="Arial"/>
                    <w:b/>
                    <w:i/>
                    <w:color w:val="7F3F98"/>
                    <w:w w:val="95"/>
                    <w:sz w:val="19"/>
                  </w:rPr>
                  <w:t>Appendix</w:t>
                </w:r>
                <w:r>
                  <w:rPr>
                    <w:rFonts w:ascii="Arial"/>
                    <w:b/>
                    <w:i/>
                    <w:color w:val="7F3F98"/>
                    <w:spacing w:val="14"/>
                    <w:w w:val="95"/>
                    <w:sz w:val="19"/>
                  </w:rPr>
                  <w:t xml:space="preserve"> </w:t>
                </w:r>
                <w:r>
                  <w:rPr>
                    <w:rFonts w:ascii="Arial"/>
                    <w:b/>
                    <w:i/>
                    <w:color w:val="7F3F98"/>
                    <w:w w:val="95"/>
                    <w:sz w:val="19"/>
                  </w:rPr>
                  <w:t>B.</w:t>
                </w:r>
                <w:r>
                  <w:rPr>
                    <w:rFonts w:ascii="Arial"/>
                    <w:b/>
                    <w:i/>
                    <w:color w:val="7F3F98"/>
                    <w:spacing w:val="15"/>
                    <w:w w:val="95"/>
                    <w:sz w:val="19"/>
                  </w:rPr>
                  <w:t xml:space="preserve"> </w:t>
                </w:r>
                <w:r>
                  <w:rPr>
                    <w:rFonts w:ascii="Arial"/>
                    <w:b/>
                    <w:i/>
                    <w:color w:val="545456"/>
                    <w:w w:val="95"/>
                    <w:sz w:val="19"/>
                  </w:rPr>
                  <w:t>Land-Use</w:t>
                </w:r>
                <w:r>
                  <w:rPr>
                    <w:rFonts w:ascii="Arial"/>
                    <w:b/>
                    <w:i/>
                    <w:color w:val="545456"/>
                    <w:spacing w:val="14"/>
                    <w:w w:val="95"/>
                    <w:sz w:val="19"/>
                  </w:rPr>
                  <w:t xml:space="preserve"> </w:t>
                </w:r>
                <w:r>
                  <w:rPr>
                    <w:rFonts w:ascii="Arial"/>
                    <w:b/>
                    <w:i/>
                    <w:color w:val="545456"/>
                    <w:w w:val="95"/>
                    <w:sz w:val="19"/>
                  </w:rPr>
                  <w:t>Change</w:t>
                </w:r>
                <w:r>
                  <w:rPr>
                    <w:rFonts w:ascii="Arial"/>
                    <w:b/>
                    <w:i/>
                    <w:color w:val="545456"/>
                    <w:spacing w:val="14"/>
                    <w:w w:val="95"/>
                    <w:sz w:val="19"/>
                  </w:rPr>
                  <w:t xml:space="preserve"> </w:t>
                </w:r>
                <w:r>
                  <w:rPr>
                    <w:rFonts w:ascii="Arial"/>
                    <w:b/>
                    <w:i/>
                    <w:color w:val="545456"/>
                    <w:w w:val="95"/>
                    <w:sz w:val="19"/>
                  </w:rPr>
                  <w:t>Impacts</w:t>
                </w:r>
              </w:p>
            </w:txbxContent>
          </v:textbox>
          <w10:wrap anchorx="page" anchory="page"/>
        </v:shape>
      </w:pict>
    </w: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712C5" w14:textId="77777777" w:rsidR="0055291C" w:rsidRDefault="00000000">
    <w:pPr>
      <w:pStyle w:val="a3"/>
      <w:spacing w:line="14" w:lineRule="auto"/>
      <w:rPr>
        <w:sz w:val="20"/>
      </w:rPr>
    </w:pPr>
    <w:r>
      <w:pict w14:anchorId="70DF6C00">
        <v:shape id="docshape1585" o:spid="_x0000_s1071" style="position:absolute;margin-left:0;margin-top:0;width:297pt;height:31.8pt;z-index:-21105664;mso-position-horizontal-relative:page;mso-position-vertical-relative:page" coordsize="5940,636" path="m5940,l,,,635r5713,l5844,632r68,-25l5936,539r4,-131l5940,xe" fillcolor="#00aca1" stroked="f">
          <v:path arrowok="t"/>
          <w10:wrap anchorx="page" anchory="page"/>
        </v:shape>
      </w:pict>
    </w: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B3D89C" w14:textId="77777777" w:rsidR="0055291C" w:rsidRDefault="00000000">
    <w:pPr>
      <w:pStyle w:val="a3"/>
      <w:spacing w:line="14" w:lineRule="auto"/>
      <w:rPr>
        <w:sz w:val="2"/>
      </w:rPr>
    </w:pPr>
    <w:r>
      <w:pict w14:anchorId="463F2F77">
        <v:shapetype id="_x0000_t202" coordsize="21600,21600" o:spt="202" path="m,l,21600r21600,l21600,xe">
          <v:stroke joinstyle="miter"/>
          <v:path gradientshapeok="t" o:connecttype="rect"/>
        </v:shapetype>
        <v:shape id="docshape1584" o:spid="_x0000_s1072" type="#_x0000_t202" style="position:absolute;margin-left:378.25pt;margin-top:46.85pt;width:174.8pt;height:12.65pt;z-index:-21106176;mso-position-horizontal-relative:page;mso-position-vertical-relative:page" filled="f" stroked="f">
          <v:textbox inset="0,0,0,0">
            <w:txbxContent>
              <w:p w14:paraId="3E38AAAD" w14:textId="77777777" w:rsidR="0055291C" w:rsidRDefault="00F23C61">
                <w:pPr>
                  <w:spacing w:before="19"/>
                  <w:ind w:left="20"/>
                  <w:rPr>
                    <w:rFonts w:ascii="Arial"/>
                    <w:b/>
                    <w:i/>
                    <w:sz w:val="19"/>
                  </w:rPr>
                </w:pPr>
                <w:r>
                  <w:rPr>
                    <w:rFonts w:ascii="Arial"/>
                    <w:b/>
                    <w:i/>
                    <w:color w:val="7F3F98"/>
                    <w:w w:val="95"/>
                    <w:sz w:val="19"/>
                  </w:rPr>
                  <w:t>Appendix</w:t>
                </w:r>
                <w:r>
                  <w:rPr>
                    <w:rFonts w:ascii="Arial"/>
                    <w:b/>
                    <w:i/>
                    <w:color w:val="7F3F98"/>
                    <w:spacing w:val="14"/>
                    <w:w w:val="95"/>
                    <w:sz w:val="19"/>
                  </w:rPr>
                  <w:t xml:space="preserve"> </w:t>
                </w:r>
                <w:r>
                  <w:rPr>
                    <w:rFonts w:ascii="Arial"/>
                    <w:b/>
                    <w:i/>
                    <w:color w:val="7F3F98"/>
                    <w:w w:val="95"/>
                    <w:sz w:val="19"/>
                  </w:rPr>
                  <w:t>B.</w:t>
                </w:r>
                <w:r>
                  <w:rPr>
                    <w:rFonts w:ascii="Arial"/>
                    <w:b/>
                    <w:i/>
                    <w:color w:val="7F3F98"/>
                    <w:spacing w:val="15"/>
                    <w:w w:val="95"/>
                    <w:sz w:val="19"/>
                  </w:rPr>
                  <w:t xml:space="preserve"> </w:t>
                </w:r>
                <w:r>
                  <w:rPr>
                    <w:rFonts w:ascii="Arial"/>
                    <w:b/>
                    <w:i/>
                    <w:color w:val="545456"/>
                    <w:w w:val="95"/>
                    <w:sz w:val="19"/>
                  </w:rPr>
                  <w:t>Land-Use</w:t>
                </w:r>
                <w:r>
                  <w:rPr>
                    <w:rFonts w:ascii="Arial"/>
                    <w:b/>
                    <w:i/>
                    <w:color w:val="545456"/>
                    <w:spacing w:val="14"/>
                    <w:w w:val="95"/>
                    <w:sz w:val="19"/>
                  </w:rPr>
                  <w:t xml:space="preserve"> </w:t>
                </w:r>
                <w:r>
                  <w:rPr>
                    <w:rFonts w:ascii="Arial"/>
                    <w:b/>
                    <w:i/>
                    <w:color w:val="545456"/>
                    <w:w w:val="95"/>
                    <w:sz w:val="19"/>
                  </w:rPr>
                  <w:t>Change</w:t>
                </w:r>
                <w:r>
                  <w:rPr>
                    <w:rFonts w:ascii="Arial"/>
                    <w:b/>
                    <w:i/>
                    <w:color w:val="545456"/>
                    <w:spacing w:val="14"/>
                    <w:w w:val="95"/>
                    <w:sz w:val="19"/>
                  </w:rPr>
                  <w:t xml:space="preserve"> </w:t>
                </w:r>
                <w:r>
                  <w:rPr>
                    <w:rFonts w:ascii="Arial"/>
                    <w:b/>
                    <w:i/>
                    <w:color w:val="545456"/>
                    <w:w w:val="95"/>
                    <w:sz w:val="19"/>
                  </w:rPr>
                  <w:t>Impacts</w:t>
                </w:r>
              </w:p>
            </w:txbxContent>
          </v:textbox>
          <w10:wrap anchorx="page" anchory="page"/>
        </v:shape>
      </w:pict>
    </w: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BEC2A" w14:textId="77777777" w:rsidR="0055291C" w:rsidRDefault="00000000">
    <w:pPr>
      <w:pStyle w:val="a3"/>
      <w:spacing w:line="14" w:lineRule="auto"/>
      <w:rPr>
        <w:sz w:val="20"/>
      </w:rPr>
    </w:pPr>
    <w:r>
      <w:pict w14:anchorId="69E516A1">
        <v:shapetype id="_x0000_t202" coordsize="21600,21600" o:spt="202" path="m,l,21600r21600,l21600,xe">
          <v:stroke joinstyle="miter"/>
          <v:path gradientshapeok="t" o:connecttype="rect"/>
        </v:shapetype>
        <v:shape id="docshape1614" o:spid="_x0000_s1066" type="#_x0000_t202" style="position:absolute;margin-left:378.25pt;margin-top:46.85pt;width:174.8pt;height:12.65pt;z-index:-21103104;mso-position-horizontal-relative:page;mso-position-vertical-relative:page" filled="f" stroked="f">
          <v:textbox inset="0,0,0,0">
            <w:txbxContent>
              <w:p w14:paraId="5DF5BD8F" w14:textId="77777777" w:rsidR="0055291C" w:rsidRDefault="00F23C61">
                <w:pPr>
                  <w:spacing w:before="19"/>
                  <w:ind w:left="20"/>
                  <w:rPr>
                    <w:rFonts w:ascii="Arial"/>
                    <w:b/>
                    <w:i/>
                    <w:sz w:val="19"/>
                  </w:rPr>
                </w:pPr>
                <w:r>
                  <w:rPr>
                    <w:rFonts w:ascii="Arial"/>
                    <w:b/>
                    <w:i/>
                    <w:color w:val="7F3F98"/>
                    <w:w w:val="95"/>
                    <w:sz w:val="19"/>
                  </w:rPr>
                  <w:t>Appendix</w:t>
                </w:r>
                <w:r>
                  <w:rPr>
                    <w:rFonts w:ascii="Arial"/>
                    <w:b/>
                    <w:i/>
                    <w:color w:val="7F3F98"/>
                    <w:spacing w:val="14"/>
                    <w:w w:val="95"/>
                    <w:sz w:val="19"/>
                  </w:rPr>
                  <w:t xml:space="preserve"> </w:t>
                </w:r>
                <w:r>
                  <w:rPr>
                    <w:rFonts w:ascii="Arial"/>
                    <w:b/>
                    <w:i/>
                    <w:color w:val="7F3F98"/>
                    <w:w w:val="95"/>
                    <w:sz w:val="19"/>
                  </w:rPr>
                  <w:t>B.</w:t>
                </w:r>
                <w:r>
                  <w:rPr>
                    <w:rFonts w:ascii="Arial"/>
                    <w:b/>
                    <w:i/>
                    <w:color w:val="7F3F98"/>
                    <w:spacing w:val="15"/>
                    <w:w w:val="95"/>
                    <w:sz w:val="19"/>
                  </w:rPr>
                  <w:t xml:space="preserve"> </w:t>
                </w:r>
                <w:r>
                  <w:rPr>
                    <w:rFonts w:ascii="Arial"/>
                    <w:b/>
                    <w:i/>
                    <w:color w:val="545456"/>
                    <w:w w:val="95"/>
                    <w:sz w:val="19"/>
                  </w:rPr>
                  <w:t>Land-Use</w:t>
                </w:r>
                <w:r>
                  <w:rPr>
                    <w:rFonts w:ascii="Arial"/>
                    <w:b/>
                    <w:i/>
                    <w:color w:val="545456"/>
                    <w:spacing w:val="14"/>
                    <w:w w:val="95"/>
                    <w:sz w:val="19"/>
                  </w:rPr>
                  <w:t xml:space="preserve"> </w:t>
                </w:r>
                <w:r>
                  <w:rPr>
                    <w:rFonts w:ascii="Arial"/>
                    <w:b/>
                    <w:i/>
                    <w:color w:val="545456"/>
                    <w:w w:val="95"/>
                    <w:sz w:val="19"/>
                  </w:rPr>
                  <w:t>Change</w:t>
                </w:r>
                <w:r>
                  <w:rPr>
                    <w:rFonts w:ascii="Arial"/>
                    <w:b/>
                    <w:i/>
                    <w:color w:val="545456"/>
                    <w:spacing w:val="14"/>
                    <w:w w:val="95"/>
                    <w:sz w:val="19"/>
                  </w:rPr>
                  <w:t xml:space="preserve"> </w:t>
                </w:r>
                <w:r>
                  <w:rPr>
                    <w:rFonts w:ascii="Arial"/>
                    <w:b/>
                    <w:i/>
                    <w:color w:val="545456"/>
                    <w:w w:val="95"/>
                    <w:sz w:val="19"/>
                  </w:rPr>
                  <w:t>Impacts</w:t>
                </w:r>
              </w:p>
            </w:txbxContent>
          </v:textbox>
          <w10:wrap anchorx="page" anchory="page"/>
        </v:shape>
      </w:pict>
    </w: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712F2" w14:textId="77777777" w:rsidR="0055291C" w:rsidRDefault="0055291C">
    <w:pPr>
      <w:pStyle w:val="a3"/>
      <w:spacing w:line="14" w:lineRule="auto"/>
      <w:rPr>
        <w:sz w:val="2"/>
      </w:rPr>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D619A" w14:textId="77777777" w:rsidR="0055291C" w:rsidRDefault="00000000">
    <w:pPr>
      <w:pStyle w:val="a3"/>
      <w:spacing w:line="14" w:lineRule="auto"/>
      <w:rPr>
        <w:sz w:val="20"/>
      </w:rPr>
    </w:pPr>
    <w:r>
      <w:pict w14:anchorId="48C1E13A">
        <v:shapetype id="_x0000_t202" coordsize="21600,21600" o:spt="202" path="m,l,21600r21600,l21600,xe">
          <v:stroke joinstyle="miter"/>
          <v:path gradientshapeok="t" o:connecttype="rect"/>
        </v:shapetype>
        <v:shape id="docshape1623" o:spid="_x0000_s1061" type="#_x0000_t202" style="position:absolute;margin-left:387.65pt;margin-top:46.85pt;width:165.65pt;height:12.65pt;z-index:-21100544;mso-position-horizontal-relative:page;mso-position-vertical-relative:page" filled="f" stroked="f">
          <v:textbox inset="0,0,0,0">
            <w:txbxContent>
              <w:p w14:paraId="5D24BA27" w14:textId="77777777" w:rsidR="0055291C" w:rsidRDefault="00F23C61">
                <w:pPr>
                  <w:spacing w:before="19"/>
                  <w:ind w:left="20"/>
                  <w:rPr>
                    <w:rFonts w:ascii="Arial"/>
                    <w:b/>
                    <w:i/>
                    <w:sz w:val="19"/>
                  </w:rPr>
                </w:pPr>
                <w:r>
                  <w:rPr>
                    <w:rFonts w:ascii="Arial"/>
                    <w:b/>
                    <w:i/>
                    <w:color w:val="7F3F98"/>
                    <w:w w:val="95"/>
                    <w:sz w:val="19"/>
                  </w:rPr>
                  <w:t>Appendix</w:t>
                </w:r>
                <w:r>
                  <w:rPr>
                    <w:rFonts w:ascii="Arial"/>
                    <w:b/>
                    <w:i/>
                    <w:color w:val="7F3F98"/>
                    <w:spacing w:val="38"/>
                    <w:w w:val="95"/>
                    <w:sz w:val="19"/>
                  </w:rPr>
                  <w:t xml:space="preserve"> </w:t>
                </w:r>
                <w:r>
                  <w:rPr>
                    <w:rFonts w:ascii="Arial"/>
                    <w:b/>
                    <w:i/>
                    <w:color w:val="7F3F98"/>
                    <w:w w:val="95"/>
                    <w:sz w:val="19"/>
                  </w:rPr>
                  <w:t>C.</w:t>
                </w:r>
                <w:r>
                  <w:rPr>
                    <w:rFonts w:ascii="Arial"/>
                    <w:b/>
                    <w:i/>
                    <w:color w:val="7F3F98"/>
                    <w:spacing w:val="38"/>
                    <w:w w:val="95"/>
                    <w:sz w:val="19"/>
                  </w:rPr>
                  <w:t xml:space="preserve"> </w:t>
                </w:r>
                <w:r>
                  <w:rPr>
                    <w:rFonts w:ascii="Arial"/>
                    <w:b/>
                    <w:i/>
                    <w:color w:val="545456"/>
                    <w:w w:val="95"/>
                    <w:sz w:val="19"/>
                  </w:rPr>
                  <w:t>Data</w:t>
                </w:r>
                <w:r>
                  <w:rPr>
                    <w:rFonts w:ascii="Arial"/>
                    <w:b/>
                    <w:i/>
                    <w:color w:val="545456"/>
                    <w:spacing w:val="37"/>
                    <w:w w:val="95"/>
                    <w:sz w:val="19"/>
                  </w:rPr>
                  <w:t xml:space="preserve"> </w:t>
                </w:r>
                <w:r>
                  <w:rPr>
                    <w:rFonts w:ascii="Arial"/>
                    <w:b/>
                    <w:i/>
                    <w:color w:val="545456"/>
                    <w:w w:val="95"/>
                    <w:sz w:val="19"/>
                  </w:rPr>
                  <w:t>Management</w:t>
                </w:r>
                <w:r>
                  <w:rPr>
                    <w:rFonts w:ascii="Arial"/>
                    <w:b/>
                    <w:i/>
                    <w:color w:val="545456"/>
                    <w:spacing w:val="36"/>
                    <w:w w:val="95"/>
                    <w:sz w:val="19"/>
                  </w:rPr>
                  <w:t xml:space="preserve"> </w:t>
                </w:r>
                <w:r>
                  <w:rPr>
                    <w:rFonts w:ascii="Arial"/>
                    <w:b/>
                    <w:i/>
                    <w:color w:val="545456"/>
                    <w:w w:val="95"/>
                    <w:sz w:val="19"/>
                  </w:rPr>
                  <w:t>Plan</w:t>
                </w:r>
              </w:p>
            </w:txbxContent>
          </v:textbox>
          <w10:wrap anchorx="page" anchory="page"/>
        </v:shape>
      </w:pict>
    </w: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6D4AA" w14:textId="77777777" w:rsidR="0055291C" w:rsidRDefault="00000000">
    <w:pPr>
      <w:pStyle w:val="a3"/>
      <w:spacing w:line="14" w:lineRule="auto"/>
      <w:rPr>
        <w:sz w:val="20"/>
      </w:rPr>
    </w:pPr>
    <w:r>
      <w:pict w14:anchorId="597DFD86">
        <v:shapetype id="_x0000_t202" coordsize="21600,21600" o:spt="202" path="m,l,21600r21600,l21600,xe">
          <v:stroke joinstyle="miter"/>
          <v:path gradientshapeok="t" o:connecttype="rect"/>
        </v:shapetype>
        <v:shape id="docshape1654" o:spid="_x0000_s1051" type="#_x0000_t202" style="position:absolute;margin-left:387.65pt;margin-top:46.85pt;width:165.65pt;height:12.65pt;z-index:-21095424;mso-position-horizontal-relative:page;mso-position-vertical-relative:page" filled="f" stroked="f">
          <v:textbox style="mso-next-textbox:#docshape1654" inset="0,0,0,0">
            <w:txbxContent>
              <w:p w14:paraId="46A4F168" w14:textId="77777777" w:rsidR="0055291C" w:rsidRDefault="00F23C61">
                <w:pPr>
                  <w:spacing w:before="19"/>
                  <w:ind w:left="20"/>
                  <w:rPr>
                    <w:rFonts w:ascii="Arial"/>
                    <w:b/>
                    <w:i/>
                    <w:sz w:val="19"/>
                  </w:rPr>
                </w:pPr>
                <w:r>
                  <w:rPr>
                    <w:rFonts w:ascii="Arial"/>
                    <w:b/>
                    <w:i/>
                    <w:color w:val="7F3F98"/>
                    <w:w w:val="95"/>
                    <w:sz w:val="19"/>
                  </w:rPr>
                  <w:t>Appendix</w:t>
                </w:r>
                <w:r>
                  <w:rPr>
                    <w:rFonts w:ascii="Arial"/>
                    <w:b/>
                    <w:i/>
                    <w:color w:val="7F3F98"/>
                    <w:spacing w:val="38"/>
                    <w:w w:val="95"/>
                    <w:sz w:val="19"/>
                  </w:rPr>
                  <w:t xml:space="preserve"> </w:t>
                </w:r>
                <w:r>
                  <w:rPr>
                    <w:rFonts w:ascii="Arial"/>
                    <w:b/>
                    <w:i/>
                    <w:color w:val="7F3F98"/>
                    <w:w w:val="95"/>
                    <w:sz w:val="19"/>
                  </w:rPr>
                  <w:t>C.</w:t>
                </w:r>
                <w:r>
                  <w:rPr>
                    <w:rFonts w:ascii="Arial"/>
                    <w:b/>
                    <w:i/>
                    <w:color w:val="7F3F98"/>
                    <w:spacing w:val="38"/>
                    <w:w w:val="95"/>
                    <w:sz w:val="19"/>
                  </w:rPr>
                  <w:t xml:space="preserve"> </w:t>
                </w:r>
                <w:r>
                  <w:rPr>
                    <w:rFonts w:ascii="Arial"/>
                    <w:b/>
                    <w:i/>
                    <w:color w:val="545456"/>
                    <w:w w:val="95"/>
                    <w:sz w:val="19"/>
                  </w:rPr>
                  <w:t>Data</w:t>
                </w:r>
                <w:r>
                  <w:rPr>
                    <w:rFonts w:ascii="Arial"/>
                    <w:b/>
                    <w:i/>
                    <w:color w:val="545456"/>
                    <w:spacing w:val="37"/>
                    <w:w w:val="95"/>
                    <w:sz w:val="19"/>
                  </w:rPr>
                  <w:t xml:space="preserve"> </w:t>
                </w:r>
                <w:r>
                  <w:rPr>
                    <w:rFonts w:ascii="Arial"/>
                    <w:b/>
                    <w:i/>
                    <w:color w:val="545456"/>
                    <w:w w:val="95"/>
                    <w:sz w:val="19"/>
                  </w:rPr>
                  <w:t>Management</w:t>
                </w:r>
                <w:r>
                  <w:rPr>
                    <w:rFonts w:ascii="Arial"/>
                    <w:b/>
                    <w:i/>
                    <w:color w:val="545456"/>
                    <w:spacing w:val="36"/>
                    <w:w w:val="95"/>
                    <w:sz w:val="19"/>
                  </w:rPr>
                  <w:t xml:space="preserve"> </w:t>
                </w:r>
                <w:r>
                  <w:rPr>
                    <w:rFonts w:ascii="Arial"/>
                    <w:b/>
                    <w:i/>
                    <w:color w:val="545456"/>
                    <w:w w:val="95"/>
                    <w:sz w:val="19"/>
                  </w:rPr>
                  <w:t>Plan</w:t>
                </w:r>
              </w:p>
            </w:txbxContent>
          </v:textbox>
          <w10:wrap anchorx="page" anchory="page"/>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CCA0F0" w14:textId="77777777" w:rsidR="0055291C" w:rsidRDefault="00000000">
    <w:pPr>
      <w:pStyle w:val="a3"/>
      <w:spacing w:line="14" w:lineRule="auto"/>
      <w:rPr>
        <w:sz w:val="20"/>
      </w:rPr>
    </w:pPr>
    <w:r>
      <w:pict w14:anchorId="64CFC6D7">
        <v:shape id="docshape337" o:spid="_x0000_s1298" style="position:absolute;margin-left:0;margin-top:0;width:297pt;height:31.8pt;z-index:-21221888;mso-position-horizontal-relative:page;mso-position-vertical-relative:page" coordsize="5940,636" path="m5940,l,,,635r5713,l5844,632r68,-25l5936,539r4,-131l5940,xe" fillcolor="#7f3f98" stroked="f">
          <v:path arrowok="t"/>
          <w10:wrap anchorx="page" anchory="page"/>
        </v:shape>
      </w:pict>
    </w:r>
    <w:r>
      <w:pict w14:anchorId="120C2364">
        <v:shapetype id="_x0000_t202" coordsize="21600,21600" o:spt="202" path="m,l,21600r21600,l21600,xe">
          <v:stroke joinstyle="miter"/>
          <v:path gradientshapeok="t" o:connecttype="rect"/>
        </v:shapetype>
        <v:shape id="docshape338" o:spid="_x0000_s1297" type="#_x0000_t202" style="position:absolute;margin-left:55.7pt;margin-top:10.05pt;width:180.55pt;height:17.7pt;z-index:-21221376;mso-position-horizontal-relative:page;mso-position-vertical-relative:page" filled="f" stroked="f">
          <v:textbox style="mso-next-textbox:#docshape338" inset="0,0,0,0">
            <w:txbxContent>
              <w:p w14:paraId="1FA03FA3" w14:textId="77777777" w:rsidR="0055291C" w:rsidRDefault="00F23C61">
                <w:pPr>
                  <w:spacing w:before="18"/>
                  <w:ind w:left="20"/>
                  <w:rPr>
                    <w:rFonts w:ascii="Arial"/>
                    <w:b/>
                    <w:i/>
                    <w:sz w:val="28"/>
                  </w:rPr>
                </w:pPr>
                <w:r>
                  <w:rPr>
                    <w:rFonts w:ascii="Arial"/>
                    <w:b/>
                    <w:i/>
                    <w:color w:val="F3F4F4"/>
                    <w:sz w:val="28"/>
                  </w:rPr>
                  <w:t>r</w:t>
                </w:r>
                <w:r>
                  <w:rPr>
                    <w:rFonts w:ascii="Arial"/>
                    <w:b/>
                    <w:i/>
                    <w:color w:val="F3F4F4"/>
                    <w:spacing w:val="79"/>
                    <w:sz w:val="28"/>
                  </w:rPr>
                  <w:t xml:space="preserve"> </w:t>
                </w:r>
                <w:r>
                  <w:rPr>
                    <w:rFonts w:ascii="Arial"/>
                    <w:b/>
                    <w:i/>
                    <w:color w:val="F3F4F4"/>
                    <w:sz w:val="28"/>
                  </w:rPr>
                  <w:t>e</w:t>
                </w:r>
                <w:r>
                  <w:rPr>
                    <w:rFonts w:ascii="Arial"/>
                    <w:b/>
                    <w:i/>
                    <w:color w:val="F3F4F4"/>
                    <w:spacing w:val="86"/>
                    <w:sz w:val="28"/>
                  </w:rPr>
                  <w:t xml:space="preserve"> </w:t>
                </w:r>
                <w:r>
                  <w:rPr>
                    <w:rFonts w:ascii="Arial"/>
                    <w:b/>
                    <w:i/>
                    <w:color w:val="F3F4F4"/>
                    <w:sz w:val="28"/>
                  </w:rPr>
                  <w:t>q</w:t>
                </w:r>
                <w:r>
                  <w:rPr>
                    <w:rFonts w:ascii="Arial"/>
                    <w:b/>
                    <w:i/>
                    <w:color w:val="F3F4F4"/>
                    <w:spacing w:val="86"/>
                    <w:sz w:val="28"/>
                  </w:rPr>
                  <w:t xml:space="preserve"> </w:t>
                </w:r>
                <w:r>
                  <w:rPr>
                    <w:rFonts w:ascii="Arial"/>
                    <w:b/>
                    <w:i/>
                    <w:color w:val="F3F4F4"/>
                    <w:sz w:val="28"/>
                  </w:rPr>
                  <w:t>u</w:t>
                </w:r>
                <w:r>
                  <w:rPr>
                    <w:rFonts w:ascii="Arial"/>
                    <w:b/>
                    <w:i/>
                    <w:color w:val="F3F4F4"/>
                    <w:spacing w:val="86"/>
                    <w:sz w:val="28"/>
                  </w:rPr>
                  <w:t xml:space="preserve"> </w:t>
                </w:r>
                <w:proofErr w:type="spellStart"/>
                <w:r>
                  <w:rPr>
                    <w:rFonts w:ascii="Arial"/>
                    <w:b/>
                    <w:i/>
                    <w:color w:val="F3F4F4"/>
                    <w:sz w:val="28"/>
                  </w:rPr>
                  <w:t>i</w:t>
                </w:r>
                <w:proofErr w:type="spellEnd"/>
                <w:r>
                  <w:rPr>
                    <w:rFonts w:ascii="Arial"/>
                    <w:b/>
                    <w:i/>
                    <w:color w:val="F3F4F4"/>
                    <w:spacing w:val="85"/>
                    <w:sz w:val="28"/>
                  </w:rPr>
                  <w:t xml:space="preserve"> </w:t>
                </w:r>
                <w:r>
                  <w:rPr>
                    <w:rFonts w:ascii="Arial"/>
                    <w:b/>
                    <w:i/>
                    <w:color w:val="F3F4F4"/>
                    <w:sz w:val="28"/>
                  </w:rPr>
                  <w:t>r</w:t>
                </w:r>
                <w:r>
                  <w:rPr>
                    <w:rFonts w:ascii="Arial"/>
                    <w:b/>
                    <w:i/>
                    <w:color w:val="F3F4F4"/>
                    <w:spacing w:val="80"/>
                    <w:sz w:val="28"/>
                  </w:rPr>
                  <w:t xml:space="preserve"> </w:t>
                </w:r>
                <w:r>
                  <w:rPr>
                    <w:rFonts w:ascii="Arial"/>
                    <w:b/>
                    <w:i/>
                    <w:color w:val="F3F4F4"/>
                    <w:sz w:val="28"/>
                  </w:rPr>
                  <w:t>e</w:t>
                </w:r>
                <w:r>
                  <w:rPr>
                    <w:rFonts w:ascii="Arial"/>
                    <w:b/>
                    <w:i/>
                    <w:color w:val="F3F4F4"/>
                    <w:spacing w:val="86"/>
                    <w:sz w:val="28"/>
                  </w:rPr>
                  <w:t xml:space="preserve"> </w:t>
                </w:r>
                <w:r>
                  <w:rPr>
                    <w:rFonts w:ascii="Arial"/>
                    <w:b/>
                    <w:i/>
                    <w:color w:val="F3F4F4"/>
                    <w:sz w:val="28"/>
                  </w:rPr>
                  <w:t>m</w:t>
                </w:r>
                <w:r>
                  <w:rPr>
                    <w:rFonts w:ascii="Arial"/>
                    <w:b/>
                    <w:i/>
                    <w:color w:val="F3F4F4"/>
                    <w:spacing w:val="86"/>
                    <w:sz w:val="28"/>
                  </w:rPr>
                  <w:t xml:space="preserve"> </w:t>
                </w:r>
                <w:r>
                  <w:rPr>
                    <w:rFonts w:ascii="Arial"/>
                    <w:b/>
                    <w:i/>
                    <w:color w:val="F3F4F4"/>
                    <w:sz w:val="28"/>
                  </w:rPr>
                  <w:t>e</w:t>
                </w:r>
                <w:r>
                  <w:rPr>
                    <w:rFonts w:ascii="Arial"/>
                    <w:b/>
                    <w:i/>
                    <w:color w:val="F3F4F4"/>
                    <w:spacing w:val="85"/>
                    <w:sz w:val="28"/>
                  </w:rPr>
                  <w:t xml:space="preserve"> </w:t>
                </w:r>
                <w:r>
                  <w:rPr>
                    <w:rFonts w:ascii="Arial"/>
                    <w:b/>
                    <w:i/>
                    <w:color w:val="F3F4F4"/>
                    <w:sz w:val="28"/>
                  </w:rPr>
                  <w:t>n</w:t>
                </w:r>
                <w:r>
                  <w:rPr>
                    <w:rFonts w:ascii="Arial"/>
                    <w:b/>
                    <w:i/>
                    <w:color w:val="F3F4F4"/>
                    <w:spacing w:val="86"/>
                    <w:sz w:val="28"/>
                  </w:rPr>
                  <w:t xml:space="preserve"> </w:t>
                </w:r>
                <w:r>
                  <w:rPr>
                    <w:rFonts w:ascii="Arial"/>
                    <w:b/>
                    <w:i/>
                    <w:color w:val="F3F4F4"/>
                    <w:w w:val="105"/>
                    <w:sz w:val="28"/>
                  </w:rPr>
                  <w:t xml:space="preserve">t  </w:t>
                </w:r>
                <w:r>
                  <w:rPr>
                    <w:rFonts w:ascii="Arial"/>
                    <w:b/>
                    <w:i/>
                    <w:color w:val="F3F4F4"/>
                    <w:sz w:val="28"/>
                  </w:rPr>
                  <w:t>s</w:t>
                </w:r>
              </w:p>
            </w:txbxContent>
          </v:textbox>
          <w10:wrap anchorx="page" anchory="page"/>
        </v:shape>
      </w:pict>
    </w: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2FBD4" w14:textId="77777777" w:rsidR="0055291C" w:rsidRDefault="0055291C">
    <w:pPr>
      <w:pStyle w:val="a3"/>
      <w:spacing w:line="14" w:lineRule="auto"/>
      <w:rPr>
        <w:sz w:val="2"/>
      </w:rPr>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0048B7" w14:textId="77777777" w:rsidR="0055291C" w:rsidRDefault="0055291C">
    <w:pPr>
      <w:pStyle w:val="a3"/>
      <w:spacing w:line="14" w:lineRule="auto"/>
      <w:rPr>
        <w:sz w:val="2"/>
      </w:rPr>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B71F32" w14:textId="77777777" w:rsidR="0055291C" w:rsidRDefault="00000000">
    <w:pPr>
      <w:pStyle w:val="a3"/>
      <w:spacing w:line="14" w:lineRule="auto"/>
      <w:rPr>
        <w:sz w:val="20"/>
      </w:rPr>
    </w:pPr>
    <w:r>
      <w:pict w14:anchorId="32441203">
        <v:shape id="docshape1709" o:spid="_x0000_s1043" style="position:absolute;margin-left:0;margin-top:0;width:297pt;height:31.8pt;z-index:-21091328;mso-position-horizontal-relative:page;mso-position-vertical-relative:page" coordsize="5940,636" path="m5940,l,,,635r5713,l5844,632r68,-25l5936,539r4,-131l5940,xe" fillcolor="#00aca1" stroked="f">
          <v:path arrowok="t"/>
          <w10:wrap anchorx="page" anchory="page"/>
        </v:shape>
      </w:pict>
    </w: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76DD39" w14:textId="77777777" w:rsidR="0055291C" w:rsidRDefault="00000000">
    <w:pPr>
      <w:pStyle w:val="a3"/>
      <w:spacing w:line="14" w:lineRule="auto"/>
      <w:rPr>
        <w:sz w:val="20"/>
      </w:rPr>
    </w:pPr>
    <w:r>
      <w:pict w14:anchorId="7873CDDC">
        <v:shapetype id="_x0000_t202" coordsize="21600,21600" o:spt="202" path="m,l,21600r21600,l21600,xe">
          <v:stroke joinstyle="miter"/>
          <v:path gradientshapeok="t" o:connecttype="rect"/>
        </v:shapetype>
        <v:shape id="docshape1710" o:spid="_x0000_s1042" type="#_x0000_t202" style="position:absolute;margin-left:510.55pt;margin-top:46.85pt;width:42.75pt;height:12.65pt;z-index:-21090816;mso-position-horizontal-relative:page;mso-position-vertical-relative:page" filled="f" stroked="f">
          <v:textbox style="mso-next-textbox:#docshape1710" inset="0,0,0,0">
            <w:txbxContent>
              <w:p w14:paraId="14D84CAD" w14:textId="77777777" w:rsidR="0055291C" w:rsidRDefault="00F23C61">
                <w:pPr>
                  <w:spacing w:before="19"/>
                  <w:ind w:left="20"/>
                  <w:rPr>
                    <w:rFonts w:ascii="Arial"/>
                    <w:b/>
                    <w:i/>
                    <w:sz w:val="19"/>
                  </w:rPr>
                </w:pPr>
                <w:r>
                  <w:rPr>
                    <w:rFonts w:ascii="Arial"/>
                    <w:b/>
                    <w:i/>
                    <w:color w:val="7F3F98"/>
                    <w:w w:val="95"/>
                    <w:sz w:val="19"/>
                  </w:rPr>
                  <w:t>Glossary</w:t>
                </w:r>
              </w:p>
            </w:txbxContent>
          </v:textbox>
          <w10:wrap anchorx="page" anchory="page"/>
        </v:shape>
      </w:pict>
    </w: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46F9E" w14:textId="77777777" w:rsidR="0055291C" w:rsidRDefault="00000000">
    <w:pPr>
      <w:pStyle w:val="a3"/>
      <w:spacing w:line="14" w:lineRule="auto"/>
      <w:rPr>
        <w:sz w:val="20"/>
      </w:rPr>
    </w:pPr>
    <w:r>
      <w:pict w14:anchorId="412B67F0">
        <v:shapetype id="_x0000_t202" coordsize="21600,21600" o:spt="202" path="m,l,21600r21600,l21600,xe">
          <v:stroke joinstyle="miter"/>
          <v:path gradientshapeok="t" o:connecttype="rect"/>
        </v:shapetype>
        <v:shape id="docshape1716" o:spid="_x0000_s1037" type="#_x0000_t202" style="position:absolute;margin-left:510.55pt;margin-top:46.85pt;width:42.75pt;height:12.65pt;z-index:-21088256;mso-position-horizontal-relative:page;mso-position-vertical-relative:page" filled="f" stroked="f">
          <v:textbox inset="0,0,0,0">
            <w:txbxContent>
              <w:p w14:paraId="131EBCDC" w14:textId="77777777" w:rsidR="0055291C" w:rsidRDefault="00F23C61">
                <w:pPr>
                  <w:spacing w:before="19"/>
                  <w:ind w:left="20"/>
                  <w:rPr>
                    <w:rFonts w:ascii="Arial"/>
                    <w:b/>
                    <w:i/>
                    <w:sz w:val="19"/>
                  </w:rPr>
                </w:pPr>
                <w:r>
                  <w:rPr>
                    <w:rFonts w:ascii="Arial"/>
                    <w:b/>
                    <w:i/>
                    <w:color w:val="7F3F98"/>
                    <w:w w:val="95"/>
                    <w:sz w:val="19"/>
                  </w:rPr>
                  <w:t>Glossary</w:t>
                </w:r>
              </w:p>
            </w:txbxContent>
          </v:textbox>
          <w10:wrap anchorx="page" anchory="page"/>
        </v:shape>
      </w:pict>
    </w: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F320A" w14:textId="77777777" w:rsidR="0055291C" w:rsidRDefault="0055291C">
    <w:pPr>
      <w:pStyle w:val="a3"/>
      <w:spacing w:line="14" w:lineRule="auto"/>
      <w:rPr>
        <w:sz w:val="2"/>
      </w:rPr>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00A7A2" w14:textId="77777777" w:rsidR="0055291C" w:rsidRDefault="0055291C">
    <w:pPr>
      <w:pStyle w:val="a3"/>
      <w:spacing w:line="14" w:lineRule="auto"/>
      <w:rPr>
        <w:sz w:val="2"/>
      </w:rPr>
    </w:pP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1EA5EC" w14:textId="77777777" w:rsidR="0055291C" w:rsidRDefault="0055291C">
    <w:pPr>
      <w:pStyle w:val="a3"/>
      <w:spacing w:line="14" w:lineRule="auto"/>
      <w:rPr>
        <w:sz w:val="2"/>
      </w:rPr>
    </w:pP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F91D2" w14:textId="77777777" w:rsidR="0055291C" w:rsidRDefault="00000000">
    <w:pPr>
      <w:pStyle w:val="a3"/>
      <w:spacing w:line="14" w:lineRule="auto"/>
      <w:rPr>
        <w:sz w:val="20"/>
      </w:rPr>
    </w:pPr>
    <w:r>
      <w:pict w14:anchorId="53612064">
        <v:shapetype id="_x0000_t202" coordsize="21600,21600" o:spt="202" path="m,l,21600r21600,l21600,xe">
          <v:stroke joinstyle="miter"/>
          <v:path gradientshapeok="t" o:connecttype="rect"/>
        </v:shapetype>
        <v:shape id="docshape1736" o:spid="_x0000_s1028" type="#_x0000_t202" style="position:absolute;margin-left:492.25pt;margin-top:46.85pt;width:61.05pt;height:12.65pt;z-index:-21083648;mso-position-horizontal-relative:page;mso-position-vertical-relative:page" filled="f" stroked="f">
          <v:textbox inset="0,0,0,0">
            <w:txbxContent>
              <w:p w14:paraId="2E4B9015" w14:textId="77777777" w:rsidR="0055291C" w:rsidRDefault="00F23C61">
                <w:pPr>
                  <w:spacing w:before="19"/>
                  <w:ind w:left="20"/>
                  <w:rPr>
                    <w:rFonts w:ascii="Arial"/>
                    <w:b/>
                    <w:i/>
                    <w:sz w:val="19"/>
                  </w:rPr>
                </w:pPr>
                <w:r>
                  <w:rPr>
                    <w:rFonts w:ascii="Arial"/>
                    <w:b/>
                    <w:i/>
                    <w:color w:val="7F3F98"/>
                    <w:w w:val="95"/>
                    <w:sz w:val="19"/>
                  </w:rPr>
                  <w:t>Recognitions</w:t>
                </w:r>
              </w:p>
            </w:txbxContent>
          </v:textbox>
          <w10:wrap anchorx="page" anchory="page"/>
        </v:shape>
      </w:pict>
    </w: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80857" w14:textId="77777777" w:rsidR="0055291C" w:rsidRDefault="0055291C">
    <w:pPr>
      <w:pStyle w:val="a3"/>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0BC732" w14:textId="77777777" w:rsidR="0055291C" w:rsidRDefault="0055291C">
    <w:pPr>
      <w:pStyle w:val="a3"/>
      <w:spacing w:line="14" w:lineRule="auto"/>
      <w:rPr>
        <w:sz w:val="2"/>
      </w:rPr>
    </w:pP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6CC7B" w14:textId="77777777" w:rsidR="0055291C" w:rsidRDefault="00000000">
    <w:pPr>
      <w:pStyle w:val="a3"/>
      <w:spacing w:line="14" w:lineRule="auto"/>
      <w:rPr>
        <w:sz w:val="20"/>
      </w:rPr>
    </w:pPr>
    <w:r>
      <w:pict w14:anchorId="50246BE7">
        <v:shapetype id="_x0000_t202" coordsize="21600,21600" o:spt="202" path="m,l,21600r21600,l21600,xe">
          <v:stroke joinstyle="miter"/>
          <v:path gradientshapeok="t" o:connecttype="rect"/>
        </v:shapetype>
        <v:shape id="docshape1740" o:spid="_x0000_s1027" type="#_x0000_t202" style="position:absolute;margin-left:492.25pt;margin-top:46.85pt;width:61.05pt;height:12.65pt;z-index:-21083136;mso-position-horizontal-relative:page;mso-position-vertical-relative:page" filled="f" stroked="f">
          <v:textbox inset="0,0,0,0">
            <w:txbxContent>
              <w:p w14:paraId="62BFDC83" w14:textId="77777777" w:rsidR="0055291C" w:rsidRDefault="00F23C61">
                <w:pPr>
                  <w:spacing w:before="19"/>
                  <w:ind w:left="20"/>
                  <w:rPr>
                    <w:rFonts w:ascii="Arial"/>
                    <w:b/>
                    <w:i/>
                    <w:sz w:val="19"/>
                  </w:rPr>
                </w:pPr>
                <w:r>
                  <w:rPr>
                    <w:rFonts w:ascii="Arial"/>
                    <w:b/>
                    <w:i/>
                    <w:color w:val="7F3F98"/>
                    <w:w w:val="95"/>
                    <w:sz w:val="19"/>
                  </w:rPr>
                  <w:t>Recognitions</w:t>
                </w:r>
              </w:p>
            </w:txbxContent>
          </v:textbox>
          <w10:wrap anchorx="page" anchory="page"/>
        </v:shape>
      </w:pict>
    </w: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D84C3" w14:textId="77777777" w:rsidR="0055291C" w:rsidRDefault="0055291C">
    <w:pPr>
      <w:pStyle w:val="a3"/>
      <w:spacing w:line="14" w:lineRule="auto"/>
      <w:rPr>
        <w:sz w:val="2"/>
      </w:rPr>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40748" w14:textId="77777777" w:rsidR="0055291C" w:rsidRDefault="0055291C">
    <w:pPr>
      <w:pStyle w:val="a3"/>
      <w:spacing w:line="14" w:lineRule="auto"/>
      <w:rPr>
        <w:sz w:val="2"/>
      </w:rPr>
    </w:pP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5C6863" w14:textId="77777777" w:rsidR="0055291C" w:rsidRDefault="0055291C">
    <w:pPr>
      <w:pStyle w:val="a3"/>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5DBE09" w14:textId="77777777" w:rsidR="0055291C" w:rsidRDefault="0055291C">
    <w:pPr>
      <w:pStyle w:val="a3"/>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0047C8" w14:textId="77777777" w:rsidR="0055291C" w:rsidRDefault="0055291C">
    <w:pPr>
      <w:pStyle w:val="a3"/>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39DD05" w14:textId="77777777" w:rsidR="0055291C" w:rsidRDefault="0055291C">
    <w:pPr>
      <w:pStyle w:val="a3"/>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6F75F" w14:textId="77777777" w:rsidR="0055291C" w:rsidRDefault="0055291C">
    <w:pPr>
      <w:pStyle w:val="a3"/>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1A998" w14:textId="77777777" w:rsidR="0055291C" w:rsidRDefault="0055291C">
    <w:pPr>
      <w:pStyle w:val="a3"/>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855C17" w14:textId="77777777" w:rsidR="0055291C" w:rsidRDefault="0055291C">
    <w:pPr>
      <w:pStyle w:val="a3"/>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8CF5A" w14:textId="77777777" w:rsidR="0055291C" w:rsidRDefault="00000000">
    <w:pPr>
      <w:pStyle w:val="a3"/>
      <w:spacing w:line="14" w:lineRule="auto"/>
      <w:rPr>
        <w:sz w:val="20"/>
      </w:rPr>
    </w:pPr>
    <w:r>
      <w:pict w14:anchorId="10916FFB">
        <v:shape id="docshape197" o:spid="_x0000_s1312" style="position:absolute;margin-left:0;margin-top:0;width:297pt;height:31.8pt;z-index:-21229056;mso-position-horizontal-relative:page;mso-position-vertical-relative:page" coordsize="5940,636" path="m5940,l,,,635r5713,l5844,632r68,-25l5936,539r4,-131l5940,xe" fillcolor="#00aca1" stroked="f">
          <v:path arrowok="t"/>
          <w10:wrap anchorx="page" anchory="page"/>
        </v:shape>
      </w:pict>
    </w:r>
    <w:r>
      <w:pict w14:anchorId="3681BAD0">
        <v:shapetype id="_x0000_t202" coordsize="21600,21600" o:spt="202" path="m,l,21600r21600,l21600,xe">
          <v:stroke joinstyle="miter"/>
          <v:path gradientshapeok="t" o:connecttype="rect"/>
        </v:shapetype>
        <v:shape id="docshape198" o:spid="_x0000_s1311" type="#_x0000_t202" style="position:absolute;margin-left:55.7pt;margin-top:10.05pt;width:119.1pt;height:17.7pt;z-index:-21228544;mso-position-horizontal-relative:page;mso-position-vertical-relative:page" filled="f" stroked="f">
          <v:textbox style="mso-next-textbox:#docshape198" inset="0,0,0,0">
            <w:txbxContent>
              <w:p w14:paraId="557B0429"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anchory="page"/>
        </v:shape>
      </w:pic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268C1" w14:textId="77777777" w:rsidR="0055291C" w:rsidRDefault="0055291C">
    <w:pPr>
      <w:pStyle w:val="a3"/>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11EE0" w14:textId="77777777" w:rsidR="0055291C" w:rsidRDefault="0055291C">
    <w:pPr>
      <w:pStyle w:val="a3"/>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E8468" w14:textId="77777777" w:rsidR="0055291C" w:rsidRDefault="0055291C">
    <w:pPr>
      <w:pStyle w:val="a3"/>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6AE97" w14:textId="77777777" w:rsidR="0055291C" w:rsidRDefault="0055291C">
    <w:pPr>
      <w:pStyle w:val="a3"/>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B5331" w14:textId="77777777" w:rsidR="0055291C" w:rsidRDefault="0055291C">
    <w:pPr>
      <w:pStyle w:val="a3"/>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EFCA0E" w14:textId="77777777" w:rsidR="0055291C" w:rsidRDefault="0055291C">
    <w:pPr>
      <w:pStyle w:val="a3"/>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240F58" w14:textId="77777777" w:rsidR="0055291C" w:rsidRDefault="0055291C">
    <w:pPr>
      <w:pStyle w:val="a3"/>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A39E4" w14:textId="77777777" w:rsidR="0055291C" w:rsidRDefault="0055291C">
    <w:pPr>
      <w:pStyle w:val="a3"/>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FDBF09" w14:textId="77777777" w:rsidR="0055291C" w:rsidRDefault="0055291C">
    <w:pPr>
      <w:pStyle w:val="a3"/>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CC86F1" w14:textId="77777777" w:rsidR="0055291C" w:rsidRDefault="0055291C">
    <w:pPr>
      <w:pStyle w:val="a3"/>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F2DDA" w14:textId="77777777" w:rsidR="0055291C" w:rsidRDefault="0055291C">
    <w:pPr>
      <w:pStyle w:val="a3"/>
      <w:spacing w:line="14" w:lineRule="auto"/>
      <w:rPr>
        <w:sz w:val="2"/>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E5ABDA" w14:textId="77777777" w:rsidR="0055291C" w:rsidRDefault="00000000">
    <w:pPr>
      <w:pStyle w:val="a3"/>
      <w:spacing w:line="14" w:lineRule="auto"/>
      <w:rPr>
        <w:sz w:val="20"/>
      </w:rPr>
    </w:pPr>
    <w:r>
      <w:pict w14:anchorId="70C6EFBD">
        <v:shape id="docshape510" o:spid="_x0000_s1266" style="position:absolute;margin-left:0;margin-top:0;width:297pt;height:31.8pt;z-index:-21205504;mso-position-horizontal-relative:page;mso-position-vertical-relative:page" coordsize="5940,636" path="m5940,l,,,635r5713,l5844,632r68,-25l5936,539r4,-131l5940,xe" fillcolor="#7f3f98" stroked="f">
          <v:path arrowok="t"/>
          <w10:wrap anchorx="page" anchory="page"/>
        </v:shape>
      </w:pict>
    </w:r>
    <w:r>
      <w:pict w14:anchorId="1AE8215F">
        <v:shapetype id="_x0000_t202" coordsize="21600,21600" o:spt="202" path="m,l,21600r21600,l21600,xe">
          <v:stroke joinstyle="miter"/>
          <v:path gradientshapeok="t" o:connecttype="rect"/>
        </v:shapetype>
        <v:shape id="docshape511" o:spid="_x0000_s1265" type="#_x0000_t202" style="position:absolute;margin-left:55.7pt;margin-top:10.05pt;width:180.55pt;height:17.7pt;z-index:-21204992;mso-position-horizontal-relative:page;mso-position-vertical-relative:page" filled="f" stroked="f">
          <v:textbox style="mso-next-textbox:#docshape511" inset="0,0,0,0">
            <w:txbxContent>
              <w:p w14:paraId="7219CF60" w14:textId="77777777" w:rsidR="0055291C" w:rsidRDefault="00F23C61">
                <w:pPr>
                  <w:spacing w:before="18"/>
                  <w:ind w:left="20"/>
                  <w:rPr>
                    <w:rFonts w:ascii="Arial"/>
                    <w:b/>
                    <w:i/>
                    <w:sz w:val="28"/>
                  </w:rPr>
                </w:pPr>
                <w:r>
                  <w:rPr>
                    <w:rFonts w:ascii="Arial"/>
                    <w:b/>
                    <w:i/>
                    <w:color w:val="F3F4F4"/>
                    <w:sz w:val="28"/>
                  </w:rPr>
                  <w:t>r</w:t>
                </w:r>
                <w:r>
                  <w:rPr>
                    <w:rFonts w:ascii="Arial"/>
                    <w:b/>
                    <w:i/>
                    <w:color w:val="F3F4F4"/>
                    <w:spacing w:val="79"/>
                    <w:sz w:val="28"/>
                  </w:rPr>
                  <w:t xml:space="preserve"> </w:t>
                </w:r>
                <w:r>
                  <w:rPr>
                    <w:rFonts w:ascii="Arial"/>
                    <w:b/>
                    <w:i/>
                    <w:color w:val="F3F4F4"/>
                    <w:sz w:val="28"/>
                  </w:rPr>
                  <w:t>e</w:t>
                </w:r>
                <w:r>
                  <w:rPr>
                    <w:rFonts w:ascii="Arial"/>
                    <w:b/>
                    <w:i/>
                    <w:color w:val="F3F4F4"/>
                    <w:spacing w:val="86"/>
                    <w:sz w:val="28"/>
                  </w:rPr>
                  <w:t xml:space="preserve"> </w:t>
                </w:r>
                <w:r>
                  <w:rPr>
                    <w:rFonts w:ascii="Arial"/>
                    <w:b/>
                    <w:i/>
                    <w:color w:val="F3F4F4"/>
                    <w:sz w:val="28"/>
                  </w:rPr>
                  <w:t>q</w:t>
                </w:r>
                <w:r>
                  <w:rPr>
                    <w:rFonts w:ascii="Arial"/>
                    <w:b/>
                    <w:i/>
                    <w:color w:val="F3F4F4"/>
                    <w:spacing w:val="86"/>
                    <w:sz w:val="28"/>
                  </w:rPr>
                  <w:t xml:space="preserve"> </w:t>
                </w:r>
                <w:r>
                  <w:rPr>
                    <w:rFonts w:ascii="Arial"/>
                    <w:b/>
                    <w:i/>
                    <w:color w:val="F3F4F4"/>
                    <w:sz w:val="28"/>
                  </w:rPr>
                  <w:t>u</w:t>
                </w:r>
                <w:r>
                  <w:rPr>
                    <w:rFonts w:ascii="Arial"/>
                    <w:b/>
                    <w:i/>
                    <w:color w:val="F3F4F4"/>
                    <w:spacing w:val="86"/>
                    <w:sz w:val="28"/>
                  </w:rPr>
                  <w:t xml:space="preserve"> </w:t>
                </w:r>
                <w:proofErr w:type="spellStart"/>
                <w:r>
                  <w:rPr>
                    <w:rFonts w:ascii="Arial"/>
                    <w:b/>
                    <w:i/>
                    <w:color w:val="F3F4F4"/>
                    <w:sz w:val="28"/>
                  </w:rPr>
                  <w:t>i</w:t>
                </w:r>
                <w:proofErr w:type="spellEnd"/>
                <w:r>
                  <w:rPr>
                    <w:rFonts w:ascii="Arial"/>
                    <w:b/>
                    <w:i/>
                    <w:color w:val="F3F4F4"/>
                    <w:spacing w:val="85"/>
                    <w:sz w:val="28"/>
                  </w:rPr>
                  <w:t xml:space="preserve"> </w:t>
                </w:r>
                <w:r>
                  <w:rPr>
                    <w:rFonts w:ascii="Arial"/>
                    <w:b/>
                    <w:i/>
                    <w:color w:val="F3F4F4"/>
                    <w:sz w:val="28"/>
                  </w:rPr>
                  <w:t>r</w:t>
                </w:r>
                <w:r>
                  <w:rPr>
                    <w:rFonts w:ascii="Arial"/>
                    <w:b/>
                    <w:i/>
                    <w:color w:val="F3F4F4"/>
                    <w:spacing w:val="80"/>
                    <w:sz w:val="28"/>
                  </w:rPr>
                  <w:t xml:space="preserve"> </w:t>
                </w:r>
                <w:r>
                  <w:rPr>
                    <w:rFonts w:ascii="Arial"/>
                    <w:b/>
                    <w:i/>
                    <w:color w:val="F3F4F4"/>
                    <w:sz w:val="28"/>
                  </w:rPr>
                  <w:t>e</w:t>
                </w:r>
                <w:r>
                  <w:rPr>
                    <w:rFonts w:ascii="Arial"/>
                    <w:b/>
                    <w:i/>
                    <w:color w:val="F3F4F4"/>
                    <w:spacing w:val="86"/>
                    <w:sz w:val="28"/>
                  </w:rPr>
                  <w:t xml:space="preserve"> </w:t>
                </w:r>
                <w:r>
                  <w:rPr>
                    <w:rFonts w:ascii="Arial"/>
                    <w:b/>
                    <w:i/>
                    <w:color w:val="F3F4F4"/>
                    <w:sz w:val="28"/>
                  </w:rPr>
                  <w:t>m</w:t>
                </w:r>
                <w:r>
                  <w:rPr>
                    <w:rFonts w:ascii="Arial"/>
                    <w:b/>
                    <w:i/>
                    <w:color w:val="F3F4F4"/>
                    <w:spacing w:val="86"/>
                    <w:sz w:val="28"/>
                  </w:rPr>
                  <w:t xml:space="preserve"> </w:t>
                </w:r>
                <w:r>
                  <w:rPr>
                    <w:rFonts w:ascii="Arial"/>
                    <w:b/>
                    <w:i/>
                    <w:color w:val="F3F4F4"/>
                    <w:sz w:val="28"/>
                  </w:rPr>
                  <w:t>e</w:t>
                </w:r>
                <w:r>
                  <w:rPr>
                    <w:rFonts w:ascii="Arial"/>
                    <w:b/>
                    <w:i/>
                    <w:color w:val="F3F4F4"/>
                    <w:spacing w:val="85"/>
                    <w:sz w:val="28"/>
                  </w:rPr>
                  <w:t xml:space="preserve"> </w:t>
                </w:r>
                <w:r>
                  <w:rPr>
                    <w:rFonts w:ascii="Arial"/>
                    <w:b/>
                    <w:i/>
                    <w:color w:val="F3F4F4"/>
                    <w:sz w:val="28"/>
                  </w:rPr>
                  <w:t>n</w:t>
                </w:r>
                <w:r>
                  <w:rPr>
                    <w:rFonts w:ascii="Arial"/>
                    <w:b/>
                    <w:i/>
                    <w:color w:val="F3F4F4"/>
                    <w:spacing w:val="86"/>
                    <w:sz w:val="28"/>
                  </w:rPr>
                  <w:t xml:space="preserve"> </w:t>
                </w:r>
                <w:r>
                  <w:rPr>
                    <w:rFonts w:ascii="Arial"/>
                    <w:b/>
                    <w:i/>
                    <w:color w:val="F3F4F4"/>
                    <w:w w:val="105"/>
                    <w:sz w:val="28"/>
                  </w:rPr>
                  <w:t xml:space="preserve">t  </w:t>
                </w:r>
                <w:r>
                  <w:rPr>
                    <w:rFonts w:ascii="Arial"/>
                    <w:b/>
                    <w:i/>
                    <w:color w:val="F3F4F4"/>
                    <w:sz w:val="28"/>
                  </w:rPr>
                  <w:t>s</w:t>
                </w:r>
              </w:p>
            </w:txbxContent>
          </v:textbox>
          <w10:wrap anchorx="page" anchory="page"/>
        </v:shape>
      </w:pic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5F8011" w14:textId="77777777" w:rsidR="0055291C" w:rsidRDefault="0055291C">
    <w:pPr>
      <w:pStyle w:val="a3"/>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275DA5" w14:textId="77777777" w:rsidR="0055291C" w:rsidRDefault="00000000">
    <w:pPr>
      <w:pStyle w:val="a3"/>
      <w:spacing w:line="14" w:lineRule="auto"/>
      <w:rPr>
        <w:sz w:val="20"/>
      </w:rPr>
    </w:pPr>
    <w:r>
      <w:pict w14:anchorId="5654E8CA">
        <v:shape id="docshape569" o:spid="_x0000_s1264" style="position:absolute;margin-left:0;margin-top:0;width:297pt;height:31.8pt;z-index:-21204480;mso-position-horizontal-relative:page;mso-position-vertical-relative:page" coordsize="5940,636" path="m5940,l,,,635r5713,l5844,632r68,-25l5936,539r4,-131l5940,xe" fillcolor="#7f3f98" stroked="f">
          <v:path arrowok="t"/>
          <w10:wrap anchorx="page" anchory="page"/>
        </v:shape>
      </w:pict>
    </w:r>
    <w:r>
      <w:pict w14:anchorId="12737ED4">
        <v:shapetype id="_x0000_t202" coordsize="21600,21600" o:spt="202" path="m,l,21600r21600,l21600,xe">
          <v:stroke joinstyle="miter"/>
          <v:path gradientshapeok="t" o:connecttype="rect"/>
        </v:shapetype>
        <v:shape id="docshape570" o:spid="_x0000_s1263" type="#_x0000_t202" style="position:absolute;margin-left:55.7pt;margin-top:10.05pt;width:180.55pt;height:17.7pt;z-index:-21203968;mso-position-horizontal-relative:page;mso-position-vertical-relative:page" filled="f" stroked="f">
          <v:textbox style="mso-next-textbox:#docshape570" inset="0,0,0,0">
            <w:txbxContent>
              <w:p w14:paraId="19837253" w14:textId="77777777" w:rsidR="0055291C" w:rsidRDefault="00F23C61">
                <w:pPr>
                  <w:spacing w:before="18"/>
                  <w:ind w:left="20"/>
                  <w:rPr>
                    <w:rFonts w:ascii="Arial"/>
                    <w:b/>
                    <w:i/>
                    <w:sz w:val="28"/>
                  </w:rPr>
                </w:pPr>
                <w:r>
                  <w:rPr>
                    <w:rFonts w:ascii="Arial"/>
                    <w:b/>
                    <w:i/>
                    <w:color w:val="F3F4F4"/>
                    <w:sz w:val="28"/>
                  </w:rPr>
                  <w:t>r</w:t>
                </w:r>
                <w:r>
                  <w:rPr>
                    <w:rFonts w:ascii="Arial"/>
                    <w:b/>
                    <w:i/>
                    <w:color w:val="F3F4F4"/>
                    <w:spacing w:val="79"/>
                    <w:sz w:val="28"/>
                  </w:rPr>
                  <w:t xml:space="preserve"> </w:t>
                </w:r>
                <w:r>
                  <w:rPr>
                    <w:rFonts w:ascii="Arial"/>
                    <w:b/>
                    <w:i/>
                    <w:color w:val="F3F4F4"/>
                    <w:sz w:val="28"/>
                  </w:rPr>
                  <w:t>e</w:t>
                </w:r>
                <w:r>
                  <w:rPr>
                    <w:rFonts w:ascii="Arial"/>
                    <w:b/>
                    <w:i/>
                    <w:color w:val="F3F4F4"/>
                    <w:spacing w:val="86"/>
                    <w:sz w:val="28"/>
                  </w:rPr>
                  <w:t xml:space="preserve"> </w:t>
                </w:r>
                <w:r>
                  <w:rPr>
                    <w:rFonts w:ascii="Arial"/>
                    <w:b/>
                    <w:i/>
                    <w:color w:val="F3F4F4"/>
                    <w:sz w:val="28"/>
                  </w:rPr>
                  <w:t>q</w:t>
                </w:r>
                <w:r>
                  <w:rPr>
                    <w:rFonts w:ascii="Arial"/>
                    <w:b/>
                    <w:i/>
                    <w:color w:val="F3F4F4"/>
                    <w:spacing w:val="86"/>
                    <w:sz w:val="28"/>
                  </w:rPr>
                  <w:t xml:space="preserve"> </w:t>
                </w:r>
                <w:r>
                  <w:rPr>
                    <w:rFonts w:ascii="Arial"/>
                    <w:b/>
                    <w:i/>
                    <w:color w:val="F3F4F4"/>
                    <w:sz w:val="28"/>
                  </w:rPr>
                  <w:t>u</w:t>
                </w:r>
                <w:r>
                  <w:rPr>
                    <w:rFonts w:ascii="Arial"/>
                    <w:b/>
                    <w:i/>
                    <w:color w:val="F3F4F4"/>
                    <w:spacing w:val="86"/>
                    <w:sz w:val="28"/>
                  </w:rPr>
                  <w:t xml:space="preserve"> </w:t>
                </w:r>
                <w:proofErr w:type="spellStart"/>
                <w:r>
                  <w:rPr>
                    <w:rFonts w:ascii="Arial"/>
                    <w:b/>
                    <w:i/>
                    <w:color w:val="F3F4F4"/>
                    <w:sz w:val="28"/>
                  </w:rPr>
                  <w:t>i</w:t>
                </w:r>
                <w:proofErr w:type="spellEnd"/>
                <w:r>
                  <w:rPr>
                    <w:rFonts w:ascii="Arial"/>
                    <w:b/>
                    <w:i/>
                    <w:color w:val="F3F4F4"/>
                    <w:spacing w:val="85"/>
                    <w:sz w:val="28"/>
                  </w:rPr>
                  <w:t xml:space="preserve"> </w:t>
                </w:r>
                <w:r>
                  <w:rPr>
                    <w:rFonts w:ascii="Arial"/>
                    <w:b/>
                    <w:i/>
                    <w:color w:val="F3F4F4"/>
                    <w:sz w:val="28"/>
                  </w:rPr>
                  <w:t>r</w:t>
                </w:r>
                <w:r>
                  <w:rPr>
                    <w:rFonts w:ascii="Arial"/>
                    <w:b/>
                    <w:i/>
                    <w:color w:val="F3F4F4"/>
                    <w:spacing w:val="80"/>
                    <w:sz w:val="28"/>
                  </w:rPr>
                  <w:t xml:space="preserve"> </w:t>
                </w:r>
                <w:r>
                  <w:rPr>
                    <w:rFonts w:ascii="Arial"/>
                    <w:b/>
                    <w:i/>
                    <w:color w:val="F3F4F4"/>
                    <w:sz w:val="28"/>
                  </w:rPr>
                  <w:t>e</w:t>
                </w:r>
                <w:r>
                  <w:rPr>
                    <w:rFonts w:ascii="Arial"/>
                    <w:b/>
                    <w:i/>
                    <w:color w:val="F3F4F4"/>
                    <w:spacing w:val="86"/>
                    <w:sz w:val="28"/>
                  </w:rPr>
                  <w:t xml:space="preserve"> </w:t>
                </w:r>
                <w:r>
                  <w:rPr>
                    <w:rFonts w:ascii="Arial"/>
                    <w:b/>
                    <w:i/>
                    <w:color w:val="F3F4F4"/>
                    <w:sz w:val="28"/>
                  </w:rPr>
                  <w:t>m</w:t>
                </w:r>
                <w:r>
                  <w:rPr>
                    <w:rFonts w:ascii="Arial"/>
                    <w:b/>
                    <w:i/>
                    <w:color w:val="F3F4F4"/>
                    <w:spacing w:val="86"/>
                    <w:sz w:val="28"/>
                  </w:rPr>
                  <w:t xml:space="preserve"> </w:t>
                </w:r>
                <w:r>
                  <w:rPr>
                    <w:rFonts w:ascii="Arial"/>
                    <w:b/>
                    <w:i/>
                    <w:color w:val="F3F4F4"/>
                    <w:sz w:val="28"/>
                  </w:rPr>
                  <w:t>e</w:t>
                </w:r>
                <w:r>
                  <w:rPr>
                    <w:rFonts w:ascii="Arial"/>
                    <w:b/>
                    <w:i/>
                    <w:color w:val="F3F4F4"/>
                    <w:spacing w:val="85"/>
                    <w:sz w:val="28"/>
                  </w:rPr>
                  <w:t xml:space="preserve"> </w:t>
                </w:r>
                <w:r>
                  <w:rPr>
                    <w:rFonts w:ascii="Arial"/>
                    <w:b/>
                    <w:i/>
                    <w:color w:val="F3F4F4"/>
                    <w:sz w:val="28"/>
                  </w:rPr>
                  <w:t>n</w:t>
                </w:r>
                <w:r>
                  <w:rPr>
                    <w:rFonts w:ascii="Arial"/>
                    <w:b/>
                    <w:i/>
                    <w:color w:val="F3F4F4"/>
                    <w:spacing w:val="86"/>
                    <w:sz w:val="28"/>
                  </w:rPr>
                  <w:t xml:space="preserve"> </w:t>
                </w:r>
                <w:r>
                  <w:rPr>
                    <w:rFonts w:ascii="Arial"/>
                    <w:b/>
                    <w:i/>
                    <w:color w:val="F3F4F4"/>
                    <w:w w:val="105"/>
                    <w:sz w:val="28"/>
                  </w:rPr>
                  <w:t xml:space="preserve">t  </w:t>
                </w:r>
                <w:r>
                  <w:rPr>
                    <w:rFonts w:ascii="Arial"/>
                    <w:b/>
                    <w:i/>
                    <w:color w:val="F3F4F4"/>
                    <w:sz w:val="28"/>
                  </w:rPr>
                  <w:t>s</w:t>
                </w:r>
              </w:p>
            </w:txbxContent>
          </v:textbox>
          <w10:wrap anchorx="page" anchory="page"/>
        </v:shape>
      </w:pic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75E38" w14:textId="77777777" w:rsidR="0055291C" w:rsidRDefault="0055291C">
    <w:pPr>
      <w:pStyle w:val="a3"/>
      <w:spacing w:line="14" w:lineRule="auto"/>
      <w:rPr>
        <w:sz w:val="2"/>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2903A" w14:textId="77777777" w:rsidR="0055291C" w:rsidRDefault="00000000">
    <w:pPr>
      <w:pStyle w:val="a3"/>
      <w:spacing w:line="14" w:lineRule="auto"/>
      <w:rPr>
        <w:sz w:val="20"/>
      </w:rPr>
    </w:pPr>
    <w:r>
      <w:pict w14:anchorId="6992B44D">
        <v:shape id="docshape635" o:spid="_x0000_s1258" style="position:absolute;margin-left:0;margin-top:0;width:297pt;height:31.8pt;z-index:-21201408;mso-position-horizontal-relative:page;mso-position-vertical-relative:page" coordsize="5940,636" path="m5940,l,,,635r5713,l5844,632r68,-25l5936,539r4,-131l5940,xe" fillcolor="#00aca1" stroked="f">
          <v:path arrowok="t"/>
          <w10:wrap anchorx="page" anchory="page"/>
        </v:shape>
      </w:pict>
    </w:r>
    <w:r>
      <w:pict w14:anchorId="3C1BDD77">
        <v:shapetype id="_x0000_t202" coordsize="21600,21600" o:spt="202" path="m,l,21600r21600,l21600,xe">
          <v:stroke joinstyle="miter"/>
          <v:path gradientshapeok="t" o:connecttype="rect"/>
        </v:shapetype>
        <v:shape id="docshape636" o:spid="_x0000_s1257" type="#_x0000_t202" style="position:absolute;margin-left:55.7pt;margin-top:10.05pt;width:119.1pt;height:17.7pt;z-index:-21200896;mso-position-horizontal-relative:page;mso-position-vertical-relative:page" filled="f" stroked="f">
          <v:textbox style="mso-next-textbox:#docshape636" inset="0,0,0,0">
            <w:txbxContent>
              <w:p w14:paraId="66474647"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anchory="page"/>
        </v:shape>
      </w:pic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2618E" w14:textId="77777777" w:rsidR="0055291C" w:rsidRDefault="0055291C">
    <w:pPr>
      <w:pStyle w:val="a3"/>
      <w:spacing w:line="14" w:lineRule="auto"/>
      <w:rPr>
        <w:sz w:val="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38447" w14:textId="77777777" w:rsidR="0055291C" w:rsidRDefault="00000000">
    <w:pPr>
      <w:pStyle w:val="a3"/>
      <w:spacing w:line="14" w:lineRule="auto"/>
      <w:rPr>
        <w:sz w:val="20"/>
      </w:rPr>
    </w:pPr>
    <w:r>
      <w:pict w14:anchorId="44A23887">
        <v:shape id="docshape694" o:spid="_x0000_s1252" style="position:absolute;margin-left:0;margin-top:0;width:297pt;height:31.8pt;z-index:-21198336;mso-position-horizontal-relative:page;mso-position-vertical-relative:page" coordsize="5940,636" path="m5940,l,,,635r5713,l5844,632r68,-25l5936,539r4,-131l5940,xe" fillcolor="#00aca1" stroked="f">
          <v:path arrowok="t"/>
          <w10:wrap anchorx="page" anchory="page"/>
        </v:shape>
      </w:pict>
    </w:r>
    <w:r>
      <w:pict w14:anchorId="1E5F7833">
        <v:shapetype id="_x0000_t202" coordsize="21600,21600" o:spt="202" path="m,l,21600r21600,l21600,xe">
          <v:stroke joinstyle="miter"/>
          <v:path gradientshapeok="t" o:connecttype="rect"/>
        </v:shapetype>
        <v:shape id="docshape695" o:spid="_x0000_s1251" type="#_x0000_t202" style="position:absolute;margin-left:55.7pt;margin-top:10.05pt;width:119.1pt;height:17.7pt;z-index:-21197824;mso-position-horizontal-relative:page;mso-position-vertical-relative:page" filled="f" stroked="f">
          <v:textbox style="mso-next-textbox:#docshape695" inset="0,0,0,0">
            <w:txbxContent>
              <w:p w14:paraId="1B14F7A7"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anchory="page"/>
        </v:shape>
      </w:pic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FDB01E" w14:textId="77777777" w:rsidR="0055291C" w:rsidRDefault="0055291C">
    <w:pPr>
      <w:pStyle w:val="a3"/>
      <w:spacing w:line="14" w:lineRule="auto"/>
      <w:rPr>
        <w:sz w:val="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62E8A" w14:textId="77777777" w:rsidR="0055291C" w:rsidRDefault="00000000">
    <w:pPr>
      <w:pStyle w:val="a3"/>
      <w:spacing w:line="14" w:lineRule="auto"/>
      <w:rPr>
        <w:sz w:val="20"/>
      </w:rPr>
    </w:pPr>
    <w:r>
      <w:pict w14:anchorId="2797311B">
        <v:shape id="docshape733" o:spid="_x0000_s1246" style="position:absolute;margin-left:0;margin-top:0;width:297pt;height:31.8pt;z-index:-21195264;mso-position-horizontal-relative:page;mso-position-vertical-relative:page" coordsize="5940,636" path="m5940,l,,,635r5713,l5844,632r68,-25l5936,539r4,-131l5940,xe" fillcolor="#00aca1" stroked="f">
          <v:path arrowok="t"/>
          <w10:wrap anchorx="page" anchory="page"/>
        </v:shape>
      </w:pict>
    </w:r>
    <w:r>
      <w:pict w14:anchorId="6E43A1B6">
        <v:shapetype id="_x0000_t202" coordsize="21600,21600" o:spt="202" path="m,l,21600r21600,l21600,xe">
          <v:stroke joinstyle="miter"/>
          <v:path gradientshapeok="t" o:connecttype="rect"/>
        </v:shapetype>
        <v:shape id="docshape734" o:spid="_x0000_s1245" type="#_x0000_t202" style="position:absolute;margin-left:55.7pt;margin-top:10.05pt;width:119.1pt;height:17.7pt;z-index:-21194752;mso-position-horizontal-relative:page;mso-position-vertical-relative:page" filled="f" stroked="f">
          <v:textbox style="mso-next-textbox:#docshape734" inset="0,0,0,0">
            <w:txbxContent>
              <w:p w14:paraId="187A65C2"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anchory="page"/>
        </v:shape>
      </w:pic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2EC94A" w14:textId="77777777" w:rsidR="0055291C" w:rsidRDefault="0055291C">
    <w:pPr>
      <w:pStyle w:val="a3"/>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62C06" w14:textId="77777777" w:rsidR="0055291C" w:rsidRDefault="0055291C">
    <w:pPr>
      <w:pStyle w:val="a3"/>
      <w:spacing w:line="14" w:lineRule="auto"/>
      <w:rPr>
        <w:sz w:val="2"/>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02133" w14:textId="77777777" w:rsidR="0055291C" w:rsidRDefault="00000000">
    <w:pPr>
      <w:pStyle w:val="a3"/>
      <w:spacing w:line="14" w:lineRule="auto"/>
      <w:rPr>
        <w:sz w:val="20"/>
      </w:rPr>
    </w:pPr>
    <w:r>
      <w:pict w14:anchorId="51C72FE7">
        <v:shape id="docshape764" o:spid="_x0000_s1240" style="position:absolute;margin-left:0;margin-top:0;width:297pt;height:31.8pt;z-index:-21192192;mso-position-horizontal-relative:page;mso-position-vertical-relative:page" coordsize="5940,636" path="m5940,l,,,635r5713,l5844,632r68,-25l5936,539r4,-131l5940,xe" fillcolor="#00aca1" stroked="f">
          <v:path arrowok="t"/>
          <w10:wrap anchorx="page" anchory="page"/>
        </v:shape>
      </w:pict>
    </w:r>
    <w:r>
      <w:pict w14:anchorId="6185976B">
        <v:shapetype id="_x0000_t202" coordsize="21600,21600" o:spt="202" path="m,l,21600r21600,l21600,xe">
          <v:stroke joinstyle="miter"/>
          <v:path gradientshapeok="t" o:connecttype="rect"/>
        </v:shapetype>
        <v:shape id="docshape765" o:spid="_x0000_s1239" type="#_x0000_t202" style="position:absolute;margin-left:55.7pt;margin-top:10.05pt;width:119.1pt;height:17.7pt;z-index:-21191680;mso-position-horizontal-relative:page;mso-position-vertical-relative:page" filled="f" stroked="f">
          <v:textbox style="mso-next-textbox:#docshape765" inset="0,0,0,0">
            <w:txbxContent>
              <w:p w14:paraId="418D1B9F"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anchory="page"/>
        </v:shape>
      </w:pic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1F59D" w14:textId="77777777" w:rsidR="0055291C" w:rsidRDefault="0055291C">
    <w:pPr>
      <w:pStyle w:val="a3"/>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F5EFD" w14:textId="77777777" w:rsidR="0055291C" w:rsidRDefault="0055291C">
    <w:pPr>
      <w:pStyle w:val="a3"/>
      <w:spacing w:line="14" w:lineRule="auto"/>
      <w:rPr>
        <w:sz w:val="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679CF" w14:textId="77777777" w:rsidR="0055291C" w:rsidRDefault="0055291C">
    <w:pPr>
      <w:pStyle w:val="a3"/>
      <w:spacing w:line="14" w:lineRule="auto"/>
      <w:rPr>
        <w:sz w:val="2"/>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549509" w14:textId="77777777" w:rsidR="0055291C" w:rsidRDefault="0055291C">
    <w:pPr>
      <w:pStyle w:val="a3"/>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FB34D" w14:textId="77777777" w:rsidR="0055291C" w:rsidRDefault="0055291C">
    <w:pPr>
      <w:pStyle w:val="a3"/>
      <w:spacing w:line="14" w:lineRule="auto"/>
      <w:rPr>
        <w:sz w:val="2"/>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6C18A" w14:textId="77777777" w:rsidR="0055291C" w:rsidRDefault="00000000">
    <w:pPr>
      <w:pStyle w:val="a3"/>
      <w:spacing w:line="14" w:lineRule="auto"/>
      <w:rPr>
        <w:sz w:val="20"/>
      </w:rPr>
    </w:pPr>
    <w:r>
      <w:pict w14:anchorId="1DACCF59">
        <v:shape id="docshape810" o:spid="_x0000_s1226" style="position:absolute;margin-left:0;margin-top:0;width:297pt;height:31.8pt;z-index:-21185024;mso-position-horizontal-relative:page;mso-position-vertical-relative:page" coordsize="5940,636" path="m5940,l,,,635r5713,l5844,632r68,-25l5936,539r4,-131l5940,xe" fillcolor="#00aca1" stroked="f">
          <v:path arrowok="t"/>
          <w10:wrap anchorx="page" anchory="page"/>
        </v:shape>
      </w:pict>
    </w:r>
    <w:r>
      <w:pict w14:anchorId="099B3E16">
        <v:shapetype id="_x0000_t202" coordsize="21600,21600" o:spt="202" path="m,l,21600r21600,l21600,xe">
          <v:stroke joinstyle="miter"/>
          <v:path gradientshapeok="t" o:connecttype="rect"/>
        </v:shapetype>
        <v:shape id="docshape811" o:spid="_x0000_s1225" type="#_x0000_t202" style="position:absolute;margin-left:55.7pt;margin-top:10.05pt;width:119.1pt;height:17.7pt;z-index:-21184512;mso-position-horizontal-relative:page;mso-position-vertical-relative:page" filled="f" stroked="f">
          <v:textbox style="mso-next-textbox:#docshape811" inset="0,0,0,0">
            <w:txbxContent>
              <w:p w14:paraId="6BAF51A9"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anchory="page"/>
        </v:shape>
      </w:pic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3DA69D" w14:textId="77777777" w:rsidR="0055291C" w:rsidRDefault="0055291C">
    <w:pPr>
      <w:pStyle w:val="a3"/>
      <w:spacing w:line="14" w:lineRule="auto"/>
      <w:rPr>
        <w:sz w:val="2"/>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6A94CB" w14:textId="77777777" w:rsidR="0055291C" w:rsidRDefault="00000000">
    <w:pPr>
      <w:pStyle w:val="a3"/>
      <w:spacing w:line="14" w:lineRule="auto"/>
      <w:rPr>
        <w:sz w:val="20"/>
      </w:rPr>
    </w:pPr>
    <w:r>
      <w:pict w14:anchorId="23A997AD">
        <v:shape id="docshape817" o:spid="_x0000_s1224" style="position:absolute;margin-left:0;margin-top:0;width:297pt;height:31.8pt;z-index:-21184000;mso-position-horizontal-relative:page;mso-position-vertical-relative:page" coordsize="5940,636" path="m5940,l,,,635r5713,l5844,632r68,-25l5936,539r4,-131l5940,xe" fillcolor="#00aca1" stroked="f">
          <v:path arrowok="t"/>
          <w10:wrap anchorx="page" anchory="page"/>
        </v:shape>
      </w:pict>
    </w:r>
    <w:r>
      <w:pict w14:anchorId="3C2C9ED7">
        <v:shapetype id="_x0000_t202" coordsize="21600,21600" o:spt="202" path="m,l,21600r21600,l21600,xe">
          <v:stroke joinstyle="miter"/>
          <v:path gradientshapeok="t" o:connecttype="rect"/>
        </v:shapetype>
        <v:shape id="docshape818" o:spid="_x0000_s1223" type="#_x0000_t202" style="position:absolute;margin-left:55.7pt;margin-top:10.05pt;width:119.1pt;height:17.7pt;z-index:-21183488;mso-position-horizontal-relative:page;mso-position-vertical-relative:page" filled="f" stroked="f">
          <v:textbox style="mso-next-textbox:#docshape818" inset="0,0,0,0">
            <w:txbxContent>
              <w:p w14:paraId="133CFAAD"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anchory="page"/>
        </v:shape>
      </w:pic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5C934F" w14:textId="77777777" w:rsidR="0055291C" w:rsidRDefault="0055291C">
    <w:pPr>
      <w:pStyle w:val="a3"/>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D8EE7C" w14:textId="77777777" w:rsidR="0055291C" w:rsidRDefault="0055291C">
    <w:pPr>
      <w:pStyle w:val="a3"/>
      <w:spacing w:line="14" w:lineRule="auto"/>
      <w:rPr>
        <w:sz w:val="2"/>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6B46A" w14:textId="77777777" w:rsidR="0055291C" w:rsidRDefault="00000000">
    <w:pPr>
      <w:pStyle w:val="a3"/>
      <w:spacing w:line="14" w:lineRule="auto"/>
      <w:rPr>
        <w:sz w:val="20"/>
      </w:rPr>
    </w:pPr>
    <w:r>
      <w:pict w14:anchorId="2FDCF680">
        <v:shape id="docshape830" o:spid="_x0000_s1218" style="position:absolute;margin-left:0;margin-top:0;width:297pt;height:31.8pt;z-index:-21180928;mso-position-horizontal-relative:page;mso-position-vertical-relative:page" coordsize="5940,636" path="m5940,l,,,635r5713,l5844,632r68,-25l5936,539r4,-131l5940,xe" fillcolor="#00aca1" stroked="f">
          <v:path arrowok="t"/>
          <w10:wrap anchorx="page" anchory="page"/>
        </v:shape>
      </w:pict>
    </w:r>
    <w:r>
      <w:pict w14:anchorId="4AE94C90">
        <v:shapetype id="_x0000_t202" coordsize="21600,21600" o:spt="202" path="m,l,21600r21600,l21600,xe">
          <v:stroke joinstyle="miter"/>
          <v:path gradientshapeok="t" o:connecttype="rect"/>
        </v:shapetype>
        <v:shape id="docshape831" o:spid="_x0000_s1217" type="#_x0000_t202" style="position:absolute;margin-left:55.7pt;margin-top:10.05pt;width:119.1pt;height:17.7pt;z-index:-21180416;mso-position-horizontal-relative:page;mso-position-vertical-relative:page" filled="f" stroked="f">
          <v:textbox style="mso-next-textbox:#docshape831" inset="0,0,0,0">
            <w:txbxContent>
              <w:p w14:paraId="0D444259"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anchory="page"/>
        </v:shape>
      </w:pic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91F2F5" w14:textId="77777777" w:rsidR="0055291C" w:rsidRDefault="0055291C">
    <w:pPr>
      <w:pStyle w:val="a3"/>
      <w:spacing w:line="14" w:lineRule="auto"/>
      <w:rPr>
        <w:sz w:val="2"/>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ED9CEE" w14:textId="77777777" w:rsidR="0055291C" w:rsidRDefault="00000000">
    <w:pPr>
      <w:pStyle w:val="a3"/>
      <w:spacing w:line="14" w:lineRule="auto"/>
      <w:rPr>
        <w:sz w:val="20"/>
      </w:rPr>
    </w:pPr>
    <w:r>
      <w:pict w14:anchorId="6996199F">
        <v:shape id="docshape885" o:spid="_x0000_s1212" style="position:absolute;margin-left:0;margin-top:0;width:297pt;height:31.8pt;z-index:-21177856;mso-position-horizontal-relative:page;mso-position-vertical-relative:page" coordsize="5940,636" path="m5940,l,,,635r5713,l5844,632r68,-25l5936,539r4,-131l5940,xe" fillcolor="#00aca1" stroked="f">
          <v:path arrowok="t"/>
          <w10:wrap anchorx="page" anchory="page"/>
        </v:shape>
      </w:pict>
    </w:r>
    <w:r>
      <w:pict w14:anchorId="3E61D1D0">
        <v:shapetype id="_x0000_t202" coordsize="21600,21600" o:spt="202" path="m,l,21600r21600,l21600,xe">
          <v:stroke joinstyle="miter"/>
          <v:path gradientshapeok="t" o:connecttype="rect"/>
        </v:shapetype>
        <v:shape id="docshape886" o:spid="_x0000_s1211" type="#_x0000_t202" style="position:absolute;margin-left:55.7pt;margin-top:10.05pt;width:119.1pt;height:17.7pt;z-index:-21177344;mso-position-horizontal-relative:page;mso-position-vertical-relative:page" filled="f" stroked="f">
          <v:textbox style="mso-next-textbox:#docshape886" inset="0,0,0,0">
            <w:txbxContent>
              <w:p w14:paraId="6DEF2E64"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anchory="page"/>
        </v:shape>
      </w:pic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96737A" w14:textId="77777777" w:rsidR="0055291C" w:rsidRDefault="00000000">
    <w:pPr>
      <w:pStyle w:val="a3"/>
      <w:spacing w:line="14" w:lineRule="auto"/>
      <w:rPr>
        <w:sz w:val="2"/>
      </w:rPr>
    </w:pPr>
    <w:r>
      <w:pict w14:anchorId="49BAE55D">
        <v:shapetype id="_x0000_t202" coordsize="21600,21600" o:spt="202" path="m,l,21600r21600,l21600,xe">
          <v:stroke joinstyle="miter"/>
          <v:path gradientshapeok="t" o:connecttype="rect"/>
        </v:shapetype>
        <v:shape id="docshape887" o:spid="_x0000_s1210" type="#_x0000_t202" style="position:absolute;margin-left:304.45pt;margin-top:46.85pt;width:252.4pt;height:12.65pt;z-index:-21176832;mso-position-horizontal-relative:page;mso-position-vertical-relative:page" filled="f" stroked="f">
          <v:textbox style="mso-next-textbox:#docshape887" inset="0,0,0,0">
            <w:txbxContent>
              <w:p w14:paraId="52BCE56E" w14:textId="77777777" w:rsidR="0055291C" w:rsidRDefault="00F23C61">
                <w:pPr>
                  <w:spacing w:before="19"/>
                  <w:ind w:left="20"/>
                  <w:rPr>
                    <w:rFonts w:ascii="Arial"/>
                    <w:i/>
                    <w:sz w:val="19"/>
                  </w:rPr>
                </w:pPr>
                <w:r>
                  <w:rPr>
                    <w:rFonts w:ascii="Arial"/>
                    <w:b/>
                    <w:i/>
                    <w:color w:val="7F3F98"/>
                    <w:sz w:val="19"/>
                  </w:rPr>
                  <w:t>CHAPTER</w:t>
                </w:r>
                <w:r>
                  <w:rPr>
                    <w:rFonts w:ascii="Arial"/>
                    <w:b/>
                    <w:i/>
                    <w:color w:val="7F3F98"/>
                    <w:spacing w:val="10"/>
                    <w:sz w:val="19"/>
                  </w:rPr>
                  <w:t xml:space="preserve"> </w:t>
                </w:r>
                <w:r>
                  <w:rPr>
                    <w:rFonts w:ascii="Arial"/>
                    <w:b/>
                    <w:i/>
                    <w:color w:val="7F3F98"/>
                    <w:sz w:val="19"/>
                  </w:rPr>
                  <w:t>08</w:t>
                </w:r>
                <w:r>
                  <w:rPr>
                    <w:rFonts w:ascii="Arial"/>
                    <w:b/>
                    <w:i/>
                    <w:color w:val="7F3F98"/>
                    <w:spacing w:val="10"/>
                    <w:sz w:val="19"/>
                  </w:rPr>
                  <w:t xml:space="preserve"> </w:t>
                </w:r>
                <w:r>
                  <w:rPr>
                    <w:rFonts w:ascii="Arial"/>
                    <w:i/>
                    <w:color w:val="545456"/>
                    <w:sz w:val="19"/>
                  </w:rPr>
                  <w:t>Collecting</w:t>
                </w:r>
                <w:r>
                  <w:rPr>
                    <w:rFonts w:ascii="Arial"/>
                    <w:i/>
                    <w:color w:val="545456"/>
                    <w:spacing w:val="7"/>
                    <w:sz w:val="19"/>
                  </w:rPr>
                  <w:t xml:space="preserve"> </w:t>
                </w:r>
                <w:r>
                  <w:rPr>
                    <w:rFonts w:ascii="Arial"/>
                    <w:i/>
                    <w:color w:val="545456"/>
                    <w:sz w:val="19"/>
                  </w:rPr>
                  <w:t>Data</w:t>
                </w:r>
                <w:r>
                  <w:rPr>
                    <w:rFonts w:ascii="Arial"/>
                    <w:i/>
                    <w:color w:val="545456"/>
                    <w:spacing w:val="8"/>
                    <w:sz w:val="19"/>
                  </w:rPr>
                  <w:t xml:space="preserve"> </w:t>
                </w:r>
                <w:r>
                  <w:rPr>
                    <w:rFonts w:ascii="Arial"/>
                    <w:i/>
                    <w:color w:val="545456"/>
                    <w:sz w:val="19"/>
                  </w:rPr>
                  <w:t>and</w:t>
                </w:r>
                <w:r>
                  <w:rPr>
                    <w:rFonts w:ascii="Arial"/>
                    <w:i/>
                    <w:color w:val="545456"/>
                    <w:spacing w:val="8"/>
                    <w:sz w:val="19"/>
                  </w:rPr>
                  <w:t xml:space="preserve"> </w:t>
                </w:r>
                <w:r>
                  <w:rPr>
                    <w:rFonts w:ascii="Arial"/>
                    <w:i/>
                    <w:color w:val="545456"/>
                    <w:sz w:val="19"/>
                  </w:rPr>
                  <w:t>Assessing</w:t>
                </w:r>
                <w:r>
                  <w:rPr>
                    <w:rFonts w:ascii="Arial"/>
                    <w:i/>
                    <w:color w:val="545456"/>
                    <w:spacing w:val="8"/>
                    <w:sz w:val="19"/>
                  </w:rPr>
                  <w:t xml:space="preserve"> </w:t>
                </w:r>
                <w:r>
                  <w:rPr>
                    <w:rFonts w:ascii="Arial"/>
                    <w:i/>
                    <w:color w:val="545456"/>
                    <w:sz w:val="19"/>
                  </w:rPr>
                  <w:t>Data</w:t>
                </w:r>
                <w:r>
                  <w:rPr>
                    <w:rFonts w:ascii="Arial"/>
                    <w:i/>
                    <w:color w:val="545456"/>
                    <w:spacing w:val="7"/>
                    <w:sz w:val="19"/>
                  </w:rPr>
                  <w:t xml:space="preserve"> </w:t>
                </w:r>
                <w:r>
                  <w:rPr>
                    <w:rFonts w:ascii="Arial"/>
                    <w:i/>
                    <w:color w:val="545456"/>
                    <w:sz w:val="19"/>
                  </w:rPr>
                  <w:t>Quality</w:t>
                </w:r>
              </w:p>
            </w:txbxContent>
          </v:textbox>
          <w10:wrap anchorx="page" anchory="page"/>
        </v:shape>
      </w:pic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71DA68" w14:textId="77777777" w:rsidR="0055291C" w:rsidRDefault="0055291C">
    <w:pPr>
      <w:pStyle w:val="a3"/>
      <w:spacing w:line="14" w:lineRule="auto"/>
      <w:rPr>
        <w:sz w:val="2"/>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BDFD7" w14:textId="77777777" w:rsidR="0055291C" w:rsidRDefault="0055291C">
    <w:pPr>
      <w:pStyle w:val="a3"/>
      <w:spacing w:line="14" w:lineRule="auto"/>
      <w:rPr>
        <w:sz w:val="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D60FB" w14:textId="77777777" w:rsidR="0055291C" w:rsidRDefault="00000000">
    <w:pPr>
      <w:pStyle w:val="a3"/>
      <w:spacing w:line="14" w:lineRule="auto"/>
      <w:rPr>
        <w:sz w:val="20"/>
      </w:rPr>
    </w:pPr>
    <w:r>
      <w:pict w14:anchorId="38CEEE61">
        <v:shape id="docshape948" o:spid="_x0000_s1202" style="position:absolute;margin-left:0;margin-top:0;width:297pt;height:31.8pt;z-index:-21172736;mso-position-horizontal-relative:page;mso-position-vertical-relative:page" coordsize="5940,636" path="m5940,l,,,635r5713,l5844,632r68,-25l5936,539r4,-131l5940,xe" fillcolor="#7f3f98" stroked="f">
          <v:path arrowok="t"/>
          <w10:wrap anchorx="page" anchory="page"/>
        </v:shape>
      </w:pict>
    </w:r>
    <w:r>
      <w:pict w14:anchorId="759BDE3F">
        <v:shapetype id="_x0000_t202" coordsize="21600,21600" o:spt="202" path="m,l,21600r21600,l21600,xe">
          <v:stroke joinstyle="miter"/>
          <v:path gradientshapeok="t" o:connecttype="rect"/>
        </v:shapetype>
        <v:shape id="docshape949" o:spid="_x0000_s1201" type="#_x0000_t202" style="position:absolute;margin-left:55.7pt;margin-top:10.05pt;width:180.55pt;height:17.7pt;z-index:-21172224;mso-position-horizontal-relative:page;mso-position-vertical-relative:page" filled="f" stroked="f">
          <v:textbox style="mso-next-textbox:#docshape949" inset="0,0,0,0">
            <w:txbxContent>
              <w:p w14:paraId="75D68DE8" w14:textId="77777777" w:rsidR="0055291C" w:rsidRDefault="00F23C61">
                <w:pPr>
                  <w:spacing w:before="18"/>
                  <w:ind w:left="20"/>
                  <w:rPr>
                    <w:rFonts w:ascii="Arial"/>
                    <w:b/>
                    <w:i/>
                    <w:sz w:val="28"/>
                  </w:rPr>
                </w:pPr>
                <w:r>
                  <w:rPr>
                    <w:rFonts w:ascii="Arial"/>
                    <w:b/>
                    <w:i/>
                    <w:color w:val="F3F4F4"/>
                    <w:sz w:val="28"/>
                  </w:rPr>
                  <w:t>r</w:t>
                </w:r>
                <w:r>
                  <w:rPr>
                    <w:rFonts w:ascii="Arial"/>
                    <w:b/>
                    <w:i/>
                    <w:color w:val="F3F4F4"/>
                    <w:spacing w:val="79"/>
                    <w:sz w:val="28"/>
                  </w:rPr>
                  <w:t xml:space="preserve"> </w:t>
                </w:r>
                <w:r>
                  <w:rPr>
                    <w:rFonts w:ascii="Arial"/>
                    <w:b/>
                    <w:i/>
                    <w:color w:val="F3F4F4"/>
                    <w:sz w:val="28"/>
                  </w:rPr>
                  <w:t>e</w:t>
                </w:r>
                <w:r>
                  <w:rPr>
                    <w:rFonts w:ascii="Arial"/>
                    <w:b/>
                    <w:i/>
                    <w:color w:val="F3F4F4"/>
                    <w:spacing w:val="86"/>
                    <w:sz w:val="28"/>
                  </w:rPr>
                  <w:t xml:space="preserve"> </w:t>
                </w:r>
                <w:r>
                  <w:rPr>
                    <w:rFonts w:ascii="Arial"/>
                    <w:b/>
                    <w:i/>
                    <w:color w:val="F3F4F4"/>
                    <w:sz w:val="28"/>
                  </w:rPr>
                  <w:t>q</w:t>
                </w:r>
                <w:r>
                  <w:rPr>
                    <w:rFonts w:ascii="Arial"/>
                    <w:b/>
                    <w:i/>
                    <w:color w:val="F3F4F4"/>
                    <w:spacing w:val="86"/>
                    <w:sz w:val="28"/>
                  </w:rPr>
                  <w:t xml:space="preserve"> </w:t>
                </w:r>
                <w:r>
                  <w:rPr>
                    <w:rFonts w:ascii="Arial"/>
                    <w:b/>
                    <w:i/>
                    <w:color w:val="F3F4F4"/>
                    <w:sz w:val="28"/>
                  </w:rPr>
                  <w:t>u</w:t>
                </w:r>
                <w:r>
                  <w:rPr>
                    <w:rFonts w:ascii="Arial"/>
                    <w:b/>
                    <w:i/>
                    <w:color w:val="F3F4F4"/>
                    <w:spacing w:val="86"/>
                    <w:sz w:val="28"/>
                  </w:rPr>
                  <w:t xml:space="preserve"> </w:t>
                </w:r>
                <w:proofErr w:type="spellStart"/>
                <w:r>
                  <w:rPr>
                    <w:rFonts w:ascii="Arial"/>
                    <w:b/>
                    <w:i/>
                    <w:color w:val="F3F4F4"/>
                    <w:sz w:val="28"/>
                  </w:rPr>
                  <w:t>i</w:t>
                </w:r>
                <w:proofErr w:type="spellEnd"/>
                <w:r>
                  <w:rPr>
                    <w:rFonts w:ascii="Arial"/>
                    <w:b/>
                    <w:i/>
                    <w:color w:val="F3F4F4"/>
                    <w:spacing w:val="85"/>
                    <w:sz w:val="28"/>
                  </w:rPr>
                  <w:t xml:space="preserve"> </w:t>
                </w:r>
                <w:r>
                  <w:rPr>
                    <w:rFonts w:ascii="Arial"/>
                    <w:b/>
                    <w:i/>
                    <w:color w:val="F3F4F4"/>
                    <w:sz w:val="28"/>
                  </w:rPr>
                  <w:t>r</w:t>
                </w:r>
                <w:r>
                  <w:rPr>
                    <w:rFonts w:ascii="Arial"/>
                    <w:b/>
                    <w:i/>
                    <w:color w:val="F3F4F4"/>
                    <w:spacing w:val="80"/>
                    <w:sz w:val="28"/>
                  </w:rPr>
                  <w:t xml:space="preserve"> </w:t>
                </w:r>
                <w:r>
                  <w:rPr>
                    <w:rFonts w:ascii="Arial"/>
                    <w:b/>
                    <w:i/>
                    <w:color w:val="F3F4F4"/>
                    <w:sz w:val="28"/>
                  </w:rPr>
                  <w:t>e</w:t>
                </w:r>
                <w:r>
                  <w:rPr>
                    <w:rFonts w:ascii="Arial"/>
                    <w:b/>
                    <w:i/>
                    <w:color w:val="F3F4F4"/>
                    <w:spacing w:val="86"/>
                    <w:sz w:val="28"/>
                  </w:rPr>
                  <w:t xml:space="preserve"> </w:t>
                </w:r>
                <w:r>
                  <w:rPr>
                    <w:rFonts w:ascii="Arial"/>
                    <w:b/>
                    <w:i/>
                    <w:color w:val="F3F4F4"/>
                    <w:sz w:val="28"/>
                  </w:rPr>
                  <w:t>m</w:t>
                </w:r>
                <w:r>
                  <w:rPr>
                    <w:rFonts w:ascii="Arial"/>
                    <w:b/>
                    <w:i/>
                    <w:color w:val="F3F4F4"/>
                    <w:spacing w:val="86"/>
                    <w:sz w:val="28"/>
                  </w:rPr>
                  <w:t xml:space="preserve"> </w:t>
                </w:r>
                <w:r>
                  <w:rPr>
                    <w:rFonts w:ascii="Arial"/>
                    <w:b/>
                    <w:i/>
                    <w:color w:val="F3F4F4"/>
                    <w:sz w:val="28"/>
                  </w:rPr>
                  <w:t>e</w:t>
                </w:r>
                <w:r>
                  <w:rPr>
                    <w:rFonts w:ascii="Arial"/>
                    <w:b/>
                    <w:i/>
                    <w:color w:val="F3F4F4"/>
                    <w:spacing w:val="85"/>
                    <w:sz w:val="28"/>
                  </w:rPr>
                  <w:t xml:space="preserve"> </w:t>
                </w:r>
                <w:r>
                  <w:rPr>
                    <w:rFonts w:ascii="Arial"/>
                    <w:b/>
                    <w:i/>
                    <w:color w:val="F3F4F4"/>
                    <w:sz w:val="28"/>
                  </w:rPr>
                  <w:t>n</w:t>
                </w:r>
                <w:r>
                  <w:rPr>
                    <w:rFonts w:ascii="Arial"/>
                    <w:b/>
                    <w:i/>
                    <w:color w:val="F3F4F4"/>
                    <w:spacing w:val="86"/>
                    <w:sz w:val="28"/>
                  </w:rPr>
                  <w:t xml:space="preserve"> </w:t>
                </w:r>
                <w:r>
                  <w:rPr>
                    <w:rFonts w:ascii="Arial"/>
                    <w:b/>
                    <w:i/>
                    <w:color w:val="F3F4F4"/>
                    <w:w w:val="105"/>
                    <w:sz w:val="28"/>
                  </w:rPr>
                  <w:t xml:space="preserve">t  </w:t>
                </w:r>
                <w:r>
                  <w:rPr>
                    <w:rFonts w:ascii="Arial"/>
                    <w:b/>
                    <w:i/>
                    <w:color w:val="F3F4F4"/>
                    <w:sz w:val="28"/>
                  </w:rPr>
                  <w:t>s</w:t>
                </w:r>
              </w:p>
            </w:txbxContent>
          </v:textbox>
          <w10:wrap anchorx="page" anchory="page"/>
        </v:shape>
      </w:pic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54C79" w14:textId="77777777" w:rsidR="0055291C" w:rsidRDefault="0055291C">
    <w:pPr>
      <w:pStyle w:val="a3"/>
      <w:spacing w:line="14" w:lineRule="auto"/>
      <w:rPr>
        <w:sz w:val="2"/>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3E8233" w14:textId="77777777" w:rsidR="0055291C" w:rsidRDefault="00000000">
    <w:pPr>
      <w:pStyle w:val="a3"/>
      <w:spacing w:line="14" w:lineRule="auto"/>
      <w:rPr>
        <w:sz w:val="20"/>
      </w:rPr>
    </w:pPr>
    <w:r>
      <w:pict w14:anchorId="77A9FD03">
        <v:shape id="docshape1016" o:spid="_x0000_s1200" style="position:absolute;margin-left:0;margin-top:0;width:297pt;height:31.8pt;z-index:-21171712;mso-position-horizontal-relative:page;mso-position-vertical-relative:page" coordsize="5940,636" path="m5940,l,,,635r5713,l5844,632r68,-25l5936,539r4,-131l5940,xe" fillcolor="#7f3f98" stroked="f">
          <v:path arrowok="t"/>
          <w10:wrap anchorx="page" anchory="page"/>
        </v:shape>
      </w:pict>
    </w:r>
    <w:r>
      <w:pict w14:anchorId="4F5C4C1B">
        <v:shapetype id="_x0000_t202" coordsize="21600,21600" o:spt="202" path="m,l,21600r21600,l21600,xe">
          <v:stroke joinstyle="miter"/>
          <v:path gradientshapeok="t" o:connecttype="rect"/>
        </v:shapetype>
        <v:shape id="docshape1017" o:spid="_x0000_s1199" type="#_x0000_t202" style="position:absolute;margin-left:55.7pt;margin-top:10.05pt;width:180.55pt;height:17.7pt;z-index:-21171200;mso-position-horizontal-relative:page;mso-position-vertical-relative:page" filled="f" stroked="f">
          <v:textbox style="mso-next-textbox:#docshape1017" inset="0,0,0,0">
            <w:txbxContent>
              <w:p w14:paraId="31DD0742" w14:textId="77777777" w:rsidR="0055291C" w:rsidRDefault="00F23C61">
                <w:pPr>
                  <w:spacing w:before="18"/>
                  <w:ind w:left="20"/>
                  <w:rPr>
                    <w:rFonts w:ascii="Arial"/>
                    <w:b/>
                    <w:i/>
                    <w:sz w:val="28"/>
                  </w:rPr>
                </w:pPr>
                <w:r>
                  <w:rPr>
                    <w:rFonts w:ascii="Arial"/>
                    <w:b/>
                    <w:i/>
                    <w:color w:val="F3F4F4"/>
                    <w:sz w:val="28"/>
                  </w:rPr>
                  <w:t>r</w:t>
                </w:r>
                <w:r>
                  <w:rPr>
                    <w:rFonts w:ascii="Arial"/>
                    <w:b/>
                    <w:i/>
                    <w:color w:val="F3F4F4"/>
                    <w:spacing w:val="79"/>
                    <w:sz w:val="28"/>
                  </w:rPr>
                  <w:t xml:space="preserve"> </w:t>
                </w:r>
                <w:r>
                  <w:rPr>
                    <w:rFonts w:ascii="Arial"/>
                    <w:b/>
                    <w:i/>
                    <w:color w:val="F3F4F4"/>
                    <w:sz w:val="28"/>
                  </w:rPr>
                  <w:t>e</w:t>
                </w:r>
                <w:r>
                  <w:rPr>
                    <w:rFonts w:ascii="Arial"/>
                    <w:b/>
                    <w:i/>
                    <w:color w:val="F3F4F4"/>
                    <w:spacing w:val="86"/>
                    <w:sz w:val="28"/>
                  </w:rPr>
                  <w:t xml:space="preserve"> </w:t>
                </w:r>
                <w:r>
                  <w:rPr>
                    <w:rFonts w:ascii="Arial"/>
                    <w:b/>
                    <w:i/>
                    <w:color w:val="F3F4F4"/>
                    <w:sz w:val="28"/>
                  </w:rPr>
                  <w:t>q</w:t>
                </w:r>
                <w:r>
                  <w:rPr>
                    <w:rFonts w:ascii="Arial"/>
                    <w:b/>
                    <w:i/>
                    <w:color w:val="F3F4F4"/>
                    <w:spacing w:val="86"/>
                    <w:sz w:val="28"/>
                  </w:rPr>
                  <w:t xml:space="preserve"> </w:t>
                </w:r>
                <w:r>
                  <w:rPr>
                    <w:rFonts w:ascii="Arial"/>
                    <w:b/>
                    <w:i/>
                    <w:color w:val="F3F4F4"/>
                    <w:sz w:val="28"/>
                  </w:rPr>
                  <w:t>u</w:t>
                </w:r>
                <w:r>
                  <w:rPr>
                    <w:rFonts w:ascii="Arial"/>
                    <w:b/>
                    <w:i/>
                    <w:color w:val="F3F4F4"/>
                    <w:spacing w:val="86"/>
                    <w:sz w:val="28"/>
                  </w:rPr>
                  <w:t xml:space="preserve"> </w:t>
                </w:r>
                <w:proofErr w:type="spellStart"/>
                <w:r>
                  <w:rPr>
                    <w:rFonts w:ascii="Arial"/>
                    <w:b/>
                    <w:i/>
                    <w:color w:val="F3F4F4"/>
                    <w:sz w:val="28"/>
                  </w:rPr>
                  <w:t>i</w:t>
                </w:r>
                <w:proofErr w:type="spellEnd"/>
                <w:r>
                  <w:rPr>
                    <w:rFonts w:ascii="Arial"/>
                    <w:b/>
                    <w:i/>
                    <w:color w:val="F3F4F4"/>
                    <w:spacing w:val="85"/>
                    <w:sz w:val="28"/>
                  </w:rPr>
                  <w:t xml:space="preserve"> </w:t>
                </w:r>
                <w:r>
                  <w:rPr>
                    <w:rFonts w:ascii="Arial"/>
                    <w:b/>
                    <w:i/>
                    <w:color w:val="F3F4F4"/>
                    <w:sz w:val="28"/>
                  </w:rPr>
                  <w:t>r</w:t>
                </w:r>
                <w:r>
                  <w:rPr>
                    <w:rFonts w:ascii="Arial"/>
                    <w:b/>
                    <w:i/>
                    <w:color w:val="F3F4F4"/>
                    <w:spacing w:val="80"/>
                    <w:sz w:val="28"/>
                  </w:rPr>
                  <w:t xml:space="preserve"> </w:t>
                </w:r>
                <w:r>
                  <w:rPr>
                    <w:rFonts w:ascii="Arial"/>
                    <w:b/>
                    <w:i/>
                    <w:color w:val="F3F4F4"/>
                    <w:sz w:val="28"/>
                  </w:rPr>
                  <w:t>e</w:t>
                </w:r>
                <w:r>
                  <w:rPr>
                    <w:rFonts w:ascii="Arial"/>
                    <w:b/>
                    <w:i/>
                    <w:color w:val="F3F4F4"/>
                    <w:spacing w:val="86"/>
                    <w:sz w:val="28"/>
                  </w:rPr>
                  <w:t xml:space="preserve"> </w:t>
                </w:r>
                <w:r>
                  <w:rPr>
                    <w:rFonts w:ascii="Arial"/>
                    <w:b/>
                    <w:i/>
                    <w:color w:val="F3F4F4"/>
                    <w:sz w:val="28"/>
                  </w:rPr>
                  <w:t>m</w:t>
                </w:r>
                <w:r>
                  <w:rPr>
                    <w:rFonts w:ascii="Arial"/>
                    <w:b/>
                    <w:i/>
                    <w:color w:val="F3F4F4"/>
                    <w:spacing w:val="86"/>
                    <w:sz w:val="28"/>
                  </w:rPr>
                  <w:t xml:space="preserve"> </w:t>
                </w:r>
                <w:r>
                  <w:rPr>
                    <w:rFonts w:ascii="Arial"/>
                    <w:b/>
                    <w:i/>
                    <w:color w:val="F3F4F4"/>
                    <w:sz w:val="28"/>
                  </w:rPr>
                  <w:t>e</w:t>
                </w:r>
                <w:r>
                  <w:rPr>
                    <w:rFonts w:ascii="Arial"/>
                    <w:b/>
                    <w:i/>
                    <w:color w:val="F3F4F4"/>
                    <w:spacing w:val="85"/>
                    <w:sz w:val="28"/>
                  </w:rPr>
                  <w:t xml:space="preserve"> </w:t>
                </w:r>
                <w:r>
                  <w:rPr>
                    <w:rFonts w:ascii="Arial"/>
                    <w:b/>
                    <w:i/>
                    <w:color w:val="F3F4F4"/>
                    <w:sz w:val="28"/>
                  </w:rPr>
                  <w:t>n</w:t>
                </w:r>
                <w:r>
                  <w:rPr>
                    <w:rFonts w:ascii="Arial"/>
                    <w:b/>
                    <w:i/>
                    <w:color w:val="F3F4F4"/>
                    <w:spacing w:val="86"/>
                    <w:sz w:val="28"/>
                  </w:rPr>
                  <w:t xml:space="preserve"> </w:t>
                </w:r>
                <w:r>
                  <w:rPr>
                    <w:rFonts w:ascii="Arial"/>
                    <w:b/>
                    <w:i/>
                    <w:color w:val="F3F4F4"/>
                    <w:w w:val="105"/>
                    <w:sz w:val="28"/>
                  </w:rPr>
                  <w:t xml:space="preserve">t  </w:t>
                </w:r>
                <w:r>
                  <w:rPr>
                    <w:rFonts w:ascii="Arial"/>
                    <w:b/>
                    <w:i/>
                    <w:color w:val="F3F4F4"/>
                    <w:sz w:val="28"/>
                  </w:rPr>
                  <w:t>s</w:t>
                </w:r>
              </w:p>
            </w:txbxContent>
          </v:textbox>
          <w10:wrap anchorx="page" anchory="page"/>
        </v:shape>
      </w:pic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BDD4C" w14:textId="77777777" w:rsidR="0055291C" w:rsidRDefault="0055291C">
    <w:pPr>
      <w:pStyle w:val="a3"/>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C61748" w14:textId="77777777" w:rsidR="0055291C" w:rsidRDefault="0055291C">
    <w:pPr>
      <w:pStyle w:val="a3"/>
      <w:spacing w:line="14" w:lineRule="auto"/>
      <w:rPr>
        <w:sz w:val="2"/>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F0EC23" w14:textId="77777777" w:rsidR="0055291C" w:rsidRDefault="00000000">
    <w:pPr>
      <w:pStyle w:val="a3"/>
      <w:spacing w:line="14" w:lineRule="auto"/>
      <w:rPr>
        <w:sz w:val="20"/>
      </w:rPr>
    </w:pPr>
    <w:r>
      <w:pict w14:anchorId="36546D6E">
        <v:shape id="docshape1027" o:spid="_x0000_s1195" style="position:absolute;margin-left:0;margin-top:0;width:297pt;height:31.8pt;z-index:-21169152;mso-position-horizontal-relative:page;mso-position-vertical-relative:page" coordsize="5940,636" path="m5940,l,,,635r5713,l5844,632r68,-25l5936,539r4,-131l5940,xe" fillcolor="#00aca1" stroked="f">
          <v:path arrowok="t"/>
          <w10:wrap anchorx="page" anchory="page"/>
        </v:shape>
      </w:pict>
    </w:r>
    <w:r>
      <w:pict w14:anchorId="5FF6DE04">
        <v:shapetype id="_x0000_t202" coordsize="21600,21600" o:spt="202" path="m,l,21600r21600,l21600,xe">
          <v:stroke joinstyle="miter"/>
          <v:path gradientshapeok="t" o:connecttype="rect"/>
        </v:shapetype>
        <v:shape id="docshape1028" o:spid="_x0000_s1194" type="#_x0000_t202" style="position:absolute;margin-left:55.7pt;margin-top:10.05pt;width:119.1pt;height:17.7pt;z-index:-21168640;mso-position-horizontal-relative:page;mso-position-vertical-relative:page" filled="f" stroked="f">
          <v:textbox style="mso-next-textbox:#docshape1028" inset="0,0,0,0">
            <w:txbxContent>
              <w:p w14:paraId="698391A8"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anchory="page"/>
        </v:shape>
      </w:pic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68628A" w14:textId="77777777" w:rsidR="0055291C" w:rsidRDefault="0055291C">
    <w:pPr>
      <w:pStyle w:val="a3"/>
      <w:spacing w:line="14" w:lineRule="auto"/>
      <w:rPr>
        <w:sz w:val="2"/>
      </w:rP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B5E83D" w14:textId="77777777" w:rsidR="0055291C" w:rsidRDefault="00000000">
    <w:pPr>
      <w:pStyle w:val="a3"/>
      <w:spacing w:line="14" w:lineRule="auto"/>
      <w:rPr>
        <w:sz w:val="20"/>
      </w:rPr>
    </w:pPr>
    <w:r>
      <w:pict w14:anchorId="0F3109C0">
        <v:shape id="docshape1088" o:spid="_x0000_s1189" style="position:absolute;margin-left:0;margin-top:0;width:297pt;height:31.8pt;z-index:-21166080;mso-position-horizontal-relative:page;mso-position-vertical-relative:page" coordsize="5940,636" path="m5940,l,,,635r5713,l5844,632r68,-25l5936,539r4,-131l5940,xe" fillcolor="#00aca1" stroked="f">
          <v:path arrowok="t"/>
          <w10:wrap anchorx="page" anchory="page"/>
        </v:shape>
      </w:pict>
    </w:r>
    <w:r>
      <w:pict w14:anchorId="674FC7D1">
        <v:shapetype id="_x0000_t202" coordsize="21600,21600" o:spt="202" path="m,l,21600r21600,l21600,xe">
          <v:stroke joinstyle="miter"/>
          <v:path gradientshapeok="t" o:connecttype="rect"/>
        </v:shapetype>
        <v:shape id="docshape1089" o:spid="_x0000_s1188" type="#_x0000_t202" style="position:absolute;margin-left:55.7pt;margin-top:10.05pt;width:119.1pt;height:17.7pt;z-index:-21165568;mso-position-horizontal-relative:page;mso-position-vertical-relative:page" filled="f" stroked="f">
          <v:textbox style="mso-next-textbox:#docshape1089" inset="0,0,0,0">
            <w:txbxContent>
              <w:p w14:paraId="6CCEB59E"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anchory="page"/>
        </v:shape>
      </w:pic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53D17" w14:textId="77777777" w:rsidR="0055291C" w:rsidRDefault="0055291C">
    <w:pPr>
      <w:pStyle w:val="a3"/>
      <w:spacing w:line="14" w:lineRule="auto"/>
      <w:rPr>
        <w:sz w:val="2"/>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7739B" w14:textId="77777777" w:rsidR="0055291C" w:rsidRDefault="00000000">
    <w:pPr>
      <w:pStyle w:val="a3"/>
      <w:spacing w:line="14" w:lineRule="auto"/>
      <w:rPr>
        <w:sz w:val="20"/>
      </w:rPr>
    </w:pPr>
    <w:r>
      <w:pict w14:anchorId="38B5869E">
        <v:shape id="docshape1098" o:spid="_x0000_s1183" style="position:absolute;margin-left:0;margin-top:0;width:297pt;height:31.8pt;z-index:-21163008;mso-position-horizontal-relative:page;mso-position-vertical-relative:page" coordsize="5940,636" path="m5940,l,,,635r5713,l5844,632r68,-25l5936,539r4,-131l5940,xe" fillcolor="#00aca1" stroked="f">
          <v:path arrowok="t"/>
          <w10:wrap anchorx="page" anchory="page"/>
        </v:shape>
      </w:pict>
    </w:r>
    <w:r>
      <w:pict w14:anchorId="26FA1FE2">
        <v:shapetype id="_x0000_t202" coordsize="21600,21600" o:spt="202" path="m,l,21600r21600,l21600,xe">
          <v:stroke joinstyle="miter"/>
          <v:path gradientshapeok="t" o:connecttype="rect"/>
        </v:shapetype>
        <v:shape id="docshape1099" o:spid="_x0000_s1182" type="#_x0000_t202" style="position:absolute;margin-left:55.7pt;margin-top:10.05pt;width:119.1pt;height:17.7pt;z-index:-21162496;mso-position-horizontal-relative:page;mso-position-vertical-relative:page" filled="f" stroked="f">
          <v:textbox style="mso-next-textbox:#docshape1099" inset="0,0,0,0">
            <w:txbxContent>
              <w:p w14:paraId="3AD911F3"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anchory="page"/>
        </v:shape>
      </w:pic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C730CB" w14:textId="77777777" w:rsidR="0055291C" w:rsidRDefault="0055291C">
    <w:pPr>
      <w:pStyle w:val="a3"/>
      <w:spacing w:line="14" w:lineRule="auto"/>
      <w:rPr>
        <w:sz w:val="2"/>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77AFEF" w14:textId="77777777" w:rsidR="0055291C" w:rsidRDefault="00000000">
    <w:pPr>
      <w:pStyle w:val="a3"/>
      <w:spacing w:line="14" w:lineRule="auto"/>
      <w:rPr>
        <w:sz w:val="20"/>
      </w:rPr>
    </w:pPr>
    <w:r>
      <w:pict w14:anchorId="44B58E24">
        <v:shape id="docshape1111" o:spid="_x0000_s1177" style="position:absolute;margin-left:0;margin-top:0;width:297pt;height:31.8pt;z-index:-21159936;mso-position-horizontal-relative:page;mso-position-vertical-relative:page" coordsize="5940,636" path="m5940,l,,,635r5713,l5844,632r68,-25l5936,539r4,-131l5940,xe" fillcolor="#00aca1" stroked="f">
          <v:path arrowok="t"/>
          <w10:wrap anchorx="page" anchory="page"/>
        </v:shape>
      </w:pict>
    </w:r>
    <w:r>
      <w:pict w14:anchorId="041ADF30">
        <v:shapetype id="_x0000_t202" coordsize="21600,21600" o:spt="202" path="m,l,21600r21600,l21600,xe">
          <v:stroke joinstyle="miter"/>
          <v:path gradientshapeok="t" o:connecttype="rect"/>
        </v:shapetype>
        <v:shape id="docshape1112" o:spid="_x0000_s1176" type="#_x0000_t202" style="position:absolute;margin-left:55.7pt;margin-top:10.05pt;width:119.1pt;height:17.7pt;z-index:-21159424;mso-position-horizontal-relative:page;mso-position-vertical-relative:page" filled="f" stroked="f">
          <v:textbox style="mso-next-textbox:#docshape1112" inset="0,0,0,0">
            <w:txbxContent>
              <w:p w14:paraId="60CF217D"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anchory="page"/>
        </v:shape>
      </w:pic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32DCB4" w14:textId="77777777" w:rsidR="0055291C" w:rsidRDefault="0055291C">
    <w:pPr>
      <w:pStyle w:val="a3"/>
      <w:spacing w:line="14" w:lineRule="auto"/>
      <w:rPr>
        <w:sz w:val="2"/>
      </w:rP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46984" w14:textId="77777777" w:rsidR="0055291C" w:rsidRDefault="00000000">
    <w:pPr>
      <w:pStyle w:val="a3"/>
      <w:spacing w:line="14" w:lineRule="auto"/>
      <w:rPr>
        <w:sz w:val="20"/>
      </w:rPr>
    </w:pPr>
    <w:r>
      <w:pict w14:anchorId="000374C0">
        <v:shape id="docshape1208" o:spid="_x0000_s1171" style="position:absolute;margin-left:0;margin-top:0;width:297pt;height:31.8pt;z-index:-21156864;mso-position-horizontal-relative:page;mso-position-vertical-relative:page" coordsize="5940,636" path="m5940,l,,,635r5713,l5844,632r68,-25l5936,539r4,-131l5940,xe" fillcolor="#00aca1" stroked="f">
          <v:path arrowok="t"/>
          <w10:wrap anchorx="page" anchory="page"/>
        </v:shape>
      </w:pict>
    </w:r>
    <w:r>
      <w:pict w14:anchorId="1FA2986F">
        <v:shapetype id="_x0000_t202" coordsize="21600,21600" o:spt="202" path="m,l,21600r21600,l21600,xe">
          <v:stroke joinstyle="miter"/>
          <v:path gradientshapeok="t" o:connecttype="rect"/>
        </v:shapetype>
        <v:shape id="docshape1209" o:spid="_x0000_s1170" type="#_x0000_t202" style="position:absolute;margin-left:55.7pt;margin-top:10.05pt;width:119.1pt;height:17.7pt;z-index:-21156352;mso-position-horizontal-relative:page;mso-position-vertical-relative:page" filled="f" stroked="f">
          <v:textbox style="mso-next-textbox:#docshape1209" inset="0,0,0,0">
            <w:txbxContent>
              <w:p w14:paraId="65BB107C"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anchory="page"/>
        </v:shape>
      </w:pic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36E86" w14:textId="77777777" w:rsidR="0055291C" w:rsidRDefault="0055291C">
    <w:pPr>
      <w:pStyle w:val="a3"/>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1A72C" w14:textId="77777777" w:rsidR="0055291C" w:rsidRDefault="0055291C">
    <w:pPr>
      <w:pStyle w:val="a3"/>
      <w:spacing w:line="14" w:lineRule="auto"/>
      <w:rPr>
        <w:sz w:val="2"/>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ED651" w14:textId="77777777" w:rsidR="0055291C" w:rsidRDefault="00000000">
    <w:pPr>
      <w:pStyle w:val="a3"/>
      <w:spacing w:line="14" w:lineRule="auto"/>
      <w:rPr>
        <w:sz w:val="20"/>
      </w:rPr>
    </w:pPr>
    <w:r>
      <w:pict w14:anchorId="7995FA39">
        <v:shape id="docshape1221" o:spid="_x0000_s1165" style="position:absolute;margin-left:0;margin-top:0;width:297pt;height:31.8pt;z-index:-21153792;mso-position-horizontal-relative:page;mso-position-vertical-relative:page" coordsize="5940,636" path="m5940,l,,,635r5713,l5844,632r68,-25l5936,539r4,-131l5940,xe" fillcolor="#00aca1" stroked="f">
          <v:path arrowok="t"/>
          <w10:wrap anchorx="page" anchory="page"/>
        </v:shape>
      </w:pict>
    </w:r>
    <w:r>
      <w:pict w14:anchorId="09AD6861">
        <v:shapetype id="_x0000_t202" coordsize="21600,21600" o:spt="202" path="m,l,21600r21600,l21600,xe">
          <v:stroke joinstyle="miter"/>
          <v:path gradientshapeok="t" o:connecttype="rect"/>
        </v:shapetype>
        <v:shape id="docshape1222" o:spid="_x0000_s1164" type="#_x0000_t202" style="position:absolute;margin-left:55.7pt;margin-top:10.05pt;width:119.1pt;height:17.7pt;z-index:-21153280;mso-position-horizontal-relative:page;mso-position-vertical-relative:page" filled="f" stroked="f">
          <v:textbox style="mso-next-textbox:#docshape1222" inset="0,0,0,0">
            <w:txbxContent>
              <w:p w14:paraId="50BECC49"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anchory="page"/>
        </v:shape>
      </w:pic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FCCEB3" w14:textId="77777777" w:rsidR="0055291C" w:rsidRDefault="0055291C">
    <w:pPr>
      <w:pStyle w:val="a3"/>
      <w:spacing w:line="14" w:lineRule="auto"/>
      <w:rPr>
        <w:sz w:val="2"/>
      </w:rP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06810F" w14:textId="77777777" w:rsidR="0055291C" w:rsidRDefault="0055291C">
    <w:pPr>
      <w:pStyle w:val="a3"/>
      <w:spacing w:line="14" w:lineRule="auto"/>
      <w:rPr>
        <w:sz w:val="2"/>
      </w:rP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20FB7D" w14:textId="77777777" w:rsidR="0055291C" w:rsidRDefault="0055291C">
    <w:pPr>
      <w:pStyle w:val="a3"/>
      <w:spacing w:line="14" w:lineRule="auto"/>
      <w:rPr>
        <w:sz w:val="2"/>
      </w:rP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BB306" w14:textId="77777777" w:rsidR="0055291C" w:rsidRDefault="00000000">
    <w:pPr>
      <w:pStyle w:val="a3"/>
      <w:spacing w:line="14" w:lineRule="auto"/>
      <w:rPr>
        <w:sz w:val="20"/>
      </w:rPr>
    </w:pPr>
    <w:r>
      <w:pict w14:anchorId="53121F0E">
        <v:shape id="docshape1251" o:spid="_x0000_s1155" style="position:absolute;margin-left:0;margin-top:0;width:297pt;height:31.8pt;z-index:-21148672;mso-position-horizontal-relative:page;mso-position-vertical-relative:page" coordsize="5940,636" path="m5940,l,,,635r5713,l5844,632r68,-25l5936,539r4,-131l5940,xe" fillcolor="#00aca1" stroked="f">
          <v:path arrowok="t"/>
          <w10:wrap anchorx="page" anchory="page"/>
        </v:shape>
      </w:pict>
    </w:r>
    <w:r>
      <w:pict w14:anchorId="793E2D3B">
        <v:shapetype id="_x0000_t202" coordsize="21600,21600" o:spt="202" path="m,l,21600r21600,l21600,xe">
          <v:stroke joinstyle="miter"/>
          <v:path gradientshapeok="t" o:connecttype="rect"/>
        </v:shapetype>
        <v:shape id="docshape1252" o:spid="_x0000_s1154" type="#_x0000_t202" style="position:absolute;margin-left:55.7pt;margin-top:10.05pt;width:119.1pt;height:17.7pt;z-index:-21148160;mso-position-horizontal-relative:page;mso-position-vertical-relative:page" filled="f" stroked="f">
          <v:textbox style="mso-next-textbox:#docshape1252" inset="0,0,0,0">
            <w:txbxContent>
              <w:p w14:paraId="5AFD67FD"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anchory="page"/>
        </v:shape>
      </w:pic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CA4308" w14:textId="77777777" w:rsidR="0055291C" w:rsidRDefault="0055291C">
    <w:pPr>
      <w:pStyle w:val="a3"/>
      <w:spacing w:line="14" w:lineRule="auto"/>
      <w:rPr>
        <w:sz w:val="2"/>
      </w:rP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1AA46" w14:textId="77777777" w:rsidR="0055291C" w:rsidRDefault="00000000">
    <w:pPr>
      <w:pStyle w:val="a3"/>
      <w:spacing w:line="14" w:lineRule="auto"/>
      <w:rPr>
        <w:sz w:val="20"/>
      </w:rPr>
    </w:pPr>
    <w:r>
      <w:pict w14:anchorId="615A25C5">
        <v:shape id="docshape1295" o:spid="_x0000_s1153" style="position:absolute;margin-left:0;margin-top:0;width:297pt;height:31.8pt;z-index:-21147648;mso-position-horizontal-relative:page;mso-position-vertical-relative:page" coordsize="5940,636" path="m5940,l,,,635r5713,l5844,632r68,-25l5936,539r4,-131l5940,xe" fillcolor="#00aca1" stroked="f">
          <v:path arrowok="t"/>
          <w10:wrap anchorx="page" anchory="page"/>
        </v:shape>
      </w:pict>
    </w:r>
    <w:r>
      <w:pict w14:anchorId="5A67E1CA">
        <v:shapetype id="_x0000_t202" coordsize="21600,21600" o:spt="202" path="m,l,21600r21600,l21600,xe">
          <v:stroke joinstyle="miter"/>
          <v:path gradientshapeok="t" o:connecttype="rect"/>
        </v:shapetype>
        <v:shape id="docshape1296" o:spid="_x0000_s1152" type="#_x0000_t202" style="position:absolute;margin-left:55.7pt;margin-top:10.05pt;width:119.1pt;height:17.7pt;z-index:-21147136;mso-position-horizontal-relative:page;mso-position-vertical-relative:page" filled="f" stroked="f">
          <v:textbox style="mso-next-textbox:#docshape1296" inset="0,0,0,0">
            <w:txbxContent>
              <w:p w14:paraId="6531260C"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anchory="page"/>
        </v:shape>
      </w:pic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E87472" w14:textId="77777777" w:rsidR="0055291C" w:rsidRDefault="0055291C">
    <w:pPr>
      <w:pStyle w:val="a3"/>
      <w:spacing w:line="14" w:lineRule="auto"/>
      <w:rPr>
        <w:sz w:val="2"/>
      </w:rP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67D88" w14:textId="77777777" w:rsidR="0055291C" w:rsidRDefault="0055291C">
    <w:pPr>
      <w:pStyle w:val="a3"/>
      <w:spacing w:line="14" w:lineRule="auto"/>
      <w:rPr>
        <w:sz w:val="2"/>
      </w:rP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88E16C" w14:textId="77777777" w:rsidR="0055291C" w:rsidRDefault="0055291C">
    <w:pPr>
      <w:pStyle w:val="a3"/>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BE4A8A" w14:textId="77777777" w:rsidR="0055291C" w:rsidRDefault="0055291C">
    <w:pPr>
      <w:pStyle w:val="a3"/>
      <w:spacing w:line="14" w:lineRule="auto"/>
      <w:rPr>
        <w:sz w:val="2"/>
      </w:rP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5994FA" w14:textId="77777777" w:rsidR="0055291C" w:rsidRDefault="0055291C">
    <w:pPr>
      <w:pStyle w:val="a3"/>
      <w:spacing w:line="14" w:lineRule="auto"/>
      <w:rPr>
        <w:sz w:val="2"/>
      </w:rP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47CDA6" w14:textId="77777777" w:rsidR="0055291C" w:rsidRDefault="0055291C">
    <w:pPr>
      <w:pStyle w:val="a3"/>
      <w:spacing w:line="14" w:lineRule="auto"/>
      <w:rPr>
        <w:sz w:val="2"/>
      </w:rP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0B6030" w14:textId="77777777" w:rsidR="0055291C" w:rsidRDefault="00000000">
    <w:pPr>
      <w:pStyle w:val="a3"/>
      <w:spacing w:line="14" w:lineRule="auto"/>
      <w:rPr>
        <w:sz w:val="20"/>
      </w:rPr>
    </w:pPr>
    <w:r>
      <w:pict w14:anchorId="2F36EC67">
        <v:shape id="docshape1343" o:spid="_x0000_s1139" style="position:absolute;margin-left:0;margin-top:0;width:297pt;height:31.8pt;z-index:-21140480;mso-position-horizontal-relative:page;mso-position-vertical-relative:page" coordsize="5940,636" path="m5940,l,,,635r5713,l5844,632r68,-25l5936,539r4,-131l5940,xe" fillcolor="#00aca1" stroked="f">
          <v:path arrowok="t"/>
          <w10:wrap anchorx="page" anchory="page"/>
        </v:shape>
      </w:pict>
    </w:r>
    <w:r>
      <w:pict w14:anchorId="6917EAE1">
        <v:shapetype id="_x0000_t202" coordsize="21600,21600" o:spt="202" path="m,l,21600r21600,l21600,xe">
          <v:stroke joinstyle="miter"/>
          <v:path gradientshapeok="t" o:connecttype="rect"/>
        </v:shapetype>
        <v:shape id="docshape1344" o:spid="_x0000_s1138" type="#_x0000_t202" style="position:absolute;margin-left:55.7pt;margin-top:10.05pt;width:119.1pt;height:17.7pt;z-index:-21139968;mso-position-horizontal-relative:page;mso-position-vertical-relative:page" filled="f" stroked="f">
          <v:textbox style="mso-next-textbox:#docshape1344" inset="0,0,0,0">
            <w:txbxContent>
              <w:p w14:paraId="2C3DE13F"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anchory="page"/>
        </v:shape>
      </w:pic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C1F7A5" w14:textId="77777777" w:rsidR="0055291C" w:rsidRDefault="0055291C">
    <w:pPr>
      <w:pStyle w:val="a3"/>
      <w:spacing w:line="14" w:lineRule="auto"/>
      <w:rPr>
        <w:sz w:val="2"/>
      </w:rP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A14D6" w14:textId="77777777" w:rsidR="0055291C" w:rsidRDefault="00000000">
    <w:pPr>
      <w:pStyle w:val="a3"/>
      <w:spacing w:line="14" w:lineRule="auto"/>
      <w:rPr>
        <w:sz w:val="20"/>
      </w:rPr>
    </w:pPr>
    <w:r>
      <w:pict w14:anchorId="559AB42C">
        <v:shape id="docshape1348" o:spid="_x0000_s1137" style="position:absolute;margin-left:0;margin-top:0;width:297pt;height:31.8pt;z-index:-21139456;mso-position-horizontal-relative:page;mso-position-vertical-relative:page" coordsize="5940,636" path="m5940,l,,,635r5713,l5844,632r68,-25l5936,539r4,-131l5940,xe" fillcolor="#00aca1" stroked="f">
          <v:path arrowok="t"/>
          <w10:wrap anchorx="page" anchory="page"/>
        </v:shape>
      </w:pict>
    </w:r>
    <w:r>
      <w:pict w14:anchorId="2AFECE2F">
        <v:shapetype id="_x0000_t202" coordsize="21600,21600" o:spt="202" path="m,l,21600r21600,l21600,xe">
          <v:stroke joinstyle="miter"/>
          <v:path gradientshapeok="t" o:connecttype="rect"/>
        </v:shapetype>
        <v:shape id="docshape1349" o:spid="_x0000_s1136" type="#_x0000_t202" style="position:absolute;margin-left:55.7pt;margin-top:10.05pt;width:119.1pt;height:17.7pt;z-index:-21138944;mso-position-horizontal-relative:page;mso-position-vertical-relative:page" filled="f" stroked="f">
          <v:textbox style="mso-next-textbox:#docshape1349" inset="0,0,0,0">
            <w:txbxContent>
              <w:p w14:paraId="07754FD9"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anchory="page"/>
        </v:shape>
      </w:pic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72753" w14:textId="77777777" w:rsidR="0055291C" w:rsidRDefault="0055291C">
    <w:pPr>
      <w:pStyle w:val="a3"/>
      <w:spacing w:line="14" w:lineRule="auto"/>
      <w:rPr>
        <w:sz w:val="2"/>
      </w:rP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8A080" w14:textId="77777777" w:rsidR="0055291C" w:rsidRDefault="0055291C">
    <w:pPr>
      <w:pStyle w:val="a3"/>
      <w:spacing w:line="14" w:lineRule="auto"/>
      <w:rPr>
        <w:sz w:val="2"/>
      </w:rPr>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A524EA" w14:textId="77777777" w:rsidR="0055291C" w:rsidRDefault="0055291C">
    <w:pPr>
      <w:pStyle w:val="a3"/>
      <w:spacing w:line="14" w:lineRule="auto"/>
      <w:rPr>
        <w:sz w:val="2"/>
      </w:rPr>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88970" w14:textId="77777777" w:rsidR="0055291C" w:rsidRDefault="00000000">
    <w:pPr>
      <w:pStyle w:val="a3"/>
      <w:spacing w:line="14" w:lineRule="auto"/>
      <w:rPr>
        <w:sz w:val="20"/>
      </w:rPr>
    </w:pPr>
    <w:r>
      <w:pict w14:anchorId="4C0C1206">
        <v:shape id="docshape1375" o:spid="_x0000_s1127" style="position:absolute;margin-left:0;margin-top:0;width:297pt;height:31.8pt;z-index:-21134336;mso-position-horizontal-relative:page;mso-position-vertical-relative:page" coordsize="5940,636" path="m5940,l,,,635r5713,l5844,632r68,-25l5936,539r4,-131l5940,xe" fillcolor="#7f3f98" stroked="f">
          <v:path arrowok="t"/>
          <w10:wrap anchorx="page" anchory="page"/>
        </v:shape>
      </w:pict>
    </w:r>
    <w:r>
      <w:pict w14:anchorId="061C5111">
        <v:shapetype id="_x0000_t202" coordsize="21600,21600" o:spt="202" path="m,l,21600r21600,l21600,xe">
          <v:stroke joinstyle="miter"/>
          <v:path gradientshapeok="t" o:connecttype="rect"/>
        </v:shapetype>
        <v:shape id="docshape1376" o:spid="_x0000_s1126" type="#_x0000_t202" style="position:absolute;margin-left:55.7pt;margin-top:10.05pt;width:180.55pt;height:17.7pt;z-index:-21133824;mso-position-horizontal-relative:page;mso-position-vertical-relative:page" filled="f" stroked="f">
          <v:textbox style="mso-next-textbox:#docshape1376" inset="0,0,0,0">
            <w:txbxContent>
              <w:p w14:paraId="1F865062" w14:textId="77777777" w:rsidR="0055291C" w:rsidRDefault="00F23C61">
                <w:pPr>
                  <w:spacing w:before="18"/>
                  <w:ind w:left="20"/>
                  <w:rPr>
                    <w:rFonts w:ascii="Arial"/>
                    <w:b/>
                    <w:i/>
                    <w:sz w:val="28"/>
                  </w:rPr>
                </w:pPr>
                <w:r>
                  <w:rPr>
                    <w:rFonts w:ascii="Arial"/>
                    <w:b/>
                    <w:i/>
                    <w:color w:val="F3F4F4"/>
                    <w:sz w:val="28"/>
                  </w:rPr>
                  <w:t>r</w:t>
                </w:r>
                <w:r>
                  <w:rPr>
                    <w:rFonts w:ascii="Arial"/>
                    <w:b/>
                    <w:i/>
                    <w:color w:val="F3F4F4"/>
                    <w:spacing w:val="79"/>
                    <w:sz w:val="28"/>
                  </w:rPr>
                  <w:t xml:space="preserve"> </w:t>
                </w:r>
                <w:r>
                  <w:rPr>
                    <w:rFonts w:ascii="Arial"/>
                    <w:b/>
                    <w:i/>
                    <w:color w:val="F3F4F4"/>
                    <w:sz w:val="28"/>
                  </w:rPr>
                  <w:t>e</w:t>
                </w:r>
                <w:r>
                  <w:rPr>
                    <w:rFonts w:ascii="Arial"/>
                    <w:b/>
                    <w:i/>
                    <w:color w:val="F3F4F4"/>
                    <w:spacing w:val="86"/>
                    <w:sz w:val="28"/>
                  </w:rPr>
                  <w:t xml:space="preserve"> </w:t>
                </w:r>
                <w:r>
                  <w:rPr>
                    <w:rFonts w:ascii="Arial"/>
                    <w:b/>
                    <w:i/>
                    <w:color w:val="F3F4F4"/>
                    <w:sz w:val="28"/>
                  </w:rPr>
                  <w:t>q</w:t>
                </w:r>
                <w:r>
                  <w:rPr>
                    <w:rFonts w:ascii="Arial"/>
                    <w:b/>
                    <w:i/>
                    <w:color w:val="F3F4F4"/>
                    <w:spacing w:val="86"/>
                    <w:sz w:val="28"/>
                  </w:rPr>
                  <w:t xml:space="preserve"> </w:t>
                </w:r>
                <w:r>
                  <w:rPr>
                    <w:rFonts w:ascii="Arial"/>
                    <w:b/>
                    <w:i/>
                    <w:color w:val="F3F4F4"/>
                    <w:sz w:val="28"/>
                  </w:rPr>
                  <w:t>u</w:t>
                </w:r>
                <w:r>
                  <w:rPr>
                    <w:rFonts w:ascii="Arial"/>
                    <w:b/>
                    <w:i/>
                    <w:color w:val="F3F4F4"/>
                    <w:spacing w:val="86"/>
                    <w:sz w:val="28"/>
                  </w:rPr>
                  <w:t xml:space="preserve"> </w:t>
                </w:r>
                <w:proofErr w:type="spellStart"/>
                <w:r>
                  <w:rPr>
                    <w:rFonts w:ascii="Arial"/>
                    <w:b/>
                    <w:i/>
                    <w:color w:val="F3F4F4"/>
                    <w:sz w:val="28"/>
                  </w:rPr>
                  <w:t>i</w:t>
                </w:r>
                <w:proofErr w:type="spellEnd"/>
                <w:r>
                  <w:rPr>
                    <w:rFonts w:ascii="Arial"/>
                    <w:b/>
                    <w:i/>
                    <w:color w:val="F3F4F4"/>
                    <w:spacing w:val="85"/>
                    <w:sz w:val="28"/>
                  </w:rPr>
                  <w:t xml:space="preserve"> </w:t>
                </w:r>
                <w:r>
                  <w:rPr>
                    <w:rFonts w:ascii="Arial"/>
                    <w:b/>
                    <w:i/>
                    <w:color w:val="F3F4F4"/>
                    <w:sz w:val="28"/>
                  </w:rPr>
                  <w:t>r</w:t>
                </w:r>
                <w:r>
                  <w:rPr>
                    <w:rFonts w:ascii="Arial"/>
                    <w:b/>
                    <w:i/>
                    <w:color w:val="F3F4F4"/>
                    <w:spacing w:val="80"/>
                    <w:sz w:val="28"/>
                  </w:rPr>
                  <w:t xml:space="preserve"> </w:t>
                </w:r>
                <w:r>
                  <w:rPr>
                    <w:rFonts w:ascii="Arial"/>
                    <w:b/>
                    <w:i/>
                    <w:color w:val="F3F4F4"/>
                    <w:sz w:val="28"/>
                  </w:rPr>
                  <w:t>e</w:t>
                </w:r>
                <w:r>
                  <w:rPr>
                    <w:rFonts w:ascii="Arial"/>
                    <w:b/>
                    <w:i/>
                    <w:color w:val="F3F4F4"/>
                    <w:spacing w:val="86"/>
                    <w:sz w:val="28"/>
                  </w:rPr>
                  <w:t xml:space="preserve"> </w:t>
                </w:r>
                <w:r>
                  <w:rPr>
                    <w:rFonts w:ascii="Arial"/>
                    <w:b/>
                    <w:i/>
                    <w:color w:val="F3F4F4"/>
                    <w:sz w:val="28"/>
                  </w:rPr>
                  <w:t>m</w:t>
                </w:r>
                <w:r>
                  <w:rPr>
                    <w:rFonts w:ascii="Arial"/>
                    <w:b/>
                    <w:i/>
                    <w:color w:val="F3F4F4"/>
                    <w:spacing w:val="86"/>
                    <w:sz w:val="28"/>
                  </w:rPr>
                  <w:t xml:space="preserve"> </w:t>
                </w:r>
                <w:r>
                  <w:rPr>
                    <w:rFonts w:ascii="Arial"/>
                    <w:b/>
                    <w:i/>
                    <w:color w:val="F3F4F4"/>
                    <w:sz w:val="28"/>
                  </w:rPr>
                  <w:t>e</w:t>
                </w:r>
                <w:r>
                  <w:rPr>
                    <w:rFonts w:ascii="Arial"/>
                    <w:b/>
                    <w:i/>
                    <w:color w:val="F3F4F4"/>
                    <w:spacing w:val="85"/>
                    <w:sz w:val="28"/>
                  </w:rPr>
                  <w:t xml:space="preserve"> </w:t>
                </w:r>
                <w:r>
                  <w:rPr>
                    <w:rFonts w:ascii="Arial"/>
                    <w:b/>
                    <w:i/>
                    <w:color w:val="F3F4F4"/>
                    <w:sz w:val="28"/>
                  </w:rPr>
                  <w:t>n</w:t>
                </w:r>
                <w:r>
                  <w:rPr>
                    <w:rFonts w:ascii="Arial"/>
                    <w:b/>
                    <w:i/>
                    <w:color w:val="F3F4F4"/>
                    <w:spacing w:val="86"/>
                    <w:sz w:val="28"/>
                  </w:rPr>
                  <w:t xml:space="preserve"> </w:t>
                </w:r>
                <w:r>
                  <w:rPr>
                    <w:rFonts w:ascii="Arial"/>
                    <w:b/>
                    <w:i/>
                    <w:color w:val="F3F4F4"/>
                    <w:w w:val="105"/>
                    <w:sz w:val="28"/>
                  </w:rPr>
                  <w:t xml:space="preserve">t  </w:t>
                </w:r>
                <w:r>
                  <w:rPr>
                    <w:rFonts w:ascii="Arial"/>
                    <w:b/>
                    <w:i/>
                    <w:color w:val="F3F4F4"/>
                    <w:sz w:val="28"/>
                  </w:rPr>
                  <w:t>s</w:t>
                </w:r>
              </w:p>
            </w:txbxContent>
          </v:textbox>
          <w10:wrap anchorx="page" anchory="page"/>
        </v:shape>
      </w:pic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6606A8" w14:textId="77777777" w:rsidR="0055291C" w:rsidRDefault="0055291C">
    <w:pPr>
      <w:pStyle w:val="a3"/>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535B2" w14:textId="77777777" w:rsidR="0055291C" w:rsidRDefault="0055291C">
    <w:pPr>
      <w:pStyle w:val="a3"/>
      <w:spacing w:line="14" w:lineRule="auto"/>
      <w:rPr>
        <w:sz w:val="2"/>
      </w:rP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10FFC9" w14:textId="77777777" w:rsidR="0055291C" w:rsidRDefault="00000000">
    <w:pPr>
      <w:pStyle w:val="a3"/>
      <w:spacing w:line="14" w:lineRule="auto"/>
      <w:rPr>
        <w:sz w:val="20"/>
      </w:rPr>
    </w:pPr>
    <w:r>
      <w:pict w14:anchorId="075EA756">
        <v:shape id="docshape1401" o:spid="_x0000_s1125" style="position:absolute;margin-left:0;margin-top:0;width:297pt;height:31.8pt;z-index:-21133312;mso-position-horizontal-relative:page;mso-position-vertical-relative:page" coordsize="5940,636" path="m5940,l,,,635r5713,l5844,632r68,-25l5936,539r4,-131l5940,xe" fillcolor="#7f3f98" stroked="f">
          <v:path arrowok="t"/>
          <w10:wrap anchorx="page" anchory="page"/>
        </v:shape>
      </w:pict>
    </w:r>
    <w:r>
      <w:pict w14:anchorId="55463D85">
        <v:shapetype id="_x0000_t202" coordsize="21600,21600" o:spt="202" path="m,l,21600r21600,l21600,xe">
          <v:stroke joinstyle="miter"/>
          <v:path gradientshapeok="t" o:connecttype="rect"/>
        </v:shapetype>
        <v:shape id="docshape1402" o:spid="_x0000_s1124" type="#_x0000_t202" style="position:absolute;margin-left:55.7pt;margin-top:10.05pt;width:180.55pt;height:17.7pt;z-index:-21132800;mso-position-horizontal-relative:page;mso-position-vertical-relative:page" filled="f" stroked="f">
          <v:textbox style="mso-next-textbox:#docshape1402" inset="0,0,0,0">
            <w:txbxContent>
              <w:p w14:paraId="21E86D85" w14:textId="77777777" w:rsidR="0055291C" w:rsidRDefault="00F23C61">
                <w:pPr>
                  <w:spacing w:before="18"/>
                  <w:ind w:left="20"/>
                  <w:rPr>
                    <w:rFonts w:ascii="Arial"/>
                    <w:b/>
                    <w:i/>
                    <w:sz w:val="28"/>
                  </w:rPr>
                </w:pPr>
                <w:r>
                  <w:rPr>
                    <w:rFonts w:ascii="Arial"/>
                    <w:b/>
                    <w:i/>
                    <w:color w:val="F3F4F4"/>
                    <w:sz w:val="28"/>
                  </w:rPr>
                  <w:t>r</w:t>
                </w:r>
                <w:r>
                  <w:rPr>
                    <w:rFonts w:ascii="Arial"/>
                    <w:b/>
                    <w:i/>
                    <w:color w:val="F3F4F4"/>
                    <w:spacing w:val="79"/>
                    <w:sz w:val="28"/>
                  </w:rPr>
                  <w:t xml:space="preserve"> </w:t>
                </w:r>
                <w:r>
                  <w:rPr>
                    <w:rFonts w:ascii="Arial"/>
                    <w:b/>
                    <w:i/>
                    <w:color w:val="F3F4F4"/>
                    <w:sz w:val="28"/>
                  </w:rPr>
                  <w:t>e</w:t>
                </w:r>
                <w:r>
                  <w:rPr>
                    <w:rFonts w:ascii="Arial"/>
                    <w:b/>
                    <w:i/>
                    <w:color w:val="F3F4F4"/>
                    <w:spacing w:val="86"/>
                    <w:sz w:val="28"/>
                  </w:rPr>
                  <w:t xml:space="preserve"> </w:t>
                </w:r>
                <w:r>
                  <w:rPr>
                    <w:rFonts w:ascii="Arial"/>
                    <w:b/>
                    <w:i/>
                    <w:color w:val="F3F4F4"/>
                    <w:sz w:val="28"/>
                  </w:rPr>
                  <w:t>q</w:t>
                </w:r>
                <w:r>
                  <w:rPr>
                    <w:rFonts w:ascii="Arial"/>
                    <w:b/>
                    <w:i/>
                    <w:color w:val="F3F4F4"/>
                    <w:spacing w:val="86"/>
                    <w:sz w:val="28"/>
                  </w:rPr>
                  <w:t xml:space="preserve"> </w:t>
                </w:r>
                <w:r>
                  <w:rPr>
                    <w:rFonts w:ascii="Arial"/>
                    <w:b/>
                    <w:i/>
                    <w:color w:val="F3F4F4"/>
                    <w:sz w:val="28"/>
                  </w:rPr>
                  <w:t>u</w:t>
                </w:r>
                <w:r>
                  <w:rPr>
                    <w:rFonts w:ascii="Arial"/>
                    <w:b/>
                    <w:i/>
                    <w:color w:val="F3F4F4"/>
                    <w:spacing w:val="86"/>
                    <w:sz w:val="28"/>
                  </w:rPr>
                  <w:t xml:space="preserve"> </w:t>
                </w:r>
                <w:proofErr w:type="spellStart"/>
                <w:r>
                  <w:rPr>
                    <w:rFonts w:ascii="Arial"/>
                    <w:b/>
                    <w:i/>
                    <w:color w:val="F3F4F4"/>
                    <w:sz w:val="28"/>
                  </w:rPr>
                  <w:t>i</w:t>
                </w:r>
                <w:proofErr w:type="spellEnd"/>
                <w:r>
                  <w:rPr>
                    <w:rFonts w:ascii="Arial"/>
                    <w:b/>
                    <w:i/>
                    <w:color w:val="F3F4F4"/>
                    <w:spacing w:val="85"/>
                    <w:sz w:val="28"/>
                  </w:rPr>
                  <w:t xml:space="preserve"> </w:t>
                </w:r>
                <w:r>
                  <w:rPr>
                    <w:rFonts w:ascii="Arial"/>
                    <w:b/>
                    <w:i/>
                    <w:color w:val="F3F4F4"/>
                    <w:sz w:val="28"/>
                  </w:rPr>
                  <w:t>r</w:t>
                </w:r>
                <w:r>
                  <w:rPr>
                    <w:rFonts w:ascii="Arial"/>
                    <w:b/>
                    <w:i/>
                    <w:color w:val="F3F4F4"/>
                    <w:spacing w:val="80"/>
                    <w:sz w:val="28"/>
                  </w:rPr>
                  <w:t xml:space="preserve"> </w:t>
                </w:r>
                <w:r>
                  <w:rPr>
                    <w:rFonts w:ascii="Arial"/>
                    <w:b/>
                    <w:i/>
                    <w:color w:val="F3F4F4"/>
                    <w:sz w:val="28"/>
                  </w:rPr>
                  <w:t>e</w:t>
                </w:r>
                <w:r>
                  <w:rPr>
                    <w:rFonts w:ascii="Arial"/>
                    <w:b/>
                    <w:i/>
                    <w:color w:val="F3F4F4"/>
                    <w:spacing w:val="86"/>
                    <w:sz w:val="28"/>
                  </w:rPr>
                  <w:t xml:space="preserve"> </w:t>
                </w:r>
                <w:r>
                  <w:rPr>
                    <w:rFonts w:ascii="Arial"/>
                    <w:b/>
                    <w:i/>
                    <w:color w:val="F3F4F4"/>
                    <w:sz w:val="28"/>
                  </w:rPr>
                  <w:t>m</w:t>
                </w:r>
                <w:r>
                  <w:rPr>
                    <w:rFonts w:ascii="Arial"/>
                    <w:b/>
                    <w:i/>
                    <w:color w:val="F3F4F4"/>
                    <w:spacing w:val="86"/>
                    <w:sz w:val="28"/>
                  </w:rPr>
                  <w:t xml:space="preserve"> </w:t>
                </w:r>
                <w:r>
                  <w:rPr>
                    <w:rFonts w:ascii="Arial"/>
                    <w:b/>
                    <w:i/>
                    <w:color w:val="F3F4F4"/>
                    <w:sz w:val="28"/>
                  </w:rPr>
                  <w:t>e</w:t>
                </w:r>
                <w:r>
                  <w:rPr>
                    <w:rFonts w:ascii="Arial"/>
                    <w:b/>
                    <w:i/>
                    <w:color w:val="F3F4F4"/>
                    <w:spacing w:val="85"/>
                    <w:sz w:val="28"/>
                  </w:rPr>
                  <w:t xml:space="preserve"> </w:t>
                </w:r>
                <w:r>
                  <w:rPr>
                    <w:rFonts w:ascii="Arial"/>
                    <w:b/>
                    <w:i/>
                    <w:color w:val="F3F4F4"/>
                    <w:sz w:val="28"/>
                  </w:rPr>
                  <w:t>n</w:t>
                </w:r>
                <w:r>
                  <w:rPr>
                    <w:rFonts w:ascii="Arial"/>
                    <w:b/>
                    <w:i/>
                    <w:color w:val="F3F4F4"/>
                    <w:spacing w:val="86"/>
                    <w:sz w:val="28"/>
                  </w:rPr>
                  <w:t xml:space="preserve"> </w:t>
                </w:r>
                <w:r>
                  <w:rPr>
                    <w:rFonts w:ascii="Arial"/>
                    <w:b/>
                    <w:i/>
                    <w:color w:val="F3F4F4"/>
                    <w:w w:val="105"/>
                    <w:sz w:val="28"/>
                  </w:rPr>
                  <w:t xml:space="preserve">t  </w:t>
                </w:r>
                <w:r>
                  <w:rPr>
                    <w:rFonts w:ascii="Arial"/>
                    <w:b/>
                    <w:i/>
                    <w:color w:val="F3F4F4"/>
                    <w:sz w:val="28"/>
                  </w:rPr>
                  <w:t>s</w:t>
                </w:r>
              </w:p>
            </w:txbxContent>
          </v:textbox>
          <w10:wrap anchorx="page" anchory="page"/>
        </v:shape>
      </w:pic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D9955" w14:textId="77777777" w:rsidR="0055291C" w:rsidRDefault="0055291C">
    <w:pPr>
      <w:pStyle w:val="a3"/>
      <w:spacing w:line="14" w:lineRule="auto"/>
      <w:rPr>
        <w:sz w:val="2"/>
      </w:rP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BC1C49" w14:textId="77777777" w:rsidR="0055291C" w:rsidRDefault="00000000">
    <w:pPr>
      <w:pStyle w:val="a3"/>
      <w:spacing w:line="14" w:lineRule="auto"/>
      <w:rPr>
        <w:sz w:val="20"/>
      </w:rPr>
    </w:pPr>
    <w:r>
      <w:pict w14:anchorId="77CDC208">
        <v:shape id="docshape1414" o:spid="_x0000_s1119" style="position:absolute;margin-left:0;margin-top:0;width:297pt;height:31.8pt;z-index:-21130240;mso-position-horizontal-relative:page;mso-position-vertical-relative:page" coordsize="5940,636" path="m5940,l,,,635r5713,l5844,632r68,-25l5936,539r4,-131l5940,xe" fillcolor="#00aca1" stroked="f">
          <v:path arrowok="t"/>
          <w10:wrap anchorx="page" anchory="page"/>
        </v:shape>
      </w:pict>
    </w:r>
    <w:r>
      <w:pict w14:anchorId="2B99A6BE">
        <v:shapetype id="_x0000_t202" coordsize="21600,21600" o:spt="202" path="m,l,21600r21600,l21600,xe">
          <v:stroke joinstyle="miter"/>
          <v:path gradientshapeok="t" o:connecttype="rect"/>
        </v:shapetype>
        <v:shape id="docshape1415" o:spid="_x0000_s1118" type="#_x0000_t202" style="position:absolute;margin-left:55.7pt;margin-top:10.05pt;width:119.1pt;height:17.7pt;z-index:-21129728;mso-position-horizontal-relative:page;mso-position-vertical-relative:page" filled="f" stroked="f">
          <v:textbox style="mso-next-textbox:#docshape1415" inset="0,0,0,0">
            <w:txbxContent>
              <w:p w14:paraId="7F357F0A"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anchory="page"/>
        </v:shape>
      </w:pict>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E0146" w14:textId="77777777" w:rsidR="0055291C" w:rsidRDefault="0055291C">
    <w:pPr>
      <w:pStyle w:val="a3"/>
      <w:spacing w:line="14" w:lineRule="auto"/>
      <w:rPr>
        <w:sz w:val="2"/>
      </w:rPr>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0B838E" w14:textId="77777777" w:rsidR="0055291C" w:rsidRDefault="0055291C">
    <w:pPr>
      <w:pStyle w:val="a3"/>
      <w:spacing w:line="14" w:lineRule="auto"/>
      <w:rPr>
        <w:sz w:val="2"/>
      </w:rP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0B63E3" w14:textId="77777777" w:rsidR="0055291C" w:rsidRDefault="0055291C">
    <w:pPr>
      <w:pStyle w:val="a3"/>
      <w:spacing w:line="14" w:lineRule="auto"/>
      <w:rPr>
        <w:sz w:val="2"/>
      </w:rPr>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F5C59" w14:textId="77777777" w:rsidR="0055291C" w:rsidRDefault="00000000">
    <w:pPr>
      <w:pStyle w:val="a3"/>
      <w:spacing w:line="14" w:lineRule="auto"/>
      <w:rPr>
        <w:sz w:val="20"/>
      </w:rPr>
    </w:pPr>
    <w:r>
      <w:pict w14:anchorId="756790DB">
        <v:shape id="docshape1445" o:spid="_x0000_s1109" style="position:absolute;margin-left:0;margin-top:0;width:297pt;height:31.8pt;z-index:-21125120;mso-position-horizontal-relative:page;mso-position-vertical-relative:page" coordsize="5940,636" path="m5940,l,,,635r5713,l5844,632r68,-25l5936,539r4,-131l5940,xe" fillcolor="#7f3f98" stroked="f">
          <v:path arrowok="t"/>
          <w10:wrap anchorx="page" anchory="page"/>
        </v:shape>
      </w:pict>
    </w:r>
    <w:r>
      <w:pict w14:anchorId="212D10E7">
        <v:shapetype id="_x0000_t202" coordsize="21600,21600" o:spt="202" path="m,l,21600r21600,l21600,xe">
          <v:stroke joinstyle="miter"/>
          <v:path gradientshapeok="t" o:connecttype="rect"/>
        </v:shapetype>
        <v:shape id="docshape1446" o:spid="_x0000_s1108" type="#_x0000_t202" style="position:absolute;margin-left:55.7pt;margin-top:10.05pt;width:180.55pt;height:17.7pt;z-index:-21124608;mso-position-horizontal-relative:page;mso-position-vertical-relative:page" filled="f" stroked="f">
          <v:textbox style="mso-next-textbox:#docshape1446" inset="0,0,0,0">
            <w:txbxContent>
              <w:p w14:paraId="0D9C6FA8" w14:textId="77777777" w:rsidR="0055291C" w:rsidRDefault="00F23C61">
                <w:pPr>
                  <w:spacing w:before="18"/>
                  <w:ind w:left="20"/>
                  <w:rPr>
                    <w:rFonts w:ascii="Arial"/>
                    <w:b/>
                    <w:i/>
                    <w:sz w:val="28"/>
                  </w:rPr>
                </w:pPr>
                <w:r>
                  <w:rPr>
                    <w:rFonts w:ascii="Arial"/>
                    <w:b/>
                    <w:i/>
                    <w:color w:val="F3F4F4"/>
                    <w:sz w:val="28"/>
                  </w:rPr>
                  <w:t>r</w:t>
                </w:r>
                <w:r>
                  <w:rPr>
                    <w:rFonts w:ascii="Arial"/>
                    <w:b/>
                    <w:i/>
                    <w:color w:val="F3F4F4"/>
                    <w:spacing w:val="79"/>
                    <w:sz w:val="28"/>
                  </w:rPr>
                  <w:t xml:space="preserve"> </w:t>
                </w:r>
                <w:r>
                  <w:rPr>
                    <w:rFonts w:ascii="Arial"/>
                    <w:b/>
                    <w:i/>
                    <w:color w:val="F3F4F4"/>
                    <w:sz w:val="28"/>
                  </w:rPr>
                  <w:t>e</w:t>
                </w:r>
                <w:r>
                  <w:rPr>
                    <w:rFonts w:ascii="Arial"/>
                    <w:b/>
                    <w:i/>
                    <w:color w:val="F3F4F4"/>
                    <w:spacing w:val="86"/>
                    <w:sz w:val="28"/>
                  </w:rPr>
                  <w:t xml:space="preserve"> </w:t>
                </w:r>
                <w:r>
                  <w:rPr>
                    <w:rFonts w:ascii="Arial"/>
                    <w:b/>
                    <w:i/>
                    <w:color w:val="F3F4F4"/>
                    <w:sz w:val="28"/>
                  </w:rPr>
                  <w:t>q</w:t>
                </w:r>
                <w:r>
                  <w:rPr>
                    <w:rFonts w:ascii="Arial"/>
                    <w:b/>
                    <w:i/>
                    <w:color w:val="F3F4F4"/>
                    <w:spacing w:val="86"/>
                    <w:sz w:val="28"/>
                  </w:rPr>
                  <w:t xml:space="preserve"> </w:t>
                </w:r>
                <w:r>
                  <w:rPr>
                    <w:rFonts w:ascii="Arial"/>
                    <w:b/>
                    <w:i/>
                    <w:color w:val="F3F4F4"/>
                    <w:sz w:val="28"/>
                  </w:rPr>
                  <w:t>u</w:t>
                </w:r>
                <w:r>
                  <w:rPr>
                    <w:rFonts w:ascii="Arial"/>
                    <w:b/>
                    <w:i/>
                    <w:color w:val="F3F4F4"/>
                    <w:spacing w:val="86"/>
                    <w:sz w:val="28"/>
                  </w:rPr>
                  <w:t xml:space="preserve"> </w:t>
                </w:r>
                <w:proofErr w:type="spellStart"/>
                <w:r>
                  <w:rPr>
                    <w:rFonts w:ascii="Arial"/>
                    <w:b/>
                    <w:i/>
                    <w:color w:val="F3F4F4"/>
                    <w:sz w:val="28"/>
                  </w:rPr>
                  <w:t>i</w:t>
                </w:r>
                <w:proofErr w:type="spellEnd"/>
                <w:r>
                  <w:rPr>
                    <w:rFonts w:ascii="Arial"/>
                    <w:b/>
                    <w:i/>
                    <w:color w:val="F3F4F4"/>
                    <w:spacing w:val="85"/>
                    <w:sz w:val="28"/>
                  </w:rPr>
                  <w:t xml:space="preserve"> </w:t>
                </w:r>
                <w:r>
                  <w:rPr>
                    <w:rFonts w:ascii="Arial"/>
                    <w:b/>
                    <w:i/>
                    <w:color w:val="F3F4F4"/>
                    <w:sz w:val="28"/>
                  </w:rPr>
                  <w:t>r</w:t>
                </w:r>
                <w:r>
                  <w:rPr>
                    <w:rFonts w:ascii="Arial"/>
                    <w:b/>
                    <w:i/>
                    <w:color w:val="F3F4F4"/>
                    <w:spacing w:val="80"/>
                    <w:sz w:val="28"/>
                  </w:rPr>
                  <w:t xml:space="preserve"> </w:t>
                </w:r>
                <w:r>
                  <w:rPr>
                    <w:rFonts w:ascii="Arial"/>
                    <w:b/>
                    <w:i/>
                    <w:color w:val="F3F4F4"/>
                    <w:sz w:val="28"/>
                  </w:rPr>
                  <w:t>e</w:t>
                </w:r>
                <w:r>
                  <w:rPr>
                    <w:rFonts w:ascii="Arial"/>
                    <w:b/>
                    <w:i/>
                    <w:color w:val="F3F4F4"/>
                    <w:spacing w:val="86"/>
                    <w:sz w:val="28"/>
                  </w:rPr>
                  <w:t xml:space="preserve"> </w:t>
                </w:r>
                <w:r>
                  <w:rPr>
                    <w:rFonts w:ascii="Arial"/>
                    <w:b/>
                    <w:i/>
                    <w:color w:val="F3F4F4"/>
                    <w:sz w:val="28"/>
                  </w:rPr>
                  <w:t>m</w:t>
                </w:r>
                <w:r>
                  <w:rPr>
                    <w:rFonts w:ascii="Arial"/>
                    <w:b/>
                    <w:i/>
                    <w:color w:val="F3F4F4"/>
                    <w:spacing w:val="86"/>
                    <w:sz w:val="28"/>
                  </w:rPr>
                  <w:t xml:space="preserve"> </w:t>
                </w:r>
                <w:r>
                  <w:rPr>
                    <w:rFonts w:ascii="Arial"/>
                    <w:b/>
                    <w:i/>
                    <w:color w:val="F3F4F4"/>
                    <w:sz w:val="28"/>
                  </w:rPr>
                  <w:t>e</w:t>
                </w:r>
                <w:r>
                  <w:rPr>
                    <w:rFonts w:ascii="Arial"/>
                    <w:b/>
                    <w:i/>
                    <w:color w:val="F3F4F4"/>
                    <w:spacing w:val="85"/>
                    <w:sz w:val="28"/>
                  </w:rPr>
                  <w:t xml:space="preserve"> </w:t>
                </w:r>
                <w:r>
                  <w:rPr>
                    <w:rFonts w:ascii="Arial"/>
                    <w:b/>
                    <w:i/>
                    <w:color w:val="F3F4F4"/>
                    <w:sz w:val="28"/>
                  </w:rPr>
                  <w:t>n</w:t>
                </w:r>
                <w:r>
                  <w:rPr>
                    <w:rFonts w:ascii="Arial"/>
                    <w:b/>
                    <w:i/>
                    <w:color w:val="F3F4F4"/>
                    <w:spacing w:val="86"/>
                    <w:sz w:val="28"/>
                  </w:rPr>
                  <w:t xml:space="preserve"> </w:t>
                </w:r>
                <w:r>
                  <w:rPr>
                    <w:rFonts w:ascii="Arial"/>
                    <w:b/>
                    <w:i/>
                    <w:color w:val="F3F4F4"/>
                    <w:w w:val="105"/>
                    <w:sz w:val="28"/>
                  </w:rPr>
                  <w:t xml:space="preserve">t  </w:t>
                </w:r>
                <w:r>
                  <w:rPr>
                    <w:rFonts w:ascii="Arial"/>
                    <w:b/>
                    <w:i/>
                    <w:color w:val="F3F4F4"/>
                    <w:sz w:val="28"/>
                  </w:rPr>
                  <w:t>s</w:t>
                </w:r>
              </w:p>
            </w:txbxContent>
          </v:textbox>
          <w10:wrap anchorx="page" anchory="page"/>
        </v:shape>
      </w:pic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9369C2" w14:textId="77777777" w:rsidR="0055291C" w:rsidRDefault="0055291C">
    <w:pPr>
      <w:pStyle w:val="a3"/>
      <w:spacing w:line="14" w:lineRule="auto"/>
      <w:rPr>
        <w:sz w:val="2"/>
      </w:rP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48D4D" w14:textId="77777777" w:rsidR="0055291C" w:rsidRDefault="00000000">
    <w:pPr>
      <w:pStyle w:val="a3"/>
      <w:spacing w:line="14" w:lineRule="auto"/>
      <w:rPr>
        <w:sz w:val="20"/>
      </w:rPr>
    </w:pPr>
    <w:r>
      <w:pict w14:anchorId="58EE44C2">
        <v:shape id="docshape1454" o:spid="_x0000_s1107" style="position:absolute;margin-left:0;margin-top:0;width:297pt;height:31.8pt;z-index:-21124096;mso-position-horizontal-relative:page;mso-position-vertical-relative:page" coordsize="5940,636" path="m5940,l,,,635r5713,l5844,632r68,-25l5936,539r4,-131l5940,xe" fillcolor="#00aca1" stroked="f">
          <v:path arrowok="t"/>
          <w10:wrap anchorx="page" anchory="page"/>
        </v:shape>
      </w:pict>
    </w:r>
    <w:r>
      <w:pict w14:anchorId="47D0B452">
        <v:shapetype id="_x0000_t202" coordsize="21600,21600" o:spt="202" path="m,l,21600r21600,l21600,xe">
          <v:stroke joinstyle="miter"/>
          <v:path gradientshapeok="t" o:connecttype="rect"/>
        </v:shapetype>
        <v:shape id="docshape1455" o:spid="_x0000_s1106" type="#_x0000_t202" style="position:absolute;margin-left:55.7pt;margin-top:10.05pt;width:119.1pt;height:17.7pt;z-index:-21123584;mso-position-horizontal-relative:page;mso-position-vertical-relative:page" filled="f" stroked="f">
          <v:textbox style="mso-next-textbox:#docshape1455" inset="0,0,0,0">
            <w:txbxContent>
              <w:p w14:paraId="18D15268" w14:textId="77777777" w:rsidR="0055291C" w:rsidRDefault="00F23C61">
                <w:pPr>
                  <w:spacing w:before="18"/>
                  <w:ind w:left="20"/>
                  <w:rPr>
                    <w:rFonts w:ascii="Arial"/>
                    <w:b/>
                    <w:i/>
                    <w:sz w:val="28"/>
                  </w:rPr>
                </w:pPr>
                <w:r>
                  <w:rPr>
                    <w:rFonts w:ascii="Arial"/>
                    <w:b/>
                    <w:i/>
                    <w:color w:val="F3F4F4"/>
                    <w:sz w:val="28"/>
                  </w:rPr>
                  <w:t>g</w:t>
                </w:r>
                <w:r>
                  <w:rPr>
                    <w:rFonts w:ascii="Arial"/>
                    <w:b/>
                    <w:i/>
                    <w:color w:val="F3F4F4"/>
                    <w:spacing w:val="81"/>
                    <w:sz w:val="28"/>
                  </w:rPr>
                  <w:t xml:space="preserve"> </w:t>
                </w:r>
                <w:r>
                  <w:rPr>
                    <w:rFonts w:ascii="Arial"/>
                    <w:b/>
                    <w:i/>
                    <w:color w:val="F3F4F4"/>
                    <w:sz w:val="28"/>
                  </w:rPr>
                  <w:t>u</w:t>
                </w:r>
                <w:r>
                  <w:rPr>
                    <w:rFonts w:ascii="Arial"/>
                    <w:b/>
                    <w:i/>
                    <w:color w:val="F3F4F4"/>
                    <w:spacing w:val="82"/>
                    <w:sz w:val="28"/>
                  </w:rPr>
                  <w:t xml:space="preserve"> </w:t>
                </w:r>
                <w:proofErr w:type="spellStart"/>
                <w:r>
                  <w:rPr>
                    <w:rFonts w:ascii="Arial"/>
                    <w:b/>
                    <w:i/>
                    <w:color w:val="F3F4F4"/>
                    <w:sz w:val="28"/>
                  </w:rPr>
                  <w:t>i</w:t>
                </w:r>
                <w:proofErr w:type="spellEnd"/>
                <w:r>
                  <w:rPr>
                    <w:rFonts w:ascii="Arial"/>
                    <w:b/>
                    <w:i/>
                    <w:color w:val="F3F4F4"/>
                    <w:spacing w:val="82"/>
                    <w:sz w:val="28"/>
                  </w:rPr>
                  <w:t xml:space="preserve"> </w:t>
                </w:r>
                <w:r>
                  <w:rPr>
                    <w:rFonts w:ascii="Arial"/>
                    <w:b/>
                    <w:i/>
                    <w:color w:val="F3F4F4"/>
                    <w:sz w:val="28"/>
                  </w:rPr>
                  <w:t>d</w:t>
                </w:r>
                <w:r>
                  <w:rPr>
                    <w:rFonts w:ascii="Arial"/>
                    <w:b/>
                    <w:i/>
                    <w:color w:val="F3F4F4"/>
                    <w:spacing w:val="82"/>
                    <w:sz w:val="28"/>
                  </w:rPr>
                  <w:t xml:space="preserve"> </w:t>
                </w:r>
                <w:r>
                  <w:rPr>
                    <w:rFonts w:ascii="Arial"/>
                    <w:b/>
                    <w:i/>
                    <w:color w:val="F3F4F4"/>
                    <w:sz w:val="28"/>
                  </w:rPr>
                  <w:t>a</w:t>
                </w:r>
                <w:r>
                  <w:rPr>
                    <w:rFonts w:ascii="Arial"/>
                    <w:b/>
                    <w:i/>
                    <w:color w:val="F3F4F4"/>
                    <w:spacing w:val="81"/>
                    <w:sz w:val="28"/>
                  </w:rPr>
                  <w:t xml:space="preserve"> </w:t>
                </w:r>
                <w:r>
                  <w:rPr>
                    <w:rFonts w:ascii="Arial"/>
                    <w:b/>
                    <w:i/>
                    <w:color w:val="F3F4F4"/>
                    <w:sz w:val="28"/>
                  </w:rPr>
                  <w:t>n</w:t>
                </w:r>
                <w:r>
                  <w:rPr>
                    <w:rFonts w:ascii="Arial"/>
                    <w:b/>
                    <w:i/>
                    <w:color w:val="F3F4F4"/>
                    <w:spacing w:val="82"/>
                    <w:sz w:val="28"/>
                  </w:rPr>
                  <w:t xml:space="preserve"> </w:t>
                </w:r>
                <w:r>
                  <w:rPr>
                    <w:rFonts w:ascii="Arial"/>
                    <w:b/>
                    <w:i/>
                    <w:color w:val="F3F4F4"/>
                    <w:sz w:val="28"/>
                  </w:rPr>
                  <w:t>c</w:t>
                </w:r>
                <w:r>
                  <w:rPr>
                    <w:rFonts w:ascii="Arial"/>
                    <w:b/>
                    <w:i/>
                    <w:color w:val="F3F4F4"/>
                    <w:spacing w:val="75"/>
                    <w:sz w:val="28"/>
                  </w:rPr>
                  <w:t xml:space="preserve"> </w:t>
                </w:r>
                <w:r>
                  <w:rPr>
                    <w:rFonts w:ascii="Arial"/>
                    <w:b/>
                    <w:i/>
                    <w:color w:val="F3F4F4"/>
                    <w:sz w:val="28"/>
                  </w:rPr>
                  <w:t>e</w:t>
                </w:r>
              </w:p>
            </w:txbxContent>
          </v:textbox>
          <w10:wrap anchorx="page" anchory="page"/>
        </v:shape>
      </w:pic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44297" w14:textId="77777777" w:rsidR="0055291C" w:rsidRDefault="0055291C">
    <w:pPr>
      <w:pStyle w:val="a3"/>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43CDF"/>
    <w:multiLevelType w:val="hybridMultilevel"/>
    <w:tmpl w:val="298AE7CE"/>
    <w:lvl w:ilvl="0" w:tplc="157C87F4">
      <w:start w:val="1"/>
      <w:numFmt w:val="decimal"/>
      <w:lvlText w:val="%1"/>
      <w:lvlJc w:val="left"/>
      <w:pPr>
        <w:ind w:left="470" w:hanging="227"/>
      </w:pPr>
      <w:rPr>
        <w:rFonts w:ascii="Microsoft Sans Serif" w:eastAsia="Microsoft Sans Serif" w:hAnsi="Microsoft Sans Serif" w:cs="Microsoft Sans Serif" w:hint="default"/>
        <w:b w:val="0"/>
        <w:bCs w:val="0"/>
        <w:i w:val="0"/>
        <w:iCs w:val="0"/>
        <w:color w:val="545456"/>
        <w:w w:val="101"/>
        <w:sz w:val="16"/>
        <w:szCs w:val="16"/>
        <w:lang w:val="en-US" w:eastAsia="en-US" w:bidi="ar-S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083620D"/>
    <w:multiLevelType w:val="hybridMultilevel"/>
    <w:tmpl w:val="3794AE78"/>
    <w:lvl w:ilvl="0" w:tplc="25F4880A">
      <w:numFmt w:val="bullet"/>
      <w:lvlText w:val="•"/>
      <w:lvlJc w:val="left"/>
      <w:pPr>
        <w:ind w:left="1813" w:hanging="420"/>
      </w:pPr>
      <w:rPr>
        <w:rFonts w:ascii="Arial" w:eastAsia="Arial" w:hAnsi="Arial" w:cs="Arial" w:hint="default"/>
        <w:b/>
        <w:bCs/>
        <w:i w:val="0"/>
        <w:iCs w:val="0"/>
        <w:color w:val="00ACA1"/>
        <w:w w:val="103"/>
        <w:sz w:val="20"/>
        <w:szCs w:val="20"/>
        <w:lang w:val="en-US" w:eastAsia="en-US" w:bidi="ar-SA"/>
      </w:rPr>
    </w:lvl>
    <w:lvl w:ilvl="1" w:tplc="0409000B" w:tentative="1">
      <w:start w:val="1"/>
      <w:numFmt w:val="bullet"/>
      <w:lvlText w:val=""/>
      <w:lvlJc w:val="left"/>
      <w:pPr>
        <w:ind w:left="2233" w:hanging="420"/>
      </w:pPr>
      <w:rPr>
        <w:rFonts w:ascii="Wingdings" w:hAnsi="Wingdings" w:hint="default"/>
      </w:rPr>
    </w:lvl>
    <w:lvl w:ilvl="2" w:tplc="0409000D" w:tentative="1">
      <w:start w:val="1"/>
      <w:numFmt w:val="bullet"/>
      <w:lvlText w:val=""/>
      <w:lvlJc w:val="left"/>
      <w:pPr>
        <w:ind w:left="2653" w:hanging="420"/>
      </w:pPr>
      <w:rPr>
        <w:rFonts w:ascii="Wingdings" w:hAnsi="Wingdings" w:hint="default"/>
      </w:rPr>
    </w:lvl>
    <w:lvl w:ilvl="3" w:tplc="04090001" w:tentative="1">
      <w:start w:val="1"/>
      <w:numFmt w:val="bullet"/>
      <w:lvlText w:val=""/>
      <w:lvlJc w:val="left"/>
      <w:pPr>
        <w:ind w:left="3073" w:hanging="420"/>
      </w:pPr>
      <w:rPr>
        <w:rFonts w:ascii="Wingdings" w:hAnsi="Wingdings" w:hint="default"/>
      </w:rPr>
    </w:lvl>
    <w:lvl w:ilvl="4" w:tplc="0409000B" w:tentative="1">
      <w:start w:val="1"/>
      <w:numFmt w:val="bullet"/>
      <w:lvlText w:val=""/>
      <w:lvlJc w:val="left"/>
      <w:pPr>
        <w:ind w:left="3493" w:hanging="420"/>
      </w:pPr>
      <w:rPr>
        <w:rFonts w:ascii="Wingdings" w:hAnsi="Wingdings" w:hint="default"/>
      </w:rPr>
    </w:lvl>
    <w:lvl w:ilvl="5" w:tplc="0409000D" w:tentative="1">
      <w:start w:val="1"/>
      <w:numFmt w:val="bullet"/>
      <w:lvlText w:val=""/>
      <w:lvlJc w:val="left"/>
      <w:pPr>
        <w:ind w:left="3913" w:hanging="420"/>
      </w:pPr>
      <w:rPr>
        <w:rFonts w:ascii="Wingdings" w:hAnsi="Wingdings" w:hint="default"/>
      </w:rPr>
    </w:lvl>
    <w:lvl w:ilvl="6" w:tplc="04090001" w:tentative="1">
      <w:start w:val="1"/>
      <w:numFmt w:val="bullet"/>
      <w:lvlText w:val=""/>
      <w:lvlJc w:val="left"/>
      <w:pPr>
        <w:ind w:left="4333" w:hanging="420"/>
      </w:pPr>
      <w:rPr>
        <w:rFonts w:ascii="Wingdings" w:hAnsi="Wingdings" w:hint="default"/>
      </w:rPr>
    </w:lvl>
    <w:lvl w:ilvl="7" w:tplc="0409000B" w:tentative="1">
      <w:start w:val="1"/>
      <w:numFmt w:val="bullet"/>
      <w:lvlText w:val=""/>
      <w:lvlJc w:val="left"/>
      <w:pPr>
        <w:ind w:left="4753" w:hanging="420"/>
      </w:pPr>
      <w:rPr>
        <w:rFonts w:ascii="Wingdings" w:hAnsi="Wingdings" w:hint="default"/>
      </w:rPr>
    </w:lvl>
    <w:lvl w:ilvl="8" w:tplc="0409000D" w:tentative="1">
      <w:start w:val="1"/>
      <w:numFmt w:val="bullet"/>
      <w:lvlText w:val=""/>
      <w:lvlJc w:val="left"/>
      <w:pPr>
        <w:ind w:left="5173" w:hanging="420"/>
      </w:pPr>
      <w:rPr>
        <w:rFonts w:ascii="Wingdings" w:hAnsi="Wingdings" w:hint="default"/>
      </w:rPr>
    </w:lvl>
  </w:abstractNum>
  <w:abstractNum w:abstractNumId="2" w15:restartNumberingAfterBreak="0">
    <w:nsid w:val="00EE664E"/>
    <w:multiLevelType w:val="hybridMultilevel"/>
    <w:tmpl w:val="9B9AF976"/>
    <w:lvl w:ilvl="0" w:tplc="552CEB52">
      <w:numFmt w:val="bullet"/>
      <w:lvlText w:val="•"/>
      <w:lvlJc w:val="left"/>
      <w:pPr>
        <w:ind w:left="553" w:hanging="260"/>
      </w:pPr>
      <w:rPr>
        <w:rFonts w:ascii="Arial" w:eastAsia="Arial" w:hAnsi="Arial" w:cs="Arial" w:hint="default"/>
        <w:b/>
        <w:bCs/>
        <w:i w:val="0"/>
        <w:iCs w:val="0"/>
        <w:color w:val="00ACA1"/>
        <w:w w:val="103"/>
        <w:sz w:val="20"/>
        <w:szCs w:val="20"/>
        <w:lang w:val="en-US" w:eastAsia="en-US" w:bidi="ar-SA"/>
      </w:rPr>
    </w:lvl>
    <w:lvl w:ilvl="1" w:tplc="C4404CEC">
      <w:numFmt w:val="bullet"/>
      <w:lvlText w:val="•"/>
      <w:lvlJc w:val="left"/>
      <w:pPr>
        <w:ind w:left="1553" w:hanging="420"/>
      </w:pPr>
      <w:rPr>
        <w:rFonts w:ascii="Arial" w:eastAsia="Arial" w:hAnsi="Arial" w:cs="Arial" w:hint="default"/>
        <w:w w:val="103"/>
        <w:lang w:val="en-US" w:eastAsia="en-US" w:bidi="ar-SA"/>
      </w:rPr>
    </w:lvl>
    <w:lvl w:ilvl="2" w:tplc="DFCC1FA8">
      <w:numFmt w:val="bullet"/>
      <w:lvlText w:val="•"/>
      <w:lvlJc w:val="left"/>
      <w:pPr>
        <w:ind w:left="1644" w:hanging="256"/>
      </w:pPr>
      <w:rPr>
        <w:rFonts w:ascii="Arial" w:eastAsia="Arial" w:hAnsi="Arial" w:cs="Arial" w:hint="default"/>
        <w:b/>
        <w:bCs/>
        <w:i w:val="0"/>
        <w:iCs w:val="0"/>
        <w:color w:val="545456"/>
        <w:w w:val="103"/>
        <w:sz w:val="19"/>
        <w:szCs w:val="19"/>
        <w:lang w:val="en-US" w:eastAsia="en-US" w:bidi="ar-SA"/>
      </w:rPr>
    </w:lvl>
    <w:lvl w:ilvl="3" w:tplc="EA6237D4">
      <w:numFmt w:val="bullet"/>
      <w:lvlText w:val="•"/>
      <w:lvlJc w:val="left"/>
      <w:pPr>
        <w:ind w:left="1640" w:hanging="256"/>
      </w:pPr>
      <w:rPr>
        <w:rFonts w:hint="default"/>
        <w:lang w:val="en-US" w:eastAsia="en-US" w:bidi="ar-SA"/>
      </w:rPr>
    </w:lvl>
    <w:lvl w:ilvl="4" w:tplc="0A780B16">
      <w:numFmt w:val="bullet"/>
      <w:lvlText w:val="•"/>
      <w:lvlJc w:val="left"/>
      <w:pPr>
        <w:ind w:left="1400" w:hanging="256"/>
      </w:pPr>
      <w:rPr>
        <w:rFonts w:hint="default"/>
        <w:lang w:val="en-US" w:eastAsia="en-US" w:bidi="ar-SA"/>
      </w:rPr>
    </w:lvl>
    <w:lvl w:ilvl="5" w:tplc="B2E0D60E">
      <w:numFmt w:val="bullet"/>
      <w:lvlText w:val="•"/>
      <w:lvlJc w:val="left"/>
      <w:pPr>
        <w:ind w:left="1160" w:hanging="256"/>
      </w:pPr>
      <w:rPr>
        <w:rFonts w:hint="default"/>
        <w:lang w:val="en-US" w:eastAsia="en-US" w:bidi="ar-SA"/>
      </w:rPr>
    </w:lvl>
    <w:lvl w:ilvl="6" w:tplc="84B6D6A8">
      <w:numFmt w:val="bullet"/>
      <w:lvlText w:val="•"/>
      <w:lvlJc w:val="left"/>
      <w:pPr>
        <w:ind w:left="920" w:hanging="256"/>
      </w:pPr>
      <w:rPr>
        <w:rFonts w:hint="default"/>
        <w:lang w:val="en-US" w:eastAsia="en-US" w:bidi="ar-SA"/>
      </w:rPr>
    </w:lvl>
    <w:lvl w:ilvl="7" w:tplc="855A326C">
      <w:numFmt w:val="bullet"/>
      <w:lvlText w:val="•"/>
      <w:lvlJc w:val="left"/>
      <w:pPr>
        <w:ind w:left="680" w:hanging="256"/>
      </w:pPr>
      <w:rPr>
        <w:rFonts w:hint="default"/>
        <w:lang w:val="en-US" w:eastAsia="en-US" w:bidi="ar-SA"/>
      </w:rPr>
    </w:lvl>
    <w:lvl w:ilvl="8" w:tplc="BF06BCA6">
      <w:numFmt w:val="bullet"/>
      <w:lvlText w:val="•"/>
      <w:lvlJc w:val="left"/>
      <w:pPr>
        <w:ind w:left="440" w:hanging="256"/>
      </w:pPr>
      <w:rPr>
        <w:rFonts w:hint="default"/>
        <w:lang w:val="en-US" w:eastAsia="en-US" w:bidi="ar-SA"/>
      </w:rPr>
    </w:lvl>
  </w:abstractNum>
  <w:abstractNum w:abstractNumId="3" w15:restartNumberingAfterBreak="0">
    <w:nsid w:val="020E760D"/>
    <w:multiLevelType w:val="multilevel"/>
    <w:tmpl w:val="476EB504"/>
    <w:lvl w:ilvl="0">
      <w:start w:val="14"/>
      <w:numFmt w:val="decimal"/>
      <w:lvlText w:val="%1"/>
      <w:lvlJc w:val="left"/>
      <w:pPr>
        <w:ind w:left="1867" w:hanging="720"/>
      </w:pPr>
      <w:rPr>
        <w:rFonts w:hint="default"/>
        <w:lang w:val="en-US" w:eastAsia="en-US" w:bidi="ar-SA"/>
      </w:rPr>
    </w:lvl>
    <w:lvl w:ilvl="1">
      <w:start w:val="3"/>
      <w:numFmt w:val="decimal"/>
      <w:lvlText w:val="%1.%2"/>
      <w:lvlJc w:val="left"/>
      <w:pPr>
        <w:ind w:left="1867" w:hanging="720"/>
      </w:pPr>
      <w:rPr>
        <w:rFonts w:hint="default"/>
        <w:lang w:val="en-US" w:eastAsia="en-US" w:bidi="ar-SA"/>
      </w:rPr>
    </w:lvl>
    <w:lvl w:ilvl="2">
      <w:start w:val="1"/>
      <w:numFmt w:val="decimal"/>
      <w:lvlText w:val="%1.%2.%3"/>
      <w:lvlJc w:val="left"/>
      <w:pPr>
        <w:ind w:left="1867" w:hanging="720"/>
      </w:pPr>
      <w:rPr>
        <w:rFonts w:ascii="Arial" w:eastAsia="Arial" w:hAnsi="Arial" w:cs="Arial" w:hint="default"/>
        <w:b/>
        <w:bCs/>
        <w:i/>
        <w:iCs/>
        <w:color w:val="00B8B1"/>
        <w:w w:val="99"/>
        <w:sz w:val="20"/>
        <w:szCs w:val="20"/>
        <w:lang w:val="en-US" w:eastAsia="en-US" w:bidi="ar-SA"/>
      </w:rPr>
    </w:lvl>
    <w:lvl w:ilvl="3">
      <w:numFmt w:val="bullet"/>
      <w:lvlText w:val="•"/>
      <w:lvlJc w:val="left"/>
      <w:pPr>
        <w:ind w:left="3071" w:hanging="720"/>
      </w:pPr>
      <w:rPr>
        <w:rFonts w:hint="default"/>
        <w:lang w:val="en-US" w:eastAsia="en-US" w:bidi="ar-SA"/>
      </w:rPr>
    </w:lvl>
    <w:lvl w:ilvl="4">
      <w:numFmt w:val="bullet"/>
      <w:lvlText w:val="•"/>
      <w:lvlJc w:val="left"/>
      <w:pPr>
        <w:ind w:left="3474" w:hanging="720"/>
      </w:pPr>
      <w:rPr>
        <w:rFonts w:hint="default"/>
        <w:lang w:val="en-US" w:eastAsia="en-US" w:bidi="ar-SA"/>
      </w:rPr>
    </w:lvl>
    <w:lvl w:ilvl="5">
      <w:numFmt w:val="bullet"/>
      <w:lvlText w:val="•"/>
      <w:lvlJc w:val="left"/>
      <w:pPr>
        <w:ind w:left="3878" w:hanging="720"/>
      </w:pPr>
      <w:rPr>
        <w:rFonts w:hint="default"/>
        <w:lang w:val="en-US" w:eastAsia="en-US" w:bidi="ar-SA"/>
      </w:rPr>
    </w:lvl>
    <w:lvl w:ilvl="6">
      <w:numFmt w:val="bullet"/>
      <w:lvlText w:val="•"/>
      <w:lvlJc w:val="left"/>
      <w:pPr>
        <w:ind w:left="4282" w:hanging="720"/>
      </w:pPr>
      <w:rPr>
        <w:rFonts w:hint="default"/>
        <w:lang w:val="en-US" w:eastAsia="en-US" w:bidi="ar-SA"/>
      </w:rPr>
    </w:lvl>
    <w:lvl w:ilvl="7">
      <w:numFmt w:val="bullet"/>
      <w:lvlText w:val="•"/>
      <w:lvlJc w:val="left"/>
      <w:pPr>
        <w:ind w:left="4685" w:hanging="720"/>
      </w:pPr>
      <w:rPr>
        <w:rFonts w:hint="default"/>
        <w:lang w:val="en-US" w:eastAsia="en-US" w:bidi="ar-SA"/>
      </w:rPr>
    </w:lvl>
    <w:lvl w:ilvl="8">
      <w:numFmt w:val="bullet"/>
      <w:lvlText w:val="•"/>
      <w:lvlJc w:val="left"/>
      <w:pPr>
        <w:ind w:left="5089" w:hanging="720"/>
      </w:pPr>
      <w:rPr>
        <w:rFonts w:hint="default"/>
        <w:lang w:val="en-US" w:eastAsia="en-US" w:bidi="ar-SA"/>
      </w:rPr>
    </w:lvl>
  </w:abstractNum>
  <w:abstractNum w:abstractNumId="4" w15:restartNumberingAfterBreak="0">
    <w:nsid w:val="076424D2"/>
    <w:multiLevelType w:val="hybridMultilevel"/>
    <w:tmpl w:val="94FE6CE0"/>
    <w:lvl w:ilvl="0" w:tplc="551CA39A">
      <w:numFmt w:val="bullet"/>
      <w:lvlText w:val="–"/>
      <w:lvlJc w:val="left"/>
      <w:pPr>
        <w:ind w:left="914" w:hanging="281"/>
      </w:pPr>
      <w:rPr>
        <w:rFonts w:ascii="Arial" w:eastAsia="Arial" w:hAnsi="Arial" w:cs="Arial" w:hint="default"/>
        <w:b/>
        <w:bCs/>
        <w:i/>
        <w:iCs/>
        <w:color w:val="00ACA1"/>
        <w:w w:val="89"/>
        <w:position w:val="-14"/>
        <w:sz w:val="19"/>
        <w:szCs w:val="19"/>
        <w:lang w:val="en-US" w:eastAsia="en-US" w:bidi="ar-SA"/>
      </w:rPr>
    </w:lvl>
    <w:lvl w:ilvl="1" w:tplc="D01EAE92">
      <w:numFmt w:val="bullet"/>
      <w:lvlText w:val="•"/>
      <w:lvlJc w:val="left"/>
      <w:pPr>
        <w:ind w:left="1546" w:hanging="281"/>
      </w:pPr>
      <w:rPr>
        <w:rFonts w:hint="default"/>
        <w:lang w:val="en-US" w:eastAsia="en-US" w:bidi="ar-SA"/>
      </w:rPr>
    </w:lvl>
    <w:lvl w:ilvl="2" w:tplc="C526B564">
      <w:numFmt w:val="bullet"/>
      <w:lvlText w:val="•"/>
      <w:lvlJc w:val="left"/>
      <w:pPr>
        <w:ind w:left="2172" w:hanging="281"/>
      </w:pPr>
      <w:rPr>
        <w:rFonts w:hint="default"/>
        <w:lang w:val="en-US" w:eastAsia="en-US" w:bidi="ar-SA"/>
      </w:rPr>
    </w:lvl>
    <w:lvl w:ilvl="3" w:tplc="48D225E2">
      <w:numFmt w:val="bullet"/>
      <w:lvlText w:val="•"/>
      <w:lvlJc w:val="left"/>
      <w:pPr>
        <w:ind w:left="2798" w:hanging="281"/>
      </w:pPr>
      <w:rPr>
        <w:rFonts w:hint="default"/>
        <w:lang w:val="en-US" w:eastAsia="en-US" w:bidi="ar-SA"/>
      </w:rPr>
    </w:lvl>
    <w:lvl w:ilvl="4" w:tplc="9DD0A890">
      <w:numFmt w:val="bullet"/>
      <w:lvlText w:val="•"/>
      <w:lvlJc w:val="left"/>
      <w:pPr>
        <w:ind w:left="3424" w:hanging="281"/>
      </w:pPr>
      <w:rPr>
        <w:rFonts w:hint="default"/>
        <w:lang w:val="en-US" w:eastAsia="en-US" w:bidi="ar-SA"/>
      </w:rPr>
    </w:lvl>
    <w:lvl w:ilvl="5" w:tplc="08E48854">
      <w:numFmt w:val="bullet"/>
      <w:lvlText w:val="•"/>
      <w:lvlJc w:val="left"/>
      <w:pPr>
        <w:ind w:left="4051" w:hanging="281"/>
      </w:pPr>
      <w:rPr>
        <w:rFonts w:hint="default"/>
        <w:lang w:val="en-US" w:eastAsia="en-US" w:bidi="ar-SA"/>
      </w:rPr>
    </w:lvl>
    <w:lvl w:ilvl="6" w:tplc="7D36F262">
      <w:numFmt w:val="bullet"/>
      <w:lvlText w:val="•"/>
      <w:lvlJc w:val="left"/>
      <w:pPr>
        <w:ind w:left="4677" w:hanging="281"/>
      </w:pPr>
      <w:rPr>
        <w:rFonts w:hint="default"/>
        <w:lang w:val="en-US" w:eastAsia="en-US" w:bidi="ar-SA"/>
      </w:rPr>
    </w:lvl>
    <w:lvl w:ilvl="7" w:tplc="2B8AD934">
      <w:numFmt w:val="bullet"/>
      <w:lvlText w:val="•"/>
      <w:lvlJc w:val="left"/>
      <w:pPr>
        <w:ind w:left="5303" w:hanging="281"/>
      </w:pPr>
      <w:rPr>
        <w:rFonts w:hint="default"/>
        <w:lang w:val="en-US" w:eastAsia="en-US" w:bidi="ar-SA"/>
      </w:rPr>
    </w:lvl>
    <w:lvl w:ilvl="8" w:tplc="34506E82">
      <w:numFmt w:val="bullet"/>
      <w:lvlText w:val="•"/>
      <w:lvlJc w:val="left"/>
      <w:pPr>
        <w:ind w:left="5929" w:hanging="281"/>
      </w:pPr>
      <w:rPr>
        <w:rFonts w:hint="default"/>
        <w:lang w:val="en-US" w:eastAsia="en-US" w:bidi="ar-SA"/>
      </w:rPr>
    </w:lvl>
  </w:abstractNum>
  <w:abstractNum w:abstractNumId="5" w15:restartNumberingAfterBreak="0">
    <w:nsid w:val="07B37FC7"/>
    <w:multiLevelType w:val="hybridMultilevel"/>
    <w:tmpl w:val="7C60DC14"/>
    <w:lvl w:ilvl="0" w:tplc="0409000F">
      <w:start w:val="1"/>
      <w:numFmt w:val="decimal"/>
      <w:lvlText w:val="%1."/>
      <w:lvlJc w:val="left"/>
      <w:pPr>
        <w:ind w:left="965" w:hanging="420"/>
      </w:pPr>
    </w:lvl>
    <w:lvl w:ilvl="1" w:tplc="04090017" w:tentative="1">
      <w:start w:val="1"/>
      <w:numFmt w:val="aiueoFullWidth"/>
      <w:lvlText w:val="(%2)"/>
      <w:lvlJc w:val="left"/>
      <w:pPr>
        <w:ind w:left="1385" w:hanging="420"/>
      </w:pPr>
    </w:lvl>
    <w:lvl w:ilvl="2" w:tplc="04090011" w:tentative="1">
      <w:start w:val="1"/>
      <w:numFmt w:val="decimalEnclosedCircle"/>
      <w:lvlText w:val="%3"/>
      <w:lvlJc w:val="left"/>
      <w:pPr>
        <w:ind w:left="1805" w:hanging="420"/>
      </w:pPr>
    </w:lvl>
    <w:lvl w:ilvl="3" w:tplc="0409000F" w:tentative="1">
      <w:start w:val="1"/>
      <w:numFmt w:val="decimal"/>
      <w:lvlText w:val="%4."/>
      <w:lvlJc w:val="left"/>
      <w:pPr>
        <w:ind w:left="2225" w:hanging="420"/>
      </w:pPr>
    </w:lvl>
    <w:lvl w:ilvl="4" w:tplc="04090017" w:tentative="1">
      <w:start w:val="1"/>
      <w:numFmt w:val="aiueoFullWidth"/>
      <w:lvlText w:val="(%5)"/>
      <w:lvlJc w:val="left"/>
      <w:pPr>
        <w:ind w:left="2645" w:hanging="420"/>
      </w:pPr>
    </w:lvl>
    <w:lvl w:ilvl="5" w:tplc="04090011" w:tentative="1">
      <w:start w:val="1"/>
      <w:numFmt w:val="decimalEnclosedCircle"/>
      <w:lvlText w:val="%6"/>
      <w:lvlJc w:val="left"/>
      <w:pPr>
        <w:ind w:left="3065" w:hanging="420"/>
      </w:pPr>
    </w:lvl>
    <w:lvl w:ilvl="6" w:tplc="0409000F" w:tentative="1">
      <w:start w:val="1"/>
      <w:numFmt w:val="decimal"/>
      <w:lvlText w:val="%7."/>
      <w:lvlJc w:val="left"/>
      <w:pPr>
        <w:ind w:left="3485" w:hanging="420"/>
      </w:pPr>
    </w:lvl>
    <w:lvl w:ilvl="7" w:tplc="04090017" w:tentative="1">
      <w:start w:val="1"/>
      <w:numFmt w:val="aiueoFullWidth"/>
      <w:lvlText w:val="(%8)"/>
      <w:lvlJc w:val="left"/>
      <w:pPr>
        <w:ind w:left="3905" w:hanging="420"/>
      </w:pPr>
    </w:lvl>
    <w:lvl w:ilvl="8" w:tplc="04090011" w:tentative="1">
      <w:start w:val="1"/>
      <w:numFmt w:val="decimalEnclosedCircle"/>
      <w:lvlText w:val="%9"/>
      <w:lvlJc w:val="left"/>
      <w:pPr>
        <w:ind w:left="4325" w:hanging="420"/>
      </w:pPr>
    </w:lvl>
  </w:abstractNum>
  <w:abstractNum w:abstractNumId="6" w15:restartNumberingAfterBreak="0">
    <w:nsid w:val="08026E41"/>
    <w:multiLevelType w:val="hybridMultilevel"/>
    <w:tmpl w:val="EB9EC004"/>
    <w:lvl w:ilvl="0" w:tplc="ECD2C478">
      <w:numFmt w:val="bullet"/>
      <w:lvlText w:val="•"/>
      <w:lvlJc w:val="left"/>
      <w:pPr>
        <w:ind w:left="842" w:hanging="260"/>
      </w:pPr>
      <w:rPr>
        <w:rFonts w:ascii="Arial" w:eastAsia="Arial" w:hAnsi="Arial" w:cs="Arial" w:hint="default"/>
        <w:b/>
        <w:bCs/>
        <w:i w:val="0"/>
        <w:iCs w:val="0"/>
        <w:color w:val="00ACA1"/>
        <w:w w:val="103"/>
        <w:sz w:val="20"/>
        <w:szCs w:val="20"/>
        <w:lang w:val="en-US" w:eastAsia="en-US" w:bidi="ar-SA"/>
      </w:rPr>
    </w:lvl>
    <w:lvl w:ilvl="1" w:tplc="E49A9D34">
      <w:numFmt w:val="bullet"/>
      <w:lvlText w:val="•"/>
      <w:lvlJc w:val="left"/>
      <w:pPr>
        <w:ind w:left="1092" w:hanging="256"/>
      </w:pPr>
      <w:rPr>
        <w:rFonts w:ascii="Arial" w:eastAsia="Arial" w:hAnsi="Arial" w:cs="Arial" w:hint="default"/>
        <w:w w:val="103"/>
        <w:lang w:val="en-US" w:eastAsia="en-US" w:bidi="ar-SA"/>
      </w:rPr>
    </w:lvl>
    <w:lvl w:ilvl="2" w:tplc="64DCA04A">
      <w:numFmt w:val="bullet"/>
      <w:lvlText w:val="•"/>
      <w:lvlJc w:val="left"/>
      <w:pPr>
        <w:ind w:left="1400" w:hanging="256"/>
      </w:pPr>
      <w:rPr>
        <w:rFonts w:hint="default"/>
        <w:lang w:val="en-US" w:eastAsia="en-US" w:bidi="ar-SA"/>
      </w:rPr>
    </w:lvl>
    <w:lvl w:ilvl="3" w:tplc="B08697CE">
      <w:numFmt w:val="bullet"/>
      <w:lvlText w:val="•"/>
      <w:lvlJc w:val="left"/>
      <w:pPr>
        <w:ind w:left="1254" w:hanging="256"/>
      </w:pPr>
      <w:rPr>
        <w:rFonts w:hint="default"/>
        <w:lang w:val="en-US" w:eastAsia="en-US" w:bidi="ar-SA"/>
      </w:rPr>
    </w:lvl>
    <w:lvl w:ilvl="4" w:tplc="3FC6FFC2">
      <w:numFmt w:val="bullet"/>
      <w:lvlText w:val="•"/>
      <w:lvlJc w:val="left"/>
      <w:pPr>
        <w:ind w:left="1109" w:hanging="256"/>
      </w:pPr>
      <w:rPr>
        <w:rFonts w:hint="default"/>
        <w:lang w:val="en-US" w:eastAsia="en-US" w:bidi="ar-SA"/>
      </w:rPr>
    </w:lvl>
    <w:lvl w:ilvl="5" w:tplc="7928893A">
      <w:numFmt w:val="bullet"/>
      <w:lvlText w:val="•"/>
      <w:lvlJc w:val="left"/>
      <w:pPr>
        <w:ind w:left="963" w:hanging="256"/>
      </w:pPr>
      <w:rPr>
        <w:rFonts w:hint="default"/>
        <w:lang w:val="en-US" w:eastAsia="en-US" w:bidi="ar-SA"/>
      </w:rPr>
    </w:lvl>
    <w:lvl w:ilvl="6" w:tplc="0A3053E4">
      <w:numFmt w:val="bullet"/>
      <w:lvlText w:val="•"/>
      <w:lvlJc w:val="left"/>
      <w:pPr>
        <w:ind w:left="818" w:hanging="256"/>
      </w:pPr>
      <w:rPr>
        <w:rFonts w:hint="default"/>
        <w:lang w:val="en-US" w:eastAsia="en-US" w:bidi="ar-SA"/>
      </w:rPr>
    </w:lvl>
    <w:lvl w:ilvl="7" w:tplc="BCACC58A">
      <w:numFmt w:val="bullet"/>
      <w:lvlText w:val="•"/>
      <w:lvlJc w:val="left"/>
      <w:pPr>
        <w:ind w:left="672" w:hanging="256"/>
      </w:pPr>
      <w:rPr>
        <w:rFonts w:hint="default"/>
        <w:lang w:val="en-US" w:eastAsia="en-US" w:bidi="ar-SA"/>
      </w:rPr>
    </w:lvl>
    <w:lvl w:ilvl="8" w:tplc="FA24D134">
      <w:numFmt w:val="bullet"/>
      <w:lvlText w:val="•"/>
      <w:lvlJc w:val="left"/>
      <w:pPr>
        <w:ind w:left="527" w:hanging="256"/>
      </w:pPr>
      <w:rPr>
        <w:rFonts w:hint="default"/>
        <w:lang w:val="en-US" w:eastAsia="en-US" w:bidi="ar-SA"/>
      </w:rPr>
    </w:lvl>
  </w:abstractNum>
  <w:abstractNum w:abstractNumId="7" w15:restartNumberingAfterBreak="0">
    <w:nsid w:val="08A542C2"/>
    <w:multiLevelType w:val="hybridMultilevel"/>
    <w:tmpl w:val="0D1C3698"/>
    <w:lvl w:ilvl="0" w:tplc="0409000F">
      <w:start w:val="1"/>
      <w:numFmt w:val="decimal"/>
      <w:lvlText w:val="%1."/>
      <w:lvlJc w:val="left"/>
      <w:pPr>
        <w:ind w:left="511" w:hanging="227"/>
      </w:pPr>
      <w:rPr>
        <w:rFonts w:hint="default"/>
        <w:b w:val="0"/>
        <w:bCs w:val="0"/>
        <w:i w:val="0"/>
        <w:iCs w:val="0"/>
        <w:color w:val="545456"/>
        <w:w w:val="101"/>
        <w:sz w:val="16"/>
        <w:szCs w:val="16"/>
        <w:lang w:val="en-US" w:eastAsia="en-US" w:bidi="ar-SA"/>
      </w:rPr>
    </w:lvl>
    <w:lvl w:ilvl="1" w:tplc="FFFFFFFF">
      <w:numFmt w:val="bullet"/>
      <w:lvlText w:val="•"/>
      <w:lvlJc w:val="left"/>
      <w:pPr>
        <w:ind w:left="1318" w:hanging="260"/>
      </w:pPr>
      <w:rPr>
        <w:rFonts w:ascii="Arial" w:eastAsia="Arial" w:hAnsi="Arial" w:cs="Arial" w:hint="default"/>
        <w:b/>
        <w:bCs/>
        <w:i w:val="0"/>
        <w:iCs w:val="0"/>
        <w:color w:val="00ACA1"/>
        <w:w w:val="103"/>
        <w:sz w:val="20"/>
        <w:szCs w:val="20"/>
        <w:lang w:val="en-US" w:eastAsia="en-US" w:bidi="ar-SA"/>
      </w:rPr>
    </w:lvl>
    <w:lvl w:ilvl="2" w:tplc="FFFFFFFF">
      <w:numFmt w:val="bullet"/>
      <w:lvlText w:val="•"/>
      <w:lvlJc w:val="left"/>
      <w:pPr>
        <w:ind w:left="1871" w:hanging="260"/>
      </w:pPr>
      <w:rPr>
        <w:rFonts w:hint="default"/>
        <w:lang w:val="en-US" w:eastAsia="en-US" w:bidi="ar-SA"/>
      </w:rPr>
    </w:lvl>
    <w:lvl w:ilvl="3" w:tplc="FFFFFFFF">
      <w:numFmt w:val="bullet"/>
      <w:lvlText w:val="•"/>
      <w:lvlJc w:val="left"/>
      <w:pPr>
        <w:ind w:left="2420" w:hanging="260"/>
      </w:pPr>
      <w:rPr>
        <w:rFonts w:hint="default"/>
        <w:lang w:val="en-US" w:eastAsia="en-US" w:bidi="ar-SA"/>
      </w:rPr>
    </w:lvl>
    <w:lvl w:ilvl="4" w:tplc="FFFFFFFF">
      <w:numFmt w:val="bullet"/>
      <w:lvlText w:val="•"/>
      <w:lvlJc w:val="left"/>
      <w:pPr>
        <w:ind w:left="2969" w:hanging="260"/>
      </w:pPr>
      <w:rPr>
        <w:rFonts w:hint="default"/>
        <w:lang w:val="en-US" w:eastAsia="en-US" w:bidi="ar-SA"/>
      </w:rPr>
    </w:lvl>
    <w:lvl w:ilvl="5" w:tplc="FFFFFFFF">
      <w:numFmt w:val="bullet"/>
      <w:lvlText w:val="•"/>
      <w:lvlJc w:val="left"/>
      <w:pPr>
        <w:ind w:left="3518" w:hanging="260"/>
      </w:pPr>
      <w:rPr>
        <w:rFonts w:hint="default"/>
        <w:lang w:val="en-US" w:eastAsia="en-US" w:bidi="ar-SA"/>
      </w:rPr>
    </w:lvl>
    <w:lvl w:ilvl="6" w:tplc="FFFFFFFF">
      <w:numFmt w:val="bullet"/>
      <w:lvlText w:val="•"/>
      <w:lvlJc w:val="left"/>
      <w:pPr>
        <w:ind w:left="4067" w:hanging="260"/>
      </w:pPr>
      <w:rPr>
        <w:rFonts w:hint="default"/>
        <w:lang w:val="en-US" w:eastAsia="en-US" w:bidi="ar-SA"/>
      </w:rPr>
    </w:lvl>
    <w:lvl w:ilvl="7" w:tplc="FFFFFFFF">
      <w:numFmt w:val="bullet"/>
      <w:lvlText w:val="•"/>
      <w:lvlJc w:val="left"/>
      <w:pPr>
        <w:ind w:left="4616" w:hanging="260"/>
      </w:pPr>
      <w:rPr>
        <w:rFonts w:hint="default"/>
        <w:lang w:val="en-US" w:eastAsia="en-US" w:bidi="ar-SA"/>
      </w:rPr>
    </w:lvl>
    <w:lvl w:ilvl="8" w:tplc="FFFFFFFF">
      <w:numFmt w:val="bullet"/>
      <w:lvlText w:val="•"/>
      <w:lvlJc w:val="left"/>
      <w:pPr>
        <w:ind w:left="5165" w:hanging="260"/>
      </w:pPr>
      <w:rPr>
        <w:rFonts w:hint="default"/>
        <w:lang w:val="en-US" w:eastAsia="en-US" w:bidi="ar-SA"/>
      </w:rPr>
    </w:lvl>
  </w:abstractNum>
  <w:abstractNum w:abstractNumId="8" w15:restartNumberingAfterBreak="0">
    <w:nsid w:val="08AE1C46"/>
    <w:multiLevelType w:val="hybridMultilevel"/>
    <w:tmpl w:val="C2B41384"/>
    <w:lvl w:ilvl="0" w:tplc="29D2C9BC">
      <w:start w:val="1"/>
      <w:numFmt w:val="decimal"/>
      <w:lvlText w:val="%1."/>
      <w:lvlJc w:val="left"/>
      <w:pPr>
        <w:ind w:left="515" w:hanging="260"/>
      </w:pPr>
      <w:rPr>
        <w:rFonts w:ascii="Arial" w:eastAsia="Arial" w:hAnsi="Arial" w:cs="Arial" w:hint="default"/>
        <w:b/>
        <w:bCs/>
        <w:i w:val="0"/>
        <w:iCs w:val="0"/>
        <w:color w:val="00ACA1"/>
        <w:spacing w:val="-1"/>
        <w:w w:val="97"/>
        <w:sz w:val="20"/>
        <w:szCs w:val="20"/>
        <w:lang w:val="en-US" w:eastAsia="en-US" w:bidi="ar-SA"/>
      </w:rPr>
    </w:lvl>
    <w:lvl w:ilvl="1" w:tplc="D510496E">
      <w:numFmt w:val="bullet"/>
      <w:lvlText w:val="•"/>
      <w:lvlJc w:val="left"/>
      <w:pPr>
        <w:ind w:left="1091" w:hanging="260"/>
      </w:pPr>
      <w:rPr>
        <w:rFonts w:hint="default"/>
        <w:lang w:val="en-US" w:eastAsia="en-US" w:bidi="ar-SA"/>
      </w:rPr>
    </w:lvl>
    <w:lvl w:ilvl="2" w:tplc="8B1649F0">
      <w:numFmt w:val="bullet"/>
      <w:lvlText w:val="•"/>
      <w:lvlJc w:val="left"/>
      <w:pPr>
        <w:ind w:left="1662" w:hanging="260"/>
      </w:pPr>
      <w:rPr>
        <w:rFonts w:hint="default"/>
        <w:lang w:val="en-US" w:eastAsia="en-US" w:bidi="ar-SA"/>
      </w:rPr>
    </w:lvl>
    <w:lvl w:ilvl="3" w:tplc="E3BA0EBC">
      <w:numFmt w:val="bullet"/>
      <w:lvlText w:val="•"/>
      <w:lvlJc w:val="left"/>
      <w:pPr>
        <w:ind w:left="2234" w:hanging="260"/>
      </w:pPr>
      <w:rPr>
        <w:rFonts w:hint="default"/>
        <w:lang w:val="en-US" w:eastAsia="en-US" w:bidi="ar-SA"/>
      </w:rPr>
    </w:lvl>
    <w:lvl w:ilvl="4" w:tplc="7F323482">
      <w:numFmt w:val="bullet"/>
      <w:lvlText w:val="•"/>
      <w:lvlJc w:val="left"/>
      <w:pPr>
        <w:ind w:left="2805" w:hanging="260"/>
      </w:pPr>
      <w:rPr>
        <w:rFonts w:hint="default"/>
        <w:lang w:val="en-US" w:eastAsia="en-US" w:bidi="ar-SA"/>
      </w:rPr>
    </w:lvl>
    <w:lvl w:ilvl="5" w:tplc="DA52F95C">
      <w:numFmt w:val="bullet"/>
      <w:lvlText w:val="•"/>
      <w:lvlJc w:val="left"/>
      <w:pPr>
        <w:ind w:left="3376" w:hanging="260"/>
      </w:pPr>
      <w:rPr>
        <w:rFonts w:hint="default"/>
        <w:lang w:val="en-US" w:eastAsia="en-US" w:bidi="ar-SA"/>
      </w:rPr>
    </w:lvl>
    <w:lvl w:ilvl="6" w:tplc="E6DC098E">
      <w:numFmt w:val="bullet"/>
      <w:lvlText w:val="•"/>
      <w:lvlJc w:val="left"/>
      <w:pPr>
        <w:ind w:left="3948" w:hanging="260"/>
      </w:pPr>
      <w:rPr>
        <w:rFonts w:hint="default"/>
        <w:lang w:val="en-US" w:eastAsia="en-US" w:bidi="ar-SA"/>
      </w:rPr>
    </w:lvl>
    <w:lvl w:ilvl="7" w:tplc="E37C965C">
      <w:numFmt w:val="bullet"/>
      <w:lvlText w:val="•"/>
      <w:lvlJc w:val="left"/>
      <w:pPr>
        <w:ind w:left="4519" w:hanging="260"/>
      </w:pPr>
      <w:rPr>
        <w:rFonts w:hint="default"/>
        <w:lang w:val="en-US" w:eastAsia="en-US" w:bidi="ar-SA"/>
      </w:rPr>
    </w:lvl>
    <w:lvl w:ilvl="8" w:tplc="EFD44DBC">
      <w:numFmt w:val="bullet"/>
      <w:lvlText w:val="•"/>
      <w:lvlJc w:val="left"/>
      <w:pPr>
        <w:ind w:left="5090" w:hanging="260"/>
      </w:pPr>
      <w:rPr>
        <w:rFonts w:hint="default"/>
        <w:lang w:val="en-US" w:eastAsia="en-US" w:bidi="ar-SA"/>
      </w:rPr>
    </w:lvl>
  </w:abstractNum>
  <w:abstractNum w:abstractNumId="9" w15:restartNumberingAfterBreak="0">
    <w:nsid w:val="08D211B0"/>
    <w:multiLevelType w:val="multilevel"/>
    <w:tmpl w:val="9ECC61A6"/>
    <w:lvl w:ilvl="0">
      <w:start w:val="14"/>
      <w:numFmt w:val="decimal"/>
      <w:lvlText w:val="%1"/>
      <w:lvlJc w:val="left"/>
      <w:pPr>
        <w:ind w:left="1800" w:hanging="720"/>
      </w:pPr>
      <w:rPr>
        <w:rFonts w:hint="default"/>
        <w:lang w:val="en-US" w:eastAsia="en-US" w:bidi="ar-SA"/>
      </w:rPr>
    </w:lvl>
    <w:lvl w:ilvl="1">
      <w:start w:val="1"/>
      <w:numFmt w:val="decimal"/>
      <w:lvlText w:val="%1.%2"/>
      <w:lvlJc w:val="left"/>
      <w:pPr>
        <w:ind w:left="1800" w:hanging="720"/>
        <w:jc w:val="right"/>
      </w:pPr>
      <w:rPr>
        <w:rFonts w:ascii="Arial" w:eastAsia="Arial" w:hAnsi="Arial" w:cs="Arial" w:hint="default"/>
        <w:b/>
        <w:bCs/>
        <w:i/>
        <w:iCs/>
        <w:color w:val="00ACA1"/>
        <w:w w:val="100"/>
        <w:sz w:val="24"/>
        <w:szCs w:val="24"/>
        <w:lang w:val="en-US" w:eastAsia="en-US" w:bidi="ar-SA"/>
      </w:rPr>
    </w:lvl>
    <w:lvl w:ilvl="2">
      <w:numFmt w:val="bullet"/>
      <w:lvlText w:val="•"/>
      <w:lvlJc w:val="left"/>
      <w:pPr>
        <w:ind w:left="1533" w:hanging="227"/>
      </w:pPr>
      <w:rPr>
        <w:rFonts w:ascii="Arial" w:eastAsia="Arial" w:hAnsi="Arial" w:cs="Arial" w:hint="default"/>
        <w:b/>
        <w:bCs/>
        <w:i w:val="0"/>
        <w:iCs w:val="0"/>
        <w:color w:val="00ACA1"/>
        <w:w w:val="103"/>
        <w:sz w:val="20"/>
        <w:szCs w:val="20"/>
        <w:lang w:val="en-US" w:eastAsia="en-US" w:bidi="ar-SA"/>
      </w:rPr>
    </w:lvl>
    <w:lvl w:ilvl="3">
      <w:numFmt w:val="bullet"/>
      <w:lvlText w:val="•"/>
      <w:lvlJc w:val="left"/>
      <w:pPr>
        <w:ind w:left="2649" w:hanging="227"/>
      </w:pPr>
      <w:rPr>
        <w:rFonts w:hint="default"/>
        <w:lang w:val="en-US" w:eastAsia="en-US" w:bidi="ar-SA"/>
      </w:rPr>
    </w:lvl>
    <w:lvl w:ilvl="4">
      <w:numFmt w:val="bullet"/>
      <w:lvlText w:val="•"/>
      <w:lvlJc w:val="left"/>
      <w:pPr>
        <w:ind w:left="3074" w:hanging="227"/>
      </w:pPr>
      <w:rPr>
        <w:rFonts w:hint="default"/>
        <w:lang w:val="en-US" w:eastAsia="en-US" w:bidi="ar-SA"/>
      </w:rPr>
    </w:lvl>
    <w:lvl w:ilvl="5">
      <w:numFmt w:val="bullet"/>
      <w:lvlText w:val="•"/>
      <w:lvlJc w:val="left"/>
      <w:pPr>
        <w:ind w:left="3499" w:hanging="227"/>
      </w:pPr>
      <w:rPr>
        <w:rFonts w:hint="default"/>
        <w:lang w:val="en-US" w:eastAsia="en-US" w:bidi="ar-SA"/>
      </w:rPr>
    </w:lvl>
    <w:lvl w:ilvl="6">
      <w:numFmt w:val="bullet"/>
      <w:lvlText w:val="•"/>
      <w:lvlJc w:val="left"/>
      <w:pPr>
        <w:ind w:left="3923" w:hanging="227"/>
      </w:pPr>
      <w:rPr>
        <w:rFonts w:hint="default"/>
        <w:lang w:val="en-US" w:eastAsia="en-US" w:bidi="ar-SA"/>
      </w:rPr>
    </w:lvl>
    <w:lvl w:ilvl="7">
      <w:numFmt w:val="bullet"/>
      <w:lvlText w:val="•"/>
      <w:lvlJc w:val="left"/>
      <w:pPr>
        <w:ind w:left="4348" w:hanging="227"/>
      </w:pPr>
      <w:rPr>
        <w:rFonts w:hint="default"/>
        <w:lang w:val="en-US" w:eastAsia="en-US" w:bidi="ar-SA"/>
      </w:rPr>
    </w:lvl>
    <w:lvl w:ilvl="8">
      <w:numFmt w:val="bullet"/>
      <w:lvlText w:val="•"/>
      <w:lvlJc w:val="left"/>
      <w:pPr>
        <w:ind w:left="4773" w:hanging="227"/>
      </w:pPr>
      <w:rPr>
        <w:rFonts w:hint="default"/>
        <w:lang w:val="en-US" w:eastAsia="en-US" w:bidi="ar-SA"/>
      </w:rPr>
    </w:lvl>
  </w:abstractNum>
  <w:abstractNum w:abstractNumId="10" w15:restartNumberingAfterBreak="0">
    <w:nsid w:val="0B404E98"/>
    <w:multiLevelType w:val="hybridMultilevel"/>
    <w:tmpl w:val="D85CFE04"/>
    <w:lvl w:ilvl="0" w:tplc="6E5C44EA">
      <w:start w:val="1"/>
      <w:numFmt w:val="decimal"/>
      <w:lvlText w:val="%1."/>
      <w:lvlJc w:val="left"/>
      <w:pPr>
        <w:ind w:left="2319" w:hanging="420"/>
      </w:pPr>
      <w:rPr>
        <w:rFonts w:ascii="Arial" w:eastAsia="Arial" w:hAnsi="Arial" w:cs="Arial" w:hint="default"/>
        <w:b/>
        <w:bCs/>
        <w:i w:val="0"/>
        <w:iCs w:val="0"/>
        <w:color w:val="00ACA1"/>
        <w:spacing w:val="-1"/>
        <w:w w:val="97"/>
        <w:sz w:val="20"/>
        <w:szCs w:val="20"/>
        <w:lang w:val="en-US" w:eastAsia="en-US" w:bidi="ar-SA"/>
      </w:rPr>
    </w:lvl>
    <w:lvl w:ilvl="1" w:tplc="04090017" w:tentative="1">
      <w:start w:val="1"/>
      <w:numFmt w:val="aiueoFullWidth"/>
      <w:lvlText w:val="(%2)"/>
      <w:lvlJc w:val="left"/>
      <w:pPr>
        <w:ind w:left="2739" w:hanging="420"/>
      </w:pPr>
    </w:lvl>
    <w:lvl w:ilvl="2" w:tplc="04090011" w:tentative="1">
      <w:start w:val="1"/>
      <w:numFmt w:val="decimalEnclosedCircle"/>
      <w:lvlText w:val="%3"/>
      <w:lvlJc w:val="left"/>
      <w:pPr>
        <w:ind w:left="3159" w:hanging="420"/>
      </w:pPr>
    </w:lvl>
    <w:lvl w:ilvl="3" w:tplc="0409000F" w:tentative="1">
      <w:start w:val="1"/>
      <w:numFmt w:val="decimal"/>
      <w:lvlText w:val="%4."/>
      <w:lvlJc w:val="left"/>
      <w:pPr>
        <w:ind w:left="3579" w:hanging="420"/>
      </w:pPr>
    </w:lvl>
    <w:lvl w:ilvl="4" w:tplc="04090017" w:tentative="1">
      <w:start w:val="1"/>
      <w:numFmt w:val="aiueoFullWidth"/>
      <w:lvlText w:val="(%5)"/>
      <w:lvlJc w:val="left"/>
      <w:pPr>
        <w:ind w:left="3999" w:hanging="420"/>
      </w:pPr>
    </w:lvl>
    <w:lvl w:ilvl="5" w:tplc="04090011" w:tentative="1">
      <w:start w:val="1"/>
      <w:numFmt w:val="decimalEnclosedCircle"/>
      <w:lvlText w:val="%6"/>
      <w:lvlJc w:val="left"/>
      <w:pPr>
        <w:ind w:left="4419" w:hanging="420"/>
      </w:pPr>
    </w:lvl>
    <w:lvl w:ilvl="6" w:tplc="0409000F" w:tentative="1">
      <w:start w:val="1"/>
      <w:numFmt w:val="decimal"/>
      <w:lvlText w:val="%7."/>
      <w:lvlJc w:val="left"/>
      <w:pPr>
        <w:ind w:left="4839" w:hanging="420"/>
      </w:pPr>
    </w:lvl>
    <w:lvl w:ilvl="7" w:tplc="04090017" w:tentative="1">
      <w:start w:val="1"/>
      <w:numFmt w:val="aiueoFullWidth"/>
      <w:lvlText w:val="(%8)"/>
      <w:lvlJc w:val="left"/>
      <w:pPr>
        <w:ind w:left="5259" w:hanging="420"/>
      </w:pPr>
    </w:lvl>
    <w:lvl w:ilvl="8" w:tplc="04090011" w:tentative="1">
      <w:start w:val="1"/>
      <w:numFmt w:val="decimalEnclosedCircle"/>
      <w:lvlText w:val="%9"/>
      <w:lvlJc w:val="left"/>
      <w:pPr>
        <w:ind w:left="5679" w:hanging="420"/>
      </w:pPr>
    </w:lvl>
  </w:abstractNum>
  <w:abstractNum w:abstractNumId="11" w15:restartNumberingAfterBreak="0">
    <w:nsid w:val="0C0008C8"/>
    <w:multiLevelType w:val="multilevel"/>
    <w:tmpl w:val="2F9CF12E"/>
    <w:lvl w:ilvl="0">
      <w:start w:val="1"/>
      <w:numFmt w:val="decimal"/>
      <w:lvlText w:val="%1"/>
      <w:lvlJc w:val="left"/>
      <w:pPr>
        <w:ind w:left="471" w:hanging="227"/>
      </w:pPr>
      <w:rPr>
        <w:rFonts w:ascii="Microsoft Sans Serif" w:eastAsia="Microsoft Sans Serif" w:hAnsi="Microsoft Sans Serif" w:cs="Microsoft Sans Serif" w:hint="default"/>
        <w:b w:val="0"/>
        <w:bCs w:val="0"/>
        <w:i w:val="0"/>
        <w:iCs w:val="0"/>
        <w:color w:val="545456"/>
        <w:w w:val="101"/>
        <w:sz w:val="16"/>
        <w:szCs w:val="16"/>
        <w:lang w:val="en-US" w:eastAsia="en-US" w:bidi="ar-SA"/>
      </w:rPr>
    </w:lvl>
    <w:lvl w:ilvl="1">
      <w:start w:val="1"/>
      <w:numFmt w:val="decimal"/>
      <w:lvlText w:val="%1.%2"/>
      <w:lvlJc w:val="left"/>
      <w:pPr>
        <w:ind w:left="1853" w:hanging="720"/>
      </w:pPr>
      <w:rPr>
        <w:rFonts w:ascii="Arial" w:eastAsia="Arial" w:hAnsi="Arial" w:cs="Arial" w:hint="default"/>
        <w:b/>
        <w:bCs/>
        <w:i/>
        <w:iCs/>
        <w:color w:val="00ACA1"/>
        <w:w w:val="99"/>
        <w:sz w:val="24"/>
        <w:szCs w:val="24"/>
        <w:lang w:val="en-US" w:eastAsia="en-US" w:bidi="ar-SA"/>
      </w:rPr>
    </w:lvl>
    <w:lvl w:ilvl="2">
      <w:start w:val="1"/>
      <w:numFmt w:val="decimal"/>
      <w:lvlText w:val="%1.%2.%3"/>
      <w:lvlJc w:val="left"/>
      <w:pPr>
        <w:ind w:left="1855" w:hanging="720"/>
        <w:jc w:val="right"/>
      </w:pPr>
      <w:rPr>
        <w:rFonts w:ascii="Arial" w:eastAsia="Arial" w:hAnsi="Arial" w:cs="Arial" w:hint="default"/>
        <w:b/>
        <w:bCs/>
        <w:i/>
        <w:iCs/>
        <w:color w:val="00B8B1"/>
        <w:w w:val="99"/>
        <w:sz w:val="20"/>
        <w:szCs w:val="20"/>
        <w:lang w:val="en-US" w:eastAsia="en-US" w:bidi="ar-SA"/>
      </w:rPr>
    </w:lvl>
    <w:lvl w:ilvl="3">
      <w:numFmt w:val="bullet"/>
      <w:lvlText w:val="•"/>
      <w:lvlJc w:val="left"/>
      <w:pPr>
        <w:ind w:left="1434" w:hanging="720"/>
      </w:pPr>
      <w:rPr>
        <w:rFonts w:hint="default"/>
        <w:lang w:val="en-US" w:eastAsia="en-US" w:bidi="ar-SA"/>
      </w:rPr>
    </w:lvl>
    <w:lvl w:ilvl="4">
      <w:numFmt w:val="bullet"/>
      <w:lvlText w:val="•"/>
      <w:lvlJc w:val="left"/>
      <w:pPr>
        <w:ind w:left="1221" w:hanging="720"/>
      </w:pPr>
      <w:rPr>
        <w:rFonts w:hint="default"/>
        <w:lang w:val="en-US" w:eastAsia="en-US" w:bidi="ar-SA"/>
      </w:rPr>
    </w:lvl>
    <w:lvl w:ilvl="5">
      <w:numFmt w:val="bullet"/>
      <w:lvlText w:val="•"/>
      <w:lvlJc w:val="left"/>
      <w:pPr>
        <w:ind w:left="1008" w:hanging="720"/>
      </w:pPr>
      <w:rPr>
        <w:rFonts w:hint="default"/>
        <w:lang w:val="en-US" w:eastAsia="en-US" w:bidi="ar-SA"/>
      </w:rPr>
    </w:lvl>
    <w:lvl w:ilvl="6">
      <w:numFmt w:val="bullet"/>
      <w:lvlText w:val="•"/>
      <w:lvlJc w:val="left"/>
      <w:pPr>
        <w:ind w:left="795" w:hanging="720"/>
      </w:pPr>
      <w:rPr>
        <w:rFonts w:hint="default"/>
        <w:lang w:val="en-US" w:eastAsia="en-US" w:bidi="ar-SA"/>
      </w:rPr>
    </w:lvl>
    <w:lvl w:ilvl="7">
      <w:numFmt w:val="bullet"/>
      <w:lvlText w:val="•"/>
      <w:lvlJc w:val="left"/>
      <w:pPr>
        <w:ind w:left="582" w:hanging="720"/>
      </w:pPr>
      <w:rPr>
        <w:rFonts w:hint="default"/>
        <w:lang w:val="en-US" w:eastAsia="en-US" w:bidi="ar-SA"/>
      </w:rPr>
    </w:lvl>
    <w:lvl w:ilvl="8">
      <w:numFmt w:val="bullet"/>
      <w:lvlText w:val="•"/>
      <w:lvlJc w:val="left"/>
      <w:pPr>
        <w:ind w:left="369" w:hanging="720"/>
      </w:pPr>
      <w:rPr>
        <w:rFonts w:hint="default"/>
        <w:lang w:val="en-US" w:eastAsia="en-US" w:bidi="ar-SA"/>
      </w:rPr>
    </w:lvl>
  </w:abstractNum>
  <w:abstractNum w:abstractNumId="12" w15:restartNumberingAfterBreak="0">
    <w:nsid w:val="0C4F5D72"/>
    <w:multiLevelType w:val="hybridMultilevel"/>
    <w:tmpl w:val="649C37FA"/>
    <w:lvl w:ilvl="0" w:tplc="25F4880A">
      <w:numFmt w:val="bullet"/>
      <w:lvlText w:val="•"/>
      <w:lvlJc w:val="left"/>
      <w:pPr>
        <w:ind w:left="420" w:hanging="420"/>
      </w:pPr>
      <w:rPr>
        <w:rFonts w:ascii="Arial" w:eastAsia="Arial" w:hAnsi="Arial" w:cs="Arial" w:hint="default"/>
        <w:b/>
        <w:bCs/>
        <w:i w:val="0"/>
        <w:iCs w:val="0"/>
        <w:color w:val="00ACA1"/>
        <w:w w:val="103"/>
        <w:sz w:val="20"/>
        <w:szCs w:val="20"/>
        <w:lang w:val="en-US" w:eastAsia="en-US" w:bidi="ar-SA"/>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0C787F71"/>
    <w:multiLevelType w:val="hybridMultilevel"/>
    <w:tmpl w:val="E618B582"/>
    <w:lvl w:ilvl="0" w:tplc="25F4880A">
      <w:numFmt w:val="bullet"/>
      <w:lvlText w:val="•"/>
      <w:lvlJc w:val="left"/>
      <w:pPr>
        <w:ind w:left="924" w:hanging="420"/>
      </w:pPr>
      <w:rPr>
        <w:rFonts w:ascii="Arial" w:eastAsia="Arial" w:hAnsi="Arial" w:cs="Arial" w:hint="default"/>
        <w:b/>
        <w:bCs/>
        <w:i w:val="0"/>
        <w:iCs w:val="0"/>
        <w:color w:val="00ACA1"/>
        <w:w w:val="103"/>
        <w:sz w:val="20"/>
        <w:szCs w:val="20"/>
        <w:lang w:val="en-US" w:eastAsia="en-US" w:bidi="ar-SA"/>
      </w:rPr>
    </w:lvl>
    <w:lvl w:ilvl="1" w:tplc="0409000B" w:tentative="1">
      <w:start w:val="1"/>
      <w:numFmt w:val="bullet"/>
      <w:lvlText w:val=""/>
      <w:lvlJc w:val="left"/>
      <w:pPr>
        <w:ind w:left="1344" w:hanging="420"/>
      </w:pPr>
      <w:rPr>
        <w:rFonts w:ascii="Wingdings" w:hAnsi="Wingdings" w:hint="default"/>
      </w:rPr>
    </w:lvl>
    <w:lvl w:ilvl="2" w:tplc="0409000D" w:tentative="1">
      <w:start w:val="1"/>
      <w:numFmt w:val="bullet"/>
      <w:lvlText w:val=""/>
      <w:lvlJc w:val="left"/>
      <w:pPr>
        <w:ind w:left="1764" w:hanging="420"/>
      </w:pPr>
      <w:rPr>
        <w:rFonts w:ascii="Wingdings" w:hAnsi="Wingdings" w:hint="default"/>
      </w:rPr>
    </w:lvl>
    <w:lvl w:ilvl="3" w:tplc="04090001" w:tentative="1">
      <w:start w:val="1"/>
      <w:numFmt w:val="bullet"/>
      <w:lvlText w:val=""/>
      <w:lvlJc w:val="left"/>
      <w:pPr>
        <w:ind w:left="2184" w:hanging="420"/>
      </w:pPr>
      <w:rPr>
        <w:rFonts w:ascii="Wingdings" w:hAnsi="Wingdings" w:hint="default"/>
      </w:rPr>
    </w:lvl>
    <w:lvl w:ilvl="4" w:tplc="0409000B" w:tentative="1">
      <w:start w:val="1"/>
      <w:numFmt w:val="bullet"/>
      <w:lvlText w:val=""/>
      <w:lvlJc w:val="left"/>
      <w:pPr>
        <w:ind w:left="2604" w:hanging="420"/>
      </w:pPr>
      <w:rPr>
        <w:rFonts w:ascii="Wingdings" w:hAnsi="Wingdings" w:hint="default"/>
      </w:rPr>
    </w:lvl>
    <w:lvl w:ilvl="5" w:tplc="0409000D" w:tentative="1">
      <w:start w:val="1"/>
      <w:numFmt w:val="bullet"/>
      <w:lvlText w:val=""/>
      <w:lvlJc w:val="left"/>
      <w:pPr>
        <w:ind w:left="3024" w:hanging="420"/>
      </w:pPr>
      <w:rPr>
        <w:rFonts w:ascii="Wingdings" w:hAnsi="Wingdings" w:hint="default"/>
      </w:rPr>
    </w:lvl>
    <w:lvl w:ilvl="6" w:tplc="04090001" w:tentative="1">
      <w:start w:val="1"/>
      <w:numFmt w:val="bullet"/>
      <w:lvlText w:val=""/>
      <w:lvlJc w:val="left"/>
      <w:pPr>
        <w:ind w:left="3444" w:hanging="420"/>
      </w:pPr>
      <w:rPr>
        <w:rFonts w:ascii="Wingdings" w:hAnsi="Wingdings" w:hint="default"/>
      </w:rPr>
    </w:lvl>
    <w:lvl w:ilvl="7" w:tplc="0409000B" w:tentative="1">
      <w:start w:val="1"/>
      <w:numFmt w:val="bullet"/>
      <w:lvlText w:val=""/>
      <w:lvlJc w:val="left"/>
      <w:pPr>
        <w:ind w:left="3864" w:hanging="420"/>
      </w:pPr>
      <w:rPr>
        <w:rFonts w:ascii="Wingdings" w:hAnsi="Wingdings" w:hint="default"/>
      </w:rPr>
    </w:lvl>
    <w:lvl w:ilvl="8" w:tplc="0409000D" w:tentative="1">
      <w:start w:val="1"/>
      <w:numFmt w:val="bullet"/>
      <w:lvlText w:val=""/>
      <w:lvlJc w:val="left"/>
      <w:pPr>
        <w:ind w:left="4284" w:hanging="420"/>
      </w:pPr>
      <w:rPr>
        <w:rFonts w:ascii="Wingdings" w:hAnsi="Wingdings" w:hint="default"/>
      </w:rPr>
    </w:lvl>
  </w:abstractNum>
  <w:abstractNum w:abstractNumId="14" w15:restartNumberingAfterBreak="0">
    <w:nsid w:val="0C93176B"/>
    <w:multiLevelType w:val="hybridMultilevel"/>
    <w:tmpl w:val="45845534"/>
    <w:lvl w:ilvl="0" w:tplc="38962B56">
      <w:numFmt w:val="bullet"/>
      <w:lvlText w:val="•"/>
      <w:lvlJc w:val="left"/>
      <w:pPr>
        <w:ind w:left="198" w:hanging="199"/>
      </w:pPr>
      <w:rPr>
        <w:rFonts w:ascii="Arial" w:eastAsia="Arial" w:hAnsi="Arial" w:cs="Arial" w:hint="default"/>
        <w:b/>
        <w:bCs/>
        <w:i/>
        <w:iCs/>
        <w:color w:val="00ACA1"/>
        <w:w w:val="105"/>
        <w:sz w:val="24"/>
        <w:szCs w:val="24"/>
        <w:lang w:val="en-US" w:eastAsia="en-US" w:bidi="ar-SA"/>
      </w:rPr>
    </w:lvl>
    <w:lvl w:ilvl="1" w:tplc="06EAA2B0">
      <w:numFmt w:val="bullet"/>
      <w:lvlText w:val="•"/>
      <w:lvlJc w:val="left"/>
      <w:pPr>
        <w:ind w:left="354" w:hanging="199"/>
      </w:pPr>
      <w:rPr>
        <w:rFonts w:hint="default"/>
        <w:lang w:val="en-US" w:eastAsia="en-US" w:bidi="ar-SA"/>
      </w:rPr>
    </w:lvl>
    <w:lvl w:ilvl="2" w:tplc="C68A2F14">
      <w:numFmt w:val="bullet"/>
      <w:lvlText w:val="•"/>
      <w:lvlJc w:val="left"/>
      <w:pPr>
        <w:ind w:left="509" w:hanging="199"/>
      </w:pPr>
      <w:rPr>
        <w:rFonts w:hint="default"/>
        <w:lang w:val="en-US" w:eastAsia="en-US" w:bidi="ar-SA"/>
      </w:rPr>
    </w:lvl>
    <w:lvl w:ilvl="3" w:tplc="8FA40BC8">
      <w:numFmt w:val="bullet"/>
      <w:lvlText w:val="•"/>
      <w:lvlJc w:val="left"/>
      <w:pPr>
        <w:ind w:left="664" w:hanging="199"/>
      </w:pPr>
      <w:rPr>
        <w:rFonts w:hint="default"/>
        <w:lang w:val="en-US" w:eastAsia="en-US" w:bidi="ar-SA"/>
      </w:rPr>
    </w:lvl>
    <w:lvl w:ilvl="4" w:tplc="76E0E030">
      <w:numFmt w:val="bullet"/>
      <w:lvlText w:val="•"/>
      <w:lvlJc w:val="left"/>
      <w:pPr>
        <w:ind w:left="819" w:hanging="199"/>
      </w:pPr>
      <w:rPr>
        <w:rFonts w:hint="default"/>
        <w:lang w:val="en-US" w:eastAsia="en-US" w:bidi="ar-SA"/>
      </w:rPr>
    </w:lvl>
    <w:lvl w:ilvl="5" w:tplc="53B0FEA6">
      <w:numFmt w:val="bullet"/>
      <w:lvlText w:val="•"/>
      <w:lvlJc w:val="left"/>
      <w:pPr>
        <w:ind w:left="974" w:hanging="199"/>
      </w:pPr>
      <w:rPr>
        <w:rFonts w:hint="default"/>
        <w:lang w:val="en-US" w:eastAsia="en-US" w:bidi="ar-SA"/>
      </w:rPr>
    </w:lvl>
    <w:lvl w:ilvl="6" w:tplc="C66A6BD4">
      <w:numFmt w:val="bullet"/>
      <w:lvlText w:val="•"/>
      <w:lvlJc w:val="left"/>
      <w:pPr>
        <w:ind w:left="1129" w:hanging="199"/>
      </w:pPr>
      <w:rPr>
        <w:rFonts w:hint="default"/>
        <w:lang w:val="en-US" w:eastAsia="en-US" w:bidi="ar-SA"/>
      </w:rPr>
    </w:lvl>
    <w:lvl w:ilvl="7" w:tplc="218A086C">
      <w:numFmt w:val="bullet"/>
      <w:lvlText w:val="•"/>
      <w:lvlJc w:val="left"/>
      <w:pPr>
        <w:ind w:left="1284" w:hanging="199"/>
      </w:pPr>
      <w:rPr>
        <w:rFonts w:hint="default"/>
        <w:lang w:val="en-US" w:eastAsia="en-US" w:bidi="ar-SA"/>
      </w:rPr>
    </w:lvl>
    <w:lvl w:ilvl="8" w:tplc="8B408FAA">
      <w:numFmt w:val="bullet"/>
      <w:lvlText w:val="•"/>
      <w:lvlJc w:val="left"/>
      <w:pPr>
        <w:ind w:left="1439" w:hanging="199"/>
      </w:pPr>
      <w:rPr>
        <w:rFonts w:hint="default"/>
        <w:lang w:val="en-US" w:eastAsia="en-US" w:bidi="ar-SA"/>
      </w:rPr>
    </w:lvl>
  </w:abstractNum>
  <w:abstractNum w:abstractNumId="15" w15:restartNumberingAfterBreak="0">
    <w:nsid w:val="0CC04ADD"/>
    <w:multiLevelType w:val="hybridMultilevel"/>
    <w:tmpl w:val="CA166AB2"/>
    <w:lvl w:ilvl="0" w:tplc="25F4880A">
      <w:numFmt w:val="bullet"/>
      <w:lvlText w:val="•"/>
      <w:lvlJc w:val="left"/>
      <w:pPr>
        <w:ind w:left="922" w:hanging="420"/>
      </w:pPr>
      <w:rPr>
        <w:rFonts w:ascii="Arial" w:eastAsia="Arial" w:hAnsi="Arial" w:cs="Arial" w:hint="default"/>
        <w:b/>
        <w:bCs/>
        <w:i w:val="0"/>
        <w:iCs w:val="0"/>
        <w:color w:val="00ACA1"/>
        <w:w w:val="103"/>
        <w:sz w:val="20"/>
        <w:szCs w:val="20"/>
        <w:lang w:val="en-US" w:eastAsia="en-US" w:bidi="ar-SA"/>
      </w:rPr>
    </w:lvl>
    <w:lvl w:ilvl="1" w:tplc="0409000B" w:tentative="1">
      <w:start w:val="1"/>
      <w:numFmt w:val="bullet"/>
      <w:lvlText w:val=""/>
      <w:lvlJc w:val="left"/>
      <w:pPr>
        <w:ind w:left="1342" w:hanging="420"/>
      </w:pPr>
      <w:rPr>
        <w:rFonts w:ascii="Wingdings" w:hAnsi="Wingdings" w:hint="default"/>
      </w:rPr>
    </w:lvl>
    <w:lvl w:ilvl="2" w:tplc="0409000D" w:tentative="1">
      <w:start w:val="1"/>
      <w:numFmt w:val="bullet"/>
      <w:lvlText w:val=""/>
      <w:lvlJc w:val="left"/>
      <w:pPr>
        <w:ind w:left="1762" w:hanging="420"/>
      </w:pPr>
      <w:rPr>
        <w:rFonts w:ascii="Wingdings" w:hAnsi="Wingdings" w:hint="default"/>
      </w:rPr>
    </w:lvl>
    <w:lvl w:ilvl="3" w:tplc="04090001" w:tentative="1">
      <w:start w:val="1"/>
      <w:numFmt w:val="bullet"/>
      <w:lvlText w:val=""/>
      <w:lvlJc w:val="left"/>
      <w:pPr>
        <w:ind w:left="2182" w:hanging="420"/>
      </w:pPr>
      <w:rPr>
        <w:rFonts w:ascii="Wingdings" w:hAnsi="Wingdings" w:hint="default"/>
      </w:rPr>
    </w:lvl>
    <w:lvl w:ilvl="4" w:tplc="0409000B" w:tentative="1">
      <w:start w:val="1"/>
      <w:numFmt w:val="bullet"/>
      <w:lvlText w:val=""/>
      <w:lvlJc w:val="left"/>
      <w:pPr>
        <w:ind w:left="2602" w:hanging="420"/>
      </w:pPr>
      <w:rPr>
        <w:rFonts w:ascii="Wingdings" w:hAnsi="Wingdings" w:hint="default"/>
      </w:rPr>
    </w:lvl>
    <w:lvl w:ilvl="5" w:tplc="0409000D" w:tentative="1">
      <w:start w:val="1"/>
      <w:numFmt w:val="bullet"/>
      <w:lvlText w:val=""/>
      <w:lvlJc w:val="left"/>
      <w:pPr>
        <w:ind w:left="3022" w:hanging="420"/>
      </w:pPr>
      <w:rPr>
        <w:rFonts w:ascii="Wingdings" w:hAnsi="Wingdings" w:hint="default"/>
      </w:rPr>
    </w:lvl>
    <w:lvl w:ilvl="6" w:tplc="04090001" w:tentative="1">
      <w:start w:val="1"/>
      <w:numFmt w:val="bullet"/>
      <w:lvlText w:val=""/>
      <w:lvlJc w:val="left"/>
      <w:pPr>
        <w:ind w:left="3442" w:hanging="420"/>
      </w:pPr>
      <w:rPr>
        <w:rFonts w:ascii="Wingdings" w:hAnsi="Wingdings" w:hint="default"/>
      </w:rPr>
    </w:lvl>
    <w:lvl w:ilvl="7" w:tplc="0409000B" w:tentative="1">
      <w:start w:val="1"/>
      <w:numFmt w:val="bullet"/>
      <w:lvlText w:val=""/>
      <w:lvlJc w:val="left"/>
      <w:pPr>
        <w:ind w:left="3862" w:hanging="420"/>
      </w:pPr>
      <w:rPr>
        <w:rFonts w:ascii="Wingdings" w:hAnsi="Wingdings" w:hint="default"/>
      </w:rPr>
    </w:lvl>
    <w:lvl w:ilvl="8" w:tplc="0409000D" w:tentative="1">
      <w:start w:val="1"/>
      <w:numFmt w:val="bullet"/>
      <w:lvlText w:val=""/>
      <w:lvlJc w:val="left"/>
      <w:pPr>
        <w:ind w:left="4282" w:hanging="420"/>
      </w:pPr>
      <w:rPr>
        <w:rFonts w:ascii="Wingdings" w:hAnsi="Wingdings" w:hint="default"/>
      </w:rPr>
    </w:lvl>
  </w:abstractNum>
  <w:abstractNum w:abstractNumId="16" w15:restartNumberingAfterBreak="0">
    <w:nsid w:val="0FFC702C"/>
    <w:multiLevelType w:val="hybridMultilevel"/>
    <w:tmpl w:val="33F6E920"/>
    <w:lvl w:ilvl="0" w:tplc="360CF262">
      <w:numFmt w:val="bullet"/>
      <w:lvlText w:val="•"/>
      <w:lvlJc w:val="left"/>
      <w:pPr>
        <w:ind w:left="198" w:hanging="199"/>
      </w:pPr>
      <w:rPr>
        <w:rFonts w:ascii="Arial" w:eastAsia="Arial" w:hAnsi="Arial" w:cs="Arial" w:hint="default"/>
        <w:b/>
        <w:bCs/>
        <w:i/>
        <w:iCs/>
        <w:color w:val="00ACA1"/>
        <w:w w:val="105"/>
        <w:sz w:val="24"/>
        <w:szCs w:val="24"/>
        <w:lang w:val="en-US" w:eastAsia="en-US" w:bidi="ar-SA"/>
      </w:rPr>
    </w:lvl>
    <w:lvl w:ilvl="1" w:tplc="1D4C4F3C">
      <w:numFmt w:val="bullet"/>
      <w:lvlText w:val="•"/>
      <w:lvlJc w:val="left"/>
      <w:pPr>
        <w:ind w:left="394" w:hanging="199"/>
      </w:pPr>
      <w:rPr>
        <w:rFonts w:hint="default"/>
        <w:lang w:val="en-US" w:eastAsia="en-US" w:bidi="ar-SA"/>
      </w:rPr>
    </w:lvl>
    <w:lvl w:ilvl="2" w:tplc="3F38D7DC">
      <w:numFmt w:val="bullet"/>
      <w:lvlText w:val="•"/>
      <w:lvlJc w:val="left"/>
      <w:pPr>
        <w:ind w:left="588" w:hanging="199"/>
      </w:pPr>
      <w:rPr>
        <w:rFonts w:hint="default"/>
        <w:lang w:val="en-US" w:eastAsia="en-US" w:bidi="ar-SA"/>
      </w:rPr>
    </w:lvl>
    <w:lvl w:ilvl="3" w:tplc="D52A4384">
      <w:numFmt w:val="bullet"/>
      <w:lvlText w:val="•"/>
      <w:lvlJc w:val="left"/>
      <w:pPr>
        <w:ind w:left="783" w:hanging="199"/>
      </w:pPr>
      <w:rPr>
        <w:rFonts w:hint="default"/>
        <w:lang w:val="en-US" w:eastAsia="en-US" w:bidi="ar-SA"/>
      </w:rPr>
    </w:lvl>
    <w:lvl w:ilvl="4" w:tplc="99F6FBB2">
      <w:numFmt w:val="bullet"/>
      <w:lvlText w:val="•"/>
      <w:lvlJc w:val="left"/>
      <w:pPr>
        <w:ind w:left="977" w:hanging="199"/>
      </w:pPr>
      <w:rPr>
        <w:rFonts w:hint="default"/>
        <w:lang w:val="en-US" w:eastAsia="en-US" w:bidi="ar-SA"/>
      </w:rPr>
    </w:lvl>
    <w:lvl w:ilvl="5" w:tplc="8B8037B2">
      <w:numFmt w:val="bullet"/>
      <w:lvlText w:val="•"/>
      <w:lvlJc w:val="left"/>
      <w:pPr>
        <w:ind w:left="1172" w:hanging="199"/>
      </w:pPr>
      <w:rPr>
        <w:rFonts w:hint="default"/>
        <w:lang w:val="en-US" w:eastAsia="en-US" w:bidi="ar-SA"/>
      </w:rPr>
    </w:lvl>
    <w:lvl w:ilvl="6" w:tplc="34FE79EE">
      <w:numFmt w:val="bullet"/>
      <w:lvlText w:val="•"/>
      <w:lvlJc w:val="left"/>
      <w:pPr>
        <w:ind w:left="1366" w:hanging="199"/>
      </w:pPr>
      <w:rPr>
        <w:rFonts w:hint="default"/>
        <w:lang w:val="en-US" w:eastAsia="en-US" w:bidi="ar-SA"/>
      </w:rPr>
    </w:lvl>
    <w:lvl w:ilvl="7" w:tplc="0C125DAC">
      <w:numFmt w:val="bullet"/>
      <w:lvlText w:val="•"/>
      <w:lvlJc w:val="left"/>
      <w:pPr>
        <w:ind w:left="1561" w:hanging="199"/>
      </w:pPr>
      <w:rPr>
        <w:rFonts w:hint="default"/>
        <w:lang w:val="en-US" w:eastAsia="en-US" w:bidi="ar-SA"/>
      </w:rPr>
    </w:lvl>
    <w:lvl w:ilvl="8" w:tplc="1E38CF74">
      <w:numFmt w:val="bullet"/>
      <w:lvlText w:val="•"/>
      <w:lvlJc w:val="left"/>
      <w:pPr>
        <w:ind w:left="1755" w:hanging="199"/>
      </w:pPr>
      <w:rPr>
        <w:rFonts w:hint="default"/>
        <w:lang w:val="en-US" w:eastAsia="en-US" w:bidi="ar-SA"/>
      </w:rPr>
    </w:lvl>
  </w:abstractNum>
  <w:abstractNum w:abstractNumId="17" w15:restartNumberingAfterBreak="0">
    <w:nsid w:val="120757C8"/>
    <w:multiLevelType w:val="multilevel"/>
    <w:tmpl w:val="B004233E"/>
    <w:lvl w:ilvl="0">
      <w:start w:val="3"/>
      <w:numFmt w:val="upperLetter"/>
      <w:lvlText w:val="%1"/>
      <w:lvlJc w:val="left"/>
      <w:pPr>
        <w:ind w:left="1911" w:hanging="778"/>
      </w:pPr>
      <w:rPr>
        <w:rFonts w:hint="default"/>
        <w:lang w:val="en-US" w:eastAsia="en-US" w:bidi="ar-SA"/>
      </w:rPr>
    </w:lvl>
    <w:lvl w:ilvl="1">
      <w:start w:val="1"/>
      <w:numFmt w:val="decimal"/>
      <w:lvlText w:val="%1.%2"/>
      <w:lvlJc w:val="left"/>
      <w:pPr>
        <w:ind w:left="1911" w:hanging="778"/>
      </w:pPr>
      <w:rPr>
        <w:rFonts w:ascii="Arial" w:eastAsia="Arial" w:hAnsi="Arial" w:cs="Arial" w:hint="default"/>
        <w:b/>
        <w:bCs/>
        <w:i/>
        <w:iCs/>
        <w:color w:val="00ACA1"/>
        <w:w w:val="93"/>
        <w:sz w:val="24"/>
        <w:szCs w:val="24"/>
        <w:lang w:val="en-US" w:eastAsia="en-US" w:bidi="ar-SA"/>
      </w:rPr>
    </w:lvl>
    <w:lvl w:ilvl="2">
      <w:numFmt w:val="bullet"/>
      <w:lvlText w:val="•"/>
      <w:lvlJc w:val="left"/>
      <w:pPr>
        <w:ind w:left="2731" w:hanging="778"/>
      </w:pPr>
      <w:rPr>
        <w:rFonts w:hint="default"/>
        <w:lang w:val="en-US" w:eastAsia="en-US" w:bidi="ar-SA"/>
      </w:rPr>
    </w:lvl>
    <w:lvl w:ilvl="3">
      <w:numFmt w:val="bullet"/>
      <w:lvlText w:val="•"/>
      <w:lvlJc w:val="left"/>
      <w:pPr>
        <w:ind w:left="3137" w:hanging="778"/>
      </w:pPr>
      <w:rPr>
        <w:rFonts w:hint="default"/>
        <w:lang w:val="en-US" w:eastAsia="en-US" w:bidi="ar-SA"/>
      </w:rPr>
    </w:lvl>
    <w:lvl w:ilvl="4">
      <w:numFmt w:val="bullet"/>
      <w:lvlText w:val="•"/>
      <w:lvlJc w:val="left"/>
      <w:pPr>
        <w:ind w:left="3543" w:hanging="778"/>
      </w:pPr>
      <w:rPr>
        <w:rFonts w:hint="default"/>
        <w:lang w:val="en-US" w:eastAsia="en-US" w:bidi="ar-SA"/>
      </w:rPr>
    </w:lvl>
    <w:lvl w:ilvl="5">
      <w:numFmt w:val="bullet"/>
      <w:lvlText w:val="•"/>
      <w:lvlJc w:val="left"/>
      <w:pPr>
        <w:ind w:left="3948" w:hanging="778"/>
      </w:pPr>
      <w:rPr>
        <w:rFonts w:hint="default"/>
        <w:lang w:val="en-US" w:eastAsia="en-US" w:bidi="ar-SA"/>
      </w:rPr>
    </w:lvl>
    <w:lvl w:ilvl="6">
      <w:numFmt w:val="bullet"/>
      <w:lvlText w:val="•"/>
      <w:lvlJc w:val="left"/>
      <w:pPr>
        <w:ind w:left="4354" w:hanging="778"/>
      </w:pPr>
      <w:rPr>
        <w:rFonts w:hint="default"/>
        <w:lang w:val="en-US" w:eastAsia="en-US" w:bidi="ar-SA"/>
      </w:rPr>
    </w:lvl>
    <w:lvl w:ilvl="7">
      <w:numFmt w:val="bullet"/>
      <w:lvlText w:val="•"/>
      <w:lvlJc w:val="left"/>
      <w:pPr>
        <w:ind w:left="4760" w:hanging="778"/>
      </w:pPr>
      <w:rPr>
        <w:rFonts w:hint="default"/>
        <w:lang w:val="en-US" w:eastAsia="en-US" w:bidi="ar-SA"/>
      </w:rPr>
    </w:lvl>
    <w:lvl w:ilvl="8">
      <w:numFmt w:val="bullet"/>
      <w:lvlText w:val="•"/>
      <w:lvlJc w:val="left"/>
      <w:pPr>
        <w:ind w:left="5166" w:hanging="778"/>
      </w:pPr>
      <w:rPr>
        <w:rFonts w:hint="default"/>
        <w:lang w:val="en-US" w:eastAsia="en-US" w:bidi="ar-SA"/>
      </w:rPr>
    </w:lvl>
  </w:abstractNum>
  <w:abstractNum w:abstractNumId="18" w15:restartNumberingAfterBreak="0">
    <w:nsid w:val="14CE52D8"/>
    <w:multiLevelType w:val="hybridMultilevel"/>
    <w:tmpl w:val="E91EB56A"/>
    <w:lvl w:ilvl="0" w:tplc="25F4880A">
      <w:numFmt w:val="bullet"/>
      <w:lvlText w:val="•"/>
      <w:lvlJc w:val="left"/>
      <w:pPr>
        <w:ind w:left="1553" w:hanging="420"/>
      </w:pPr>
      <w:rPr>
        <w:rFonts w:ascii="Arial" w:eastAsia="Arial" w:hAnsi="Arial" w:cs="Arial" w:hint="default"/>
        <w:b/>
        <w:bCs/>
        <w:i w:val="0"/>
        <w:iCs w:val="0"/>
        <w:color w:val="00ACA1"/>
        <w:w w:val="103"/>
        <w:sz w:val="20"/>
        <w:szCs w:val="20"/>
        <w:lang w:val="en-US" w:eastAsia="en-US" w:bidi="ar-SA"/>
      </w:rPr>
    </w:lvl>
    <w:lvl w:ilvl="1" w:tplc="0409000B" w:tentative="1">
      <w:start w:val="1"/>
      <w:numFmt w:val="bullet"/>
      <w:lvlText w:val=""/>
      <w:lvlJc w:val="left"/>
      <w:pPr>
        <w:ind w:left="1973" w:hanging="420"/>
      </w:pPr>
      <w:rPr>
        <w:rFonts w:ascii="Wingdings" w:hAnsi="Wingdings" w:hint="default"/>
      </w:rPr>
    </w:lvl>
    <w:lvl w:ilvl="2" w:tplc="0409000D" w:tentative="1">
      <w:start w:val="1"/>
      <w:numFmt w:val="bullet"/>
      <w:lvlText w:val=""/>
      <w:lvlJc w:val="left"/>
      <w:pPr>
        <w:ind w:left="2393" w:hanging="420"/>
      </w:pPr>
      <w:rPr>
        <w:rFonts w:ascii="Wingdings" w:hAnsi="Wingdings" w:hint="default"/>
      </w:rPr>
    </w:lvl>
    <w:lvl w:ilvl="3" w:tplc="04090001" w:tentative="1">
      <w:start w:val="1"/>
      <w:numFmt w:val="bullet"/>
      <w:lvlText w:val=""/>
      <w:lvlJc w:val="left"/>
      <w:pPr>
        <w:ind w:left="2813" w:hanging="420"/>
      </w:pPr>
      <w:rPr>
        <w:rFonts w:ascii="Wingdings" w:hAnsi="Wingdings" w:hint="default"/>
      </w:rPr>
    </w:lvl>
    <w:lvl w:ilvl="4" w:tplc="0409000B" w:tentative="1">
      <w:start w:val="1"/>
      <w:numFmt w:val="bullet"/>
      <w:lvlText w:val=""/>
      <w:lvlJc w:val="left"/>
      <w:pPr>
        <w:ind w:left="3233" w:hanging="420"/>
      </w:pPr>
      <w:rPr>
        <w:rFonts w:ascii="Wingdings" w:hAnsi="Wingdings" w:hint="default"/>
      </w:rPr>
    </w:lvl>
    <w:lvl w:ilvl="5" w:tplc="0409000D" w:tentative="1">
      <w:start w:val="1"/>
      <w:numFmt w:val="bullet"/>
      <w:lvlText w:val=""/>
      <w:lvlJc w:val="left"/>
      <w:pPr>
        <w:ind w:left="3653" w:hanging="420"/>
      </w:pPr>
      <w:rPr>
        <w:rFonts w:ascii="Wingdings" w:hAnsi="Wingdings" w:hint="default"/>
      </w:rPr>
    </w:lvl>
    <w:lvl w:ilvl="6" w:tplc="04090001" w:tentative="1">
      <w:start w:val="1"/>
      <w:numFmt w:val="bullet"/>
      <w:lvlText w:val=""/>
      <w:lvlJc w:val="left"/>
      <w:pPr>
        <w:ind w:left="4073" w:hanging="420"/>
      </w:pPr>
      <w:rPr>
        <w:rFonts w:ascii="Wingdings" w:hAnsi="Wingdings" w:hint="default"/>
      </w:rPr>
    </w:lvl>
    <w:lvl w:ilvl="7" w:tplc="0409000B" w:tentative="1">
      <w:start w:val="1"/>
      <w:numFmt w:val="bullet"/>
      <w:lvlText w:val=""/>
      <w:lvlJc w:val="left"/>
      <w:pPr>
        <w:ind w:left="4493" w:hanging="420"/>
      </w:pPr>
      <w:rPr>
        <w:rFonts w:ascii="Wingdings" w:hAnsi="Wingdings" w:hint="default"/>
      </w:rPr>
    </w:lvl>
    <w:lvl w:ilvl="8" w:tplc="0409000D" w:tentative="1">
      <w:start w:val="1"/>
      <w:numFmt w:val="bullet"/>
      <w:lvlText w:val=""/>
      <w:lvlJc w:val="left"/>
      <w:pPr>
        <w:ind w:left="4913" w:hanging="420"/>
      </w:pPr>
      <w:rPr>
        <w:rFonts w:ascii="Wingdings" w:hAnsi="Wingdings" w:hint="default"/>
      </w:rPr>
    </w:lvl>
  </w:abstractNum>
  <w:abstractNum w:abstractNumId="19" w15:restartNumberingAfterBreak="0">
    <w:nsid w:val="14D55F05"/>
    <w:multiLevelType w:val="multilevel"/>
    <w:tmpl w:val="08CE4294"/>
    <w:lvl w:ilvl="0">
      <w:start w:val="7"/>
      <w:numFmt w:val="decimal"/>
      <w:lvlText w:val="%1"/>
      <w:lvlJc w:val="left"/>
      <w:pPr>
        <w:ind w:left="1853" w:hanging="720"/>
      </w:pPr>
      <w:rPr>
        <w:rFonts w:hint="default"/>
        <w:lang w:val="en-US" w:eastAsia="en-US" w:bidi="ar-SA"/>
      </w:rPr>
    </w:lvl>
    <w:lvl w:ilvl="1">
      <w:start w:val="3"/>
      <w:numFmt w:val="decimal"/>
      <w:lvlText w:val="%1.%2"/>
      <w:lvlJc w:val="left"/>
      <w:pPr>
        <w:ind w:left="1853" w:hanging="720"/>
      </w:pPr>
      <w:rPr>
        <w:rFonts w:hint="default"/>
        <w:lang w:val="en-US" w:eastAsia="en-US" w:bidi="ar-SA"/>
      </w:rPr>
    </w:lvl>
    <w:lvl w:ilvl="2">
      <w:start w:val="1"/>
      <w:numFmt w:val="decimal"/>
      <w:lvlText w:val="%1.%2.%3"/>
      <w:lvlJc w:val="left"/>
      <w:pPr>
        <w:ind w:left="1853" w:hanging="720"/>
        <w:jc w:val="right"/>
      </w:pPr>
      <w:rPr>
        <w:rFonts w:ascii="Arial" w:eastAsia="Arial" w:hAnsi="Arial" w:cs="Arial" w:hint="default"/>
        <w:b/>
        <w:bCs/>
        <w:i/>
        <w:iCs/>
        <w:color w:val="00B8B1"/>
        <w:w w:val="99"/>
        <w:sz w:val="20"/>
        <w:szCs w:val="20"/>
        <w:lang w:val="en-US" w:eastAsia="en-US" w:bidi="ar-SA"/>
      </w:rPr>
    </w:lvl>
    <w:lvl w:ilvl="3">
      <w:numFmt w:val="bullet"/>
      <w:lvlText w:val="•"/>
      <w:lvlJc w:val="left"/>
      <w:pPr>
        <w:ind w:left="3075" w:hanging="720"/>
      </w:pPr>
      <w:rPr>
        <w:rFonts w:hint="default"/>
        <w:lang w:val="en-US" w:eastAsia="en-US" w:bidi="ar-SA"/>
      </w:rPr>
    </w:lvl>
    <w:lvl w:ilvl="4">
      <w:numFmt w:val="bullet"/>
      <w:lvlText w:val="•"/>
      <w:lvlJc w:val="left"/>
      <w:pPr>
        <w:ind w:left="3480" w:hanging="720"/>
      </w:pPr>
      <w:rPr>
        <w:rFonts w:hint="default"/>
        <w:lang w:val="en-US" w:eastAsia="en-US" w:bidi="ar-SA"/>
      </w:rPr>
    </w:lvl>
    <w:lvl w:ilvl="5">
      <w:numFmt w:val="bullet"/>
      <w:lvlText w:val="•"/>
      <w:lvlJc w:val="left"/>
      <w:pPr>
        <w:ind w:left="3885" w:hanging="720"/>
      </w:pPr>
      <w:rPr>
        <w:rFonts w:hint="default"/>
        <w:lang w:val="en-US" w:eastAsia="en-US" w:bidi="ar-SA"/>
      </w:rPr>
    </w:lvl>
    <w:lvl w:ilvl="6">
      <w:numFmt w:val="bullet"/>
      <w:lvlText w:val="•"/>
      <w:lvlJc w:val="left"/>
      <w:pPr>
        <w:ind w:left="4290" w:hanging="720"/>
      </w:pPr>
      <w:rPr>
        <w:rFonts w:hint="default"/>
        <w:lang w:val="en-US" w:eastAsia="en-US" w:bidi="ar-SA"/>
      </w:rPr>
    </w:lvl>
    <w:lvl w:ilvl="7">
      <w:numFmt w:val="bullet"/>
      <w:lvlText w:val="•"/>
      <w:lvlJc w:val="left"/>
      <w:pPr>
        <w:ind w:left="4695" w:hanging="720"/>
      </w:pPr>
      <w:rPr>
        <w:rFonts w:hint="default"/>
        <w:lang w:val="en-US" w:eastAsia="en-US" w:bidi="ar-SA"/>
      </w:rPr>
    </w:lvl>
    <w:lvl w:ilvl="8">
      <w:numFmt w:val="bullet"/>
      <w:lvlText w:val="•"/>
      <w:lvlJc w:val="left"/>
      <w:pPr>
        <w:ind w:left="5100" w:hanging="720"/>
      </w:pPr>
      <w:rPr>
        <w:rFonts w:hint="default"/>
        <w:lang w:val="en-US" w:eastAsia="en-US" w:bidi="ar-SA"/>
      </w:rPr>
    </w:lvl>
  </w:abstractNum>
  <w:abstractNum w:abstractNumId="20" w15:restartNumberingAfterBreak="0">
    <w:nsid w:val="174A317C"/>
    <w:multiLevelType w:val="hybridMultilevel"/>
    <w:tmpl w:val="47C844E2"/>
    <w:lvl w:ilvl="0" w:tplc="103076A4">
      <w:start w:val="1"/>
      <w:numFmt w:val="decimal"/>
      <w:lvlText w:val="%1."/>
      <w:lvlJc w:val="left"/>
      <w:pPr>
        <w:ind w:left="1453" w:hanging="320"/>
      </w:pPr>
      <w:rPr>
        <w:rFonts w:ascii="Arial" w:eastAsia="Arial" w:hAnsi="Arial" w:cs="Arial" w:hint="default"/>
        <w:b/>
        <w:bCs/>
        <w:i w:val="0"/>
        <w:iCs w:val="0"/>
        <w:color w:val="00ACA1"/>
        <w:spacing w:val="0"/>
        <w:w w:val="97"/>
        <w:sz w:val="20"/>
        <w:szCs w:val="20"/>
        <w:lang w:val="en-US" w:eastAsia="en-US" w:bidi="ar-SA"/>
      </w:rPr>
    </w:lvl>
    <w:lvl w:ilvl="1" w:tplc="CDD63EAE">
      <w:numFmt w:val="bullet"/>
      <w:lvlText w:val="•"/>
      <w:lvlJc w:val="left"/>
      <w:pPr>
        <w:ind w:left="1906" w:hanging="320"/>
      </w:pPr>
      <w:rPr>
        <w:rFonts w:hint="default"/>
        <w:lang w:val="en-US" w:eastAsia="en-US" w:bidi="ar-SA"/>
      </w:rPr>
    </w:lvl>
    <w:lvl w:ilvl="2" w:tplc="EDAEEE2A">
      <w:numFmt w:val="bullet"/>
      <w:lvlText w:val="•"/>
      <w:lvlJc w:val="left"/>
      <w:pPr>
        <w:ind w:left="2353" w:hanging="320"/>
      </w:pPr>
      <w:rPr>
        <w:rFonts w:hint="default"/>
        <w:lang w:val="en-US" w:eastAsia="en-US" w:bidi="ar-SA"/>
      </w:rPr>
    </w:lvl>
    <w:lvl w:ilvl="3" w:tplc="75C8FAB4">
      <w:numFmt w:val="bullet"/>
      <w:lvlText w:val="•"/>
      <w:lvlJc w:val="left"/>
      <w:pPr>
        <w:ind w:left="2800" w:hanging="320"/>
      </w:pPr>
      <w:rPr>
        <w:rFonts w:hint="default"/>
        <w:lang w:val="en-US" w:eastAsia="en-US" w:bidi="ar-SA"/>
      </w:rPr>
    </w:lvl>
    <w:lvl w:ilvl="4" w:tplc="7DD82B04">
      <w:numFmt w:val="bullet"/>
      <w:lvlText w:val="•"/>
      <w:lvlJc w:val="left"/>
      <w:pPr>
        <w:ind w:left="3247" w:hanging="320"/>
      </w:pPr>
      <w:rPr>
        <w:rFonts w:hint="default"/>
        <w:lang w:val="en-US" w:eastAsia="en-US" w:bidi="ar-SA"/>
      </w:rPr>
    </w:lvl>
    <w:lvl w:ilvl="5" w:tplc="ABC65706">
      <w:numFmt w:val="bullet"/>
      <w:lvlText w:val="•"/>
      <w:lvlJc w:val="left"/>
      <w:pPr>
        <w:ind w:left="3694" w:hanging="320"/>
      </w:pPr>
      <w:rPr>
        <w:rFonts w:hint="default"/>
        <w:lang w:val="en-US" w:eastAsia="en-US" w:bidi="ar-SA"/>
      </w:rPr>
    </w:lvl>
    <w:lvl w:ilvl="6" w:tplc="D646EEF8">
      <w:numFmt w:val="bullet"/>
      <w:lvlText w:val="•"/>
      <w:lvlJc w:val="left"/>
      <w:pPr>
        <w:ind w:left="4140" w:hanging="320"/>
      </w:pPr>
      <w:rPr>
        <w:rFonts w:hint="default"/>
        <w:lang w:val="en-US" w:eastAsia="en-US" w:bidi="ar-SA"/>
      </w:rPr>
    </w:lvl>
    <w:lvl w:ilvl="7" w:tplc="2DDA654A">
      <w:numFmt w:val="bullet"/>
      <w:lvlText w:val="•"/>
      <w:lvlJc w:val="left"/>
      <w:pPr>
        <w:ind w:left="4587" w:hanging="320"/>
      </w:pPr>
      <w:rPr>
        <w:rFonts w:hint="default"/>
        <w:lang w:val="en-US" w:eastAsia="en-US" w:bidi="ar-SA"/>
      </w:rPr>
    </w:lvl>
    <w:lvl w:ilvl="8" w:tplc="490CE90A">
      <w:numFmt w:val="bullet"/>
      <w:lvlText w:val="•"/>
      <w:lvlJc w:val="left"/>
      <w:pPr>
        <w:ind w:left="5034" w:hanging="320"/>
      </w:pPr>
      <w:rPr>
        <w:rFonts w:hint="default"/>
        <w:lang w:val="en-US" w:eastAsia="en-US" w:bidi="ar-SA"/>
      </w:rPr>
    </w:lvl>
  </w:abstractNum>
  <w:abstractNum w:abstractNumId="21" w15:restartNumberingAfterBreak="0">
    <w:nsid w:val="188E2370"/>
    <w:multiLevelType w:val="hybridMultilevel"/>
    <w:tmpl w:val="D43CBB48"/>
    <w:lvl w:ilvl="0" w:tplc="0409000F">
      <w:start w:val="1"/>
      <w:numFmt w:val="decimal"/>
      <w:lvlText w:val="%1."/>
      <w:lvlJc w:val="left"/>
      <w:pPr>
        <w:ind w:left="420" w:hanging="420"/>
      </w:pPr>
    </w:lvl>
    <w:lvl w:ilvl="1" w:tplc="85DCCED2">
      <w:numFmt w:val="bullet"/>
      <w:lvlText w:val="-"/>
      <w:lvlJc w:val="left"/>
      <w:pPr>
        <w:ind w:left="780" w:hanging="360"/>
      </w:pPr>
      <w:rPr>
        <w:rFonts w:ascii="Microsoft Sans Serif" w:eastAsia="Microsoft Sans Serif" w:hAnsi="Microsoft Sans Serif" w:cs="Microsoft Sans Serif"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1A7F1D3A"/>
    <w:multiLevelType w:val="hybridMultilevel"/>
    <w:tmpl w:val="C0EA841C"/>
    <w:lvl w:ilvl="0" w:tplc="92EE2A7C">
      <w:numFmt w:val="bullet"/>
      <w:lvlText w:val="•"/>
      <w:lvlJc w:val="left"/>
      <w:pPr>
        <w:ind w:left="252" w:hanging="253"/>
      </w:pPr>
      <w:rPr>
        <w:rFonts w:ascii="Arial" w:eastAsia="Arial" w:hAnsi="Arial" w:cs="Arial" w:hint="default"/>
        <w:b/>
        <w:bCs/>
        <w:i/>
        <w:iCs/>
        <w:color w:val="00ACA1"/>
        <w:w w:val="104"/>
        <w:sz w:val="24"/>
        <w:szCs w:val="24"/>
        <w:lang w:val="en-US" w:eastAsia="en-US" w:bidi="ar-SA"/>
      </w:rPr>
    </w:lvl>
    <w:lvl w:ilvl="1" w:tplc="3C12E1CA">
      <w:numFmt w:val="bullet"/>
      <w:lvlText w:val="•"/>
      <w:lvlJc w:val="left"/>
      <w:pPr>
        <w:ind w:left="439" w:hanging="253"/>
      </w:pPr>
      <w:rPr>
        <w:rFonts w:hint="default"/>
        <w:lang w:val="en-US" w:eastAsia="en-US" w:bidi="ar-SA"/>
      </w:rPr>
    </w:lvl>
    <w:lvl w:ilvl="2" w:tplc="AD08A8BC">
      <w:numFmt w:val="bullet"/>
      <w:lvlText w:val="•"/>
      <w:lvlJc w:val="left"/>
      <w:pPr>
        <w:ind w:left="618" w:hanging="253"/>
      </w:pPr>
      <w:rPr>
        <w:rFonts w:hint="default"/>
        <w:lang w:val="en-US" w:eastAsia="en-US" w:bidi="ar-SA"/>
      </w:rPr>
    </w:lvl>
    <w:lvl w:ilvl="3" w:tplc="AFC0FD56">
      <w:numFmt w:val="bullet"/>
      <w:lvlText w:val="•"/>
      <w:lvlJc w:val="left"/>
      <w:pPr>
        <w:ind w:left="798" w:hanging="253"/>
      </w:pPr>
      <w:rPr>
        <w:rFonts w:hint="default"/>
        <w:lang w:val="en-US" w:eastAsia="en-US" w:bidi="ar-SA"/>
      </w:rPr>
    </w:lvl>
    <w:lvl w:ilvl="4" w:tplc="7C78914C">
      <w:numFmt w:val="bullet"/>
      <w:lvlText w:val="•"/>
      <w:lvlJc w:val="left"/>
      <w:pPr>
        <w:ind w:left="977" w:hanging="253"/>
      </w:pPr>
      <w:rPr>
        <w:rFonts w:hint="default"/>
        <w:lang w:val="en-US" w:eastAsia="en-US" w:bidi="ar-SA"/>
      </w:rPr>
    </w:lvl>
    <w:lvl w:ilvl="5" w:tplc="87CAE822">
      <w:numFmt w:val="bullet"/>
      <w:lvlText w:val="•"/>
      <w:lvlJc w:val="left"/>
      <w:pPr>
        <w:ind w:left="1157" w:hanging="253"/>
      </w:pPr>
      <w:rPr>
        <w:rFonts w:hint="default"/>
        <w:lang w:val="en-US" w:eastAsia="en-US" w:bidi="ar-SA"/>
      </w:rPr>
    </w:lvl>
    <w:lvl w:ilvl="6" w:tplc="098A5414">
      <w:numFmt w:val="bullet"/>
      <w:lvlText w:val="•"/>
      <w:lvlJc w:val="left"/>
      <w:pPr>
        <w:ind w:left="1336" w:hanging="253"/>
      </w:pPr>
      <w:rPr>
        <w:rFonts w:hint="default"/>
        <w:lang w:val="en-US" w:eastAsia="en-US" w:bidi="ar-SA"/>
      </w:rPr>
    </w:lvl>
    <w:lvl w:ilvl="7" w:tplc="D70EBD8C">
      <w:numFmt w:val="bullet"/>
      <w:lvlText w:val="•"/>
      <w:lvlJc w:val="left"/>
      <w:pPr>
        <w:ind w:left="1515" w:hanging="253"/>
      </w:pPr>
      <w:rPr>
        <w:rFonts w:hint="default"/>
        <w:lang w:val="en-US" w:eastAsia="en-US" w:bidi="ar-SA"/>
      </w:rPr>
    </w:lvl>
    <w:lvl w:ilvl="8" w:tplc="2CD8C0CA">
      <w:numFmt w:val="bullet"/>
      <w:lvlText w:val="•"/>
      <w:lvlJc w:val="left"/>
      <w:pPr>
        <w:ind w:left="1695" w:hanging="253"/>
      </w:pPr>
      <w:rPr>
        <w:rFonts w:hint="default"/>
        <w:lang w:val="en-US" w:eastAsia="en-US" w:bidi="ar-SA"/>
      </w:rPr>
    </w:lvl>
  </w:abstractNum>
  <w:abstractNum w:abstractNumId="23" w15:restartNumberingAfterBreak="0">
    <w:nsid w:val="1B1D6B48"/>
    <w:multiLevelType w:val="hybridMultilevel"/>
    <w:tmpl w:val="9B9679D2"/>
    <w:lvl w:ilvl="0" w:tplc="0409000F">
      <w:start w:val="1"/>
      <w:numFmt w:val="decimal"/>
      <w:lvlText w:val="%1."/>
      <w:lvlJc w:val="left"/>
      <w:pPr>
        <w:ind w:left="663" w:hanging="420"/>
      </w:pPr>
    </w:lvl>
    <w:lvl w:ilvl="1" w:tplc="04090017" w:tentative="1">
      <w:start w:val="1"/>
      <w:numFmt w:val="aiueoFullWidth"/>
      <w:lvlText w:val="(%2)"/>
      <w:lvlJc w:val="left"/>
      <w:pPr>
        <w:ind w:left="1083" w:hanging="420"/>
      </w:pPr>
    </w:lvl>
    <w:lvl w:ilvl="2" w:tplc="04090011" w:tentative="1">
      <w:start w:val="1"/>
      <w:numFmt w:val="decimalEnclosedCircle"/>
      <w:lvlText w:val="%3"/>
      <w:lvlJc w:val="left"/>
      <w:pPr>
        <w:ind w:left="1503" w:hanging="420"/>
      </w:pPr>
    </w:lvl>
    <w:lvl w:ilvl="3" w:tplc="0409000F" w:tentative="1">
      <w:start w:val="1"/>
      <w:numFmt w:val="decimal"/>
      <w:lvlText w:val="%4."/>
      <w:lvlJc w:val="left"/>
      <w:pPr>
        <w:ind w:left="1923" w:hanging="420"/>
      </w:pPr>
    </w:lvl>
    <w:lvl w:ilvl="4" w:tplc="04090017" w:tentative="1">
      <w:start w:val="1"/>
      <w:numFmt w:val="aiueoFullWidth"/>
      <w:lvlText w:val="(%5)"/>
      <w:lvlJc w:val="left"/>
      <w:pPr>
        <w:ind w:left="2343" w:hanging="420"/>
      </w:pPr>
    </w:lvl>
    <w:lvl w:ilvl="5" w:tplc="04090011" w:tentative="1">
      <w:start w:val="1"/>
      <w:numFmt w:val="decimalEnclosedCircle"/>
      <w:lvlText w:val="%6"/>
      <w:lvlJc w:val="left"/>
      <w:pPr>
        <w:ind w:left="2763" w:hanging="420"/>
      </w:pPr>
    </w:lvl>
    <w:lvl w:ilvl="6" w:tplc="0409000F" w:tentative="1">
      <w:start w:val="1"/>
      <w:numFmt w:val="decimal"/>
      <w:lvlText w:val="%7."/>
      <w:lvlJc w:val="left"/>
      <w:pPr>
        <w:ind w:left="3183" w:hanging="420"/>
      </w:pPr>
    </w:lvl>
    <w:lvl w:ilvl="7" w:tplc="04090017" w:tentative="1">
      <w:start w:val="1"/>
      <w:numFmt w:val="aiueoFullWidth"/>
      <w:lvlText w:val="(%8)"/>
      <w:lvlJc w:val="left"/>
      <w:pPr>
        <w:ind w:left="3603" w:hanging="420"/>
      </w:pPr>
    </w:lvl>
    <w:lvl w:ilvl="8" w:tplc="04090011" w:tentative="1">
      <w:start w:val="1"/>
      <w:numFmt w:val="decimalEnclosedCircle"/>
      <w:lvlText w:val="%9"/>
      <w:lvlJc w:val="left"/>
      <w:pPr>
        <w:ind w:left="4023" w:hanging="420"/>
      </w:pPr>
    </w:lvl>
  </w:abstractNum>
  <w:abstractNum w:abstractNumId="24" w15:restartNumberingAfterBreak="0">
    <w:nsid w:val="1B4B36AD"/>
    <w:multiLevelType w:val="hybridMultilevel"/>
    <w:tmpl w:val="17349720"/>
    <w:lvl w:ilvl="0" w:tplc="25F4880A">
      <w:numFmt w:val="bullet"/>
      <w:lvlText w:val="•"/>
      <w:lvlJc w:val="left"/>
      <w:pPr>
        <w:ind w:left="840" w:hanging="420"/>
      </w:pPr>
      <w:rPr>
        <w:rFonts w:ascii="Arial" w:eastAsia="Arial" w:hAnsi="Arial" w:cs="Arial" w:hint="default"/>
        <w:b/>
        <w:bCs/>
        <w:i w:val="0"/>
        <w:iCs w:val="0"/>
        <w:color w:val="00ACA1"/>
        <w:w w:val="103"/>
        <w:sz w:val="20"/>
        <w:szCs w:val="20"/>
        <w:lang w:val="en-US" w:eastAsia="en-US" w:bidi="ar-SA"/>
      </w:rPr>
    </w:lvl>
    <w:lvl w:ilvl="1" w:tplc="25F4880A">
      <w:numFmt w:val="bullet"/>
      <w:lvlText w:val="•"/>
      <w:lvlJc w:val="left"/>
      <w:pPr>
        <w:ind w:left="1260" w:hanging="420"/>
      </w:pPr>
      <w:rPr>
        <w:rFonts w:ascii="Arial" w:eastAsia="Arial" w:hAnsi="Arial" w:cs="Arial" w:hint="default"/>
        <w:b/>
        <w:bCs/>
        <w:i w:val="0"/>
        <w:iCs w:val="0"/>
        <w:color w:val="00ACA1"/>
        <w:w w:val="103"/>
        <w:sz w:val="20"/>
        <w:szCs w:val="20"/>
        <w:lang w:val="en-US" w:eastAsia="en-US" w:bidi="ar-SA"/>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5" w15:restartNumberingAfterBreak="0">
    <w:nsid w:val="1C546874"/>
    <w:multiLevelType w:val="hybridMultilevel"/>
    <w:tmpl w:val="5C44F2B2"/>
    <w:lvl w:ilvl="0" w:tplc="25F4880A">
      <w:numFmt w:val="bullet"/>
      <w:lvlText w:val="•"/>
      <w:lvlJc w:val="left"/>
      <w:pPr>
        <w:ind w:left="561" w:hanging="420"/>
      </w:pPr>
      <w:rPr>
        <w:rFonts w:ascii="Arial" w:eastAsia="Arial" w:hAnsi="Arial" w:cs="Arial" w:hint="default"/>
        <w:b/>
        <w:bCs/>
        <w:i w:val="0"/>
        <w:iCs w:val="0"/>
        <w:color w:val="00ACA1"/>
        <w:w w:val="103"/>
        <w:sz w:val="20"/>
        <w:szCs w:val="20"/>
        <w:lang w:val="en-US" w:eastAsia="en-US" w:bidi="ar-SA"/>
      </w:rPr>
    </w:lvl>
    <w:lvl w:ilvl="1" w:tplc="0409000B" w:tentative="1">
      <w:start w:val="1"/>
      <w:numFmt w:val="bullet"/>
      <w:lvlText w:val=""/>
      <w:lvlJc w:val="left"/>
      <w:pPr>
        <w:ind w:left="981" w:hanging="420"/>
      </w:pPr>
      <w:rPr>
        <w:rFonts w:ascii="Wingdings" w:hAnsi="Wingdings" w:hint="default"/>
      </w:rPr>
    </w:lvl>
    <w:lvl w:ilvl="2" w:tplc="0409000D" w:tentative="1">
      <w:start w:val="1"/>
      <w:numFmt w:val="bullet"/>
      <w:lvlText w:val=""/>
      <w:lvlJc w:val="left"/>
      <w:pPr>
        <w:ind w:left="1401" w:hanging="420"/>
      </w:pPr>
      <w:rPr>
        <w:rFonts w:ascii="Wingdings" w:hAnsi="Wingdings" w:hint="default"/>
      </w:rPr>
    </w:lvl>
    <w:lvl w:ilvl="3" w:tplc="04090001" w:tentative="1">
      <w:start w:val="1"/>
      <w:numFmt w:val="bullet"/>
      <w:lvlText w:val=""/>
      <w:lvlJc w:val="left"/>
      <w:pPr>
        <w:ind w:left="1821" w:hanging="420"/>
      </w:pPr>
      <w:rPr>
        <w:rFonts w:ascii="Wingdings" w:hAnsi="Wingdings" w:hint="default"/>
      </w:rPr>
    </w:lvl>
    <w:lvl w:ilvl="4" w:tplc="0409000B" w:tentative="1">
      <w:start w:val="1"/>
      <w:numFmt w:val="bullet"/>
      <w:lvlText w:val=""/>
      <w:lvlJc w:val="left"/>
      <w:pPr>
        <w:ind w:left="2241" w:hanging="420"/>
      </w:pPr>
      <w:rPr>
        <w:rFonts w:ascii="Wingdings" w:hAnsi="Wingdings" w:hint="default"/>
      </w:rPr>
    </w:lvl>
    <w:lvl w:ilvl="5" w:tplc="0409000D" w:tentative="1">
      <w:start w:val="1"/>
      <w:numFmt w:val="bullet"/>
      <w:lvlText w:val=""/>
      <w:lvlJc w:val="left"/>
      <w:pPr>
        <w:ind w:left="2661" w:hanging="420"/>
      </w:pPr>
      <w:rPr>
        <w:rFonts w:ascii="Wingdings" w:hAnsi="Wingdings" w:hint="default"/>
      </w:rPr>
    </w:lvl>
    <w:lvl w:ilvl="6" w:tplc="04090001" w:tentative="1">
      <w:start w:val="1"/>
      <w:numFmt w:val="bullet"/>
      <w:lvlText w:val=""/>
      <w:lvlJc w:val="left"/>
      <w:pPr>
        <w:ind w:left="3081" w:hanging="420"/>
      </w:pPr>
      <w:rPr>
        <w:rFonts w:ascii="Wingdings" w:hAnsi="Wingdings" w:hint="default"/>
      </w:rPr>
    </w:lvl>
    <w:lvl w:ilvl="7" w:tplc="0409000B" w:tentative="1">
      <w:start w:val="1"/>
      <w:numFmt w:val="bullet"/>
      <w:lvlText w:val=""/>
      <w:lvlJc w:val="left"/>
      <w:pPr>
        <w:ind w:left="3501" w:hanging="420"/>
      </w:pPr>
      <w:rPr>
        <w:rFonts w:ascii="Wingdings" w:hAnsi="Wingdings" w:hint="default"/>
      </w:rPr>
    </w:lvl>
    <w:lvl w:ilvl="8" w:tplc="0409000D" w:tentative="1">
      <w:start w:val="1"/>
      <w:numFmt w:val="bullet"/>
      <w:lvlText w:val=""/>
      <w:lvlJc w:val="left"/>
      <w:pPr>
        <w:ind w:left="3921" w:hanging="420"/>
      </w:pPr>
      <w:rPr>
        <w:rFonts w:ascii="Wingdings" w:hAnsi="Wingdings" w:hint="default"/>
      </w:rPr>
    </w:lvl>
  </w:abstractNum>
  <w:abstractNum w:abstractNumId="26" w15:restartNumberingAfterBreak="0">
    <w:nsid w:val="1D161AFE"/>
    <w:multiLevelType w:val="multilevel"/>
    <w:tmpl w:val="862476E8"/>
    <w:lvl w:ilvl="0">
      <w:start w:val="3"/>
      <w:numFmt w:val="decimal"/>
      <w:lvlText w:val="%1"/>
      <w:lvlJc w:val="left"/>
      <w:pPr>
        <w:ind w:left="1360" w:hanging="227"/>
        <w:jc w:val="right"/>
      </w:pPr>
      <w:rPr>
        <w:rFonts w:ascii="Microsoft Sans Serif" w:eastAsia="Microsoft Sans Serif" w:hAnsi="Microsoft Sans Serif" w:cs="Microsoft Sans Serif" w:hint="default"/>
        <w:b w:val="0"/>
        <w:bCs w:val="0"/>
        <w:i w:val="0"/>
        <w:iCs w:val="0"/>
        <w:color w:val="545456"/>
        <w:w w:val="101"/>
        <w:sz w:val="16"/>
        <w:szCs w:val="16"/>
        <w:lang w:val="en-US" w:eastAsia="en-US" w:bidi="ar-SA"/>
      </w:rPr>
    </w:lvl>
    <w:lvl w:ilvl="1">
      <w:start w:val="10"/>
      <w:numFmt w:val="decimal"/>
      <w:lvlText w:val="%2"/>
      <w:lvlJc w:val="left"/>
      <w:pPr>
        <w:ind w:left="2415" w:hanging="1288"/>
      </w:pPr>
      <w:rPr>
        <w:rFonts w:ascii="Arial" w:eastAsia="Arial" w:hAnsi="Arial" w:cs="Arial" w:hint="default"/>
        <w:b/>
        <w:bCs/>
        <w:i/>
        <w:iCs/>
        <w:color w:val="F3F4F4"/>
        <w:w w:val="102"/>
        <w:position w:val="-14"/>
        <w:sz w:val="64"/>
        <w:szCs w:val="64"/>
        <w:lang w:val="en-US" w:eastAsia="en-US" w:bidi="ar-SA"/>
      </w:rPr>
    </w:lvl>
    <w:lvl w:ilvl="2">
      <w:start w:val="1"/>
      <w:numFmt w:val="decimal"/>
      <w:lvlText w:val="%2.%3"/>
      <w:lvlJc w:val="left"/>
      <w:pPr>
        <w:ind w:left="1853" w:hanging="720"/>
        <w:jc w:val="right"/>
      </w:pPr>
      <w:rPr>
        <w:rFonts w:ascii="Arial" w:eastAsia="Arial" w:hAnsi="Arial" w:cs="Arial" w:hint="default"/>
        <w:b/>
        <w:bCs/>
        <w:i/>
        <w:iCs/>
        <w:color w:val="00ACA1"/>
        <w:w w:val="100"/>
        <w:sz w:val="24"/>
        <w:szCs w:val="24"/>
        <w:lang w:val="en-US" w:eastAsia="en-US" w:bidi="ar-SA"/>
      </w:rPr>
    </w:lvl>
    <w:lvl w:ilvl="3">
      <w:start w:val="1"/>
      <w:numFmt w:val="decimal"/>
      <w:lvlText w:val="%2.%3.%4"/>
      <w:lvlJc w:val="left"/>
      <w:pPr>
        <w:ind w:left="1133" w:hanging="720"/>
        <w:jc w:val="right"/>
      </w:pPr>
      <w:rPr>
        <w:rFonts w:ascii="Arial" w:eastAsia="Arial" w:hAnsi="Arial" w:cs="Arial" w:hint="default"/>
        <w:b/>
        <w:bCs/>
        <w:i/>
        <w:iCs/>
        <w:color w:val="00B8B1"/>
        <w:w w:val="99"/>
        <w:sz w:val="20"/>
        <w:szCs w:val="20"/>
        <w:lang w:val="en-US" w:eastAsia="en-US" w:bidi="ar-SA"/>
      </w:rPr>
    </w:lvl>
    <w:lvl w:ilvl="4">
      <w:start w:val="1"/>
      <w:numFmt w:val="decimal"/>
      <w:lvlText w:val="%5"/>
      <w:lvlJc w:val="left"/>
      <w:pPr>
        <w:ind w:left="583" w:hanging="227"/>
      </w:pPr>
      <w:rPr>
        <w:rFonts w:ascii="Microsoft Sans Serif" w:eastAsia="Microsoft Sans Serif" w:hAnsi="Microsoft Sans Serif" w:cs="Microsoft Sans Serif" w:hint="default"/>
        <w:b w:val="0"/>
        <w:bCs w:val="0"/>
        <w:i w:val="0"/>
        <w:iCs w:val="0"/>
        <w:color w:val="545456"/>
        <w:w w:val="101"/>
        <w:sz w:val="16"/>
        <w:szCs w:val="16"/>
        <w:lang w:val="en-US" w:eastAsia="en-US" w:bidi="ar-SA"/>
      </w:rPr>
    </w:lvl>
    <w:lvl w:ilvl="5">
      <w:start w:val="11"/>
      <w:numFmt w:val="decimal"/>
      <w:lvlText w:val="%6"/>
      <w:lvlJc w:val="left"/>
      <w:pPr>
        <w:ind w:left="2415" w:hanging="1288"/>
      </w:pPr>
      <w:rPr>
        <w:rFonts w:ascii="Arial" w:eastAsia="Arial" w:hAnsi="Arial" w:cs="Arial" w:hint="default"/>
        <w:b/>
        <w:bCs/>
        <w:i/>
        <w:iCs/>
        <w:color w:val="F3F4F4"/>
        <w:w w:val="102"/>
        <w:position w:val="-14"/>
        <w:sz w:val="64"/>
        <w:szCs w:val="64"/>
        <w:lang w:val="en-US" w:eastAsia="en-US" w:bidi="ar-SA"/>
      </w:rPr>
    </w:lvl>
    <w:lvl w:ilvl="6">
      <w:start w:val="1"/>
      <w:numFmt w:val="decimal"/>
      <w:lvlText w:val="%6.%7"/>
      <w:lvlJc w:val="left"/>
      <w:pPr>
        <w:ind w:left="1853" w:hanging="720"/>
      </w:pPr>
      <w:rPr>
        <w:rFonts w:ascii="Arial" w:eastAsia="Arial" w:hAnsi="Arial" w:cs="Arial" w:hint="default"/>
        <w:b/>
        <w:bCs/>
        <w:i/>
        <w:iCs/>
        <w:color w:val="00ACA1"/>
        <w:w w:val="100"/>
        <w:sz w:val="24"/>
        <w:szCs w:val="24"/>
        <w:lang w:val="en-US" w:eastAsia="en-US" w:bidi="ar-SA"/>
      </w:rPr>
    </w:lvl>
    <w:lvl w:ilvl="7">
      <w:start w:val="1"/>
      <w:numFmt w:val="decimal"/>
      <w:lvlText w:val="%6.%7.%8"/>
      <w:lvlJc w:val="left"/>
      <w:pPr>
        <w:ind w:left="2563" w:hanging="720"/>
        <w:jc w:val="right"/>
      </w:pPr>
      <w:rPr>
        <w:rFonts w:ascii="Arial" w:eastAsia="Arial" w:hAnsi="Arial" w:cs="Arial" w:hint="default"/>
        <w:b/>
        <w:bCs/>
        <w:i/>
        <w:iCs/>
        <w:color w:val="00B8B1"/>
        <w:w w:val="99"/>
        <w:sz w:val="20"/>
        <w:szCs w:val="20"/>
        <w:lang w:val="en-US" w:eastAsia="en-US" w:bidi="ar-SA"/>
      </w:rPr>
    </w:lvl>
    <w:lvl w:ilvl="8">
      <w:numFmt w:val="bullet"/>
      <w:lvlText w:val="•"/>
      <w:lvlJc w:val="left"/>
      <w:pPr>
        <w:ind w:left="819" w:hanging="720"/>
      </w:pPr>
      <w:rPr>
        <w:rFonts w:hint="default"/>
        <w:lang w:val="en-US" w:eastAsia="en-US" w:bidi="ar-SA"/>
      </w:rPr>
    </w:lvl>
  </w:abstractNum>
  <w:abstractNum w:abstractNumId="27" w15:restartNumberingAfterBreak="0">
    <w:nsid w:val="1D724299"/>
    <w:multiLevelType w:val="multilevel"/>
    <w:tmpl w:val="4C4463BC"/>
    <w:lvl w:ilvl="0">
      <w:start w:val="1"/>
      <w:numFmt w:val="decimal"/>
      <w:lvlText w:val="%1"/>
      <w:lvlJc w:val="left"/>
      <w:pPr>
        <w:ind w:left="520" w:hanging="227"/>
      </w:pPr>
      <w:rPr>
        <w:rFonts w:ascii="Microsoft Sans Serif" w:eastAsia="Microsoft Sans Serif" w:hAnsi="Microsoft Sans Serif" w:cs="Microsoft Sans Serif" w:hint="default"/>
        <w:b w:val="0"/>
        <w:bCs w:val="0"/>
        <w:i w:val="0"/>
        <w:iCs w:val="0"/>
        <w:color w:val="545456"/>
        <w:w w:val="101"/>
        <w:sz w:val="16"/>
        <w:szCs w:val="16"/>
        <w:lang w:val="en-US" w:eastAsia="en-US" w:bidi="ar-SA"/>
      </w:rPr>
    </w:lvl>
    <w:lvl w:ilvl="1">
      <w:start w:val="13"/>
      <w:numFmt w:val="decimal"/>
      <w:lvlText w:val="%2"/>
      <w:lvlJc w:val="left"/>
      <w:pPr>
        <w:ind w:left="2415" w:hanging="1288"/>
      </w:pPr>
      <w:rPr>
        <w:rFonts w:ascii="Arial" w:eastAsia="Arial" w:hAnsi="Arial" w:cs="Arial" w:hint="default"/>
        <w:b/>
        <w:bCs/>
        <w:i/>
        <w:iCs/>
        <w:color w:val="F3F4F4"/>
        <w:w w:val="102"/>
        <w:sz w:val="64"/>
        <w:szCs w:val="64"/>
        <w:lang w:val="en-US" w:eastAsia="en-US" w:bidi="ar-SA"/>
      </w:rPr>
    </w:lvl>
    <w:lvl w:ilvl="2">
      <w:start w:val="1"/>
      <w:numFmt w:val="decimal"/>
      <w:lvlText w:val="%2.%3"/>
      <w:lvlJc w:val="left"/>
      <w:pPr>
        <w:ind w:left="1886" w:hanging="720"/>
      </w:pPr>
      <w:rPr>
        <w:rFonts w:ascii="Arial" w:eastAsia="Arial" w:hAnsi="Arial" w:cs="Arial" w:hint="default"/>
        <w:b/>
        <w:bCs/>
        <w:i/>
        <w:iCs/>
        <w:color w:val="00ACA1"/>
        <w:w w:val="100"/>
        <w:sz w:val="24"/>
        <w:szCs w:val="24"/>
        <w:lang w:val="en-US" w:eastAsia="en-US" w:bidi="ar-SA"/>
      </w:rPr>
    </w:lvl>
    <w:lvl w:ilvl="3">
      <w:numFmt w:val="bullet"/>
      <w:lvlText w:val="•"/>
      <w:lvlJc w:val="left"/>
      <w:pPr>
        <w:ind w:left="1603" w:hanging="227"/>
      </w:pPr>
      <w:rPr>
        <w:rFonts w:ascii="Arial" w:eastAsia="Arial" w:hAnsi="Arial" w:cs="Arial" w:hint="default"/>
        <w:b/>
        <w:bCs/>
        <w:i w:val="0"/>
        <w:iCs w:val="0"/>
        <w:color w:val="00ACA1"/>
        <w:w w:val="103"/>
        <w:sz w:val="20"/>
        <w:szCs w:val="20"/>
        <w:lang w:val="en-US" w:eastAsia="en-US" w:bidi="ar-SA"/>
      </w:rPr>
    </w:lvl>
    <w:lvl w:ilvl="4">
      <w:numFmt w:val="bullet"/>
      <w:lvlText w:val="•"/>
      <w:lvlJc w:val="left"/>
      <w:pPr>
        <w:ind w:left="2036" w:hanging="227"/>
      </w:pPr>
      <w:rPr>
        <w:rFonts w:hint="default"/>
        <w:lang w:val="en-US" w:eastAsia="en-US" w:bidi="ar-SA"/>
      </w:rPr>
    </w:lvl>
    <w:lvl w:ilvl="5">
      <w:numFmt w:val="bullet"/>
      <w:lvlText w:val="•"/>
      <w:lvlJc w:val="left"/>
      <w:pPr>
        <w:ind w:left="1652" w:hanging="227"/>
      </w:pPr>
      <w:rPr>
        <w:rFonts w:hint="default"/>
        <w:lang w:val="en-US" w:eastAsia="en-US" w:bidi="ar-SA"/>
      </w:rPr>
    </w:lvl>
    <w:lvl w:ilvl="6">
      <w:numFmt w:val="bullet"/>
      <w:lvlText w:val="•"/>
      <w:lvlJc w:val="left"/>
      <w:pPr>
        <w:ind w:left="1269" w:hanging="227"/>
      </w:pPr>
      <w:rPr>
        <w:rFonts w:hint="default"/>
        <w:lang w:val="en-US" w:eastAsia="en-US" w:bidi="ar-SA"/>
      </w:rPr>
    </w:lvl>
    <w:lvl w:ilvl="7">
      <w:numFmt w:val="bullet"/>
      <w:lvlText w:val="•"/>
      <w:lvlJc w:val="left"/>
      <w:pPr>
        <w:ind w:left="885" w:hanging="227"/>
      </w:pPr>
      <w:rPr>
        <w:rFonts w:hint="default"/>
        <w:lang w:val="en-US" w:eastAsia="en-US" w:bidi="ar-SA"/>
      </w:rPr>
    </w:lvl>
    <w:lvl w:ilvl="8">
      <w:numFmt w:val="bullet"/>
      <w:lvlText w:val="•"/>
      <w:lvlJc w:val="left"/>
      <w:pPr>
        <w:ind w:left="501" w:hanging="227"/>
      </w:pPr>
      <w:rPr>
        <w:rFonts w:hint="default"/>
        <w:lang w:val="en-US" w:eastAsia="en-US" w:bidi="ar-SA"/>
      </w:rPr>
    </w:lvl>
  </w:abstractNum>
  <w:abstractNum w:abstractNumId="28" w15:restartNumberingAfterBreak="0">
    <w:nsid w:val="1E2D68C3"/>
    <w:multiLevelType w:val="hybridMultilevel"/>
    <w:tmpl w:val="838895A4"/>
    <w:lvl w:ilvl="0" w:tplc="1DDE1E62">
      <w:numFmt w:val="bullet"/>
      <w:lvlText w:val="•"/>
      <w:lvlJc w:val="left"/>
      <w:pPr>
        <w:ind w:left="4026" w:hanging="256"/>
      </w:pPr>
      <w:rPr>
        <w:rFonts w:ascii="Arial" w:eastAsia="Arial" w:hAnsi="Arial" w:cs="Arial" w:hint="default"/>
        <w:b/>
        <w:bCs/>
        <w:i/>
        <w:iCs/>
        <w:color w:val="00ACA1"/>
        <w:w w:val="105"/>
        <w:sz w:val="24"/>
        <w:szCs w:val="24"/>
        <w:lang w:val="en-US" w:eastAsia="en-US" w:bidi="ar-SA"/>
      </w:rPr>
    </w:lvl>
    <w:lvl w:ilvl="1" w:tplc="FEE643AE">
      <w:numFmt w:val="bullet"/>
      <w:lvlText w:val="•"/>
      <w:lvlJc w:val="left"/>
      <w:pPr>
        <w:ind w:left="4341" w:hanging="256"/>
      </w:pPr>
      <w:rPr>
        <w:rFonts w:hint="default"/>
        <w:lang w:val="en-US" w:eastAsia="en-US" w:bidi="ar-SA"/>
      </w:rPr>
    </w:lvl>
    <w:lvl w:ilvl="2" w:tplc="C5ECA32E">
      <w:numFmt w:val="bullet"/>
      <w:lvlText w:val="•"/>
      <w:lvlJc w:val="left"/>
      <w:pPr>
        <w:ind w:left="4662" w:hanging="256"/>
      </w:pPr>
      <w:rPr>
        <w:rFonts w:hint="default"/>
        <w:lang w:val="en-US" w:eastAsia="en-US" w:bidi="ar-SA"/>
      </w:rPr>
    </w:lvl>
    <w:lvl w:ilvl="3" w:tplc="CAF4993C">
      <w:numFmt w:val="bullet"/>
      <w:lvlText w:val="•"/>
      <w:lvlJc w:val="left"/>
      <w:pPr>
        <w:ind w:left="4983" w:hanging="256"/>
      </w:pPr>
      <w:rPr>
        <w:rFonts w:hint="default"/>
        <w:lang w:val="en-US" w:eastAsia="en-US" w:bidi="ar-SA"/>
      </w:rPr>
    </w:lvl>
    <w:lvl w:ilvl="4" w:tplc="2C8A247E">
      <w:numFmt w:val="bullet"/>
      <w:lvlText w:val="•"/>
      <w:lvlJc w:val="left"/>
      <w:pPr>
        <w:ind w:left="5304" w:hanging="256"/>
      </w:pPr>
      <w:rPr>
        <w:rFonts w:hint="default"/>
        <w:lang w:val="en-US" w:eastAsia="en-US" w:bidi="ar-SA"/>
      </w:rPr>
    </w:lvl>
    <w:lvl w:ilvl="5" w:tplc="774AC312">
      <w:numFmt w:val="bullet"/>
      <w:lvlText w:val="•"/>
      <w:lvlJc w:val="left"/>
      <w:pPr>
        <w:ind w:left="5625" w:hanging="256"/>
      </w:pPr>
      <w:rPr>
        <w:rFonts w:hint="default"/>
        <w:lang w:val="en-US" w:eastAsia="en-US" w:bidi="ar-SA"/>
      </w:rPr>
    </w:lvl>
    <w:lvl w:ilvl="6" w:tplc="1F9AA9EE">
      <w:numFmt w:val="bullet"/>
      <w:lvlText w:val="•"/>
      <w:lvlJc w:val="left"/>
      <w:pPr>
        <w:ind w:left="5946" w:hanging="256"/>
      </w:pPr>
      <w:rPr>
        <w:rFonts w:hint="default"/>
        <w:lang w:val="en-US" w:eastAsia="en-US" w:bidi="ar-SA"/>
      </w:rPr>
    </w:lvl>
    <w:lvl w:ilvl="7" w:tplc="AA421328">
      <w:numFmt w:val="bullet"/>
      <w:lvlText w:val="•"/>
      <w:lvlJc w:val="left"/>
      <w:pPr>
        <w:ind w:left="6267" w:hanging="256"/>
      </w:pPr>
      <w:rPr>
        <w:rFonts w:hint="default"/>
        <w:lang w:val="en-US" w:eastAsia="en-US" w:bidi="ar-SA"/>
      </w:rPr>
    </w:lvl>
    <w:lvl w:ilvl="8" w:tplc="438A6734">
      <w:numFmt w:val="bullet"/>
      <w:lvlText w:val="•"/>
      <w:lvlJc w:val="left"/>
      <w:pPr>
        <w:ind w:left="6589" w:hanging="256"/>
      </w:pPr>
      <w:rPr>
        <w:rFonts w:hint="default"/>
        <w:lang w:val="en-US" w:eastAsia="en-US" w:bidi="ar-SA"/>
      </w:rPr>
    </w:lvl>
  </w:abstractNum>
  <w:abstractNum w:abstractNumId="29" w15:restartNumberingAfterBreak="0">
    <w:nsid w:val="202151C5"/>
    <w:multiLevelType w:val="multilevel"/>
    <w:tmpl w:val="63DEB0A6"/>
    <w:lvl w:ilvl="0">
      <w:start w:val="13"/>
      <w:numFmt w:val="decimal"/>
      <w:lvlText w:val="%1"/>
      <w:lvlJc w:val="left"/>
      <w:pPr>
        <w:ind w:left="1853" w:hanging="720"/>
      </w:pPr>
      <w:rPr>
        <w:rFonts w:hint="default"/>
        <w:lang w:val="en-US" w:eastAsia="en-US" w:bidi="ar-SA"/>
      </w:rPr>
    </w:lvl>
    <w:lvl w:ilvl="1">
      <w:start w:val="3"/>
      <w:numFmt w:val="decimal"/>
      <w:lvlText w:val="%1.%2"/>
      <w:lvlJc w:val="left"/>
      <w:pPr>
        <w:ind w:left="1853" w:hanging="720"/>
      </w:pPr>
      <w:rPr>
        <w:rFonts w:hint="default"/>
        <w:lang w:val="en-US" w:eastAsia="en-US" w:bidi="ar-SA"/>
      </w:rPr>
    </w:lvl>
    <w:lvl w:ilvl="2">
      <w:start w:val="1"/>
      <w:numFmt w:val="decimal"/>
      <w:lvlText w:val="%1.%2.%3"/>
      <w:lvlJc w:val="left"/>
      <w:pPr>
        <w:ind w:left="1853" w:hanging="720"/>
        <w:jc w:val="right"/>
      </w:pPr>
      <w:rPr>
        <w:rFonts w:ascii="Arial" w:eastAsia="Arial" w:hAnsi="Arial" w:cs="Arial" w:hint="default"/>
        <w:b/>
        <w:bCs/>
        <w:i/>
        <w:iCs/>
        <w:color w:val="00B8B1"/>
        <w:w w:val="99"/>
        <w:sz w:val="20"/>
        <w:szCs w:val="20"/>
        <w:lang w:val="en-US" w:eastAsia="en-US" w:bidi="ar-SA"/>
      </w:rPr>
    </w:lvl>
    <w:lvl w:ilvl="3">
      <w:numFmt w:val="bullet"/>
      <w:lvlText w:val="•"/>
      <w:lvlJc w:val="left"/>
      <w:pPr>
        <w:ind w:left="3079" w:hanging="720"/>
      </w:pPr>
      <w:rPr>
        <w:rFonts w:hint="default"/>
        <w:lang w:val="en-US" w:eastAsia="en-US" w:bidi="ar-SA"/>
      </w:rPr>
    </w:lvl>
    <w:lvl w:ilvl="4">
      <w:numFmt w:val="bullet"/>
      <w:lvlText w:val="•"/>
      <w:lvlJc w:val="left"/>
      <w:pPr>
        <w:ind w:left="3485" w:hanging="720"/>
      </w:pPr>
      <w:rPr>
        <w:rFonts w:hint="default"/>
        <w:lang w:val="en-US" w:eastAsia="en-US" w:bidi="ar-SA"/>
      </w:rPr>
    </w:lvl>
    <w:lvl w:ilvl="5">
      <w:numFmt w:val="bullet"/>
      <w:lvlText w:val="•"/>
      <w:lvlJc w:val="left"/>
      <w:pPr>
        <w:ind w:left="3892" w:hanging="720"/>
      </w:pPr>
      <w:rPr>
        <w:rFonts w:hint="default"/>
        <w:lang w:val="en-US" w:eastAsia="en-US" w:bidi="ar-SA"/>
      </w:rPr>
    </w:lvl>
    <w:lvl w:ilvl="6">
      <w:numFmt w:val="bullet"/>
      <w:lvlText w:val="•"/>
      <w:lvlJc w:val="left"/>
      <w:pPr>
        <w:ind w:left="4298" w:hanging="720"/>
      </w:pPr>
      <w:rPr>
        <w:rFonts w:hint="default"/>
        <w:lang w:val="en-US" w:eastAsia="en-US" w:bidi="ar-SA"/>
      </w:rPr>
    </w:lvl>
    <w:lvl w:ilvl="7">
      <w:numFmt w:val="bullet"/>
      <w:lvlText w:val="•"/>
      <w:lvlJc w:val="left"/>
      <w:pPr>
        <w:ind w:left="4705" w:hanging="720"/>
      </w:pPr>
      <w:rPr>
        <w:rFonts w:hint="default"/>
        <w:lang w:val="en-US" w:eastAsia="en-US" w:bidi="ar-SA"/>
      </w:rPr>
    </w:lvl>
    <w:lvl w:ilvl="8">
      <w:numFmt w:val="bullet"/>
      <w:lvlText w:val="•"/>
      <w:lvlJc w:val="left"/>
      <w:pPr>
        <w:ind w:left="5111" w:hanging="720"/>
      </w:pPr>
      <w:rPr>
        <w:rFonts w:hint="default"/>
        <w:lang w:val="en-US" w:eastAsia="en-US" w:bidi="ar-SA"/>
      </w:rPr>
    </w:lvl>
  </w:abstractNum>
  <w:abstractNum w:abstractNumId="30" w15:restartNumberingAfterBreak="0">
    <w:nsid w:val="2451750C"/>
    <w:multiLevelType w:val="multilevel"/>
    <w:tmpl w:val="3B58F45C"/>
    <w:lvl w:ilvl="0">
      <w:start w:val="7"/>
      <w:numFmt w:val="decimal"/>
      <w:lvlText w:val="%1"/>
      <w:lvlJc w:val="left"/>
      <w:pPr>
        <w:ind w:left="1853" w:hanging="720"/>
      </w:pPr>
      <w:rPr>
        <w:rFonts w:hint="default"/>
        <w:lang w:val="en-US" w:eastAsia="en-US" w:bidi="ar-SA"/>
      </w:rPr>
    </w:lvl>
    <w:lvl w:ilvl="1">
      <w:start w:val="1"/>
      <w:numFmt w:val="decimal"/>
      <w:lvlText w:val="%1.%2"/>
      <w:lvlJc w:val="left"/>
      <w:pPr>
        <w:ind w:left="1853" w:hanging="720"/>
      </w:pPr>
      <w:rPr>
        <w:rFonts w:ascii="Arial" w:eastAsia="Arial" w:hAnsi="Arial" w:cs="Arial" w:hint="default"/>
        <w:b/>
        <w:bCs/>
        <w:i/>
        <w:iCs/>
        <w:color w:val="00ACA1"/>
        <w:w w:val="99"/>
        <w:sz w:val="24"/>
        <w:szCs w:val="24"/>
        <w:lang w:val="en-US" w:eastAsia="en-US" w:bidi="ar-SA"/>
      </w:rPr>
    </w:lvl>
    <w:lvl w:ilvl="2">
      <w:numFmt w:val="bullet"/>
      <w:lvlText w:val="•"/>
      <w:lvlJc w:val="left"/>
      <w:pPr>
        <w:ind w:left="2040" w:hanging="260"/>
      </w:pPr>
      <w:rPr>
        <w:rFonts w:ascii="Arial" w:eastAsia="Arial" w:hAnsi="Arial" w:cs="Arial" w:hint="default"/>
        <w:b/>
        <w:bCs/>
        <w:i w:val="0"/>
        <w:iCs w:val="0"/>
        <w:color w:val="00ACA1"/>
        <w:w w:val="103"/>
        <w:sz w:val="20"/>
        <w:szCs w:val="20"/>
        <w:lang w:val="en-US" w:eastAsia="en-US" w:bidi="ar-SA"/>
      </w:rPr>
    </w:lvl>
    <w:lvl w:ilvl="3">
      <w:numFmt w:val="bullet"/>
      <w:lvlText w:val="•"/>
      <w:lvlJc w:val="left"/>
      <w:pPr>
        <w:ind w:left="4306" w:hanging="260"/>
      </w:pPr>
      <w:rPr>
        <w:rFonts w:hint="default"/>
        <w:lang w:val="en-US" w:eastAsia="en-US" w:bidi="ar-SA"/>
      </w:rPr>
    </w:lvl>
    <w:lvl w:ilvl="4">
      <w:numFmt w:val="bullet"/>
      <w:lvlText w:val="•"/>
      <w:lvlJc w:val="left"/>
      <w:pPr>
        <w:ind w:left="5440" w:hanging="260"/>
      </w:pPr>
      <w:rPr>
        <w:rFonts w:hint="default"/>
        <w:lang w:val="en-US" w:eastAsia="en-US" w:bidi="ar-SA"/>
      </w:rPr>
    </w:lvl>
    <w:lvl w:ilvl="5">
      <w:numFmt w:val="bullet"/>
      <w:lvlText w:val="•"/>
      <w:lvlJc w:val="left"/>
      <w:pPr>
        <w:ind w:left="6573" w:hanging="260"/>
      </w:pPr>
      <w:rPr>
        <w:rFonts w:hint="default"/>
        <w:lang w:val="en-US" w:eastAsia="en-US" w:bidi="ar-SA"/>
      </w:rPr>
    </w:lvl>
    <w:lvl w:ilvl="6">
      <w:numFmt w:val="bullet"/>
      <w:lvlText w:val="•"/>
      <w:lvlJc w:val="left"/>
      <w:pPr>
        <w:ind w:left="7706" w:hanging="260"/>
      </w:pPr>
      <w:rPr>
        <w:rFonts w:hint="default"/>
        <w:lang w:val="en-US" w:eastAsia="en-US" w:bidi="ar-SA"/>
      </w:rPr>
    </w:lvl>
    <w:lvl w:ilvl="7">
      <w:numFmt w:val="bullet"/>
      <w:lvlText w:val="•"/>
      <w:lvlJc w:val="left"/>
      <w:pPr>
        <w:ind w:left="8840" w:hanging="260"/>
      </w:pPr>
      <w:rPr>
        <w:rFonts w:hint="default"/>
        <w:lang w:val="en-US" w:eastAsia="en-US" w:bidi="ar-SA"/>
      </w:rPr>
    </w:lvl>
    <w:lvl w:ilvl="8">
      <w:numFmt w:val="bullet"/>
      <w:lvlText w:val="•"/>
      <w:lvlJc w:val="left"/>
      <w:pPr>
        <w:ind w:left="9973" w:hanging="260"/>
      </w:pPr>
      <w:rPr>
        <w:rFonts w:hint="default"/>
        <w:lang w:val="en-US" w:eastAsia="en-US" w:bidi="ar-SA"/>
      </w:rPr>
    </w:lvl>
  </w:abstractNum>
  <w:abstractNum w:abstractNumId="31" w15:restartNumberingAfterBreak="0">
    <w:nsid w:val="24643F63"/>
    <w:multiLevelType w:val="multilevel"/>
    <w:tmpl w:val="14544A6E"/>
    <w:lvl w:ilvl="0">
      <w:start w:val="8"/>
      <w:numFmt w:val="decimal"/>
      <w:lvlText w:val="%1"/>
      <w:lvlJc w:val="left"/>
      <w:pPr>
        <w:ind w:left="1016" w:hanging="768"/>
      </w:pPr>
      <w:rPr>
        <w:rFonts w:hint="default"/>
        <w:lang w:val="en-US" w:eastAsia="en-US" w:bidi="ar-SA"/>
      </w:rPr>
    </w:lvl>
    <w:lvl w:ilvl="1">
      <w:start w:val="3"/>
      <w:numFmt w:val="decimal"/>
      <w:lvlText w:val="%1.%2"/>
      <w:lvlJc w:val="left"/>
      <w:pPr>
        <w:ind w:left="1016" w:hanging="768"/>
      </w:pPr>
      <w:rPr>
        <w:rFonts w:hint="default"/>
        <w:lang w:val="en-US" w:eastAsia="en-US" w:bidi="ar-SA"/>
      </w:rPr>
    </w:lvl>
    <w:lvl w:ilvl="2">
      <w:start w:val="1"/>
      <w:numFmt w:val="decimal"/>
      <w:lvlText w:val="%1.%2.%3"/>
      <w:lvlJc w:val="left"/>
      <w:pPr>
        <w:ind w:left="1016" w:hanging="768"/>
        <w:jc w:val="right"/>
      </w:pPr>
      <w:rPr>
        <w:rFonts w:ascii="Arial" w:eastAsia="Arial" w:hAnsi="Arial" w:cs="Arial" w:hint="default"/>
        <w:b/>
        <w:bCs/>
        <w:i/>
        <w:iCs/>
        <w:color w:val="00B8B1"/>
        <w:w w:val="99"/>
        <w:sz w:val="20"/>
        <w:szCs w:val="20"/>
        <w:lang w:val="en-US" w:eastAsia="en-US" w:bidi="ar-SA"/>
      </w:rPr>
    </w:lvl>
    <w:lvl w:ilvl="3">
      <w:start w:val="1"/>
      <w:numFmt w:val="decimal"/>
      <w:lvlText w:val="%4."/>
      <w:lvlJc w:val="left"/>
      <w:pPr>
        <w:ind w:left="1723" w:hanging="341"/>
      </w:pPr>
      <w:rPr>
        <w:rFonts w:ascii="Arial" w:eastAsia="Arial" w:hAnsi="Arial" w:cs="Arial" w:hint="default"/>
        <w:b/>
        <w:bCs/>
        <w:i w:val="0"/>
        <w:iCs w:val="0"/>
        <w:color w:val="00ACA1"/>
        <w:w w:val="97"/>
        <w:sz w:val="20"/>
        <w:szCs w:val="20"/>
        <w:lang w:val="en-US" w:eastAsia="en-US" w:bidi="ar-SA"/>
      </w:rPr>
    </w:lvl>
    <w:lvl w:ilvl="4">
      <w:numFmt w:val="bullet"/>
      <w:lvlText w:val="•"/>
      <w:lvlJc w:val="left"/>
      <w:pPr>
        <w:ind w:left="1256" w:hanging="341"/>
      </w:pPr>
      <w:rPr>
        <w:rFonts w:hint="default"/>
        <w:lang w:val="en-US" w:eastAsia="en-US" w:bidi="ar-SA"/>
      </w:rPr>
    </w:lvl>
    <w:lvl w:ilvl="5">
      <w:numFmt w:val="bullet"/>
      <w:lvlText w:val="•"/>
      <w:lvlJc w:val="left"/>
      <w:pPr>
        <w:ind w:left="1025" w:hanging="341"/>
      </w:pPr>
      <w:rPr>
        <w:rFonts w:hint="default"/>
        <w:lang w:val="en-US" w:eastAsia="en-US" w:bidi="ar-SA"/>
      </w:rPr>
    </w:lvl>
    <w:lvl w:ilvl="6">
      <w:numFmt w:val="bullet"/>
      <w:lvlText w:val="•"/>
      <w:lvlJc w:val="left"/>
      <w:pPr>
        <w:ind w:left="793" w:hanging="341"/>
      </w:pPr>
      <w:rPr>
        <w:rFonts w:hint="default"/>
        <w:lang w:val="en-US" w:eastAsia="en-US" w:bidi="ar-SA"/>
      </w:rPr>
    </w:lvl>
    <w:lvl w:ilvl="7">
      <w:numFmt w:val="bullet"/>
      <w:lvlText w:val="•"/>
      <w:lvlJc w:val="left"/>
      <w:pPr>
        <w:ind w:left="562" w:hanging="341"/>
      </w:pPr>
      <w:rPr>
        <w:rFonts w:hint="default"/>
        <w:lang w:val="en-US" w:eastAsia="en-US" w:bidi="ar-SA"/>
      </w:rPr>
    </w:lvl>
    <w:lvl w:ilvl="8">
      <w:numFmt w:val="bullet"/>
      <w:lvlText w:val="•"/>
      <w:lvlJc w:val="left"/>
      <w:pPr>
        <w:ind w:left="330" w:hanging="341"/>
      </w:pPr>
      <w:rPr>
        <w:rFonts w:hint="default"/>
        <w:lang w:val="en-US" w:eastAsia="en-US" w:bidi="ar-SA"/>
      </w:rPr>
    </w:lvl>
  </w:abstractNum>
  <w:abstractNum w:abstractNumId="32" w15:restartNumberingAfterBreak="0">
    <w:nsid w:val="248652B9"/>
    <w:multiLevelType w:val="hybridMultilevel"/>
    <w:tmpl w:val="99445482"/>
    <w:lvl w:ilvl="0" w:tplc="9360636C">
      <w:numFmt w:val="bullet"/>
      <w:lvlText w:val="•"/>
      <w:lvlJc w:val="left"/>
      <w:pPr>
        <w:ind w:left="584" w:hanging="260"/>
      </w:pPr>
      <w:rPr>
        <w:rFonts w:ascii="Arial" w:eastAsia="Arial" w:hAnsi="Arial" w:cs="Arial" w:hint="default"/>
        <w:b/>
        <w:bCs/>
        <w:i w:val="0"/>
        <w:iCs w:val="0"/>
        <w:color w:val="00ACA1"/>
        <w:w w:val="103"/>
        <w:sz w:val="20"/>
        <w:szCs w:val="20"/>
        <w:lang w:val="en-US" w:eastAsia="en-US" w:bidi="ar-SA"/>
      </w:rPr>
    </w:lvl>
    <w:lvl w:ilvl="1" w:tplc="B9DCA182">
      <w:numFmt w:val="bullet"/>
      <w:lvlText w:val="•"/>
      <w:lvlJc w:val="left"/>
      <w:pPr>
        <w:ind w:left="1354" w:hanging="260"/>
      </w:pPr>
      <w:rPr>
        <w:rFonts w:ascii="Arial" w:eastAsia="Arial" w:hAnsi="Arial" w:cs="Arial" w:hint="default"/>
        <w:b/>
        <w:bCs/>
        <w:i w:val="0"/>
        <w:iCs w:val="0"/>
        <w:color w:val="00ACA1"/>
        <w:w w:val="103"/>
        <w:sz w:val="20"/>
        <w:szCs w:val="20"/>
        <w:lang w:val="en-US" w:eastAsia="en-US" w:bidi="ar-SA"/>
      </w:rPr>
    </w:lvl>
    <w:lvl w:ilvl="2" w:tplc="9CF84E6E">
      <w:numFmt w:val="bullet"/>
      <w:lvlText w:val="•"/>
      <w:lvlJc w:val="left"/>
      <w:pPr>
        <w:ind w:left="1207" w:hanging="260"/>
      </w:pPr>
      <w:rPr>
        <w:rFonts w:hint="default"/>
        <w:lang w:val="en-US" w:eastAsia="en-US" w:bidi="ar-SA"/>
      </w:rPr>
    </w:lvl>
    <w:lvl w:ilvl="3" w:tplc="2AC07E9C">
      <w:numFmt w:val="bullet"/>
      <w:lvlText w:val="•"/>
      <w:lvlJc w:val="left"/>
      <w:pPr>
        <w:ind w:left="1055" w:hanging="260"/>
      </w:pPr>
      <w:rPr>
        <w:rFonts w:hint="default"/>
        <w:lang w:val="en-US" w:eastAsia="en-US" w:bidi="ar-SA"/>
      </w:rPr>
    </w:lvl>
    <w:lvl w:ilvl="4" w:tplc="C53E7090">
      <w:numFmt w:val="bullet"/>
      <w:lvlText w:val="•"/>
      <w:lvlJc w:val="left"/>
      <w:pPr>
        <w:ind w:left="903" w:hanging="260"/>
      </w:pPr>
      <w:rPr>
        <w:rFonts w:hint="default"/>
        <w:lang w:val="en-US" w:eastAsia="en-US" w:bidi="ar-SA"/>
      </w:rPr>
    </w:lvl>
    <w:lvl w:ilvl="5" w:tplc="BB10F380">
      <w:numFmt w:val="bullet"/>
      <w:lvlText w:val="•"/>
      <w:lvlJc w:val="left"/>
      <w:pPr>
        <w:ind w:left="751" w:hanging="260"/>
      </w:pPr>
      <w:rPr>
        <w:rFonts w:hint="default"/>
        <w:lang w:val="en-US" w:eastAsia="en-US" w:bidi="ar-SA"/>
      </w:rPr>
    </w:lvl>
    <w:lvl w:ilvl="6" w:tplc="33AE158A">
      <w:numFmt w:val="bullet"/>
      <w:lvlText w:val="•"/>
      <w:lvlJc w:val="left"/>
      <w:pPr>
        <w:ind w:left="599" w:hanging="260"/>
      </w:pPr>
      <w:rPr>
        <w:rFonts w:hint="default"/>
        <w:lang w:val="en-US" w:eastAsia="en-US" w:bidi="ar-SA"/>
      </w:rPr>
    </w:lvl>
    <w:lvl w:ilvl="7" w:tplc="AEF81334">
      <w:numFmt w:val="bullet"/>
      <w:lvlText w:val="•"/>
      <w:lvlJc w:val="left"/>
      <w:pPr>
        <w:ind w:left="447" w:hanging="260"/>
      </w:pPr>
      <w:rPr>
        <w:rFonts w:hint="default"/>
        <w:lang w:val="en-US" w:eastAsia="en-US" w:bidi="ar-SA"/>
      </w:rPr>
    </w:lvl>
    <w:lvl w:ilvl="8" w:tplc="F42A93AA">
      <w:numFmt w:val="bullet"/>
      <w:lvlText w:val="•"/>
      <w:lvlJc w:val="left"/>
      <w:pPr>
        <w:ind w:left="295" w:hanging="260"/>
      </w:pPr>
      <w:rPr>
        <w:rFonts w:hint="default"/>
        <w:lang w:val="en-US" w:eastAsia="en-US" w:bidi="ar-SA"/>
      </w:rPr>
    </w:lvl>
  </w:abstractNum>
  <w:abstractNum w:abstractNumId="33" w15:restartNumberingAfterBreak="0">
    <w:nsid w:val="25415A67"/>
    <w:multiLevelType w:val="hybridMultilevel"/>
    <w:tmpl w:val="CB982E82"/>
    <w:lvl w:ilvl="0" w:tplc="A1E8EC2E">
      <w:start w:val="1"/>
      <w:numFmt w:val="decimal"/>
      <w:lvlText w:val="%1."/>
      <w:lvlJc w:val="left"/>
      <w:pPr>
        <w:ind w:left="1433" w:hanging="300"/>
      </w:pPr>
      <w:rPr>
        <w:rFonts w:ascii="Arial" w:eastAsia="Arial" w:hAnsi="Arial" w:cs="Arial" w:hint="default"/>
        <w:b/>
        <w:bCs/>
        <w:i w:val="0"/>
        <w:iCs w:val="0"/>
        <w:color w:val="00ACA1"/>
        <w:spacing w:val="-1"/>
        <w:w w:val="97"/>
        <w:sz w:val="20"/>
        <w:szCs w:val="20"/>
        <w:lang w:val="en-US" w:eastAsia="en-US" w:bidi="ar-SA"/>
      </w:rPr>
    </w:lvl>
    <w:lvl w:ilvl="1" w:tplc="216C8348">
      <w:numFmt w:val="bullet"/>
      <w:lvlText w:val="•"/>
      <w:lvlJc w:val="left"/>
      <w:pPr>
        <w:ind w:left="1893" w:hanging="300"/>
      </w:pPr>
      <w:rPr>
        <w:rFonts w:hint="default"/>
        <w:lang w:val="en-US" w:eastAsia="en-US" w:bidi="ar-SA"/>
      </w:rPr>
    </w:lvl>
    <w:lvl w:ilvl="2" w:tplc="D9BEEB4C">
      <w:numFmt w:val="bullet"/>
      <w:lvlText w:val="•"/>
      <w:lvlJc w:val="left"/>
      <w:pPr>
        <w:ind w:left="2347" w:hanging="300"/>
      </w:pPr>
      <w:rPr>
        <w:rFonts w:hint="default"/>
        <w:lang w:val="en-US" w:eastAsia="en-US" w:bidi="ar-SA"/>
      </w:rPr>
    </w:lvl>
    <w:lvl w:ilvl="3" w:tplc="67B2A3DC">
      <w:numFmt w:val="bullet"/>
      <w:lvlText w:val="•"/>
      <w:lvlJc w:val="left"/>
      <w:pPr>
        <w:ind w:left="2801" w:hanging="300"/>
      </w:pPr>
      <w:rPr>
        <w:rFonts w:hint="default"/>
        <w:lang w:val="en-US" w:eastAsia="en-US" w:bidi="ar-SA"/>
      </w:rPr>
    </w:lvl>
    <w:lvl w:ilvl="4" w:tplc="C012231A">
      <w:numFmt w:val="bullet"/>
      <w:lvlText w:val="•"/>
      <w:lvlJc w:val="left"/>
      <w:pPr>
        <w:ind w:left="3255" w:hanging="300"/>
      </w:pPr>
      <w:rPr>
        <w:rFonts w:hint="default"/>
        <w:lang w:val="en-US" w:eastAsia="en-US" w:bidi="ar-SA"/>
      </w:rPr>
    </w:lvl>
    <w:lvl w:ilvl="5" w:tplc="E4762AC2">
      <w:numFmt w:val="bullet"/>
      <w:lvlText w:val="•"/>
      <w:lvlJc w:val="left"/>
      <w:pPr>
        <w:ind w:left="3708" w:hanging="300"/>
      </w:pPr>
      <w:rPr>
        <w:rFonts w:hint="default"/>
        <w:lang w:val="en-US" w:eastAsia="en-US" w:bidi="ar-SA"/>
      </w:rPr>
    </w:lvl>
    <w:lvl w:ilvl="6" w:tplc="9B84A23A">
      <w:numFmt w:val="bullet"/>
      <w:lvlText w:val="•"/>
      <w:lvlJc w:val="left"/>
      <w:pPr>
        <w:ind w:left="4162" w:hanging="300"/>
      </w:pPr>
      <w:rPr>
        <w:rFonts w:hint="default"/>
        <w:lang w:val="en-US" w:eastAsia="en-US" w:bidi="ar-SA"/>
      </w:rPr>
    </w:lvl>
    <w:lvl w:ilvl="7" w:tplc="203877B8">
      <w:numFmt w:val="bullet"/>
      <w:lvlText w:val="•"/>
      <w:lvlJc w:val="left"/>
      <w:pPr>
        <w:ind w:left="4616" w:hanging="300"/>
      </w:pPr>
      <w:rPr>
        <w:rFonts w:hint="default"/>
        <w:lang w:val="en-US" w:eastAsia="en-US" w:bidi="ar-SA"/>
      </w:rPr>
    </w:lvl>
    <w:lvl w:ilvl="8" w:tplc="529C994E">
      <w:numFmt w:val="bullet"/>
      <w:lvlText w:val="•"/>
      <w:lvlJc w:val="left"/>
      <w:pPr>
        <w:ind w:left="5070" w:hanging="300"/>
      </w:pPr>
      <w:rPr>
        <w:rFonts w:hint="default"/>
        <w:lang w:val="en-US" w:eastAsia="en-US" w:bidi="ar-SA"/>
      </w:rPr>
    </w:lvl>
  </w:abstractNum>
  <w:abstractNum w:abstractNumId="34" w15:restartNumberingAfterBreak="0">
    <w:nsid w:val="254E5F49"/>
    <w:multiLevelType w:val="hybridMultilevel"/>
    <w:tmpl w:val="668C98AA"/>
    <w:lvl w:ilvl="0" w:tplc="35F2060C">
      <w:numFmt w:val="bullet"/>
      <w:lvlText w:val="•"/>
      <w:lvlJc w:val="left"/>
      <w:pPr>
        <w:ind w:left="5110" w:hanging="256"/>
      </w:pPr>
      <w:rPr>
        <w:rFonts w:ascii="Arial" w:eastAsia="Arial" w:hAnsi="Arial" w:cs="Arial" w:hint="default"/>
        <w:b/>
        <w:bCs/>
        <w:i/>
        <w:iCs/>
        <w:color w:val="00ACA1"/>
        <w:w w:val="105"/>
        <w:sz w:val="24"/>
        <w:szCs w:val="24"/>
        <w:lang w:val="en-US" w:eastAsia="en-US" w:bidi="ar-SA"/>
      </w:rPr>
    </w:lvl>
    <w:lvl w:ilvl="1" w:tplc="41DCF254">
      <w:numFmt w:val="bullet"/>
      <w:lvlText w:val="•"/>
      <w:lvlJc w:val="left"/>
      <w:pPr>
        <w:ind w:left="5578" w:hanging="256"/>
      </w:pPr>
      <w:rPr>
        <w:rFonts w:hint="default"/>
        <w:lang w:val="en-US" w:eastAsia="en-US" w:bidi="ar-SA"/>
      </w:rPr>
    </w:lvl>
    <w:lvl w:ilvl="2" w:tplc="1B46A582">
      <w:numFmt w:val="bullet"/>
      <w:lvlText w:val="•"/>
      <w:lvlJc w:val="left"/>
      <w:pPr>
        <w:ind w:left="6037" w:hanging="256"/>
      </w:pPr>
      <w:rPr>
        <w:rFonts w:hint="default"/>
        <w:lang w:val="en-US" w:eastAsia="en-US" w:bidi="ar-SA"/>
      </w:rPr>
    </w:lvl>
    <w:lvl w:ilvl="3" w:tplc="E3BC2E96">
      <w:numFmt w:val="bullet"/>
      <w:lvlText w:val="•"/>
      <w:lvlJc w:val="left"/>
      <w:pPr>
        <w:ind w:left="6496" w:hanging="256"/>
      </w:pPr>
      <w:rPr>
        <w:rFonts w:hint="default"/>
        <w:lang w:val="en-US" w:eastAsia="en-US" w:bidi="ar-SA"/>
      </w:rPr>
    </w:lvl>
    <w:lvl w:ilvl="4" w:tplc="8FEAA7DC">
      <w:numFmt w:val="bullet"/>
      <w:lvlText w:val="•"/>
      <w:lvlJc w:val="left"/>
      <w:pPr>
        <w:ind w:left="6954" w:hanging="256"/>
      </w:pPr>
      <w:rPr>
        <w:rFonts w:hint="default"/>
        <w:lang w:val="en-US" w:eastAsia="en-US" w:bidi="ar-SA"/>
      </w:rPr>
    </w:lvl>
    <w:lvl w:ilvl="5" w:tplc="1A989430">
      <w:numFmt w:val="bullet"/>
      <w:lvlText w:val="•"/>
      <w:lvlJc w:val="left"/>
      <w:pPr>
        <w:ind w:left="7413" w:hanging="256"/>
      </w:pPr>
      <w:rPr>
        <w:rFonts w:hint="default"/>
        <w:lang w:val="en-US" w:eastAsia="en-US" w:bidi="ar-SA"/>
      </w:rPr>
    </w:lvl>
    <w:lvl w:ilvl="6" w:tplc="65700CE2">
      <w:numFmt w:val="bullet"/>
      <w:lvlText w:val="•"/>
      <w:lvlJc w:val="left"/>
      <w:pPr>
        <w:ind w:left="7872" w:hanging="256"/>
      </w:pPr>
      <w:rPr>
        <w:rFonts w:hint="default"/>
        <w:lang w:val="en-US" w:eastAsia="en-US" w:bidi="ar-SA"/>
      </w:rPr>
    </w:lvl>
    <w:lvl w:ilvl="7" w:tplc="7D0A6A98">
      <w:numFmt w:val="bullet"/>
      <w:lvlText w:val="•"/>
      <w:lvlJc w:val="left"/>
      <w:pPr>
        <w:ind w:left="8331" w:hanging="256"/>
      </w:pPr>
      <w:rPr>
        <w:rFonts w:hint="default"/>
        <w:lang w:val="en-US" w:eastAsia="en-US" w:bidi="ar-SA"/>
      </w:rPr>
    </w:lvl>
    <w:lvl w:ilvl="8" w:tplc="C038AFDA">
      <w:numFmt w:val="bullet"/>
      <w:lvlText w:val="•"/>
      <w:lvlJc w:val="left"/>
      <w:pPr>
        <w:ind w:left="8789" w:hanging="256"/>
      </w:pPr>
      <w:rPr>
        <w:rFonts w:hint="default"/>
        <w:lang w:val="en-US" w:eastAsia="en-US" w:bidi="ar-SA"/>
      </w:rPr>
    </w:lvl>
  </w:abstractNum>
  <w:abstractNum w:abstractNumId="35" w15:restartNumberingAfterBreak="0">
    <w:nsid w:val="267340E7"/>
    <w:multiLevelType w:val="hybridMultilevel"/>
    <w:tmpl w:val="8BBADC96"/>
    <w:lvl w:ilvl="0" w:tplc="25F4880A">
      <w:numFmt w:val="bullet"/>
      <w:lvlText w:val="•"/>
      <w:lvlJc w:val="left"/>
      <w:pPr>
        <w:ind w:left="420" w:hanging="420"/>
      </w:pPr>
      <w:rPr>
        <w:rFonts w:ascii="Arial" w:eastAsia="Arial" w:hAnsi="Arial" w:cs="Arial" w:hint="default"/>
        <w:b/>
        <w:bCs/>
        <w:i w:val="0"/>
        <w:iCs w:val="0"/>
        <w:color w:val="00ACA1"/>
        <w:w w:val="103"/>
        <w:sz w:val="20"/>
        <w:szCs w:val="20"/>
        <w:lang w:val="en-US" w:eastAsia="en-US" w:bidi="ar-S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6" w15:restartNumberingAfterBreak="0">
    <w:nsid w:val="27510B48"/>
    <w:multiLevelType w:val="hybridMultilevel"/>
    <w:tmpl w:val="D314317A"/>
    <w:lvl w:ilvl="0" w:tplc="8BD4E720">
      <w:start w:val="1"/>
      <w:numFmt w:val="decimal"/>
      <w:lvlText w:val="%1."/>
      <w:lvlJc w:val="left"/>
      <w:pPr>
        <w:ind w:left="1407" w:hanging="260"/>
        <w:jc w:val="right"/>
      </w:pPr>
      <w:rPr>
        <w:rFonts w:ascii="Arial" w:eastAsia="Arial" w:hAnsi="Arial" w:cs="Arial" w:hint="default"/>
        <w:b/>
        <w:bCs/>
        <w:i w:val="0"/>
        <w:iCs w:val="0"/>
        <w:color w:val="00ACA1"/>
        <w:spacing w:val="-1"/>
        <w:w w:val="97"/>
        <w:sz w:val="20"/>
        <w:szCs w:val="20"/>
        <w:lang w:val="en-US" w:eastAsia="en-US" w:bidi="ar-SA"/>
      </w:rPr>
    </w:lvl>
    <w:lvl w:ilvl="1" w:tplc="3416C1C2">
      <w:numFmt w:val="bullet"/>
      <w:lvlText w:val="•"/>
      <w:lvlJc w:val="left"/>
      <w:pPr>
        <w:ind w:left="1849" w:hanging="260"/>
      </w:pPr>
      <w:rPr>
        <w:rFonts w:hint="default"/>
        <w:lang w:val="en-US" w:eastAsia="en-US" w:bidi="ar-SA"/>
      </w:rPr>
    </w:lvl>
    <w:lvl w:ilvl="2" w:tplc="AD507742">
      <w:numFmt w:val="bullet"/>
      <w:lvlText w:val="•"/>
      <w:lvlJc w:val="left"/>
      <w:pPr>
        <w:ind w:left="2299" w:hanging="260"/>
      </w:pPr>
      <w:rPr>
        <w:rFonts w:hint="default"/>
        <w:lang w:val="en-US" w:eastAsia="en-US" w:bidi="ar-SA"/>
      </w:rPr>
    </w:lvl>
    <w:lvl w:ilvl="3" w:tplc="B42EBA9E">
      <w:numFmt w:val="bullet"/>
      <w:lvlText w:val="•"/>
      <w:lvlJc w:val="left"/>
      <w:pPr>
        <w:ind w:left="2749" w:hanging="260"/>
      </w:pPr>
      <w:rPr>
        <w:rFonts w:hint="default"/>
        <w:lang w:val="en-US" w:eastAsia="en-US" w:bidi="ar-SA"/>
      </w:rPr>
    </w:lvl>
    <w:lvl w:ilvl="4" w:tplc="F05A4AC0">
      <w:numFmt w:val="bullet"/>
      <w:lvlText w:val="•"/>
      <w:lvlJc w:val="left"/>
      <w:pPr>
        <w:ind w:left="3198" w:hanging="260"/>
      </w:pPr>
      <w:rPr>
        <w:rFonts w:hint="default"/>
        <w:lang w:val="en-US" w:eastAsia="en-US" w:bidi="ar-SA"/>
      </w:rPr>
    </w:lvl>
    <w:lvl w:ilvl="5" w:tplc="0DA6DE4E">
      <w:numFmt w:val="bullet"/>
      <w:lvlText w:val="•"/>
      <w:lvlJc w:val="left"/>
      <w:pPr>
        <w:ind w:left="3648" w:hanging="260"/>
      </w:pPr>
      <w:rPr>
        <w:rFonts w:hint="default"/>
        <w:lang w:val="en-US" w:eastAsia="en-US" w:bidi="ar-SA"/>
      </w:rPr>
    </w:lvl>
    <w:lvl w:ilvl="6" w:tplc="D094658C">
      <w:numFmt w:val="bullet"/>
      <w:lvlText w:val="•"/>
      <w:lvlJc w:val="left"/>
      <w:pPr>
        <w:ind w:left="4098" w:hanging="260"/>
      </w:pPr>
      <w:rPr>
        <w:rFonts w:hint="default"/>
        <w:lang w:val="en-US" w:eastAsia="en-US" w:bidi="ar-SA"/>
      </w:rPr>
    </w:lvl>
    <w:lvl w:ilvl="7" w:tplc="28E6608E">
      <w:numFmt w:val="bullet"/>
      <w:lvlText w:val="•"/>
      <w:lvlJc w:val="left"/>
      <w:pPr>
        <w:ind w:left="4547" w:hanging="260"/>
      </w:pPr>
      <w:rPr>
        <w:rFonts w:hint="default"/>
        <w:lang w:val="en-US" w:eastAsia="en-US" w:bidi="ar-SA"/>
      </w:rPr>
    </w:lvl>
    <w:lvl w:ilvl="8" w:tplc="9618A552">
      <w:numFmt w:val="bullet"/>
      <w:lvlText w:val="•"/>
      <w:lvlJc w:val="left"/>
      <w:pPr>
        <w:ind w:left="4997" w:hanging="260"/>
      </w:pPr>
      <w:rPr>
        <w:rFonts w:hint="default"/>
        <w:lang w:val="en-US" w:eastAsia="en-US" w:bidi="ar-SA"/>
      </w:rPr>
    </w:lvl>
  </w:abstractNum>
  <w:abstractNum w:abstractNumId="37" w15:restartNumberingAfterBreak="0">
    <w:nsid w:val="28B14EA1"/>
    <w:multiLevelType w:val="hybridMultilevel"/>
    <w:tmpl w:val="86EC7D66"/>
    <w:lvl w:ilvl="0" w:tplc="25F4880A">
      <w:numFmt w:val="bullet"/>
      <w:lvlText w:val="•"/>
      <w:lvlJc w:val="left"/>
      <w:pPr>
        <w:ind w:left="420" w:hanging="420"/>
      </w:pPr>
      <w:rPr>
        <w:rFonts w:ascii="Arial" w:eastAsia="Arial" w:hAnsi="Arial" w:cs="Arial" w:hint="default"/>
        <w:b/>
        <w:bCs/>
        <w:i w:val="0"/>
        <w:iCs w:val="0"/>
        <w:color w:val="00ACA1"/>
        <w:w w:val="103"/>
        <w:sz w:val="20"/>
        <w:szCs w:val="20"/>
        <w:lang w:val="en-US" w:eastAsia="en-US" w:bidi="ar-S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8" w15:restartNumberingAfterBreak="0">
    <w:nsid w:val="2CCD6B0A"/>
    <w:multiLevelType w:val="hybridMultilevel"/>
    <w:tmpl w:val="3E7A354E"/>
    <w:lvl w:ilvl="0" w:tplc="5136D722">
      <w:numFmt w:val="bullet"/>
      <w:lvlText w:val="•"/>
      <w:lvlJc w:val="left"/>
      <w:pPr>
        <w:ind w:left="1192" w:hanging="256"/>
      </w:pPr>
      <w:rPr>
        <w:rFonts w:ascii="Arial" w:eastAsia="Arial" w:hAnsi="Arial" w:cs="Arial" w:hint="default"/>
        <w:b/>
        <w:bCs/>
        <w:i/>
        <w:iCs/>
        <w:color w:val="00ACA1"/>
        <w:w w:val="105"/>
        <w:sz w:val="24"/>
        <w:szCs w:val="24"/>
        <w:lang w:val="en-US" w:eastAsia="en-US" w:bidi="ar-SA"/>
      </w:rPr>
    </w:lvl>
    <w:lvl w:ilvl="1" w:tplc="B274B748">
      <w:numFmt w:val="bullet"/>
      <w:lvlText w:val="•"/>
      <w:lvlJc w:val="left"/>
      <w:pPr>
        <w:ind w:left="4041" w:hanging="256"/>
      </w:pPr>
      <w:rPr>
        <w:rFonts w:ascii="Arial" w:eastAsia="Arial" w:hAnsi="Arial" w:cs="Arial" w:hint="default"/>
        <w:b/>
        <w:bCs/>
        <w:i/>
        <w:iCs/>
        <w:color w:val="00ACA1"/>
        <w:w w:val="105"/>
        <w:sz w:val="24"/>
        <w:szCs w:val="24"/>
        <w:lang w:val="en-US" w:eastAsia="en-US" w:bidi="ar-SA"/>
      </w:rPr>
    </w:lvl>
    <w:lvl w:ilvl="2" w:tplc="C0B45C06">
      <w:numFmt w:val="bullet"/>
      <w:lvlText w:val="•"/>
      <w:lvlJc w:val="left"/>
      <w:pPr>
        <w:ind w:left="4077" w:hanging="256"/>
      </w:pPr>
      <w:rPr>
        <w:rFonts w:hint="default"/>
        <w:lang w:val="en-US" w:eastAsia="en-US" w:bidi="ar-SA"/>
      </w:rPr>
    </w:lvl>
    <w:lvl w:ilvl="3" w:tplc="CF28ED3A">
      <w:numFmt w:val="bullet"/>
      <w:lvlText w:val="•"/>
      <w:lvlJc w:val="left"/>
      <w:pPr>
        <w:ind w:left="4114" w:hanging="256"/>
      </w:pPr>
      <w:rPr>
        <w:rFonts w:hint="default"/>
        <w:lang w:val="en-US" w:eastAsia="en-US" w:bidi="ar-SA"/>
      </w:rPr>
    </w:lvl>
    <w:lvl w:ilvl="4" w:tplc="604CC118">
      <w:numFmt w:val="bullet"/>
      <w:lvlText w:val="•"/>
      <w:lvlJc w:val="left"/>
      <w:pPr>
        <w:ind w:left="4151" w:hanging="256"/>
      </w:pPr>
      <w:rPr>
        <w:rFonts w:hint="default"/>
        <w:lang w:val="en-US" w:eastAsia="en-US" w:bidi="ar-SA"/>
      </w:rPr>
    </w:lvl>
    <w:lvl w:ilvl="5" w:tplc="377AC57E">
      <w:numFmt w:val="bullet"/>
      <w:lvlText w:val="•"/>
      <w:lvlJc w:val="left"/>
      <w:pPr>
        <w:ind w:left="4189" w:hanging="256"/>
      </w:pPr>
      <w:rPr>
        <w:rFonts w:hint="default"/>
        <w:lang w:val="en-US" w:eastAsia="en-US" w:bidi="ar-SA"/>
      </w:rPr>
    </w:lvl>
    <w:lvl w:ilvl="6" w:tplc="1B0600A8">
      <w:numFmt w:val="bullet"/>
      <w:lvlText w:val="•"/>
      <w:lvlJc w:val="left"/>
      <w:pPr>
        <w:ind w:left="4226" w:hanging="256"/>
      </w:pPr>
      <w:rPr>
        <w:rFonts w:hint="default"/>
        <w:lang w:val="en-US" w:eastAsia="en-US" w:bidi="ar-SA"/>
      </w:rPr>
    </w:lvl>
    <w:lvl w:ilvl="7" w:tplc="88ACD372">
      <w:numFmt w:val="bullet"/>
      <w:lvlText w:val="•"/>
      <w:lvlJc w:val="left"/>
      <w:pPr>
        <w:ind w:left="4263" w:hanging="256"/>
      </w:pPr>
      <w:rPr>
        <w:rFonts w:hint="default"/>
        <w:lang w:val="en-US" w:eastAsia="en-US" w:bidi="ar-SA"/>
      </w:rPr>
    </w:lvl>
    <w:lvl w:ilvl="8" w:tplc="590A69CC">
      <w:numFmt w:val="bullet"/>
      <w:lvlText w:val="•"/>
      <w:lvlJc w:val="left"/>
      <w:pPr>
        <w:ind w:left="4301" w:hanging="256"/>
      </w:pPr>
      <w:rPr>
        <w:rFonts w:hint="default"/>
        <w:lang w:val="en-US" w:eastAsia="en-US" w:bidi="ar-SA"/>
      </w:rPr>
    </w:lvl>
  </w:abstractNum>
  <w:abstractNum w:abstractNumId="39" w15:restartNumberingAfterBreak="0">
    <w:nsid w:val="2CE1691A"/>
    <w:multiLevelType w:val="hybridMultilevel"/>
    <w:tmpl w:val="194CDE7E"/>
    <w:lvl w:ilvl="0" w:tplc="25F4880A">
      <w:numFmt w:val="bullet"/>
      <w:lvlText w:val="•"/>
      <w:lvlJc w:val="left"/>
      <w:pPr>
        <w:ind w:left="1553" w:hanging="420"/>
      </w:pPr>
      <w:rPr>
        <w:rFonts w:ascii="Arial" w:eastAsia="Arial" w:hAnsi="Arial" w:cs="Arial" w:hint="default"/>
        <w:b/>
        <w:bCs/>
        <w:i w:val="0"/>
        <w:iCs w:val="0"/>
        <w:color w:val="00ACA1"/>
        <w:w w:val="103"/>
        <w:sz w:val="20"/>
        <w:szCs w:val="20"/>
        <w:lang w:val="en-US" w:eastAsia="en-US" w:bidi="ar-SA"/>
      </w:rPr>
    </w:lvl>
    <w:lvl w:ilvl="1" w:tplc="FFFFFFFF" w:tentative="1">
      <w:start w:val="1"/>
      <w:numFmt w:val="bullet"/>
      <w:lvlText w:val=""/>
      <w:lvlJc w:val="left"/>
      <w:pPr>
        <w:ind w:left="1973" w:hanging="420"/>
      </w:pPr>
      <w:rPr>
        <w:rFonts w:ascii="Wingdings" w:hAnsi="Wingdings" w:hint="default"/>
      </w:rPr>
    </w:lvl>
    <w:lvl w:ilvl="2" w:tplc="FFFFFFFF" w:tentative="1">
      <w:start w:val="1"/>
      <w:numFmt w:val="bullet"/>
      <w:lvlText w:val=""/>
      <w:lvlJc w:val="left"/>
      <w:pPr>
        <w:ind w:left="2393" w:hanging="420"/>
      </w:pPr>
      <w:rPr>
        <w:rFonts w:ascii="Wingdings" w:hAnsi="Wingdings" w:hint="default"/>
      </w:rPr>
    </w:lvl>
    <w:lvl w:ilvl="3" w:tplc="FFFFFFFF" w:tentative="1">
      <w:start w:val="1"/>
      <w:numFmt w:val="bullet"/>
      <w:lvlText w:val=""/>
      <w:lvlJc w:val="left"/>
      <w:pPr>
        <w:ind w:left="2813" w:hanging="420"/>
      </w:pPr>
      <w:rPr>
        <w:rFonts w:ascii="Wingdings" w:hAnsi="Wingdings" w:hint="default"/>
      </w:rPr>
    </w:lvl>
    <w:lvl w:ilvl="4" w:tplc="FFFFFFFF" w:tentative="1">
      <w:start w:val="1"/>
      <w:numFmt w:val="bullet"/>
      <w:lvlText w:val=""/>
      <w:lvlJc w:val="left"/>
      <w:pPr>
        <w:ind w:left="3233" w:hanging="420"/>
      </w:pPr>
      <w:rPr>
        <w:rFonts w:ascii="Wingdings" w:hAnsi="Wingdings" w:hint="default"/>
      </w:rPr>
    </w:lvl>
    <w:lvl w:ilvl="5" w:tplc="FFFFFFFF" w:tentative="1">
      <w:start w:val="1"/>
      <w:numFmt w:val="bullet"/>
      <w:lvlText w:val=""/>
      <w:lvlJc w:val="left"/>
      <w:pPr>
        <w:ind w:left="3653" w:hanging="420"/>
      </w:pPr>
      <w:rPr>
        <w:rFonts w:ascii="Wingdings" w:hAnsi="Wingdings" w:hint="default"/>
      </w:rPr>
    </w:lvl>
    <w:lvl w:ilvl="6" w:tplc="FFFFFFFF" w:tentative="1">
      <w:start w:val="1"/>
      <w:numFmt w:val="bullet"/>
      <w:lvlText w:val=""/>
      <w:lvlJc w:val="left"/>
      <w:pPr>
        <w:ind w:left="4073" w:hanging="420"/>
      </w:pPr>
      <w:rPr>
        <w:rFonts w:ascii="Wingdings" w:hAnsi="Wingdings" w:hint="default"/>
      </w:rPr>
    </w:lvl>
    <w:lvl w:ilvl="7" w:tplc="FFFFFFFF" w:tentative="1">
      <w:start w:val="1"/>
      <w:numFmt w:val="bullet"/>
      <w:lvlText w:val=""/>
      <w:lvlJc w:val="left"/>
      <w:pPr>
        <w:ind w:left="4493" w:hanging="420"/>
      </w:pPr>
      <w:rPr>
        <w:rFonts w:ascii="Wingdings" w:hAnsi="Wingdings" w:hint="default"/>
      </w:rPr>
    </w:lvl>
    <w:lvl w:ilvl="8" w:tplc="FFFFFFFF" w:tentative="1">
      <w:start w:val="1"/>
      <w:numFmt w:val="bullet"/>
      <w:lvlText w:val=""/>
      <w:lvlJc w:val="left"/>
      <w:pPr>
        <w:ind w:left="4913" w:hanging="420"/>
      </w:pPr>
      <w:rPr>
        <w:rFonts w:ascii="Wingdings" w:hAnsi="Wingdings" w:hint="default"/>
      </w:rPr>
    </w:lvl>
  </w:abstractNum>
  <w:abstractNum w:abstractNumId="40" w15:restartNumberingAfterBreak="0">
    <w:nsid w:val="2F3D04BF"/>
    <w:multiLevelType w:val="hybridMultilevel"/>
    <w:tmpl w:val="75768B0C"/>
    <w:lvl w:ilvl="0" w:tplc="C07A8ADC">
      <w:numFmt w:val="bullet"/>
      <w:lvlText w:val="•"/>
      <w:lvlJc w:val="left"/>
      <w:pPr>
        <w:ind w:left="989" w:hanging="227"/>
      </w:pPr>
      <w:rPr>
        <w:rFonts w:ascii="Arial" w:eastAsia="Arial" w:hAnsi="Arial" w:cs="Arial" w:hint="default"/>
        <w:b/>
        <w:bCs/>
        <w:i w:val="0"/>
        <w:iCs w:val="0"/>
        <w:color w:val="00ACA1"/>
        <w:w w:val="103"/>
        <w:sz w:val="20"/>
        <w:szCs w:val="20"/>
        <w:lang w:val="en-US" w:eastAsia="en-US" w:bidi="ar-SA"/>
      </w:rPr>
    </w:lvl>
    <w:lvl w:ilvl="1" w:tplc="C4404CEC">
      <w:numFmt w:val="bullet"/>
      <w:lvlText w:val="•"/>
      <w:lvlJc w:val="left"/>
      <w:pPr>
        <w:ind w:left="1587" w:hanging="227"/>
      </w:pPr>
      <w:rPr>
        <w:rFonts w:ascii="Arial" w:eastAsia="Arial" w:hAnsi="Arial" w:cs="Arial" w:hint="default"/>
        <w:w w:val="103"/>
        <w:lang w:val="en-US" w:eastAsia="en-US" w:bidi="ar-SA"/>
      </w:rPr>
    </w:lvl>
    <w:lvl w:ilvl="2" w:tplc="5888DDBA">
      <w:numFmt w:val="bullet"/>
      <w:lvlText w:val="•"/>
      <w:lvlJc w:val="left"/>
      <w:pPr>
        <w:ind w:left="1380" w:hanging="227"/>
      </w:pPr>
      <w:rPr>
        <w:rFonts w:hint="default"/>
        <w:lang w:val="en-US" w:eastAsia="en-US" w:bidi="ar-SA"/>
      </w:rPr>
    </w:lvl>
    <w:lvl w:ilvl="3" w:tplc="B66617D8">
      <w:numFmt w:val="bullet"/>
      <w:lvlText w:val="•"/>
      <w:lvlJc w:val="left"/>
      <w:pPr>
        <w:ind w:left="1580" w:hanging="227"/>
      </w:pPr>
      <w:rPr>
        <w:rFonts w:hint="default"/>
        <w:lang w:val="en-US" w:eastAsia="en-US" w:bidi="ar-SA"/>
      </w:rPr>
    </w:lvl>
    <w:lvl w:ilvl="4" w:tplc="0E669FCE">
      <w:numFmt w:val="bullet"/>
      <w:lvlText w:val="•"/>
      <w:lvlJc w:val="left"/>
      <w:pPr>
        <w:ind w:left="1342" w:hanging="227"/>
      </w:pPr>
      <w:rPr>
        <w:rFonts w:hint="default"/>
        <w:lang w:val="en-US" w:eastAsia="en-US" w:bidi="ar-SA"/>
      </w:rPr>
    </w:lvl>
    <w:lvl w:ilvl="5" w:tplc="48C4E6F6">
      <w:numFmt w:val="bullet"/>
      <w:lvlText w:val="•"/>
      <w:lvlJc w:val="left"/>
      <w:pPr>
        <w:ind w:left="1105" w:hanging="227"/>
      </w:pPr>
      <w:rPr>
        <w:rFonts w:hint="default"/>
        <w:lang w:val="en-US" w:eastAsia="en-US" w:bidi="ar-SA"/>
      </w:rPr>
    </w:lvl>
    <w:lvl w:ilvl="6" w:tplc="12BADDA6">
      <w:numFmt w:val="bullet"/>
      <w:lvlText w:val="•"/>
      <w:lvlJc w:val="left"/>
      <w:pPr>
        <w:ind w:left="868" w:hanging="227"/>
      </w:pPr>
      <w:rPr>
        <w:rFonts w:hint="default"/>
        <w:lang w:val="en-US" w:eastAsia="en-US" w:bidi="ar-SA"/>
      </w:rPr>
    </w:lvl>
    <w:lvl w:ilvl="7" w:tplc="EC843626">
      <w:numFmt w:val="bullet"/>
      <w:lvlText w:val="•"/>
      <w:lvlJc w:val="left"/>
      <w:pPr>
        <w:ind w:left="630" w:hanging="227"/>
      </w:pPr>
      <w:rPr>
        <w:rFonts w:hint="default"/>
        <w:lang w:val="en-US" w:eastAsia="en-US" w:bidi="ar-SA"/>
      </w:rPr>
    </w:lvl>
    <w:lvl w:ilvl="8" w:tplc="D41CC40E">
      <w:numFmt w:val="bullet"/>
      <w:lvlText w:val="•"/>
      <w:lvlJc w:val="left"/>
      <w:pPr>
        <w:ind w:left="393" w:hanging="227"/>
      </w:pPr>
      <w:rPr>
        <w:rFonts w:hint="default"/>
        <w:lang w:val="en-US" w:eastAsia="en-US" w:bidi="ar-SA"/>
      </w:rPr>
    </w:lvl>
  </w:abstractNum>
  <w:abstractNum w:abstractNumId="41" w15:restartNumberingAfterBreak="0">
    <w:nsid w:val="30AE4A79"/>
    <w:multiLevelType w:val="hybridMultilevel"/>
    <w:tmpl w:val="B0043AF0"/>
    <w:lvl w:ilvl="0" w:tplc="6E5C44EA">
      <w:start w:val="1"/>
      <w:numFmt w:val="decimal"/>
      <w:lvlText w:val="%1."/>
      <w:lvlJc w:val="left"/>
      <w:pPr>
        <w:ind w:left="1393" w:hanging="260"/>
        <w:jc w:val="right"/>
      </w:pPr>
      <w:rPr>
        <w:rFonts w:ascii="Arial" w:eastAsia="Arial" w:hAnsi="Arial" w:cs="Arial" w:hint="default"/>
        <w:b/>
        <w:bCs/>
        <w:i w:val="0"/>
        <w:iCs w:val="0"/>
        <w:color w:val="00ACA1"/>
        <w:spacing w:val="-1"/>
        <w:w w:val="97"/>
        <w:sz w:val="20"/>
        <w:szCs w:val="20"/>
        <w:lang w:val="en-US" w:eastAsia="en-US" w:bidi="ar-SA"/>
      </w:rPr>
    </w:lvl>
    <w:lvl w:ilvl="1" w:tplc="4462AECE">
      <w:start w:val="1"/>
      <w:numFmt w:val="decimal"/>
      <w:lvlText w:val="%2"/>
      <w:lvlJc w:val="left"/>
      <w:pPr>
        <w:ind w:left="3803" w:hanging="227"/>
      </w:pPr>
      <w:rPr>
        <w:rFonts w:ascii="Microsoft Sans Serif" w:eastAsia="Microsoft Sans Serif" w:hAnsi="Microsoft Sans Serif" w:cs="Microsoft Sans Serif" w:hint="default"/>
        <w:b w:val="0"/>
        <w:bCs w:val="0"/>
        <w:i w:val="0"/>
        <w:iCs w:val="0"/>
        <w:color w:val="545456"/>
        <w:w w:val="101"/>
        <w:sz w:val="16"/>
        <w:szCs w:val="16"/>
        <w:lang w:val="en-US" w:eastAsia="en-US" w:bidi="ar-SA"/>
      </w:rPr>
    </w:lvl>
    <w:lvl w:ilvl="2" w:tplc="99CCD426">
      <w:numFmt w:val="bullet"/>
      <w:lvlText w:val="•"/>
      <w:lvlJc w:val="left"/>
      <w:pPr>
        <w:ind w:left="4037" w:hanging="227"/>
      </w:pPr>
      <w:rPr>
        <w:rFonts w:hint="default"/>
        <w:lang w:val="en-US" w:eastAsia="en-US" w:bidi="ar-SA"/>
      </w:rPr>
    </w:lvl>
    <w:lvl w:ilvl="3" w:tplc="5E40358C">
      <w:numFmt w:val="bullet"/>
      <w:lvlText w:val="•"/>
      <w:lvlJc w:val="left"/>
      <w:pPr>
        <w:ind w:left="4275" w:hanging="227"/>
      </w:pPr>
      <w:rPr>
        <w:rFonts w:hint="default"/>
        <w:lang w:val="en-US" w:eastAsia="en-US" w:bidi="ar-SA"/>
      </w:rPr>
    </w:lvl>
    <w:lvl w:ilvl="4" w:tplc="BB50A6D4">
      <w:numFmt w:val="bullet"/>
      <w:lvlText w:val="•"/>
      <w:lvlJc w:val="left"/>
      <w:pPr>
        <w:ind w:left="4513" w:hanging="227"/>
      </w:pPr>
      <w:rPr>
        <w:rFonts w:hint="default"/>
        <w:lang w:val="en-US" w:eastAsia="en-US" w:bidi="ar-SA"/>
      </w:rPr>
    </w:lvl>
    <w:lvl w:ilvl="5" w:tplc="BCD6CE02">
      <w:numFmt w:val="bullet"/>
      <w:lvlText w:val="•"/>
      <w:lvlJc w:val="left"/>
      <w:pPr>
        <w:ind w:left="4751" w:hanging="227"/>
      </w:pPr>
      <w:rPr>
        <w:rFonts w:hint="default"/>
        <w:lang w:val="en-US" w:eastAsia="en-US" w:bidi="ar-SA"/>
      </w:rPr>
    </w:lvl>
    <w:lvl w:ilvl="6" w:tplc="9AF0562E">
      <w:numFmt w:val="bullet"/>
      <w:lvlText w:val="•"/>
      <w:lvlJc w:val="left"/>
      <w:pPr>
        <w:ind w:left="4989" w:hanging="227"/>
      </w:pPr>
      <w:rPr>
        <w:rFonts w:hint="default"/>
        <w:lang w:val="en-US" w:eastAsia="en-US" w:bidi="ar-SA"/>
      </w:rPr>
    </w:lvl>
    <w:lvl w:ilvl="7" w:tplc="92C87940">
      <w:numFmt w:val="bullet"/>
      <w:lvlText w:val="•"/>
      <w:lvlJc w:val="left"/>
      <w:pPr>
        <w:ind w:left="5227" w:hanging="227"/>
      </w:pPr>
      <w:rPr>
        <w:rFonts w:hint="default"/>
        <w:lang w:val="en-US" w:eastAsia="en-US" w:bidi="ar-SA"/>
      </w:rPr>
    </w:lvl>
    <w:lvl w:ilvl="8" w:tplc="FDF07A7A">
      <w:numFmt w:val="bullet"/>
      <w:lvlText w:val="•"/>
      <w:lvlJc w:val="left"/>
      <w:pPr>
        <w:ind w:left="5465" w:hanging="227"/>
      </w:pPr>
      <w:rPr>
        <w:rFonts w:hint="default"/>
        <w:lang w:val="en-US" w:eastAsia="en-US" w:bidi="ar-SA"/>
      </w:rPr>
    </w:lvl>
  </w:abstractNum>
  <w:abstractNum w:abstractNumId="42" w15:restartNumberingAfterBreak="0">
    <w:nsid w:val="3220293D"/>
    <w:multiLevelType w:val="hybridMultilevel"/>
    <w:tmpl w:val="81AC278E"/>
    <w:lvl w:ilvl="0" w:tplc="25F4880A">
      <w:numFmt w:val="bullet"/>
      <w:lvlText w:val="•"/>
      <w:lvlJc w:val="left"/>
      <w:pPr>
        <w:ind w:left="1962" w:hanging="420"/>
      </w:pPr>
      <w:rPr>
        <w:rFonts w:ascii="Arial" w:eastAsia="Arial" w:hAnsi="Arial" w:cs="Arial" w:hint="default"/>
        <w:b/>
        <w:bCs/>
        <w:i w:val="0"/>
        <w:iCs w:val="0"/>
        <w:color w:val="00ACA1"/>
        <w:w w:val="103"/>
        <w:sz w:val="20"/>
        <w:szCs w:val="20"/>
        <w:lang w:val="en-US" w:eastAsia="en-US" w:bidi="ar-SA"/>
      </w:rPr>
    </w:lvl>
    <w:lvl w:ilvl="1" w:tplc="0409000B" w:tentative="1">
      <w:start w:val="1"/>
      <w:numFmt w:val="bullet"/>
      <w:lvlText w:val=""/>
      <w:lvlJc w:val="left"/>
      <w:pPr>
        <w:ind w:left="2382" w:hanging="420"/>
      </w:pPr>
      <w:rPr>
        <w:rFonts w:ascii="Wingdings" w:hAnsi="Wingdings" w:hint="default"/>
      </w:rPr>
    </w:lvl>
    <w:lvl w:ilvl="2" w:tplc="0409000D" w:tentative="1">
      <w:start w:val="1"/>
      <w:numFmt w:val="bullet"/>
      <w:lvlText w:val=""/>
      <w:lvlJc w:val="left"/>
      <w:pPr>
        <w:ind w:left="2802" w:hanging="420"/>
      </w:pPr>
      <w:rPr>
        <w:rFonts w:ascii="Wingdings" w:hAnsi="Wingdings" w:hint="default"/>
      </w:rPr>
    </w:lvl>
    <w:lvl w:ilvl="3" w:tplc="04090001" w:tentative="1">
      <w:start w:val="1"/>
      <w:numFmt w:val="bullet"/>
      <w:lvlText w:val=""/>
      <w:lvlJc w:val="left"/>
      <w:pPr>
        <w:ind w:left="3222" w:hanging="420"/>
      </w:pPr>
      <w:rPr>
        <w:rFonts w:ascii="Wingdings" w:hAnsi="Wingdings" w:hint="default"/>
      </w:rPr>
    </w:lvl>
    <w:lvl w:ilvl="4" w:tplc="0409000B" w:tentative="1">
      <w:start w:val="1"/>
      <w:numFmt w:val="bullet"/>
      <w:lvlText w:val=""/>
      <w:lvlJc w:val="left"/>
      <w:pPr>
        <w:ind w:left="3642" w:hanging="420"/>
      </w:pPr>
      <w:rPr>
        <w:rFonts w:ascii="Wingdings" w:hAnsi="Wingdings" w:hint="default"/>
      </w:rPr>
    </w:lvl>
    <w:lvl w:ilvl="5" w:tplc="0409000D" w:tentative="1">
      <w:start w:val="1"/>
      <w:numFmt w:val="bullet"/>
      <w:lvlText w:val=""/>
      <w:lvlJc w:val="left"/>
      <w:pPr>
        <w:ind w:left="4062" w:hanging="420"/>
      </w:pPr>
      <w:rPr>
        <w:rFonts w:ascii="Wingdings" w:hAnsi="Wingdings" w:hint="default"/>
      </w:rPr>
    </w:lvl>
    <w:lvl w:ilvl="6" w:tplc="04090001" w:tentative="1">
      <w:start w:val="1"/>
      <w:numFmt w:val="bullet"/>
      <w:lvlText w:val=""/>
      <w:lvlJc w:val="left"/>
      <w:pPr>
        <w:ind w:left="4482" w:hanging="420"/>
      </w:pPr>
      <w:rPr>
        <w:rFonts w:ascii="Wingdings" w:hAnsi="Wingdings" w:hint="default"/>
      </w:rPr>
    </w:lvl>
    <w:lvl w:ilvl="7" w:tplc="0409000B" w:tentative="1">
      <w:start w:val="1"/>
      <w:numFmt w:val="bullet"/>
      <w:lvlText w:val=""/>
      <w:lvlJc w:val="left"/>
      <w:pPr>
        <w:ind w:left="4902" w:hanging="420"/>
      </w:pPr>
      <w:rPr>
        <w:rFonts w:ascii="Wingdings" w:hAnsi="Wingdings" w:hint="default"/>
      </w:rPr>
    </w:lvl>
    <w:lvl w:ilvl="8" w:tplc="0409000D" w:tentative="1">
      <w:start w:val="1"/>
      <w:numFmt w:val="bullet"/>
      <w:lvlText w:val=""/>
      <w:lvlJc w:val="left"/>
      <w:pPr>
        <w:ind w:left="5322" w:hanging="420"/>
      </w:pPr>
      <w:rPr>
        <w:rFonts w:ascii="Wingdings" w:hAnsi="Wingdings" w:hint="default"/>
      </w:rPr>
    </w:lvl>
  </w:abstractNum>
  <w:abstractNum w:abstractNumId="43" w15:restartNumberingAfterBreak="0">
    <w:nsid w:val="35070027"/>
    <w:multiLevelType w:val="hybridMultilevel"/>
    <w:tmpl w:val="333610CA"/>
    <w:lvl w:ilvl="0" w:tplc="6A98C598">
      <w:numFmt w:val="bullet"/>
      <w:lvlText w:val="•"/>
      <w:lvlJc w:val="left"/>
      <w:pPr>
        <w:ind w:left="504" w:hanging="260"/>
      </w:pPr>
      <w:rPr>
        <w:rFonts w:ascii="Arial" w:eastAsia="Arial" w:hAnsi="Arial" w:cs="Arial" w:hint="default"/>
        <w:b/>
        <w:bCs/>
        <w:i w:val="0"/>
        <w:iCs w:val="0"/>
        <w:color w:val="00ACA1"/>
        <w:w w:val="103"/>
        <w:sz w:val="20"/>
        <w:szCs w:val="20"/>
        <w:lang w:val="en-US" w:eastAsia="en-US" w:bidi="ar-SA"/>
      </w:rPr>
    </w:lvl>
    <w:lvl w:ilvl="1" w:tplc="0CE4E0E8">
      <w:numFmt w:val="bullet"/>
      <w:lvlText w:val="•"/>
      <w:lvlJc w:val="left"/>
      <w:pPr>
        <w:ind w:left="622" w:hanging="256"/>
      </w:pPr>
      <w:rPr>
        <w:rFonts w:ascii="Arial" w:eastAsia="Arial" w:hAnsi="Arial" w:cs="Arial" w:hint="default"/>
        <w:b/>
        <w:bCs/>
        <w:i/>
        <w:iCs/>
        <w:color w:val="00ACA1"/>
        <w:w w:val="105"/>
        <w:sz w:val="24"/>
        <w:szCs w:val="24"/>
        <w:lang w:val="en-US" w:eastAsia="en-US" w:bidi="ar-SA"/>
      </w:rPr>
    </w:lvl>
    <w:lvl w:ilvl="2" w:tplc="B6B25D08">
      <w:numFmt w:val="bullet"/>
      <w:lvlText w:val="•"/>
      <w:lvlJc w:val="left"/>
      <w:pPr>
        <w:ind w:left="1466" w:hanging="256"/>
      </w:pPr>
      <w:rPr>
        <w:rFonts w:ascii="Arial" w:eastAsia="Arial" w:hAnsi="Arial" w:cs="Arial" w:hint="default"/>
        <w:b/>
        <w:bCs/>
        <w:i/>
        <w:iCs/>
        <w:color w:val="00ACA1"/>
        <w:w w:val="105"/>
        <w:sz w:val="24"/>
        <w:szCs w:val="24"/>
        <w:lang w:val="en-US" w:eastAsia="en-US" w:bidi="ar-SA"/>
      </w:rPr>
    </w:lvl>
    <w:lvl w:ilvl="3" w:tplc="8C4A7B9E">
      <w:numFmt w:val="bullet"/>
      <w:lvlText w:val="•"/>
      <w:lvlJc w:val="left"/>
      <w:pPr>
        <w:ind w:left="1460" w:hanging="256"/>
      </w:pPr>
      <w:rPr>
        <w:rFonts w:hint="default"/>
        <w:lang w:val="en-US" w:eastAsia="en-US" w:bidi="ar-SA"/>
      </w:rPr>
    </w:lvl>
    <w:lvl w:ilvl="4" w:tplc="F4761392">
      <w:numFmt w:val="bullet"/>
      <w:lvlText w:val="•"/>
      <w:lvlJc w:val="left"/>
      <w:pPr>
        <w:ind w:left="689" w:hanging="256"/>
      </w:pPr>
      <w:rPr>
        <w:rFonts w:hint="default"/>
        <w:lang w:val="en-US" w:eastAsia="en-US" w:bidi="ar-SA"/>
      </w:rPr>
    </w:lvl>
    <w:lvl w:ilvl="5" w:tplc="06F08420">
      <w:numFmt w:val="bullet"/>
      <w:lvlText w:val="•"/>
      <w:lvlJc w:val="left"/>
      <w:pPr>
        <w:ind w:left="-82" w:hanging="256"/>
      </w:pPr>
      <w:rPr>
        <w:rFonts w:hint="default"/>
        <w:lang w:val="en-US" w:eastAsia="en-US" w:bidi="ar-SA"/>
      </w:rPr>
    </w:lvl>
    <w:lvl w:ilvl="6" w:tplc="2D3A76C6">
      <w:numFmt w:val="bullet"/>
      <w:lvlText w:val="•"/>
      <w:lvlJc w:val="left"/>
      <w:pPr>
        <w:ind w:left="-853" w:hanging="256"/>
      </w:pPr>
      <w:rPr>
        <w:rFonts w:hint="default"/>
        <w:lang w:val="en-US" w:eastAsia="en-US" w:bidi="ar-SA"/>
      </w:rPr>
    </w:lvl>
    <w:lvl w:ilvl="7" w:tplc="19506E60">
      <w:numFmt w:val="bullet"/>
      <w:lvlText w:val="•"/>
      <w:lvlJc w:val="left"/>
      <w:pPr>
        <w:ind w:left="-1624" w:hanging="256"/>
      </w:pPr>
      <w:rPr>
        <w:rFonts w:hint="default"/>
        <w:lang w:val="en-US" w:eastAsia="en-US" w:bidi="ar-SA"/>
      </w:rPr>
    </w:lvl>
    <w:lvl w:ilvl="8" w:tplc="E1BA484A">
      <w:numFmt w:val="bullet"/>
      <w:lvlText w:val="•"/>
      <w:lvlJc w:val="left"/>
      <w:pPr>
        <w:ind w:left="-2395" w:hanging="256"/>
      </w:pPr>
      <w:rPr>
        <w:rFonts w:hint="default"/>
        <w:lang w:val="en-US" w:eastAsia="en-US" w:bidi="ar-SA"/>
      </w:rPr>
    </w:lvl>
  </w:abstractNum>
  <w:abstractNum w:abstractNumId="44" w15:restartNumberingAfterBreak="0">
    <w:nsid w:val="359143C9"/>
    <w:multiLevelType w:val="hybridMultilevel"/>
    <w:tmpl w:val="70BAFE5C"/>
    <w:lvl w:ilvl="0" w:tplc="B2E47100">
      <w:numFmt w:val="bullet"/>
      <w:lvlText w:val="•"/>
      <w:lvlJc w:val="left"/>
      <w:pPr>
        <w:ind w:left="1409" w:hanging="260"/>
      </w:pPr>
      <w:rPr>
        <w:rFonts w:ascii="Arial" w:eastAsia="Arial" w:hAnsi="Arial" w:cs="Arial" w:hint="default"/>
        <w:b/>
        <w:bCs/>
        <w:i w:val="0"/>
        <w:iCs w:val="0"/>
        <w:color w:val="00ACA1"/>
        <w:w w:val="103"/>
        <w:sz w:val="20"/>
        <w:szCs w:val="20"/>
        <w:lang w:val="en-US" w:eastAsia="en-US" w:bidi="ar-SA"/>
      </w:rPr>
    </w:lvl>
    <w:lvl w:ilvl="1" w:tplc="7B666534">
      <w:numFmt w:val="bullet"/>
      <w:lvlText w:val="•"/>
      <w:lvlJc w:val="left"/>
      <w:pPr>
        <w:ind w:left="1842" w:hanging="260"/>
      </w:pPr>
      <w:rPr>
        <w:rFonts w:hint="default"/>
        <w:lang w:val="en-US" w:eastAsia="en-US" w:bidi="ar-SA"/>
      </w:rPr>
    </w:lvl>
    <w:lvl w:ilvl="2" w:tplc="FCF4DDDC">
      <w:numFmt w:val="bullet"/>
      <w:lvlText w:val="•"/>
      <w:lvlJc w:val="left"/>
      <w:pPr>
        <w:ind w:left="2284" w:hanging="260"/>
      </w:pPr>
      <w:rPr>
        <w:rFonts w:hint="default"/>
        <w:lang w:val="en-US" w:eastAsia="en-US" w:bidi="ar-SA"/>
      </w:rPr>
    </w:lvl>
    <w:lvl w:ilvl="3" w:tplc="E4F89B16">
      <w:numFmt w:val="bullet"/>
      <w:lvlText w:val="•"/>
      <w:lvlJc w:val="left"/>
      <w:pPr>
        <w:ind w:left="2726" w:hanging="260"/>
      </w:pPr>
      <w:rPr>
        <w:rFonts w:hint="default"/>
        <w:lang w:val="en-US" w:eastAsia="en-US" w:bidi="ar-SA"/>
      </w:rPr>
    </w:lvl>
    <w:lvl w:ilvl="4" w:tplc="1390EBAE">
      <w:numFmt w:val="bullet"/>
      <w:lvlText w:val="•"/>
      <w:lvlJc w:val="left"/>
      <w:pPr>
        <w:ind w:left="3168" w:hanging="260"/>
      </w:pPr>
      <w:rPr>
        <w:rFonts w:hint="default"/>
        <w:lang w:val="en-US" w:eastAsia="en-US" w:bidi="ar-SA"/>
      </w:rPr>
    </w:lvl>
    <w:lvl w:ilvl="5" w:tplc="F7A05CCE">
      <w:numFmt w:val="bullet"/>
      <w:lvlText w:val="•"/>
      <w:lvlJc w:val="left"/>
      <w:pPr>
        <w:ind w:left="3610" w:hanging="260"/>
      </w:pPr>
      <w:rPr>
        <w:rFonts w:hint="default"/>
        <w:lang w:val="en-US" w:eastAsia="en-US" w:bidi="ar-SA"/>
      </w:rPr>
    </w:lvl>
    <w:lvl w:ilvl="6" w:tplc="CDEEAECE">
      <w:numFmt w:val="bullet"/>
      <w:lvlText w:val="•"/>
      <w:lvlJc w:val="left"/>
      <w:pPr>
        <w:ind w:left="4052" w:hanging="260"/>
      </w:pPr>
      <w:rPr>
        <w:rFonts w:hint="default"/>
        <w:lang w:val="en-US" w:eastAsia="en-US" w:bidi="ar-SA"/>
      </w:rPr>
    </w:lvl>
    <w:lvl w:ilvl="7" w:tplc="ABB49960">
      <w:numFmt w:val="bullet"/>
      <w:lvlText w:val="•"/>
      <w:lvlJc w:val="left"/>
      <w:pPr>
        <w:ind w:left="4494" w:hanging="260"/>
      </w:pPr>
      <w:rPr>
        <w:rFonts w:hint="default"/>
        <w:lang w:val="en-US" w:eastAsia="en-US" w:bidi="ar-SA"/>
      </w:rPr>
    </w:lvl>
    <w:lvl w:ilvl="8" w:tplc="6788648C">
      <w:numFmt w:val="bullet"/>
      <w:lvlText w:val="•"/>
      <w:lvlJc w:val="left"/>
      <w:pPr>
        <w:ind w:left="4936" w:hanging="260"/>
      </w:pPr>
      <w:rPr>
        <w:rFonts w:hint="default"/>
        <w:lang w:val="en-US" w:eastAsia="en-US" w:bidi="ar-SA"/>
      </w:rPr>
    </w:lvl>
  </w:abstractNum>
  <w:abstractNum w:abstractNumId="45" w15:restartNumberingAfterBreak="0">
    <w:nsid w:val="35AC361F"/>
    <w:multiLevelType w:val="hybridMultilevel"/>
    <w:tmpl w:val="30326B92"/>
    <w:lvl w:ilvl="0" w:tplc="0409000F">
      <w:start w:val="1"/>
      <w:numFmt w:val="decimal"/>
      <w:lvlText w:val="%1."/>
      <w:lvlJc w:val="left"/>
      <w:pPr>
        <w:ind w:left="1130" w:hanging="420"/>
      </w:pPr>
    </w:lvl>
    <w:lvl w:ilvl="1" w:tplc="04090017" w:tentative="1">
      <w:start w:val="1"/>
      <w:numFmt w:val="aiueoFullWidth"/>
      <w:lvlText w:val="(%2)"/>
      <w:lvlJc w:val="left"/>
      <w:pPr>
        <w:ind w:left="1550" w:hanging="420"/>
      </w:pPr>
    </w:lvl>
    <w:lvl w:ilvl="2" w:tplc="04090011" w:tentative="1">
      <w:start w:val="1"/>
      <w:numFmt w:val="decimalEnclosedCircle"/>
      <w:lvlText w:val="%3"/>
      <w:lvlJc w:val="left"/>
      <w:pPr>
        <w:ind w:left="1970" w:hanging="420"/>
      </w:pPr>
    </w:lvl>
    <w:lvl w:ilvl="3" w:tplc="0409000F" w:tentative="1">
      <w:start w:val="1"/>
      <w:numFmt w:val="decimal"/>
      <w:lvlText w:val="%4."/>
      <w:lvlJc w:val="left"/>
      <w:pPr>
        <w:ind w:left="2390" w:hanging="420"/>
      </w:pPr>
    </w:lvl>
    <w:lvl w:ilvl="4" w:tplc="04090017" w:tentative="1">
      <w:start w:val="1"/>
      <w:numFmt w:val="aiueoFullWidth"/>
      <w:lvlText w:val="(%5)"/>
      <w:lvlJc w:val="left"/>
      <w:pPr>
        <w:ind w:left="2810" w:hanging="420"/>
      </w:pPr>
    </w:lvl>
    <w:lvl w:ilvl="5" w:tplc="04090011" w:tentative="1">
      <w:start w:val="1"/>
      <w:numFmt w:val="decimalEnclosedCircle"/>
      <w:lvlText w:val="%6"/>
      <w:lvlJc w:val="left"/>
      <w:pPr>
        <w:ind w:left="3230" w:hanging="420"/>
      </w:pPr>
    </w:lvl>
    <w:lvl w:ilvl="6" w:tplc="0409000F" w:tentative="1">
      <w:start w:val="1"/>
      <w:numFmt w:val="decimal"/>
      <w:lvlText w:val="%7."/>
      <w:lvlJc w:val="left"/>
      <w:pPr>
        <w:ind w:left="3650" w:hanging="420"/>
      </w:pPr>
    </w:lvl>
    <w:lvl w:ilvl="7" w:tplc="04090017" w:tentative="1">
      <w:start w:val="1"/>
      <w:numFmt w:val="aiueoFullWidth"/>
      <w:lvlText w:val="(%8)"/>
      <w:lvlJc w:val="left"/>
      <w:pPr>
        <w:ind w:left="4070" w:hanging="420"/>
      </w:pPr>
    </w:lvl>
    <w:lvl w:ilvl="8" w:tplc="04090011" w:tentative="1">
      <w:start w:val="1"/>
      <w:numFmt w:val="decimalEnclosedCircle"/>
      <w:lvlText w:val="%9"/>
      <w:lvlJc w:val="left"/>
      <w:pPr>
        <w:ind w:left="4490" w:hanging="420"/>
      </w:pPr>
    </w:lvl>
  </w:abstractNum>
  <w:abstractNum w:abstractNumId="46" w15:restartNumberingAfterBreak="0">
    <w:nsid w:val="35CE5ABA"/>
    <w:multiLevelType w:val="hybridMultilevel"/>
    <w:tmpl w:val="90B021B4"/>
    <w:lvl w:ilvl="0" w:tplc="53601170">
      <w:start w:val="1"/>
      <w:numFmt w:val="decimal"/>
      <w:lvlText w:val="%1."/>
      <w:lvlJc w:val="left"/>
      <w:pPr>
        <w:ind w:left="641" w:hanging="330"/>
      </w:pPr>
      <w:rPr>
        <w:rFonts w:ascii="Arial" w:eastAsia="Arial" w:hAnsi="Arial" w:cs="Arial" w:hint="default"/>
        <w:b/>
        <w:bCs/>
        <w:i w:val="0"/>
        <w:iCs w:val="0"/>
        <w:color w:val="00ACA1"/>
        <w:spacing w:val="-1"/>
        <w:w w:val="97"/>
        <w:sz w:val="19"/>
        <w:szCs w:val="19"/>
        <w:lang w:val="en-US" w:eastAsia="en-US" w:bidi="ar-SA"/>
      </w:rPr>
    </w:lvl>
    <w:lvl w:ilvl="1" w:tplc="6F0A3A5C">
      <w:numFmt w:val="bullet"/>
      <w:lvlText w:val="•"/>
      <w:lvlJc w:val="left"/>
      <w:pPr>
        <w:ind w:left="1140" w:hanging="330"/>
      </w:pPr>
      <w:rPr>
        <w:rFonts w:hint="default"/>
        <w:lang w:val="en-US" w:eastAsia="en-US" w:bidi="ar-SA"/>
      </w:rPr>
    </w:lvl>
    <w:lvl w:ilvl="2" w:tplc="24FE9F9E">
      <w:numFmt w:val="bullet"/>
      <w:lvlText w:val="•"/>
      <w:lvlJc w:val="left"/>
      <w:pPr>
        <w:ind w:left="1015" w:hanging="330"/>
      </w:pPr>
      <w:rPr>
        <w:rFonts w:hint="default"/>
        <w:lang w:val="en-US" w:eastAsia="en-US" w:bidi="ar-SA"/>
      </w:rPr>
    </w:lvl>
    <w:lvl w:ilvl="3" w:tplc="E004BB5C">
      <w:numFmt w:val="bullet"/>
      <w:lvlText w:val="•"/>
      <w:lvlJc w:val="left"/>
      <w:pPr>
        <w:ind w:left="890" w:hanging="330"/>
      </w:pPr>
      <w:rPr>
        <w:rFonts w:hint="default"/>
        <w:lang w:val="en-US" w:eastAsia="en-US" w:bidi="ar-SA"/>
      </w:rPr>
    </w:lvl>
    <w:lvl w:ilvl="4" w:tplc="536EF848">
      <w:numFmt w:val="bullet"/>
      <w:lvlText w:val="•"/>
      <w:lvlJc w:val="left"/>
      <w:pPr>
        <w:ind w:left="765" w:hanging="330"/>
      </w:pPr>
      <w:rPr>
        <w:rFonts w:hint="default"/>
        <w:lang w:val="en-US" w:eastAsia="en-US" w:bidi="ar-SA"/>
      </w:rPr>
    </w:lvl>
    <w:lvl w:ilvl="5" w:tplc="74B26CE0">
      <w:numFmt w:val="bullet"/>
      <w:lvlText w:val="•"/>
      <w:lvlJc w:val="left"/>
      <w:pPr>
        <w:ind w:left="640" w:hanging="330"/>
      </w:pPr>
      <w:rPr>
        <w:rFonts w:hint="default"/>
        <w:lang w:val="en-US" w:eastAsia="en-US" w:bidi="ar-SA"/>
      </w:rPr>
    </w:lvl>
    <w:lvl w:ilvl="6" w:tplc="6A3C05DE">
      <w:numFmt w:val="bullet"/>
      <w:lvlText w:val="•"/>
      <w:lvlJc w:val="left"/>
      <w:pPr>
        <w:ind w:left="515" w:hanging="330"/>
      </w:pPr>
      <w:rPr>
        <w:rFonts w:hint="default"/>
        <w:lang w:val="en-US" w:eastAsia="en-US" w:bidi="ar-SA"/>
      </w:rPr>
    </w:lvl>
    <w:lvl w:ilvl="7" w:tplc="92845374">
      <w:numFmt w:val="bullet"/>
      <w:lvlText w:val="•"/>
      <w:lvlJc w:val="left"/>
      <w:pPr>
        <w:ind w:left="390" w:hanging="330"/>
      </w:pPr>
      <w:rPr>
        <w:rFonts w:hint="default"/>
        <w:lang w:val="en-US" w:eastAsia="en-US" w:bidi="ar-SA"/>
      </w:rPr>
    </w:lvl>
    <w:lvl w:ilvl="8" w:tplc="F6F01AAA">
      <w:numFmt w:val="bullet"/>
      <w:lvlText w:val="•"/>
      <w:lvlJc w:val="left"/>
      <w:pPr>
        <w:ind w:left="266" w:hanging="330"/>
      </w:pPr>
      <w:rPr>
        <w:rFonts w:hint="default"/>
        <w:lang w:val="en-US" w:eastAsia="en-US" w:bidi="ar-SA"/>
      </w:rPr>
    </w:lvl>
  </w:abstractNum>
  <w:abstractNum w:abstractNumId="47" w15:restartNumberingAfterBreak="0">
    <w:nsid w:val="369D6472"/>
    <w:multiLevelType w:val="hybridMultilevel"/>
    <w:tmpl w:val="759C3C7E"/>
    <w:lvl w:ilvl="0" w:tplc="07A0CED4">
      <w:numFmt w:val="bullet"/>
      <w:lvlText w:val="•"/>
      <w:lvlJc w:val="left"/>
      <w:pPr>
        <w:ind w:left="371" w:hanging="87"/>
      </w:pPr>
      <w:rPr>
        <w:rFonts w:ascii="Arial" w:eastAsia="Arial" w:hAnsi="Arial" w:cs="Arial" w:hint="default"/>
        <w:b/>
        <w:bCs/>
        <w:i/>
        <w:iCs/>
        <w:color w:val="FFFFFF"/>
        <w:w w:val="110"/>
        <w:sz w:val="14"/>
        <w:szCs w:val="14"/>
        <w:lang w:val="en-US" w:eastAsia="en-US" w:bidi="ar-SA"/>
      </w:rPr>
    </w:lvl>
    <w:lvl w:ilvl="1" w:tplc="58B2FAA6">
      <w:numFmt w:val="bullet"/>
      <w:lvlText w:val="•"/>
      <w:lvlJc w:val="left"/>
      <w:pPr>
        <w:ind w:left="696" w:hanging="87"/>
      </w:pPr>
      <w:rPr>
        <w:rFonts w:hint="default"/>
        <w:lang w:val="en-US" w:eastAsia="en-US" w:bidi="ar-SA"/>
      </w:rPr>
    </w:lvl>
    <w:lvl w:ilvl="2" w:tplc="5966F38A">
      <w:numFmt w:val="bullet"/>
      <w:lvlText w:val="•"/>
      <w:lvlJc w:val="left"/>
      <w:pPr>
        <w:ind w:left="1012" w:hanging="87"/>
      </w:pPr>
      <w:rPr>
        <w:rFonts w:hint="default"/>
        <w:lang w:val="en-US" w:eastAsia="en-US" w:bidi="ar-SA"/>
      </w:rPr>
    </w:lvl>
    <w:lvl w:ilvl="3" w:tplc="7E9CB612">
      <w:numFmt w:val="bullet"/>
      <w:lvlText w:val="•"/>
      <w:lvlJc w:val="left"/>
      <w:pPr>
        <w:ind w:left="1328" w:hanging="87"/>
      </w:pPr>
      <w:rPr>
        <w:rFonts w:hint="default"/>
        <w:lang w:val="en-US" w:eastAsia="en-US" w:bidi="ar-SA"/>
      </w:rPr>
    </w:lvl>
    <w:lvl w:ilvl="4" w:tplc="5F664E14">
      <w:numFmt w:val="bullet"/>
      <w:lvlText w:val="•"/>
      <w:lvlJc w:val="left"/>
      <w:pPr>
        <w:ind w:left="1644" w:hanging="87"/>
      </w:pPr>
      <w:rPr>
        <w:rFonts w:hint="default"/>
        <w:lang w:val="en-US" w:eastAsia="en-US" w:bidi="ar-SA"/>
      </w:rPr>
    </w:lvl>
    <w:lvl w:ilvl="5" w:tplc="D7DC8F92">
      <w:numFmt w:val="bullet"/>
      <w:lvlText w:val="•"/>
      <w:lvlJc w:val="left"/>
      <w:pPr>
        <w:ind w:left="1961" w:hanging="87"/>
      </w:pPr>
      <w:rPr>
        <w:rFonts w:hint="default"/>
        <w:lang w:val="en-US" w:eastAsia="en-US" w:bidi="ar-SA"/>
      </w:rPr>
    </w:lvl>
    <w:lvl w:ilvl="6" w:tplc="3E5CBB46">
      <w:numFmt w:val="bullet"/>
      <w:lvlText w:val="•"/>
      <w:lvlJc w:val="left"/>
      <w:pPr>
        <w:ind w:left="2277" w:hanging="87"/>
      </w:pPr>
      <w:rPr>
        <w:rFonts w:hint="default"/>
        <w:lang w:val="en-US" w:eastAsia="en-US" w:bidi="ar-SA"/>
      </w:rPr>
    </w:lvl>
    <w:lvl w:ilvl="7" w:tplc="0A2C9AF0">
      <w:numFmt w:val="bullet"/>
      <w:lvlText w:val="•"/>
      <w:lvlJc w:val="left"/>
      <w:pPr>
        <w:ind w:left="2593" w:hanging="87"/>
      </w:pPr>
      <w:rPr>
        <w:rFonts w:hint="default"/>
        <w:lang w:val="en-US" w:eastAsia="en-US" w:bidi="ar-SA"/>
      </w:rPr>
    </w:lvl>
    <w:lvl w:ilvl="8" w:tplc="601C90CA">
      <w:numFmt w:val="bullet"/>
      <w:lvlText w:val="•"/>
      <w:lvlJc w:val="left"/>
      <w:pPr>
        <w:ind w:left="2909" w:hanging="87"/>
      </w:pPr>
      <w:rPr>
        <w:rFonts w:hint="default"/>
        <w:lang w:val="en-US" w:eastAsia="en-US" w:bidi="ar-SA"/>
      </w:rPr>
    </w:lvl>
  </w:abstractNum>
  <w:abstractNum w:abstractNumId="48" w15:restartNumberingAfterBreak="0">
    <w:nsid w:val="36E363FA"/>
    <w:multiLevelType w:val="hybridMultilevel"/>
    <w:tmpl w:val="7F8223D6"/>
    <w:lvl w:ilvl="0" w:tplc="25F4880A">
      <w:numFmt w:val="bullet"/>
      <w:lvlText w:val="•"/>
      <w:lvlJc w:val="left"/>
      <w:pPr>
        <w:ind w:left="1553" w:hanging="420"/>
      </w:pPr>
      <w:rPr>
        <w:rFonts w:ascii="Arial" w:eastAsia="Arial" w:hAnsi="Arial" w:cs="Arial" w:hint="default"/>
        <w:b/>
        <w:bCs/>
        <w:i w:val="0"/>
        <w:iCs w:val="0"/>
        <w:color w:val="00ACA1"/>
        <w:w w:val="103"/>
        <w:sz w:val="20"/>
        <w:szCs w:val="20"/>
        <w:lang w:val="en-US" w:eastAsia="en-US" w:bidi="ar-SA"/>
      </w:rPr>
    </w:lvl>
    <w:lvl w:ilvl="1" w:tplc="0409000B" w:tentative="1">
      <w:start w:val="1"/>
      <w:numFmt w:val="bullet"/>
      <w:lvlText w:val=""/>
      <w:lvlJc w:val="left"/>
      <w:pPr>
        <w:ind w:left="1973" w:hanging="420"/>
      </w:pPr>
      <w:rPr>
        <w:rFonts w:ascii="Wingdings" w:hAnsi="Wingdings" w:hint="default"/>
      </w:rPr>
    </w:lvl>
    <w:lvl w:ilvl="2" w:tplc="0409000D" w:tentative="1">
      <w:start w:val="1"/>
      <w:numFmt w:val="bullet"/>
      <w:lvlText w:val=""/>
      <w:lvlJc w:val="left"/>
      <w:pPr>
        <w:ind w:left="2393" w:hanging="420"/>
      </w:pPr>
      <w:rPr>
        <w:rFonts w:ascii="Wingdings" w:hAnsi="Wingdings" w:hint="default"/>
      </w:rPr>
    </w:lvl>
    <w:lvl w:ilvl="3" w:tplc="04090001" w:tentative="1">
      <w:start w:val="1"/>
      <w:numFmt w:val="bullet"/>
      <w:lvlText w:val=""/>
      <w:lvlJc w:val="left"/>
      <w:pPr>
        <w:ind w:left="2813" w:hanging="420"/>
      </w:pPr>
      <w:rPr>
        <w:rFonts w:ascii="Wingdings" w:hAnsi="Wingdings" w:hint="default"/>
      </w:rPr>
    </w:lvl>
    <w:lvl w:ilvl="4" w:tplc="0409000B" w:tentative="1">
      <w:start w:val="1"/>
      <w:numFmt w:val="bullet"/>
      <w:lvlText w:val=""/>
      <w:lvlJc w:val="left"/>
      <w:pPr>
        <w:ind w:left="3233" w:hanging="420"/>
      </w:pPr>
      <w:rPr>
        <w:rFonts w:ascii="Wingdings" w:hAnsi="Wingdings" w:hint="default"/>
      </w:rPr>
    </w:lvl>
    <w:lvl w:ilvl="5" w:tplc="0409000D" w:tentative="1">
      <w:start w:val="1"/>
      <w:numFmt w:val="bullet"/>
      <w:lvlText w:val=""/>
      <w:lvlJc w:val="left"/>
      <w:pPr>
        <w:ind w:left="3653" w:hanging="420"/>
      </w:pPr>
      <w:rPr>
        <w:rFonts w:ascii="Wingdings" w:hAnsi="Wingdings" w:hint="default"/>
      </w:rPr>
    </w:lvl>
    <w:lvl w:ilvl="6" w:tplc="04090001" w:tentative="1">
      <w:start w:val="1"/>
      <w:numFmt w:val="bullet"/>
      <w:lvlText w:val=""/>
      <w:lvlJc w:val="left"/>
      <w:pPr>
        <w:ind w:left="4073" w:hanging="420"/>
      </w:pPr>
      <w:rPr>
        <w:rFonts w:ascii="Wingdings" w:hAnsi="Wingdings" w:hint="default"/>
      </w:rPr>
    </w:lvl>
    <w:lvl w:ilvl="7" w:tplc="0409000B" w:tentative="1">
      <w:start w:val="1"/>
      <w:numFmt w:val="bullet"/>
      <w:lvlText w:val=""/>
      <w:lvlJc w:val="left"/>
      <w:pPr>
        <w:ind w:left="4493" w:hanging="420"/>
      </w:pPr>
      <w:rPr>
        <w:rFonts w:ascii="Wingdings" w:hAnsi="Wingdings" w:hint="default"/>
      </w:rPr>
    </w:lvl>
    <w:lvl w:ilvl="8" w:tplc="0409000D" w:tentative="1">
      <w:start w:val="1"/>
      <w:numFmt w:val="bullet"/>
      <w:lvlText w:val=""/>
      <w:lvlJc w:val="left"/>
      <w:pPr>
        <w:ind w:left="4913" w:hanging="420"/>
      </w:pPr>
      <w:rPr>
        <w:rFonts w:ascii="Wingdings" w:hAnsi="Wingdings" w:hint="default"/>
      </w:rPr>
    </w:lvl>
  </w:abstractNum>
  <w:abstractNum w:abstractNumId="49" w15:restartNumberingAfterBreak="0">
    <w:nsid w:val="391A60A4"/>
    <w:multiLevelType w:val="multilevel"/>
    <w:tmpl w:val="9EC2E4C4"/>
    <w:lvl w:ilvl="0">
      <w:start w:val="3"/>
      <w:numFmt w:val="decimal"/>
      <w:lvlText w:val="%1"/>
      <w:lvlJc w:val="left"/>
      <w:pPr>
        <w:ind w:left="1853" w:hanging="720"/>
      </w:pPr>
      <w:rPr>
        <w:rFonts w:hint="default"/>
        <w:lang w:val="en-US" w:eastAsia="en-US" w:bidi="ar-SA"/>
      </w:rPr>
    </w:lvl>
    <w:lvl w:ilvl="1">
      <w:start w:val="1"/>
      <w:numFmt w:val="decimal"/>
      <w:lvlText w:val="%1.%2"/>
      <w:lvlJc w:val="left"/>
      <w:pPr>
        <w:ind w:left="1853" w:hanging="720"/>
        <w:jc w:val="right"/>
      </w:pPr>
      <w:rPr>
        <w:rFonts w:ascii="Arial" w:eastAsia="Arial" w:hAnsi="Arial" w:cs="Arial" w:hint="default"/>
        <w:b/>
        <w:bCs/>
        <w:i/>
        <w:iCs/>
        <w:color w:val="00ACA1"/>
        <w:w w:val="99"/>
        <w:sz w:val="24"/>
        <w:szCs w:val="24"/>
        <w:lang w:val="en-US" w:eastAsia="en-US" w:bidi="ar-SA"/>
      </w:rPr>
    </w:lvl>
    <w:lvl w:ilvl="2">
      <w:numFmt w:val="bullet"/>
      <w:lvlText w:val="•"/>
      <w:lvlJc w:val="left"/>
      <w:pPr>
        <w:ind w:left="2650" w:hanging="720"/>
      </w:pPr>
      <w:rPr>
        <w:rFonts w:hint="default"/>
        <w:lang w:val="en-US" w:eastAsia="en-US" w:bidi="ar-SA"/>
      </w:rPr>
    </w:lvl>
    <w:lvl w:ilvl="3">
      <w:numFmt w:val="bullet"/>
      <w:lvlText w:val="•"/>
      <w:lvlJc w:val="left"/>
      <w:pPr>
        <w:ind w:left="3046" w:hanging="720"/>
      </w:pPr>
      <w:rPr>
        <w:rFonts w:hint="default"/>
        <w:lang w:val="en-US" w:eastAsia="en-US" w:bidi="ar-SA"/>
      </w:rPr>
    </w:lvl>
    <w:lvl w:ilvl="4">
      <w:numFmt w:val="bullet"/>
      <w:lvlText w:val="•"/>
      <w:lvlJc w:val="left"/>
      <w:pPr>
        <w:ind w:left="3441" w:hanging="720"/>
      </w:pPr>
      <w:rPr>
        <w:rFonts w:hint="default"/>
        <w:lang w:val="en-US" w:eastAsia="en-US" w:bidi="ar-SA"/>
      </w:rPr>
    </w:lvl>
    <w:lvl w:ilvl="5">
      <w:numFmt w:val="bullet"/>
      <w:lvlText w:val="•"/>
      <w:lvlJc w:val="left"/>
      <w:pPr>
        <w:ind w:left="3837" w:hanging="720"/>
      </w:pPr>
      <w:rPr>
        <w:rFonts w:hint="default"/>
        <w:lang w:val="en-US" w:eastAsia="en-US" w:bidi="ar-SA"/>
      </w:rPr>
    </w:lvl>
    <w:lvl w:ilvl="6">
      <w:numFmt w:val="bullet"/>
      <w:lvlText w:val="•"/>
      <w:lvlJc w:val="left"/>
      <w:pPr>
        <w:ind w:left="4232" w:hanging="720"/>
      </w:pPr>
      <w:rPr>
        <w:rFonts w:hint="default"/>
        <w:lang w:val="en-US" w:eastAsia="en-US" w:bidi="ar-SA"/>
      </w:rPr>
    </w:lvl>
    <w:lvl w:ilvl="7">
      <w:numFmt w:val="bullet"/>
      <w:lvlText w:val="•"/>
      <w:lvlJc w:val="left"/>
      <w:pPr>
        <w:ind w:left="4628" w:hanging="720"/>
      </w:pPr>
      <w:rPr>
        <w:rFonts w:hint="default"/>
        <w:lang w:val="en-US" w:eastAsia="en-US" w:bidi="ar-SA"/>
      </w:rPr>
    </w:lvl>
    <w:lvl w:ilvl="8">
      <w:numFmt w:val="bullet"/>
      <w:lvlText w:val="•"/>
      <w:lvlJc w:val="left"/>
      <w:pPr>
        <w:ind w:left="5023" w:hanging="720"/>
      </w:pPr>
      <w:rPr>
        <w:rFonts w:hint="default"/>
        <w:lang w:val="en-US" w:eastAsia="en-US" w:bidi="ar-SA"/>
      </w:rPr>
    </w:lvl>
  </w:abstractNum>
  <w:abstractNum w:abstractNumId="50" w15:restartNumberingAfterBreak="0">
    <w:nsid w:val="398A30E8"/>
    <w:multiLevelType w:val="multilevel"/>
    <w:tmpl w:val="DDC21950"/>
    <w:lvl w:ilvl="0">
      <w:start w:val="12"/>
      <w:numFmt w:val="decimal"/>
      <w:lvlText w:val="%1"/>
      <w:lvlJc w:val="left"/>
      <w:pPr>
        <w:ind w:left="2415" w:hanging="1288"/>
      </w:pPr>
      <w:rPr>
        <w:rFonts w:ascii="Arial" w:eastAsia="Arial" w:hAnsi="Arial" w:cs="Arial" w:hint="default"/>
        <w:b/>
        <w:bCs/>
        <w:i/>
        <w:iCs/>
        <w:color w:val="F3F4F4"/>
        <w:w w:val="102"/>
        <w:sz w:val="64"/>
        <w:szCs w:val="64"/>
        <w:lang w:val="en-US" w:eastAsia="en-US" w:bidi="ar-SA"/>
      </w:rPr>
    </w:lvl>
    <w:lvl w:ilvl="1">
      <w:start w:val="1"/>
      <w:numFmt w:val="decimal"/>
      <w:lvlText w:val="%1.%2"/>
      <w:lvlJc w:val="left"/>
      <w:pPr>
        <w:ind w:left="1853" w:hanging="720"/>
      </w:pPr>
      <w:rPr>
        <w:rFonts w:ascii="Arial" w:eastAsia="Arial" w:hAnsi="Arial" w:cs="Arial" w:hint="default"/>
        <w:b/>
        <w:bCs/>
        <w:i/>
        <w:iCs/>
        <w:color w:val="00ACA1"/>
        <w:w w:val="100"/>
        <w:sz w:val="24"/>
        <w:szCs w:val="24"/>
        <w:lang w:val="en-US" w:eastAsia="en-US" w:bidi="ar-SA"/>
      </w:rPr>
    </w:lvl>
    <w:lvl w:ilvl="2">
      <w:start w:val="1"/>
      <w:numFmt w:val="decimal"/>
      <w:lvlText w:val="%1.%2.%3"/>
      <w:lvlJc w:val="left"/>
      <w:pPr>
        <w:ind w:left="1853" w:hanging="720"/>
        <w:jc w:val="right"/>
      </w:pPr>
      <w:rPr>
        <w:rFonts w:ascii="Arial" w:eastAsia="Arial" w:hAnsi="Arial" w:cs="Arial" w:hint="default"/>
        <w:b/>
        <w:bCs/>
        <w:i/>
        <w:iCs/>
        <w:color w:val="00B8B1"/>
        <w:w w:val="99"/>
        <w:sz w:val="20"/>
        <w:szCs w:val="20"/>
        <w:lang w:val="en-US" w:eastAsia="en-US" w:bidi="ar-SA"/>
      </w:rPr>
    </w:lvl>
    <w:lvl w:ilvl="3">
      <w:numFmt w:val="bullet"/>
      <w:lvlText w:val="•"/>
      <w:lvlJc w:val="left"/>
      <w:pPr>
        <w:ind w:left="3210" w:hanging="720"/>
      </w:pPr>
      <w:rPr>
        <w:rFonts w:hint="default"/>
        <w:lang w:val="en-US" w:eastAsia="en-US" w:bidi="ar-SA"/>
      </w:rPr>
    </w:lvl>
    <w:lvl w:ilvl="4">
      <w:numFmt w:val="bullet"/>
      <w:lvlText w:val="•"/>
      <w:lvlJc w:val="left"/>
      <w:pPr>
        <w:ind w:left="3605" w:hanging="720"/>
      </w:pPr>
      <w:rPr>
        <w:rFonts w:hint="default"/>
        <w:lang w:val="en-US" w:eastAsia="en-US" w:bidi="ar-SA"/>
      </w:rPr>
    </w:lvl>
    <w:lvl w:ilvl="5">
      <w:numFmt w:val="bullet"/>
      <w:lvlText w:val="•"/>
      <w:lvlJc w:val="left"/>
      <w:pPr>
        <w:ind w:left="4001" w:hanging="720"/>
      </w:pPr>
      <w:rPr>
        <w:rFonts w:hint="default"/>
        <w:lang w:val="en-US" w:eastAsia="en-US" w:bidi="ar-SA"/>
      </w:rPr>
    </w:lvl>
    <w:lvl w:ilvl="6">
      <w:numFmt w:val="bullet"/>
      <w:lvlText w:val="•"/>
      <w:lvlJc w:val="left"/>
      <w:pPr>
        <w:ind w:left="4396" w:hanging="720"/>
      </w:pPr>
      <w:rPr>
        <w:rFonts w:hint="default"/>
        <w:lang w:val="en-US" w:eastAsia="en-US" w:bidi="ar-SA"/>
      </w:rPr>
    </w:lvl>
    <w:lvl w:ilvl="7">
      <w:numFmt w:val="bullet"/>
      <w:lvlText w:val="•"/>
      <w:lvlJc w:val="left"/>
      <w:pPr>
        <w:ind w:left="4791" w:hanging="720"/>
      </w:pPr>
      <w:rPr>
        <w:rFonts w:hint="default"/>
        <w:lang w:val="en-US" w:eastAsia="en-US" w:bidi="ar-SA"/>
      </w:rPr>
    </w:lvl>
    <w:lvl w:ilvl="8">
      <w:numFmt w:val="bullet"/>
      <w:lvlText w:val="•"/>
      <w:lvlJc w:val="left"/>
      <w:pPr>
        <w:ind w:left="5187" w:hanging="720"/>
      </w:pPr>
      <w:rPr>
        <w:rFonts w:hint="default"/>
        <w:lang w:val="en-US" w:eastAsia="en-US" w:bidi="ar-SA"/>
      </w:rPr>
    </w:lvl>
  </w:abstractNum>
  <w:abstractNum w:abstractNumId="51" w15:restartNumberingAfterBreak="0">
    <w:nsid w:val="3A033997"/>
    <w:multiLevelType w:val="hybridMultilevel"/>
    <w:tmpl w:val="50BA8632"/>
    <w:lvl w:ilvl="0" w:tplc="B77ECE34">
      <w:numFmt w:val="bullet"/>
      <w:lvlText w:val="•"/>
      <w:lvlJc w:val="left"/>
      <w:pPr>
        <w:ind w:left="1393" w:hanging="260"/>
      </w:pPr>
      <w:rPr>
        <w:rFonts w:ascii="Arial" w:eastAsia="Arial" w:hAnsi="Arial" w:cs="Arial" w:hint="default"/>
        <w:b/>
        <w:bCs/>
        <w:i w:val="0"/>
        <w:iCs w:val="0"/>
        <w:color w:val="00ACA1"/>
        <w:w w:val="103"/>
        <w:sz w:val="20"/>
        <w:szCs w:val="20"/>
        <w:lang w:val="en-US" w:eastAsia="en-US" w:bidi="ar-SA"/>
      </w:rPr>
    </w:lvl>
    <w:lvl w:ilvl="1" w:tplc="5ECC2F60">
      <w:numFmt w:val="bullet"/>
      <w:lvlText w:val="•"/>
      <w:lvlJc w:val="left"/>
      <w:pPr>
        <w:ind w:left="1857" w:hanging="260"/>
      </w:pPr>
      <w:rPr>
        <w:rFonts w:hint="default"/>
        <w:lang w:val="en-US" w:eastAsia="en-US" w:bidi="ar-SA"/>
      </w:rPr>
    </w:lvl>
    <w:lvl w:ilvl="2" w:tplc="C2A23656">
      <w:numFmt w:val="bullet"/>
      <w:lvlText w:val="•"/>
      <w:lvlJc w:val="left"/>
      <w:pPr>
        <w:ind w:left="2314" w:hanging="260"/>
      </w:pPr>
      <w:rPr>
        <w:rFonts w:hint="default"/>
        <w:lang w:val="en-US" w:eastAsia="en-US" w:bidi="ar-SA"/>
      </w:rPr>
    </w:lvl>
    <w:lvl w:ilvl="3" w:tplc="EB2A4F5E">
      <w:numFmt w:val="bullet"/>
      <w:lvlText w:val="•"/>
      <w:lvlJc w:val="left"/>
      <w:pPr>
        <w:ind w:left="2771" w:hanging="260"/>
      </w:pPr>
      <w:rPr>
        <w:rFonts w:hint="default"/>
        <w:lang w:val="en-US" w:eastAsia="en-US" w:bidi="ar-SA"/>
      </w:rPr>
    </w:lvl>
    <w:lvl w:ilvl="4" w:tplc="5C5C99A2">
      <w:numFmt w:val="bullet"/>
      <w:lvlText w:val="•"/>
      <w:lvlJc w:val="left"/>
      <w:pPr>
        <w:ind w:left="3228" w:hanging="260"/>
      </w:pPr>
      <w:rPr>
        <w:rFonts w:hint="default"/>
        <w:lang w:val="en-US" w:eastAsia="en-US" w:bidi="ar-SA"/>
      </w:rPr>
    </w:lvl>
    <w:lvl w:ilvl="5" w:tplc="7E60BCE8">
      <w:numFmt w:val="bullet"/>
      <w:lvlText w:val="•"/>
      <w:lvlJc w:val="left"/>
      <w:pPr>
        <w:ind w:left="3686" w:hanging="260"/>
      </w:pPr>
      <w:rPr>
        <w:rFonts w:hint="default"/>
        <w:lang w:val="en-US" w:eastAsia="en-US" w:bidi="ar-SA"/>
      </w:rPr>
    </w:lvl>
    <w:lvl w:ilvl="6" w:tplc="9D9836FA">
      <w:numFmt w:val="bullet"/>
      <w:lvlText w:val="•"/>
      <w:lvlJc w:val="left"/>
      <w:pPr>
        <w:ind w:left="4143" w:hanging="260"/>
      </w:pPr>
      <w:rPr>
        <w:rFonts w:hint="default"/>
        <w:lang w:val="en-US" w:eastAsia="en-US" w:bidi="ar-SA"/>
      </w:rPr>
    </w:lvl>
    <w:lvl w:ilvl="7" w:tplc="964C5494">
      <w:numFmt w:val="bullet"/>
      <w:lvlText w:val="•"/>
      <w:lvlJc w:val="left"/>
      <w:pPr>
        <w:ind w:left="4600" w:hanging="260"/>
      </w:pPr>
      <w:rPr>
        <w:rFonts w:hint="default"/>
        <w:lang w:val="en-US" w:eastAsia="en-US" w:bidi="ar-SA"/>
      </w:rPr>
    </w:lvl>
    <w:lvl w:ilvl="8" w:tplc="0202836C">
      <w:numFmt w:val="bullet"/>
      <w:lvlText w:val="•"/>
      <w:lvlJc w:val="left"/>
      <w:pPr>
        <w:ind w:left="5057" w:hanging="260"/>
      </w:pPr>
      <w:rPr>
        <w:rFonts w:hint="default"/>
        <w:lang w:val="en-US" w:eastAsia="en-US" w:bidi="ar-SA"/>
      </w:rPr>
    </w:lvl>
  </w:abstractNum>
  <w:abstractNum w:abstractNumId="52" w15:restartNumberingAfterBreak="0">
    <w:nsid w:val="3CC62ECA"/>
    <w:multiLevelType w:val="multilevel"/>
    <w:tmpl w:val="7A22C7E2"/>
    <w:lvl w:ilvl="0">
      <w:start w:val="4"/>
      <w:numFmt w:val="decimal"/>
      <w:lvlText w:val="%1"/>
      <w:lvlJc w:val="left"/>
      <w:pPr>
        <w:ind w:left="1853" w:hanging="720"/>
      </w:pPr>
      <w:rPr>
        <w:rFonts w:hint="default"/>
        <w:lang w:val="en-US" w:eastAsia="en-US" w:bidi="ar-SA"/>
      </w:rPr>
    </w:lvl>
    <w:lvl w:ilvl="1">
      <w:start w:val="1"/>
      <w:numFmt w:val="decimal"/>
      <w:lvlText w:val="%1.%2"/>
      <w:lvlJc w:val="left"/>
      <w:pPr>
        <w:ind w:left="1853" w:hanging="720"/>
      </w:pPr>
      <w:rPr>
        <w:rFonts w:ascii="Arial" w:eastAsia="Arial" w:hAnsi="Arial" w:cs="Arial" w:hint="default"/>
        <w:b/>
        <w:bCs/>
        <w:i/>
        <w:iCs/>
        <w:color w:val="00ACA1"/>
        <w:w w:val="99"/>
        <w:sz w:val="24"/>
        <w:szCs w:val="24"/>
        <w:lang w:val="en-US" w:eastAsia="en-US" w:bidi="ar-SA"/>
      </w:rPr>
    </w:lvl>
    <w:lvl w:ilvl="2">
      <w:numFmt w:val="bullet"/>
      <w:lvlText w:val="•"/>
      <w:lvlJc w:val="left"/>
      <w:pPr>
        <w:ind w:left="3936" w:hanging="720"/>
      </w:pPr>
      <w:rPr>
        <w:rFonts w:hint="default"/>
        <w:lang w:val="en-US" w:eastAsia="en-US" w:bidi="ar-SA"/>
      </w:rPr>
    </w:lvl>
    <w:lvl w:ilvl="3">
      <w:numFmt w:val="bullet"/>
      <w:lvlText w:val="•"/>
      <w:lvlJc w:val="left"/>
      <w:pPr>
        <w:ind w:left="4974" w:hanging="720"/>
      </w:pPr>
      <w:rPr>
        <w:rFonts w:hint="default"/>
        <w:lang w:val="en-US" w:eastAsia="en-US" w:bidi="ar-SA"/>
      </w:rPr>
    </w:lvl>
    <w:lvl w:ilvl="4">
      <w:numFmt w:val="bullet"/>
      <w:lvlText w:val="•"/>
      <w:lvlJc w:val="left"/>
      <w:pPr>
        <w:ind w:left="6012" w:hanging="720"/>
      </w:pPr>
      <w:rPr>
        <w:rFonts w:hint="default"/>
        <w:lang w:val="en-US" w:eastAsia="en-US" w:bidi="ar-SA"/>
      </w:rPr>
    </w:lvl>
    <w:lvl w:ilvl="5">
      <w:numFmt w:val="bullet"/>
      <w:lvlText w:val="•"/>
      <w:lvlJc w:val="left"/>
      <w:pPr>
        <w:ind w:left="7050" w:hanging="720"/>
      </w:pPr>
      <w:rPr>
        <w:rFonts w:hint="default"/>
        <w:lang w:val="en-US" w:eastAsia="en-US" w:bidi="ar-SA"/>
      </w:rPr>
    </w:lvl>
    <w:lvl w:ilvl="6">
      <w:numFmt w:val="bullet"/>
      <w:lvlText w:val="•"/>
      <w:lvlJc w:val="left"/>
      <w:pPr>
        <w:ind w:left="8088" w:hanging="720"/>
      </w:pPr>
      <w:rPr>
        <w:rFonts w:hint="default"/>
        <w:lang w:val="en-US" w:eastAsia="en-US" w:bidi="ar-SA"/>
      </w:rPr>
    </w:lvl>
    <w:lvl w:ilvl="7">
      <w:numFmt w:val="bullet"/>
      <w:lvlText w:val="•"/>
      <w:lvlJc w:val="left"/>
      <w:pPr>
        <w:ind w:left="9126" w:hanging="720"/>
      </w:pPr>
      <w:rPr>
        <w:rFonts w:hint="default"/>
        <w:lang w:val="en-US" w:eastAsia="en-US" w:bidi="ar-SA"/>
      </w:rPr>
    </w:lvl>
    <w:lvl w:ilvl="8">
      <w:numFmt w:val="bullet"/>
      <w:lvlText w:val="•"/>
      <w:lvlJc w:val="left"/>
      <w:pPr>
        <w:ind w:left="10164" w:hanging="720"/>
      </w:pPr>
      <w:rPr>
        <w:rFonts w:hint="default"/>
        <w:lang w:val="en-US" w:eastAsia="en-US" w:bidi="ar-SA"/>
      </w:rPr>
    </w:lvl>
  </w:abstractNum>
  <w:abstractNum w:abstractNumId="53" w15:restartNumberingAfterBreak="0">
    <w:nsid w:val="3DC90D91"/>
    <w:multiLevelType w:val="hybridMultilevel"/>
    <w:tmpl w:val="2CF4FF0A"/>
    <w:lvl w:ilvl="0" w:tplc="D5E8A380">
      <w:numFmt w:val="bullet"/>
      <w:lvlText w:val="•"/>
      <w:lvlJc w:val="left"/>
      <w:pPr>
        <w:ind w:left="1393" w:hanging="260"/>
      </w:pPr>
      <w:rPr>
        <w:rFonts w:ascii="Arial" w:eastAsia="Arial" w:hAnsi="Arial" w:cs="Arial" w:hint="default"/>
        <w:b/>
        <w:bCs/>
        <w:i w:val="0"/>
        <w:iCs w:val="0"/>
        <w:color w:val="00ACA1"/>
        <w:w w:val="103"/>
        <w:sz w:val="20"/>
        <w:szCs w:val="20"/>
        <w:lang w:val="en-US" w:eastAsia="en-US" w:bidi="ar-SA"/>
      </w:rPr>
    </w:lvl>
    <w:lvl w:ilvl="1" w:tplc="15E077CC">
      <w:numFmt w:val="bullet"/>
      <w:lvlText w:val="•"/>
      <w:lvlJc w:val="left"/>
      <w:pPr>
        <w:ind w:left="1644" w:hanging="256"/>
      </w:pPr>
      <w:rPr>
        <w:rFonts w:ascii="Arial" w:eastAsia="Arial" w:hAnsi="Arial" w:cs="Arial" w:hint="default"/>
        <w:b/>
        <w:bCs/>
        <w:i w:val="0"/>
        <w:iCs w:val="0"/>
        <w:color w:val="545456"/>
        <w:w w:val="103"/>
        <w:sz w:val="19"/>
        <w:szCs w:val="19"/>
        <w:lang w:val="en-US" w:eastAsia="en-US" w:bidi="ar-SA"/>
      </w:rPr>
    </w:lvl>
    <w:lvl w:ilvl="2" w:tplc="6074C226">
      <w:numFmt w:val="bullet"/>
      <w:lvlText w:val="•"/>
      <w:lvlJc w:val="left"/>
      <w:pPr>
        <w:ind w:left="2120" w:hanging="256"/>
      </w:pPr>
      <w:rPr>
        <w:rFonts w:hint="default"/>
        <w:lang w:val="en-US" w:eastAsia="en-US" w:bidi="ar-SA"/>
      </w:rPr>
    </w:lvl>
    <w:lvl w:ilvl="3" w:tplc="D0D87728">
      <w:numFmt w:val="bullet"/>
      <w:lvlText w:val="•"/>
      <w:lvlJc w:val="left"/>
      <w:pPr>
        <w:ind w:left="2601" w:hanging="256"/>
      </w:pPr>
      <w:rPr>
        <w:rFonts w:hint="default"/>
        <w:lang w:val="en-US" w:eastAsia="en-US" w:bidi="ar-SA"/>
      </w:rPr>
    </w:lvl>
    <w:lvl w:ilvl="4" w:tplc="9F502978">
      <w:numFmt w:val="bullet"/>
      <w:lvlText w:val="•"/>
      <w:lvlJc w:val="left"/>
      <w:pPr>
        <w:ind w:left="3081" w:hanging="256"/>
      </w:pPr>
      <w:rPr>
        <w:rFonts w:hint="default"/>
        <w:lang w:val="en-US" w:eastAsia="en-US" w:bidi="ar-SA"/>
      </w:rPr>
    </w:lvl>
    <w:lvl w:ilvl="5" w:tplc="39EEC25C">
      <w:numFmt w:val="bullet"/>
      <w:lvlText w:val="•"/>
      <w:lvlJc w:val="left"/>
      <w:pPr>
        <w:ind w:left="3562" w:hanging="256"/>
      </w:pPr>
      <w:rPr>
        <w:rFonts w:hint="default"/>
        <w:lang w:val="en-US" w:eastAsia="en-US" w:bidi="ar-SA"/>
      </w:rPr>
    </w:lvl>
    <w:lvl w:ilvl="6" w:tplc="BBF8B984">
      <w:numFmt w:val="bullet"/>
      <w:lvlText w:val="•"/>
      <w:lvlJc w:val="left"/>
      <w:pPr>
        <w:ind w:left="4042" w:hanging="256"/>
      </w:pPr>
      <w:rPr>
        <w:rFonts w:hint="default"/>
        <w:lang w:val="en-US" w:eastAsia="en-US" w:bidi="ar-SA"/>
      </w:rPr>
    </w:lvl>
    <w:lvl w:ilvl="7" w:tplc="76A29FCA">
      <w:numFmt w:val="bullet"/>
      <w:lvlText w:val="•"/>
      <w:lvlJc w:val="left"/>
      <w:pPr>
        <w:ind w:left="4523" w:hanging="256"/>
      </w:pPr>
      <w:rPr>
        <w:rFonts w:hint="default"/>
        <w:lang w:val="en-US" w:eastAsia="en-US" w:bidi="ar-SA"/>
      </w:rPr>
    </w:lvl>
    <w:lvl w:ilvl="8" w:tplc="9AE858DC">
      <w:numFmt w:val="bullet"/>
      <w:lvlText w:val="•"/>
      <w:lvlJc w:val="left"/>
      <w:pPr>
        <w:ind w:left="5003" w:hanging="256"/>
      </w:pPr>
      <w:rPr>
        <w:rFonts w:hint="default"/>
        <w:lang w:val="en-US" w:eastAsia="en-US" w:bidi="ar-SA"/>
      </w:rPr>
    </w:lvl>
  </w:abstractNum>
  <w:abstractNum w:abstractNumId="54" w15:restartNumberingAfterBreak="0">
    <w:nsid w:val="3F3810CF"/>
    <w:multiLevelType w:val="multilevel"/>
    <w:tmpl w:val="1AB6203C"/>
    <w:lvl w:ilvl="0">
      <w:start w:val="9"/>
      <w:numFmt w:val="decimal"/>
      <w:lvlText w:val="%1"/>
      <w:lvlJc w:val="left"/>
      <w:pPr>
        <w:ind w:left="1853" w:hanging="720"/>
      </w:pPr>
      <w:rPr>
        <w:rFonts w:hint="default"/>
        <w:lang w:val="en-US" w:eastAsia="en-US" w:bidi="ar-SA"/>
      </w:rPr>
    </w:lvl>
    <w:lvl w:ilvl="1">
      <w:start w:val="1"/>
      <w:numFmt w:val="decimal"/>
      <w:lvlText w:val="%1.%2"/>
      <w:lvlJc w:val="left"/>
      <w:pPr>
        <w:ind w:left="1853" w:hanging="720"/>
        <w:jc w:val="right"/>
      </w:pPr>
      <w:rPr>
        <w:rFonts w:ascii="Arial" w:eastAsia="Arial" w:hAnsi="Arial" w:cs="Arial" w:hint="default"/>
        <w:b/>
        <w:bCs/>
        <w:i/>
        <w:iCs/>
        <w:color w:val="00ACA1"/>
        <w:w w:val="99"/>
        <w:sz w:val="24"/>
        <w:szCs w:val="24"/>
        <w:lang w:val="en-US" w:eastAsia="en-US" w:bidi="ar-SA"/>
      </w:rPr>
    </w:lvl>
    <w:lvl w:ilvl="2">
      <w:start w:val="1"/>
      <w:numFmt w:val="decimal"/>
      <w:lvlText w:val="%1.%2.%3"/>
      <w:lvlJc w:val="left"/>
      <w:pPr>
        <w:ind w:left="1133" w:hanging="720"/>
        <w:jc w:val="right"/>
      </w:pPr>
      <w:rPr>
        <w:rFonts w:ascii="Arial" w:eastAsia="Arial" w:hAnsi="Arial" w:cs="Arial" w:hint="default"/>
        <w:b/>
        <w:bCs/>
        <w:i/>
        <w:iCs/>
        <w:color w:val="00B8B1"/>
        <w:w w:val="99"/>
        <w:sz w:val="20"/>
        <w:szCs w:val="20"/>
        <w:lang w:val="en-US" w:eastAsia="en-US" w:bidi="ar-SA"/>
      </w:rPr>
    </w:lvl>
    <w:lvl w:ilvl="3">
      <w:numFmt w:val="bullet"/>
      <w:lvlText w:val="•"/>
      <w:lvlJc w:val="left"/>
      <w:pPr>
        <w:ind w:left="2783" w:hanging="720"/>
      </w:pPr>
      <w:rPr>
        <w:rFonts w:hint="default"/>
        <w:lang w:val="en-US" w:eastAsia="en-US" w:bidi="ar-SA"/>
      </w:rPr>
    </w:lvl>
    <w:lvl w:ilvl="4">
      <w:numFmt w:val="bullet"/>
      <w:lvlText w:val="•"/>
      <w:lvlJc w:val="left"/>
      <w:pPr>
        <w:ind w:left="3244" w:hanging="720"/>
      </w:pPr>
      <w:rPr>
        <w:rFonts w:hint="default"/>
        <w:lang w:val="en-US" w:eastAsia="en-US" w:bidi="ar-SA"/>
      </w:rPr>
    </w:lvl>
    <w:lvl w:ilvl="5">
      <w:numFmt w:val="bullet"/>
      <w:lvlText w:val="•"/>
      <w:lvlJc w:val="left"/>
      <w:pPr>
        <w:ind w:left="3706" w:hanging="720"/>
      </w:pPr>
      <w:rPr>
        <w:rFonts w:hint="default"/>
        <w:lang w:val="en-US" w:eastAsia="en-US" w:bidi="ar-SA"/>
      </w:rPr>
    </w:lvl>
    <w:lvl w:ilvl="6">
      <w:numFmt w:val="bullet"/>
      <w:lvlText w:val="•"/>
      <w:lvlJc w:val="left"/>
      <w:pPr>
        <w:ind w:left="4167" w:hanging="720"/>
      </w:pPr>
      <w:rPr>
        <w:rFonts w:hint="default"/>
        <w:lang w:val="en-US" w:eastAsia="en-US" w:bidi="ar-SA"/>
      </w:rPr>
    </w:lvl>
    <w:lvl w:ilvl="7">
      <w:numFmt w:val="bullet"/>
      <w:lvlText w:val="•"/>
      <w:lvlJc w:val="left"/>
      <w:pPr>
        <w:ind w:left="4629" w:hanging="720"/>
      </w:pPr>
      <w:rPr>
        <w:rFonts w:hint="default"/>
        <w:lang w:val="en-US" w:eastAsia="en-US" w:bidi="ar-SA"/>
      </w:rPr>
    </w:lvl>
    <w:lvl w:ilvl="8">
      <w:numFmt w:val="bullet"/>
      <w:lvlText w:val="•"/>
      <w:lvlJc w:val="left"/>
      <w:pPr>
        <w:ind w:left="5091" w:hanging="720"/>
      </w:pPr>
      <w:rPr>
        <w:rFonts w:hint="default"/>
        <w:lang w:val="en-US" w:eastAsia="en-US" w:bidi="ar-SA"/>
      </w:rPr>
    </w:lvl>
  </w:abstractNum>
  <w:abstractNum w:abstractNumId="55" w15:restartNumberingAfterBreak="0">
    <w:nsid w:val="407C214E"/>
    <w:multiLevelType w:val="hybridMultilevel"/>
    <w:tmpl w:val="97ECBA62"/>
    <w:lvl w:ilvl="0" w:tplc="FFFFFFFF">
      <w:numFmt w:val="bullet"/>
      <w:lvlText w:val="•"/>
      <w:lvlJc w:val="left"/>
      <w:pPr>
        <w:ind w:left="842" w:hanging="260"/>
      </w:pPr>
      <w:rPr>
        <w:rFonts w:ascii="Arial" w:eastAsia="Arial" w:hAnsi="Arial" w:cs="Arial" w:hint="default"/>
        <w:b/>
        <w:bCs/>
        <w:i w:val="0"/>
        <w:iCs w:val="0"/>
        <w:color w:val="00ACA1"/>
        <w:w w:val="103"/>
        <w:sz w:val="20"/>
        <w:szCs w:val="20"/>
        <w:lang w:val="en-US" w:eastAsia="en-US" w:bidi="ar-SA"/>
      </w:rPr>
    </w:lvl>
    <w:lvl w:ilvl="1" w:tplc="25F4880A">
      <w:numFmt w:val="bullet"/>
      <w:lvlText w:val="•"/>
      <w:lvlJc w:val="left"/>
      <w:pPr>
        <w:ind w:left="1256" w:hanging="420"/>
      </w:pPr>
      <w:rPr>
        <w:rFonts w:ascii="Arial" w:eastAsia="Arial" w:hAnsi="Arial" w:cs="Arial" w:hint="default"/>
        <w:b/>
        <w:bCs/>
        <w:i w:val="0"/>
        <w:iCs w:val="0"/>
        <w:color w:val="00ACA1"/>
        <w:w w:val="103"/>
        <w:sz w:val="20"/>
        <w:szCs w:val="20"/>
        <w:lang w:val="en-US" w:eastAsia="en-US" w:bidi="ar-SA"/>
      </w:rPr>
    </w:lvl>
    <w:lvl w:ilvl="2" w:tplc="FFFFFFFF">
      <w:numFmt w:val="bullet"/>
      <w:lvlText w:val="•"/>
      <w:lvlJc w:val="left"/>
      <w:pPr>
        <w:ind w:left="1400" w:hanging="256"/>
      </w:pPr>
      <w:rPr>
        <w:rFonts w:hint="default"/>
        <w:lang w:val="en-US" w:eastAsia="en-US" w:bidi="ar-SA"/>
      </w:rPr>
    </w:lvl>
    <w:lvl w:ilvl="3" w:tplc="FFFFFFFF">
      <w:numFmt w:val="bullet"/>
      <w:lvlText w:val="•"/>
      <w:lvlJc w:val="left"/>
      <w:pPr>
        <w:ind w:left="1254" w:hanging="256"/>
      </w:pPr>
      <w:rPr>
        <w:rFonts w:hint="default"/>
        <w:lang w:val="en-US" w:eastAsia="en-US" w:bidi="ar-SA"/>
      </w:rPr>
    </w:lvl>
    <w:lvl w:ilvl="4" w:tplc="FFFFFFFF">
      <w:numFmt w:val="bullet"/>
      <w:lvlText w:val="•"/>
      <w:lvlJc w:val="left"/>
      <w:pPr>
        <w:ind w:left="1109" w:hanging="256"/>
      </w:pPr>
      <w:rPr>
        <w:rFonts w:hint="default"/>
        <w:lang w:val="en-US" w:eastAsia="en-US" w:bidi="ar-SA"/>
      </w:rPr>
    </w:lvl>
    <w:lvl w:ilvl="5" w:tplc="FFFFFFFF">
      <w:numFmt w:val="bullet"/>
      <w:lvlText w:val="•"/>
      <w:lvlJc w:val="left"/>
      <w:pPr>
        <w:ind w:left="963" w:hanging="256"/>
      </w:pPr>
      <w:rPr>
        <w:rFonts w:hint="default"/>
        <w:lang w:val="en-US" w:eastAsia="en-US" w:bidi="ar-SA"/>
      </w:rPr>
    </w:lvl>
    <w:lvl w:ilvl="6" w:tplc="FFFFFFFF">
      <w:numFmt w:val="bullet"/>
      <w:lvlText w:val="•"/>
      <w:lvlJc w:val="left"/>
      <w:pPr>
        <w:ind w:left="818" w:hanging="256"/>
      </w:pPr>
      <w:rPr>
        <w:rFonts w:hint="default"/>
        <w:lang w:val="en-US" w:eastAsia="en-US" w:bidi="ar-SA"/>
      </w:rPr>
    </w:lvl>
    <w:lvl w:ilvl="7" w:tplc="FFFFFFFF">
      <w:numFmt w:val="bullet"/>
      <w:lvlText w:val="•"/>
      <w:lvlJc w:val="left"/>
      <w:pPr>
        <w:ind w:left="672" w:hanging="256"/>
      </w:pPr>
      <w:rPr>
        <w:rFonts w:hint="default"/>
        <w:lang w:val="en-US" w:eastAsia="en-US" w:bidi="ar-SA"/>
      </w:rPr>
    </w:lvl>
    <w:lvl w:ilvl="8" w:tplc="FFFFFFFF">
      <w:numFmt w:val="bullet"/>
      <w:lvlText w:val="•"/>
      <w:lvlJc w:val="left"/>
      <w:pPr>
        <w:ind w:left="527" w:hanging="256"/>
      </w:pPr>
      <w:rPr>
        <w:rFonts w:hint="default"/>
        <w:lang w:val="en-US" w:eastAsia="en-US" w:bidi="ar-SA"/>
      </w:rPr>
    </w:lvl>
  </w:abstractNum>
  <w:abstractNum w:abstractNumId="56" w15:restartNumberingAfterBreak="0">
    <w:nsid w:val="40900B11"/>
    <w:multiLevelType w:val="hybridMultilevel"/>
    <w:tmpl w:val="B62A1E4A"/>
    <w:lvl w:ilvl="0" w:tplc="0409000F">
      <w:start w:val="1"/>
      <w:numFmt w:val="decimal"/>
      <w:lvlText w:val="%1."/>
      <w:lvlJc w:val="left"/>
      <w:pPr>
        <w:ind w:left="545" w:hanging="227"/>
      </w:pPr>
      <w:rPr>
        <w:rFonts w:hint="default"/>
        <w:b w:val="0"/>
        <w:bCs w:val="0"/>
        <w:i w:val="0"/>
        <w:iCs w:val="0"/>
        <w:color w:val="545456"/>
        <w:w w:val="101"/>
        <w:sz w:val="16"/>
        <w:szCs w:val="16"/>
        <w:lang w:val="en-US" w:eastAsia="en-US" w:bidi="ar-SA"/>
      </w:rPr>
    </w:lvl>
    <w:lvl w:ilvl="1" w:tplc="117AFBDA">
      <w:numFmt w:val="bullet"/>
      <w:lvlText w:val="•"/>
      <w:lvlJc w:val="left"/>
      <w:pPr>
        <w:ind w:left="1393" w:hanging="260"/>
      </w:pPr>
      <w:rPr>
        <w:rFonts w:ascii="Arial" w:eastAsia="Arial" w:hAnsi="Arial" w:cs="Arial" w:hint="default"/>
        <w:b/>
        <w:bCs/>
        <w:i w:val="0"/>
        <w:iCs w:val="0"/>
        <w:color w:val="00ACA1"/>
        <w:w w:val="103"/>
        <w:sz w:val="20"/>
        <w:szCs w:val="20"/>
        <w:lang w:val="en-US" w:eastAsia="en-US" w:bidi="ar-SA"/>
      </w:rPr>
    </w:lvl>
    <w:lvl w:ilvl="2" w:tplc="A544D59A">
      <w:numFmt w:val="bullet"/>
      <w:lvlText w:val="•"/>
      <w:lvlJc w:val="left"/>
      <w:pPr>
        <w:ind w:left="1242" w:hanging="260"/>
      </w:pPr>
      <w:rPr>
        <w:rFonts w:hint="default"/>
        <w:lang w:val="en-US" w:eastAsia="en-US" w:bidi="ar-SA"/>
      </w:rPr>
    </w:lvl>
    <w:lvl w:ilvl="3" w:tplc="2814FC8C">
      <w:numFmt w:val="bullet"/>
      <w:lvlText w:val="•"/>
      <w:lvlJc w:val="left"/>
      <w:pPr>
        <w:ind w:left="1085" w:hanging="260"/>
      </w:pPr>
      <w:rPr>
        <w:rFonts w:hint="default"/>
        <w:lang w:val="en-US" w:eastAsia="en-US" w:bidi="ar-SA"/>
      </w:rPr>
    </w:lvl>
    <w:lvl w:ilvl="4" w:tplc="08C4930C">
      <w:numFmt w:val="bullet"/>
      <w:lvlText w:val="•"/>
      <w:lvlJc w:val="left"/>
      <w:pPr>
        <w:ind w:left="928" w:hanging="260"/>
      </w:pPr>
      <w:rPr>
        <w:rFonts w:hint="default"/>
        <w:lang w:val="en-US" w:eastAsia="en-US" w:bidi="ar-SA"/>
      </w:rPr>
    </w:lvl>
    <w:lvl w:ilvl="5" w:tplc="AFC83B6C">
      <w:numFmt w:val="bullet"/>
      <w:lvlText w:val="•"/>
      <w:lvlJc w:val="left"/>
      <w:pPr>
        <w:ind w:left="770" w:hanging="260"/>
      </w:pPr>
      <w:rPr>
        <w:rFonts w:hint="default"/>
        <w:lang w:val="en-US" w:eastAsia="en-US" w:bidi="ar-SA"/>
      </w:rPr>
    </w:lvl>
    <w:lvl w:ilvl="6" w:tplc="13040566">
      <w:numFmt w:val="bullet"/>
      <w:lvlText w:val="•"/>
      <w:lvlJc w:val="left"/>
      <w:pPr>
        <w:ind w:left="613" w:hanging="260"/>
      </w:pPr>
      <w:rPr>
        <w:rFonts w:hint="default"/>
        <w:lang w:val="en-US" w:eastAsia="en-US" w:bidi="ar-SA"/>
      </w:rPr>
    </w:lvl>
    <w:lvl w:ilvl="7" w:tplc="7AA23B50">
      <w:numFmt w:val="bullet"/>
      <w:lvlText w:val="•"/>
      <w:lvlJc w:val="left"/>
      <w:pPr>
        <w:ind w:left="456" w:hanging="260"/>
      </w:pPr>
      <w:rPr>
        <w:rFonts w:hint="default"/>
        <w:lang w:val="en-US" w:eastAsia="en-US" w:bidi="ar-SA"/>
      </w:rPr>
    </w:lvl>
    <w:lvl w:ilvl="8" w:tplc="F3C2076C">
      <w:numFmt w:val="bullet"/>
      <w:lvlText w:val="•"/>
      <w:lvlJc w:val="left"/>
      <w:pPr>
        <w:ind w:left="298" w:hanging="260"/>
      </w:pPr>
      <w:rPr>
        <w:rFonts w:hint="default"/>
        <w:lang w:val="en-US" w:eastAsia="en-US" w:bidi="ar-SA"/>
      </w:rPr>
    </w:lvl>
  </w:abstractNum>
  <w:abstractNum w:abstractNumId="57" w15:restartNumberingAfterBreak="0">
    <w:nsid w:val="40B0679C"/>
    <w:multiLevelType w:val="hybridMultilevel"/>
    <w:tmpl w:val="20C6CA6E"/>
    <w:lvl w:ilvl="0" w:tplc="7EEE12BE">
      <w:start w:val="1"/>
      <w:numFmt w:val="decimal"/>
      <w:lvlText w:val="%1."/>
      <w:lvlJc w:val="left"/>
      <w:pPr>
        <w:ind w:left="1393" w:hanging="260"/>
      </w:pPr>
      <w:rPr>
        <w:rFonts w:ascii="Arial" w:eastAsia="Arial" w:hAnsi="Arial" w:cs="Arial" w:hint="default"/>
        <w:b/>
        <w:bCs/>
        <w:i w:val="0"/>
        <w:iCs w:val="0"/>
        <w:color w:val="00ACA1"/>
        <w:spacing w:val="-1"/>
        <w:w w:val="97"/>
        <w:sz w:val="20"/>
        <w:szCs w:val="20"/>
        <w:lang w:val="en-US" w:eastAsia="en-US" w:bidi="ar-SA"/>
      </w:rPr>
    </w:lvl>
    <w:lvl w:ilvl="1" w:tplc="7F44D0FA">
      <w:numFmt w:val="bullet"/>
      <w:lvlText w:val="•"/>
      <w:lvlJc w:val="left"/>
      <w:pPr>
        <w:ind w:left="1839" w:hanging="260"/>
      </w:pPr>
      <w:rPr>
        <w:rFonts w:hint="default"/>
        <w:lang w:val="en-US" w:eastAsia="en-US" w:bidi="ar-SA"/>
      </w:rPr>
    </w:lvl>
    <w:lvl w:ilvl="2" w:tplc="A8623110">
      <w:numFmt w:val="bullet"/>
      <w:lvlText w:val="•"/>
      <w:lvlJc w:val="left"/>
      <w:pPr>
        <w:ind w:left="2278" w:hanging="260"/>
      </w:pPr>
      <w:rPr>
        <w:rFonts w:hint="default"/>
        <w:lang w:val="en-US" w:eastAsia="en-US" w:bidi="ar-SA"/>
      </w:rPr>
    </w:lvl>
    <w:lvl w:ilvl="3" w:tplc="C1AA3340">
      <w:numFmt w:val="bullet"/>
      <w:lvlText w:val="•"/>
      <w:lvlJc w:val="left"/>
      <w:pPr>
        <w:ind w:left="2717" w:hanging="260"/>
      </w:pPr>
      <w:rPr>
        <w:rFonts w:hint="default"/>
        <w:lang w:val="en-US" w:eastAsia="en-US" w:bidi="ar-SA"/>
      </w:rPr>
    </w:lvl>
    <w:lvl w:ilvl="4" w:tplc="97AE80A6">
      <w:numFmt w:val="bullet"/>
      <w:lvlText w:val="•"/>
      <w:lvlJc w:val="left"/>
      <w:pPr>
        <w:ind w:left="3156" w:hanging="260"/>
      </w:pPr>
      <w:rPr>
        <w:rFonts w:hint="default"/>
        <w:lang w:val="en-US" w:eastAsia="en-US" w:bidi="ar-SA"/>
      </w:rPr>
    </w:lvl>
    <w:lvl w:ilvl="5" w:tplc="BF4C4216">
      <w:numFmt w:val="bullet"/>
      <w:lvlText w:val="•"/>
      <w:lvlJc w:val="left"/>
      <w:pPr>
        <w:ind w:left="3595" w:hanging="260"/>
      </w:pPr>
      <w:rPr>
        <w:rFonts w:hint="default"/>
        <w:lang w:val="en-US" w:eastAsia="en-US" w:bidi="ar-SA"/>
      </w:rPr>
    </w:lvl>
    <w:lvl w:ilvl="6" w:tplc="A7A4D800">
      <w:numFmt w:val="bullet"/>
      <w:lvlText w:val="•"/>
      <w:lvlJc w:val="left"/>
      <w:pPr>
        <w:ind w:left="4035" w:hanging="260"/>
      </w:pPr>
      <w:rPr>
        <w:rFonts w:hint="default"/>
        <w:lang w:val="en-US" w:eastAsia="en-US" w:bidi="ar-SA"/>
      </w:rPr>
    </w:lvl>
    <w:lvl w:ilvl="7" w:tplc="389E9520">
      <w:numFmt w:val="bullet"/>
      <w:lvlText w:val="•"/>
      <w:lvlJc w:val="left"/>
      <w:pPr>
        <w:ind w:left="4474" w:hanging="260"/>
      </w:pPr>
      <w:rPr>
        <w:rFonts w:hint="default"/>
        <w:lang w:val="en-US" w:eastAsia="en-US" w:bidi="ar-SA"/>
      </w:rPr>
    </w:lvl>
    <w:lvl w:ilvl="8" w:tplc="9B86FBC0">
      <w:numFmt w:val="bullet"/>
      <w:lvlText w:val="•"/>
      <w:lvlJc w:val="left"/>
      <w:pPr>
        <w:ind w:left="4913" w:hanging="260"/>
      </w:pPr>
      <w:rPr>
        <w:rFonts w:hint="default"/>
        <w:lang w:val="en-US" w:eastAsia="en-US" w:bidi="ar-SA"/>
      </w:rPr>
    </w:lvl>
  </w:abstractNum>
  <w:abstractNum w:abstractNumId="58" w15:restartNumberingAfterBreak="0">
    <w:nsid w:val="4147067B"/>
    <w:multiLevelType w:val="hybridMultilevel"/>
    <w:tmpl w:val="B47201C6"/>
    <w:lvl w:ilvl="0" w:tplc="7E4CBA9C">
      <w:numFmt w:val="bullet"/>
      <w:lvlText w:val="•"/>
      <w:lvlJc w:val="left"/>
      <w:pPr>
        <w:ind w:left="252" w:hanging="253"/>
      </w:pPr>
      <w:rPr>
        <w:rFonts w:ascii="Arial" w:eastAsia="Arial" w:hAnsi="Arial" w:cs="Arial" w:hint="default"/>
        <w:b/>
        <w:bCs/>
        <w:i/>
        <w:iCs/>
        <w:color w:val="00ACA1"/>
        <w:w w:val="104"/>
        <w:sz w:val="24"/>
        <w:szCs w:val="24"/>
        <w:lang w:val="en-US" w:eastAsia="en-US" w:bidi="ar-SA"/>
      </w:rPr>
    </w:lvl>
    <w:lvl w:ilvl="1" w:tplc="7BDABD08">
      <w:numFmt w:val="bullet"/>
      <w:lvlText w:val="•"/>
      <w:lvlJc w:val="left"/>
      <w:pPr>
        <w:ind w:left="392" w:hanging="253"/>
      </w:pPr>
      <w:rPr>
        <w:rFonts w:hint="default"/>
        <w:lang w:val="en-US" w:eastAsia="en-US" w:bidi="ar-SA"/>
      </w:rPr>
    </w:lvl>
    <w:lvl w:ilvl="2" w:tplc="8E76ABFC">
      <w:numFmt w:val="bullet"/>
      <w:lvlText w:val="•"/>
      <w:lvlJc w:val="left"/>
      <w:pPr>
        <w:ind w:left="525" w:hanging="253"/>
      </w:pPr>
      <w:rPr>
        <w:rFonts w:hint="default"/>
        <w:lang w:val="en-US" w:eastAsia="en-US" w:bidi="ar-SA"/>
      </w:rPr>
    </w:lvl>
    <w:lvl w:ilvl="3" w:tplc="846A531C">
      <w:numFmt w:val="bullet"/>
      <w:lvlText w:val="•"/>
      <w:lvlJc w:val="left"/>
      <w:pPr>
        <w:ind w:left="658" w:hanging="253"/>
      </w:pPr>
      <w:rPr>
        <w:rFonts w:hint="default"/>
        <w:lang w:val="en-US" w:eastAsia="en-US" w:bidi="ar-SA"/>
      </w:rPr>
    </w:lvl>
    <w:lvl w:ilvl="4" w:tplc="ADC4B4E4">
      <w:numFmt w:val="bullet"/>
      <w:lvlText w:val="•"/>
      <w:lvlJc w:val="left"/>
      <w:pPr>
        <w:ind w:left="790" w:hanging="253"/>
      </w:pPr>
      <w:rPr>
        <w:rFonts w:hint="default"/>
        <w:lang w:val="en-US" w:eastAsia="en-US" w:bidi="ar-SA"/>
      </w:rPr>
    </w:lvl>
    <w:lvl w:ilvl="5" w:tplc="0EFAF8F4">
      <w:numFmt w:val="bullet"/>
      <w:lvlText w:val="•"/>
      <w:lvlJc w:val="left"/>
      <w:pPr>
        <w:ind w:left="923" w:hanging="253"/>
      </w:pPr>
      <w:rPr>
        <w:rFonts w:hint="default"/>
        <w:lang w:val="en-US" w:eastAsia="en-US" w:bidi="ar-SA"/>
      </w:rPr>
    </w:lvl>
    <w:lvl w:ilvl="6" w:tplc="5E60EF88">
      <w:numFmt w:val="bullet"/>
      <w:lvlText w:val="•"/>
      <w:lvlJc w:val="left"/>
      <w:pPr>
        <w:ind w:left="1056" w:hanging="253"/>
      </w:pPr>
      <w:rPr>
        <w:rFonts w:hint="default"/>
        <w:lang w:val="en-US" w:eastAsia="en-US" w:bidi="ar-SA"/>
      </w:rPr>
    </w:lvl>
    <w:lvl w:ilvl="7" w:tplc="FEF8298C">
      <w:numFmt w:val="bullet"/>
      <w:lvlText w:val="•"/>
      <w:lvlJc w:val="left"/>
      <w:pPr>
        <w:ind w:left="1188" w:hanging="253"/>
      </w:pPr>
      <w:rPr>
        <w:rFonts w:hint="default"/>
        <w:lang w:val="en-US" w:eastAsia="en-US" w:bidi="ar-SA"/>
      </w:rPr>
    </w:lvl>
    <w:lvl w:ilvl="8" w:tplc="4B3E1FEC">
      <w:numFmt w:val="bullet"/>
      <w:lvlText w:val="•"/>
      <w:lvlJc w:val="left"/>
      <w:pPr>
        <w:ind w:left="1321" w:hanging="253"/>
      </w:pPr>
      <w:rPr>
        <w:rFonts w:hint="default"/>
        <w:lang w:val="en-US" w:eastAsia="en-US" w:bidi="ar-SA"/>
      </w:rPr>
    </w:lvl>
  </w:abstractNum>
  <w:abstractNum w:abstractNumId="59" w15:restartNumberingAfterBreak="0">
    <w:nsid w:val="41841DF7"/>
    <w:multiLevelType w:val="hybridMultilevel"/>
    <w:tmpl w:val="74D69CF6"/>
    <w:lvl w:ilvl="0" w:tplc="25F4880A">
      <w:numFmt w:val="bullet"/>
      <w:lvlText w:val="•"/>
      <w:lvlJc w:val="left"/>
      <w:pPr>
        <w:ind w:left="1531" w:hanging="260"/>
      </w:pPr>
      <w:rPr>
        <w:rFonts w:ascii="Arial" w:eastAsia="Arial" w:hAnsi="Arial" w:cs="Arial" w:hint="default"/>
        <w:b/>
        <w:bCs/>
        <w:i w:val="0"/>
        <w:iCs w:val="0"/>
        <w:color w:val="00ACA1"/>
        <w:w w:val="103"/>
        <w:sz w:val="20"/>
        <w:szCs w:val="20"/>
        <w:lang w:val="en-US" w:eastAsia="en-US" w:bidi="ar-SA"/>
      </w:rPr>
    </w:lvl>
    <w:lvl w:ilvl="1" w:tplc="0409000B" w:tentative="1">
      <w:start w:val="1"/>
      <w:numFmt w:val="bullet"/>
      <w:lvlText w:val=""/>
      <w:lvlJc w:val="left"/>
      <w:pPr>
        <w:ind w:left="977" w:hanging="420"/>
      </w:pPr>
      <w:rPr>
        <w:rFonts w:ascii="Wingdings" w:hAnsi="Wingdings" w:hint="default"/>
      </w:rPr>
    </w:lvl>
    <w:lvl w:ilvl="2" w:tplc="0409000D" w:tentative="1">
      <w:start w:val="1"/>
      <w:numFmt w:val="bullet"/>
      <w:lvlText w:val=""/>
      <w:lvlJc w:val="left"/>
      <w:pPr>
        <w:ind w:left="1397" w:hanging="420"/>
      </w:pPr>
      <w:rPr>
        <w:rFonts w:ascii="Wingdings" w:hAnsi="Wingdings" w:hint="default"/>
      </w:rPr>
    </w:lvl>
    <w:lvl w:ilvl="3" w:tplc="04090001" w:tentative="1">
      <w:start w:val="1"/>
      <w:numFmt w:val="bullet"/>
      <w:lvlText w:val=""/>
      <w:lvlJc w:val="left"/>
      <w:pPr>
        <w:ind w:left="1817" w:hanging="420"/>
      </w:pPr>
      <w:rPr>
        <w:rFonts w:ascii="Wingdings" w:hAnsi="Wingdings" w:hint="default"/>
      </w:rPr>
    </w:lvl>
    <w:lvl w:ilvl="4" w:tplc="0409000B" w:tentative="1">
      <w:start w:val="1"/>
      <w:numFmt w:val="bullet"/>
      <w:lvlText w:val=""/>
      <w:lvlJc w:val="left"/>
      <w:pPr>
        <w:ind w:left="2237" w:hanging="420"/>
      </w:pPr>
      <w:rPr>
        <w:rFonts w:ascii="Wingdings" w:hAnsi="Wingdings" w:hint="default"/>
      </w:rPr>
    </w:lvl>
    <w:lvl w:ilvl="5" w:tplc="0409000D" w:tentative="1">
      <w:start w:val="1"/>
      <w:numFmt w:val="bullet"/>
      <w:lvlText w:val=""/>
      <w:lvlJc w:val="left"/>
      <w:pPr>
        <w:ind w:left="2657" w:hanging="420"/>
      </w:pPr>
      <w:rPr>
        <w:rFonts w:ascii="Wingdings" w:hAnsi="Wingdings" w:hint="default"/>
      </w:rPr>
    </w:lvl>
    <w:lvl w:ilvl="6" w:tplc="04090001" w:tentative="1">
      <w:start w:val="1"/>
      <w:numFmt w:val="bullet"/>
      <w:lvlText w:val=""/>
      <w:lvlJc w:val="left"/>
      <w:pPr>
        <w:ind w:left="3077" w:hanging="420"/>
      </w:pPr>
      <w:rPr>
        <w:rFonts w:ascii="Wingdings" w:hAnsi="Wingdings" w:hint="default"/>
      </w:rPr>
    </w:lvl>
    <w:lvl w:ilvl="7" w:tplc="0409000B" w:tentative="1">
      <w:start w:val="1"/>
      <w:numFmt w:val="bullet"/>
      <w:lvlText w:val=""/>
      <w:lvlJc w:val="left"/>
      <w:pPr>
        <w:ind w:left="3497" w:hanging="420"/>
      </w:pPr>
      <w:rPr>
        <w:rFonts w:ascii="Wingdings" w:hAnsi="Wingdings" w:hint="default"/>
      </w:rPr>
    </w:lvl>
    <w:lvl w:ilvl="8" w:tplc="0409000D" w:tentative="1">
      <w:start w:val="1"/>
      <w:numFmt w:val="bullet"/>
      <w:lvlText w:val=""/>
      <w:lvlJc w:val="left"/>
      <w:pPr>
        <w:ind w:left="3917" w:hanging="420"/>
      </w:pPr>
      <w:rPr>
        <w:rFonts w:ascii="Wingdings" w:hAnsi="Wingdings" w:hint="default"/>
      </w:rPr>
    </w:lvl>
  </w:abstractNum>
  <w:abstractNum w:abstractNumId="60" w15:restartNumberingAfterBreak="0">
    <w:nsid w:val="43B94256"/>
    <w:multiLevelType w:val="hybridMultilevel"/>
    <w:tmpl w:val="5ABA216A"/>
    <w:lvl w:ilvl="0" w:tplc="25F4880A">
      <w:numFmt w:val="bullet"/>
      <w:lvlText w:val="•"/>
      <w:lvlJc w:val="left"/>
      <w:pPr>
        <w:ind w:left="420" w:hanging="420"/>
      </w:pPr>
      <w:rPr>
        <w:rFonts w:ascii="Arial" w:eastAsia="Arial" w:hAnsi="Arial" w:cs="Arial" w:hint="default"/>
        <w:b/>
        <w:bCs/>
        <w:i w:val="0"/>
        <w:iCs w:val="0"/>
        <w:color w:val="00ACA1"/>
        <w:w w:val="103"/>
        <w:sz w:val="20"/>
        <w:szCs w:val="20"/>
        <w:lang w:val="en-US" w:eastAsia="en-US" w:bidi="ar-S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1" w15:restartNumberingAfterBreak="0">
    <w:nsid w:val="45324687"/>
    <w:multiLevelType w:val="multilevel"/>
    <w:tmpl w:val="E070E428"/>
    <w:lvl w:ilvl="0">
      <w:start w:val="5"/>
      <w:numFmt w:val="decimal"/>
      <w:lvlText w:val="%1"/>
      <w:lvlJc w:val="left"/>
      <w:pPr>
        <w:ind w:left="1853" w:hanging="720"/>
      </w:pPr>
      <w:rPr>
        <w:rFonts w:hint="default"/>
        <w:lang w:val="en-US" w:eastAsia="en-US" w:bidi="ar-SA"/>
      </w:rPr>
    </w:lvl>
    <w:lvl w:ilvl="1">
      <w:start w:val="1"/>
      <w:numFmt w:val="decimal"/>
      <w:lvlText w:val="%1.%2"/>
      <w:lvlJc w:val="left"/>
      <w:pPr>
        <w:ind w:left="1853" w:hanging="720"/>
        <w:jc w:val="right"/>
      </w:pPr>
      <w:rPr>
        <w:rFonts w:ascii="Arial" w:eastAsia="Arial" w:hAnsi="Arial" w:cs="Arial" w:hint="default"/>
        <w:b/>
        <w:bCs/>
        <w:i/>
        <w:iCs/>
        <w:color w:val="00ACA1"/>
        <w:w w:val="99"/>
        <w:sz w:val="24"/>
        <w:szCs w:val="24"/>
        <w:lang w:val="en-US" w:eastAsia="en-US" w:bidi="ar-SA"/>
      </w:rPr>
    </w:lvl>
    <w:lvl w:ilvl="2">
      <w:start w:val="1"/>
      <w:numFmt w:val="decimal"/>
      <w:lvlText w:val="%1.%2.%3"/>
      <w:lvlJc w:val="left"/>
      <w:pPr>
        <w:ind w:left="1853" w:hanging="720"/>
        <w:jc w:val="right"/>
      </w:pPr>
      <w:rPr>
        <w:rFonts w:ascii="Arial" w:eastAsia="Arial" w:hAnsi="Arial" w:cs="Arial" w:hint="default"/>
        <w:b/>
        <w:bCs/>
        <w:i/>
        <w:iCs/>
        <w:color w:val="00B8B1"/>
        <w:w w:val="99"/>
        <w:sz w:val="20"/>
        <w:szCs w:val="20"/>
        <w:lang w:val="en-US" w:eastAsia="en-US" w:bidi="ar-SA"/>
      </w:rPr>
    </w:lvl>
    <w:lvl w:ilvl="3">
      <w:numFmt w:val="bullet"/>
      <w:lvlText w:val="•"/>
      <w:lvlJc w:val="left"/>
      <w:pPr>
        <w:ind w:left="3041" w:hanging="720"/>
      </w:pPr>
      <w:rPr>
        <w:rFonts w:hint="default"/>
        <w:lang w:val="en-US" w:eastAsia="en-US" w:bidi="ar-SA"/>
      </w:rPr>
    </w:lvl>
    <w:lvl w:ilvl="4">
      <w:numFmt w:val="bullet"/>
      <w:lvlText w:val="•"/>
      <w:lvlJc w:val="left"/>
      <w:pPr>
        <w:ind w:left="3434" w:hanging="720"/>
      </w:pPr>
      <w:rPr>
        <w:rFonts w:hint="default"/>
        <w:lang w:val="en-US" w:eastAsia="en-US" w:bidi="ar-SA"/>
      </w:rPr>
    </w:lvl>
    <w:lvl w:ilvl="5">
      <w:numFmt w:val="bullet"/>
      <w:lvlText w:val="•"/>
      <w:lvlJc w:val="left"/>
      <w:pPr>
        <w:ind w:left="3828" w:hanging="720"/>
      </w:pPr>
      <w:rPr>
        <w:rFonts w:hint="default"/>
        <w:lang w:val="en-US" w:eastAsia="en-US" w:bidi="ar-SA"/>
      </w:rPr>
    </w:lvl>
    <w:lvl w:ilvl="6">
      <w:numFmt w:val="bullet"/>
      <w:lvlText w:val="•"/>
      <w:lvlJc w:val="left"/>
      <w:pPr>
        <w:ind w:left="4222" w:hanging="720"/>
      </w:pPr>
      <w:rPr>
        <w:rFonts w:hint="default"/>
        <w:lang w:val="en-US" w:eastAsia="en-US" w:bidi="ar-SA"/>
      </w:rPr>
    </w:lvl>
    <w:lvl w:ilvl="7">
      <w:numFmt w:val="bullet"/>
      <w:lvlText w:val="•"/>
      <w:lvlJc w:val="left"/>
      <w:pPr>
        <w:ind w:left="4616" w:hanging="720"/>
      </w:pPr>
      <w:rPr>
        <w:rFonts w:hint="default"/>
        <w:lang w:val="en-US" w:eastAsia="en-US" w:bidi="ar-SA"/>
      </w:rPr>
    </w:lvl>
    <w:lvl w:ilvl="8">
      <w:numFmt w:val="bullet"/>
      <w:lvlText w:val="•"/>
      <w:lvlJc w:val="left"/>
      <w:pPr>
        <w:ind w:left="5009" w:hanging="720"/>
      </w:pPr>
      <w:rPr>
        <w:rFonts w:hint="default"/>
        <w:lang w:val="en-US" w:eastAsia="en-US" w:bidi="ar-SA"/>
      </w:rPr>
    </w:lvl>
  </w:abstractNum>
  <w:abstractNum w:abstractNumId="62" w15:restartNumberingAfterBreak="0">
    <w:nsid w:val="45906F7F"/>
    <w:multiLevelType w:val="hybridMultilevel"/>
    <w:tmpl w:val="3B0EE1A8"/>
    <w:lvl w:ilvl="0" w:tplc="25F4880A">
      <w:numFmt w:val="bullet"/>
      <w:lvlText w:val="•"/>
      <w:lvlJc w:val="left"/>
      <w:pPr>
        <w:ind w:left="420" w:hanging="420"/>
      </w:pPr>
      <w:rPr>
        <w:rFonts w:ascii="Arial" w:eastAsia="Arial" w:hAnsi="Arial" w:cs="Arial" w:hint="default"/>
        <w:b/>
        <w:bCs/>
        <w:i w:val="0"/>
        <w:iCs w:val="0"/>
        <w:color w:val="00ACA1"/>
        <w:w w:val="103"/>
        <w:sz w:val="20"/>
        <w:szCs w:val="20"/>
        <w:lang w:val="en-US" w:eastAsia="en-US" w:bidi="ar-S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3" w15:restartNumberingAfterBreak="0">
    <w:nsid w:val="46B12706"/>
    <w:multiLevelType w:val="hybridMultilevel"/>
    <w:tmpl w:val="7BBAEDEE"/>
    <w:lvl w:ilvl="0" w:tplc="25F4880A">
      <w:numFmt w:val="bullet"/>
      <w:lvlText w:val="•"/>
      <w:lvlJc w:val="left"/>
      <w:pPr>
        <w:ind w:left="1829" w:hanging="420"/>
      </w:pPr>
      <w:rPr>
        <w:rFonts w:ascii="Arial" w:eastAsia="Arial" w:hAnsi="Arial" w:cs="Arial" w:hint="default"/>
        <w:b/>
        <w:bCs/>
        <w:i w:val="0"/>
        <w:iCs w:val="0"/>
        <w:color w:val="00ACA1"/>
        <w:w w:val="103"/>
        <w:sz w:val="20"/>
        <w:szCs w:val="20"/>
        <w:lang w:val="en-US" w:eastAsia="en-US" w:bidi="ar-SA"/>
      </w:rPr>
    </w:lvl>
    <w:lvl w:ilvl="1" w:tplc="0409000B" w:tentative="1">
      <w:start w:val="1"/>
      <w:numFmt w:val="bullet"/>
      <w:lvlText w:val=""/>
      <w:lvlJc w:val="left"/>
      <w:pPr>
        <w:ind w:left="2249" w:hanging="420"/>
      </w:pPr>
      <w:rPr>
        <w:rFonts w:ascii="Wingdings" w:hAnsi="Wingdings" w:hint="default"/>
      </w:rPr>
    </w:lvl>
    <w:lvl w:ilvl="2" w:tplc="0409000D" w:tentative="1">
      <w:start w:val="1"/>
      <w:numFmt w:val="bullet"/>
      <w:lvlText w:val=""/>
      <w:lvlJc w:val="left"/>
      <w:pPr>
        <w:ind w:left="2669" w:hanging="420"/>
      </w:pPr>
      <w:rPr>
        <w:rFonts w:ascii="Wingdings" w:hAnsi="Wingdings" w:hint="default"/>
      </w:rPr>
    </w:lvl>
    <w:lvl w:ilvl="3" w:tplc="04090001" w:tentative="1">
      <w:start w:val="1"/>
      <w:numFmt w:val="bullet"/>
      <w:lvlText w:val=""/>
      <w:lvlJc w:val="left"/>
      <w:pPr>
        <w:ind w:left="3089" w:hanging="420"/>
      </w:pPr>
      <w:rPr>
        <w:rFonts w:ascii="Wingdings" w:hAnsi="Wingdings" w:hint="default"/>
      </w:rPr>
    </w:lvl>
    <w:lvl w:ilvl="4" w:tplc="0409000B" w:tentative="1">
      <w:start w:val="1"/>
      <w:numFmt w:val="bullet"/>
      <w:lvlText w:val=""/>
      <w:lvlJc w:val="left"/>
      <w:pPr>
        <w:ind w:left="3509" w:hanging="420"/>
      </w:pPr>
      <w:rPr>
        <w:rFonts w:ascii="Wingdings" w:hAnsi="Wingdings" w:hint="default"/>
      </w:rPr>
    </w:lvl>
    <w:lvl w:ilvl="5" w:tplc="0409000D" w:tentative="1">
      <w:start w:val="1"/>
      <w:numFmt w:val="bullet"/>
      <w:lvlText w:val=""/>
      <w:lvlJc w:val="left"/>
      <w:pPr>
        <w:ind w:left="3929" w:hanging="420"/>
      </w:pPr>
      <w:rPr>
        <w:rFonts w:ascii="Wingdings" w:hAnsi="Wingdings" w:hint="default"/>
      </w:rPr>
    </w:lvl>
    <w:lvl w:ilvl="6" w:tplc="04090001" w:tentative="1">
      <w:start w:val="1"/>
      <w:numFmt w:val="bullet"/>
      <w:lvlText w:val=""/>
      <w:lvlJc w:val="left"/>
      <w:pPr>
        <w:ind w:left="4349" w:hanging="420"/>
      </w:pPr>
      <w:rPr>
        <w:rFonts w:ascii="Wingdings" w:hAnsi="Wingdings" w:hint="default"/>
      </w:rPr>
    </w:lvl>
    <w:lvl w:ilvl="7" w:tplc="0409000B" w:tentative="1">
      <w:start w:val="1"/>
      <w:numFmt w:val="bullet"/>
      <w:lvlText w:val=""/>
      <w:lvlJc w:val="left"/>
      <w:pPr>
        <w:ind w:left="4769" w:hanging="420"/>
      </w:pPr>
      <w:rPr>
        <w:rFonts w:ascii="Wingdings" w:hAnsi="Wingdings" w:hint="default"/>
      </w:rPr>
    </w:lvl>
    <w:lvl w:ilvl="8" w:tplc="0409000D" w:tentative="1">
      <w:start w:val="1"/>
      <w:numFmt w:val="bullet"/>
      <w:lvlText w:val=""/>
      <w:lvlJc w:val="left"/>
      <w:pPr>
        <w:ind w:left="5189" w:hanging="420"/>
      </w:pPr>
      <w:rPr>
        <w:rFonts w:ascii="Wingdings" w:hAnsi="Wingdings" w:hint="default"/>
      </w:rPr>
    </w:lvl>
  </w:abstractNum>
  <w:abstractNum w:abstractNumId="64" w15:restartNumberingAfterBreak="0">
    <w:nsid w:val="49FE648C"/>
    <w:multiLevelType w:val="hybridMultilevel"/>
    <w:tmpl w:val="2C04F5BE"/>
    <w:lvl w:ilvl="0" w:tplc="25F4880A">
      <w:numFmt w:val="bullet"/>
      <w:lvlText w:val="•"/>
      <w:lvlJc w:val="left"/>
      <w:pPr>
        <w:ind w:left="7140" w:hanging="420"/>
      </w:pPr>
      <w:rPr>
        <w:rFonts w:ascii="Arial" w:eastAsia="Arial" w:hAnsi="Arial" w:cs="Arial" w:hint="default"/>
        <w:b/>
        <w:bCs/>
        <w:i w:val="0"/>
        <w:iCs w:val="0"/>
        <w:color w:val="00ACA1"/>
        <w:w w:val="103"/>
        <w:sz w:val="20"/>
        <w:szCs w:val="20"/>
        <w:lang w:val="en-US" w:eastAsia="en-US" w:bidi="ar-SA"/>
      </w:rPr>
    </w:lvl>
    <w:lvl w:ilvl="1" w:tplc="0409000B" w:tentative="1">
      <w:start w:val="1"/>
      <w:numFmt w:val="bullet"/>
      <w:lvlText w:val=""/>
      <w:lvlJc w:val="left"/>
      <w:pPr>
        <w:ind w:left="7560" w:hanging="420"/>
      </w:pPr>
      <w:rPr>
        <w:rFonts w:ascii="Wingdings" w:hAnsi="Wingdings" w:hint="default"/>
      </w:rPr>
    </w:lvl>
    <w:lvl w:ilvl="2" w:tplc="0409000D" w:tentative="1">
      <w:start w:val="1"/>
      <w:numFmt w:val="bullet"/>
      <w:lvlText w:val=""/>
      <w:lvlJc w:val="left"/>
      <w:pPr>
        <w:ind w:left="7980" w:hanging="420"/>
      </w:pPr>
      <w:rPr>
        <w:rFonts w:ascii="Wingdings" w:hAnsi="Wingdings" w:hint="default"/>
      </w:rPr>
    </w:lvl>
    <w:lvl w:ilvl="3" w:tplc="04090001" w:tentative="1">
      <w:start w:val="1"/>
      <w:numFmt w:val="bullet"/>
      <w:lvlText w:val=""/>
      <w:lvlJc w:val="left"/>
      <w:pPr>
        <w:ind w:left="8400" w:hanging="420"/>
      </w:pPr>
      <w:rPr>
        <w:rFonts w:ascii="Wingdings" w:hAnsi="Wingdings" w:hint="default"/>
      </w:rPr>
    </w:lvl>
    <w:lvl w:ilvl="4" w:tplc="0409000B" w:tentative="1">
      <w:start w:val="1"/>
      <w:numFmt w:val="bullet"/>
      <w:lvlText w:val=""/>
      <w:lvlJc w:val="left"/>
      <w:pPr>
        <w:ind w:left="8820" w:hanging="420"/>
      </w:pPr>
      <w:rPr>
        <w:rFonts w:ascii="Wingdings" w:hAnsi="Wingdings" w:hint="default"/>
      </w:rPr>
    </w:lvl>
    <w:lvl w:ilvl="5" w:tplc="0409000D" w:tentative="1">
      <w:start w:val="1"/>
      <w:numFmt w:val="bullet"/>
      <w:lvlText w:val=""/>
      <w:lvlJc w:val="left"/>
      <w:pPr>
        <w:ind w:left="9240" w:hanging="420"/>
      </w:pPr>
      <w:rPr>
        <w:rFonts w:ascii="Wingdings" w:hAnsi="Wingdings" w:hint="default"/>
      </w:rPr>
    </w:lvl>
    <w:lvl w:ilvl="6" w:tplc="04090001" w:tentative="1">
      <w:start w:val="1"/>
      <w:numFmt w:val="bullet"/>
      <w:lvlText w:val=""/>
      <w:lvlJc w:val="left"/>
      <w:pPr>
        <w:ind w:left="9660" w:hanging="420"/>
      </w:pPr>
      <w:rPr>
        <w:rFonts w:ascii="Wingdings" w:hAnsi="Wingdings" w:hint="default"/>
      </w:rPr>
    </w:lvl>
    <w:lvl w:ilvl="7" w:tplc="0409000B" w:tentative="1">
      <w:start w:val="1"/>
      <w:numFmt w:val="bullet"/>
      <w:lvlText w:val=""/>
      <w:lvlJc w:val="left"/>
      <w:pPr>
        <w:ind w:left="10080" w:hanging="420"/>
      </w:pPr>
      <w:rPr>
        <w:rFonts w:ascii="Wingdings" w:hAnsi="Wingdings" w:hint="default"/>
      </w:rPr>
    </w:lvl>
    <w:lvl w:ilvl="8" w:tplc="0409000D" w:tentative="1">
      <w:start w:val="1"/>
      <w:numFmt w:val="bullet"/>
      <w:lvlText w:val=""/>
      <w:lvlJc w:val="left"/>
      <w:pPr>
        <w:ind w:left="10500" w:hanging="420"/>
      </w:pPr>
      <w:rPr>
        <w:rFonts w:ascii="Wingdings" w:hAnsi="Wingdings" w:hint="default"/>
      </w:rPr>
    </w:lvl>
  </w:abstractNum>
  <w:abstractNum w:abstractNumId="65" w15:restartNumberingAfterBreak="0">
    <w:nsid w:val="49FF6CF2"/>
    <w:multiLevelType w:val="hybridMultilevel"/>
    <w:tmpl w:val="A2AE623A"/>
    <w:lvl w:ilvl="0" w:tplc="C1D6E8A0">
      <w:start w:val="3"/>
      <w:numFmt w:val="decimal"/>
      <w:lvlText w:val="%1."/>
      <w:lvlJc w:val="left"/>
      <w:pPr>
        <w:ind w:left="521" w:hanging="256"/>
        <w:jc w:val="right"/>
      </w:pPr>
      <w:rPr>
        <w:rFonts w:ascii="Arial" w:eastAsia="Arial" w:hAnsi="Arial" w:cs="Arial" w:hint="default"/>
        <w:b/>
        <w:bCs/>
        <w:i/>
        <w:iCs/>
        <w:color w:val="7F3F98"/>
        <w:spacing w:val="0"/>
        <w:w w:val="98"/>
        <w:sz w:val="18"/>
        <w:szCs w:val="18"/>
        <w:lang w:val="en-US" w:eastAsia="en-US" w:bidi="ar-SA"/>
      </w:rPr>
    </w:lvl>
    <w:lvl w:ilvl="1" w:tplc="D50E0B24">
      <w:numFmt w:val="bullet"/>
      <w:lvlText w:val="•"/>
      <w:lvlJc w:val="left"/>
      <w:pPr>
        <w:ind w:left="1092" w:hanging="256"/>
      </w:pPr>
      <w:rPr>
        <w:rFonts w:hint="default"/>
        <w:lang w:val="en-US" w:eastAsia="en-US" w:bidi="ar-SA"/>
      </w:rPr>
    </w:lvl>
    <w:lvl w:ilvl="2" w:tplc="CD3AA748">
      <w:numFmt w:val="bullet"/>
      <w:lvlText w:val="•"/>
      <w:lvlJc w:val="left"/>
      <w:pPr>
        <w:ind w:left="1664" w:hanging="256"/>
      </w:pPr>
      <w:rPr>
        <w:rFonts w:hint="default"/>
        <w:lang w:val="en-US" w:eastAsia="en-US" w:bidi="ar-SA"/>
      </w:rPr>
    </w:lvl>
    <w:lvl w:ilvl="3" w:tplc="1D2A20B0">
      <w:numFmt w:val="bullet"/>
      <w:lvlText w:val="•"/>
      <w:lvlJc w:val="left"/>
      <w:pPr>
        <w:ind w:left="2237" w:hanging="256"/>
      </w:pPr>
      <w:rPr>
        <w:rFonts w:hint="default"/>
        <w:lang w:val="en-US" w:eastAsia="en-US" w:bidi="ar-SA"/>
      </w:rPr>
    </w:lvl>
    <w:lvl w:ilvl="4" w:tplc="80BE7EBA">
      <w:numFmt w:val="bullet"/>
      <w:lvlText w:val="•"/>
      <w:lvlJc w:val="left"/>
      <w:pPr>
        <w:ind w:left="2809" w:hanging="256"/>
      </w:pPr>
      <w:rPr>
        <w:rFonts w:hint="default"/>
        <w:lang w:val="en-US" w:eastAsia="en-US" w:bidi="ar-SA"/>
      </w:rPr>
    </w:lvl>
    <w:lvl w:ilvl="5" w:tplc="4D342B4A">
      <w:numFmt w:val="bullet"/>
      <w:lvlText w:val="•"/>
      <w:lvlJc w:val="left"/>
      <w:pPr>
        <w:ind w:left="3381" w:hanging="256"/>
      </w:pPr>
      <w:rPr>
        <w:rFonts w:hint="default"/>
        <w:lang w:val="en-US" w:eastAsia="en-US" w:bidi="ar-SA"/>
      </w:rPr>
    </w:lvl>
    <w:lvl w:ilvl="6" w:tplc="22D49638">
      <w:numFmt w:val="bullet"/>
      <w:lvlText w:val="•"/>
      <w:lvlJc w:val="left"/>
      <w:pPr>
        <w:ind w:left="3954" w:hanging="256"/>
      </w:pPr>
      <w:rPr>
        <w:rFonts w:hint="default"/>
        <w:lang w:val="en-US" w:eastAsia="en-US" w:bidi="ar-SA"/>
      </w:rPr>
    </w:lvl>
    <w:lvl w:ilvl="7" w:tplc="54C208F6">
      <w:numFmt w:val="bullet"/>
      <w:lvlText w:val="•"/>
      <w:lvlJc w:val="left"/>
      <w:pPr>
        <w:ind w:left="4526" w:hanging="256"/>
      </w:pPr>
      <w:rPr>
        <w:rFonts w:hint="default"/>
        <w:lang w:val="en-US" w:eastAsia="en-US" w:bidi="ar-SA"/>
      </w:rPr>
    </w:lvl>
    <w:lvl w:ilvl="8" w:tplc="1DA81C28">
      <w:numFmt w:val="bullet"/>
      <w:lvlText w:val="•"/>
      <w:lvlJc w:val="left"/>
      <w:pPr>
        <w:ind w:left="5099" w:hanging="256"/>
      </w:pPr>
      <w:rPr>
        <w:rFonts w:hint="default"/>
        <w:lang w:val="en-US" w:eastAsia="en-US" w:bidi="ar-SA"/>
      </w:rPr>
    </w:lvl>
  </w:abstractNum>
  <w:abstractNum w:abstractNumId="66" w15:restartNumberingAfterBreak="0">
    <w:nsid w:val="4A747905"/>
    <w:multiLevelType w:val="hybridMultilevel"/>
    <w:tmpl w:val="27B6CF54"/>
    <w:lvl w:ilvl="0" w:tplc="7D34927A">
      <w:start w:val="20"/>
      <w:numFmt w:val="decimal"/>
      <w:lvlText w:val="%1-"/>
      <w:lvlJc w:val="left"/>
      <w:pPr>
        <w:ind w:left="256" w:hanging="267"/>
      </w:pPr>
      <w:rPr>
        <w:rFonts w:ascii="Microsoft Sans Serif" w:eastAsia="Microsoft Sans Serif" w:hAnsi="Microsoft Sans Serif" w:cs="Microsoft Sans Serif" w:hint="default"/>
        <w:b w:val="0"/>
        <w:bCs w:val="0"/>
        <w:i w:val="0"/>
        <w:iCs w:val="0"/>
        <w:color w:val="545456"/>
        <w:spacing w:val="-1"/>
        <w:w w:val="97"/>
        <w:sz w:val="17"/>
        <w:szCs w:val="17"/>
        <w:lang w:val="en-US" w:eastAsia="en-US" w:bidi="ar-SA"/>
      </w:rPr>
    </w:lvl>
    <w:lvl w:ilvl="1" w:tplc="D17AE70E">
      <w:start w:val="1"/>
      <w:numFmt w:val="decimal"/>
      <w:lvlText w:val="%2."/>
      <w:lvlJc w:val="left"/>
      <w:pPr>
        <w:ind w:left="1737" w:hanging="305"/>
        <w:jc w:val="right"/>
      </w:pPr>
      <w:rPr>
        <w:rFonts w:ascii="Arial" w:eastAsia="Arial" w:hAnsi="Arial" w:cs="Arial" w:hint="default"/>
        <w:b/>
        <w:bCs/>
        <w:i/>
        <w:iCs/>
        <w:color w:val="7F3F98"/>
        <w:spacing w:val="0"/>
        <w:w w:val="98"/>
        <w:sz w:val="18"/>
        <w:szCs w:val="18"/>
        <w:lang w:val="en-US" w:eastAsia="en-US" w:bidi="ar-SA"/>
      </w:rPr>
    </w:lvl>
    <w:lvl w:ilvl="2" w:tplc="A776CBB6">
      <w:numFmt w:val="bullet"/>
      <w:lvlText w:val="•"/>
      <w:lvlJc w:val="left"/>
      <w:pPr>
        <w:ind w:left="1543" w:hanging="305"/>
      </w:pPr>
      <w:rPr>
        <w:rFonts w:hint="default"/>
        <w:lang w:val="en-US" w:eastAsia="en-US" w:bidi="ar-SA"/>
      </w:rPr>
    </w:lvl>
    <w:lvl w:ilvl="3" w:tplc="801A0530">
      <w:numFmt w:val="bullet"/>
      <w:lvlText w:val="•"/>
      <w:lvlJc w:val="left"/>
      <w:pPr>
        <w:ind w:left="1346" w:hanging="305"/>
      </w:pPr>
      <w:rPr>
        <w:rFonts w:hint="default"/>
        <w:lang w:val="en-US" w:eastAsia="en-US" w:bidi="ar-SA"/>
      </w:rPr>
    </w:lvl>
    <w:lvl w:ilvl="4" w:tplc="72E42280">
      <w:numFmt w:val="bullet"/>
      <w:lvlText w:val="•"/>
      <w:lvlJc w:val="left"/>
      <w:pPr>
        <w:ind w:left="1149" w:hanging="305"/>
      </w:pPr>
      <w:rPr>
        <w:rFonts w:hint="default"/>
        <w:lang w:val="en-US" w:eastAsia="en-US" w:bidi="ar-SA"/>
      </w:rPr>
    </w:lvl>
    <w:lvl w:ilvl="5" w:tplc="E9784E20">
      <w:numFmt w:val="bullet"/>
      <w:lvlText w:val="•"/>
      <w:lvlJc w:val="left"/>
      <w:pPr>
        <w:ind w:left="952" w:hanging="305"/>
      </w:pPr>
      <w:rPr>
        <w:rFonts w:hint="default"/>
        <w:lang w:val="en-US" w:eastAsia="en-US" w:bidi="ar-SA"/>
      </w:rPr>
    </w:lvl>
    <w:lvl w:ilvl="6" w:tplc="AF2C991C">
      <w:numFmt w:val="bullet"/>
      <w:lvlText w:val="•"/>
      <w:lvlJc w:val="left"/>
      <w:pPr>
        <w:ind w:left="755" w:hanging="305"/>
      </w:pPr>
      <w:rPr>
        <w:rFonts w:hint="default"/>
        <w:lang w:val="en-US" w:eastAsia="en-US" w:bidi="ar-SA"/>
      </w:rPr>
    </w:lvl>
    <w:lvl w:ilvl="7" w:tplc="39A6DFE8">
      <w:numFmt w:val="bullet"/>
      <w:lvlText w:val="•"/>
      <w:lvlJc w:val="left"/>
      <w:pPr>
        <w:ind w:left="558" w:hanging="305"/>
      </w:pPr>
      <w:rPr>
        <w:rFonts w:hint="default"/>
        <w:lang w:val="en-US" w:eastAsia="en-US" w:bidi="ar-SA"/>
      </w:rPr>
    </w:lvl>
    <w:lvl w:ilvl="8" w:tplc="432EB750">
      <w:numFmt w:val="bullet"/>
      <w:lvlText w:val="•"/>
      <w:lvlJc w:val="left"/>
      <w:pPr>
        <w:ind w:left="361" w:hanging="305"/>
      </w:pPr>
      <w:rPr>
        <w:rFonts w:hint="default"/>
        <w:lang w:val="en-US" w:eastAsia="en-US" w:bidi="ar-SA"/>
      </w:rPr>
    </w:lvl>
  </w:abstractNum>
  <w:abstractNum w:abstractNumId="67" w15:restartNumberingAfterBreak="0">
    <w:nsid w:val="4DB014F1"/>
    <w:multiLevelType w:val="hybridMultilevel"/>
    <w:tmpl w:val="44DE76BE"/>
    <w:lvl w:ilvl="0" w:tplc="95521176">
      <w:numFmt w:val="bullet"/>
      <w:lvlText w:val="•"/>
      <w:lvlJc w:val="left"/>
      <w:pPr>
        <w:ind w:left="530" w:hanging="260"/>
      </w:pPr>
      <w:rPr>
        <w:rFonts w:ascii="Arial" w:eastAsia="Arial" w:hAnsi="Arial" w:cs="Arial" w:hint="default"/>
        <w:b/>
        <w:bCs/>
        <w:i w:val="0"/>
        <w:iCs w:val="0"/>
        <w:color w:val="00ACA1"/>
        <w:w w:val="103"/>
        <w:sz w:val="20"/>
        <w:szCs w:val="20"/>
        <w:lang w:val="en-US" w:eastAsia="en-US" w:bidi="ar-SA"/>
      </w:rPr>
    </w:lvl>
    <w:lvl w:ilvl="1" w:tplc="25F4880A">
      <w:numFmt w:val="bullet"/>
      <w:lvlText w:val="•"/>
      <w:lvlJc w:val="left"/>
      <w:pPr>
        <w:ind w:left="1394" w:hanging="260"/>
      </w:pPr>
      <w:rPr>
        <w:rFonts w:ascii="Arial" w:eastAsia="Arial" w:hAnsi="Arial" w:cs="Arial" w:hint="default"/>
        <w:b/>
        <w:bCs/>
        <w:i w:val="0"/>
        <w:iCs w:val="0"/>
        <w:color w:val="00ACA1"/>
        <w:w w:val="103"/>
        <w:sz w:val="20"/>
        <w:szCs w:val="20"/>
        <w:lang w:val="en-US" w:eastAsia="en-US" w:bidi="ar-SA"/>
      </w:rPr>
    </w:lvl>
    <w:lvl w:ilvl="2" w:tplc="7102B316">
      <w:numFmt w:val="bullet"/>
      <w:lvlText w:val="•"/>
      <w:lvlJc w:val="left"/>
      <w:pPr>
        <w:ind w:left="1644" w:hanging="256"/>
      </w:pPr>
      <w:rPr>
        <w:rFonts w:ascii="Arial" w:eastAsia="Arial" w:hAnsi="Arial" w:cs="Arial" w:hint="default"/>
        <w:b/>
        <w:bCs/>
        <w:i w:val="0"/>
        <w:iCs w:val="0"/>
        <w:color w:val="545456"/>
        <w:w w:val="103"/>
        <w:sz w:val="19"/>
        <w:szCs w:val="19"/>
        <w:lang w:val="en-US" w:eastAsia="en-US" w:bidi="ar-SA"/>
      </w:rPr>
    </w:lvl>
    <w:lvl w:ilvl="3" w:tplc="00D09B6A">
      <w:numFmt w:val="bullet"/>
      <w:lvlText w:val="•"/>
      <w:lvlJc w:val="left"/>
      <w:pPr>
        <w:ind w:left="6560" w:hanging="256"/>
      </w:pPr>
      <w:rPr>
        <w:rFonts w:hint="default"/>
        <w:lang w:val="en-US" w:eastAsia="en-US" w:bidi="ar-SA"/>
      </w:rPr>
    </w:lvl>
    <w:lvl w:ilvl="4" w:tplc="B71E9130">
      <w:numFmt w:val="bullet"/>
      <w:lvlText w:val="•"/>
      <w:lvlJc w:val="left"/>
      <w:pPr>
        <w:ind w:left="5576" w:hanging="256"/>
      </w:pPr>
      <w:rPr>
        <w:rFonts w:hint="default"/>
        <w:lang w:val="en-US" w:eastAsia="en-US" w:bidi="ar-SA"/>
      </w:rPr>
    </w:lvl>
    <w:lvl w:ilvl="5" w:tplc="46AA5F56">
      <w:numFmt w:val="bullet"/>
      <w:lvlText w:val="•"/>
      <w:lvlJc w:val="left"/>
      <w:pPr>
        <w:ind w:left="4592" w:hanging="256"/>
      </w:pPr>
      <w:rPr>
        <w:rFonts w:hint="default"/>
        <w:lang w:val="en-US" w:eastAsia="en-US" w:bidi="ar-SA"/>
      </w:rPr>
    </w:lvl>
    <w:lvl w:ilvl="6" w:tplc="C4EAF868">
      <w:numFmt w:val="bullet"/>
      <w:lvlText w:val="•"/>
      <w:lvlJc w:val="left"/>
      <w:pPr>
        <w:ind w:left="3608" w:hanging="256"/>
      </w:pPr>
      <w:rPr>
        <w:rFonts w:hint="default"/>
        <w:lang w:val="en-US" w:eastAsia="en-US" w:bidi="ar-SA"/>
      </w:rPr>
    </w:lvl>
    <w:lvl w:ilvl="7" w:tplc="6FEC42DE">
      <w:numFmt w:val="bullet"/>
      <w:lvlText w:val="•"/>
      <w:lvlJc w:val="left"/>
      <w:pPr>
        <w:ind w:left="2625" w:hanging="256"/>
      </w:pPr>
      <w:rPr>
        <w:rFonts w:hint="default"/>
        <w:lang w:val="en-US" w:eastAsia="en-US" w:bidi="ar-SA"/>
      </w:rPr>
    </w:lvl>
    <w:lvl w:ilvl="8" w:tplc="BDBE915A">
      <w:numFmt w:val="bullet"/>
      <w:lvlText w:val="•"/>
      <w:lvlJc w:val="left"/>
      <w:pPr>
        <w:ind w:left="1641" w:hanging="256"/>
      </w:pPr>
      <w:rPr>
        <w:rFonts w:hint="default"/>
        <w:lang w:val="en-US" w:eastAsia="en-US" w:bidi="ar-SA"/>
      </w:rPr>
    </w:lvl>
  </w:abstractNum>
  <w:abstractNum w:abstractNumId="68" w15:restartNumberingAfterBreak="0">
    <w:nsid w:val="51EE4F80"/>
    <w:multiLevelType w:val="hybridMultilevel"/>
    <w:tmpl w:val="47E233EC"/>
    <w:lvl w:ilvl="0" w:tplc="55ECD212">
      <w:start w:val="1"/>
      <w:numFmt w:val="decimal"/>
      <w:lvlText w:val="%1."/>
      <w:lvlJc w:val="left"/>
      <w:pPr>
        <w:ind w:left="1853" w:hanging="720"/>
      </w:pPr>
      <w:rPr>
        <w:rFonts w:ascii="Arial" w:eastAsia="Arial" w:hAnsi="Arial" w:cs="Arial" w:hint="default"/>
        <w:b/>
        <w:bCs/>
        <w:i/>
        <w:iCs/>
        <w:color w:val="7F3F98"/>
        <w:spacing w:val="0"/>
        <w:w w:val="98"/>
        <w:sz w:val="18"/>
        <w:szCs w:val="18"/>
        <w:lang w:val="en-US" w:eastAsia="en-US" w:bidi="ar-SA"/>
      </w:rPr>
    </w:lvl>
    <w:lvl w:ilvl="1" w:tplc="AA88BA60">
      <w:numFmt w:val="bullet"/>
      <w:lvlText w:val="•"/>
      <w:lvlJc w:val="left"/>
      <w:pPr>
        <w:ind w:left="2272" w:hanging="720"/>
      </w:pPr>
      <w:rPr>
        <w:rFonts w:hint="default"/>
        <w:lang w:val="en-US" w:eastAsia="en-US" w:bidi="ar-SA"/>
      </w:rPr>
    </w:lvl>
    <w:lvl w:ilvl="2" w:tplc="6916DEB0">
      <w:numFmt w:val="bullet"/>
      <w:lvlText w:val="•"/>
      <w:lvlJc w:val="left"/>
      <w:pPr>
        <w:ind w:left="2684" w:hanging="720"/>
      </w:pPr>
      <w:rPr>
        <w:rFonts w:hint="default"/>
        <w:lang w:val="en-US" w:eastAsia="en-US" w:bidi="ar-SA"/>
      </w:rPr>
    </w:lvl>
    <w:lvl w:ilvl="3" w:tplc="84E0EE9E">
      <w:numFmt w:val="bullet"/>
      <w:lvlText w:val="•"/>
      <w:lvlJc w:val="left"/>
      <w:pPr>
        <w:ind w:left="3096" w:hanging="720"/>
      </w:pPr>
      <w:rPr>
        <w:rFonts w:hint="default"/>
        <w:lang w:val="en-US" w:eastAsia="en-US" w:bidi="ar-SA"/>
      </w:rPr>
    </w:lvl>
    <w:lvl w:ilvl="4" w:tplc="A6DA7C94">
      <w:numFmt w:val="bullet"/>
      <w:lvlText w:val="•"/>
      <w:lvlJc w:val="left"/>
      <w:pPr>
        <w:ind w:left="3508" w:hanging="720"/>
      </w:pPr>
      <w:rPr>
        <w:rFonts w:hint="default"/>
        <w:lang w:val="en-US" w:eastAsia="en-US" w:bidi="ar-SA"/>
      </w:rPr>
    </w:lvl>
    <w:lvl w:ilvl="5" w:tplc="B6767470">
      <w:numFmt w:val="bullet"/>
      <w:lvlText w:val="•"/>
      <w:lvlJc w:val="left"/>
      <w:pPr>
        <w:ind w:left="3920" w:hanging="720"/>
      </w:pPr>
      <w:rPr>
        <w:rFonts w:hint="default"/>
        <w:lang w:val="en-US" w:eastAsia="en-US" w:bidi="ar-SA"/>
      </w:rPr>
    </w:lvl>
    <w:lvl w:ilvl="6" w:tplc="502C29B8">
      <w:numFmt w:val="bullet"/>
      <w:lvlText w:val="•"/>
      <w:lvlJc w:val="left"/>
      <w:pPr>
        <w:ind w:left="4333" w:hanging="720"/>
      </w:pPr>
      <w:rPr>
        <w:rFonts w:hint="default"/>
        <w:lang w:val="en-US" w:eastAsia="en-US" w:bidi="ar-SA"/>
      </w:rPr>
    </w:lvl>
    <w:lvl w:ilvl="7" w:tplc="F9189542">
      <w:numFmt w:val="bullet"/>
      <w:lvlText w:val="•"/>
      <w:lvlJc w:val="left"/>
      <w:pPr>
        <w:ind w:left="4745" w:hanging="720"/>
      </w:pPr>
      <w:rPr>
        <w:rFonts w:hint="default"/>
        <w:lang w:val="en-US" w:eastAsia="en-US" w:bidi="ar-SA"/>
      </w:rPr>
    </w:lvl>
    <w:lvl w:ilvl="8" w:tplc="B282C6D2">
      <w:numFmt w:val="bullet"/>
      <w:lvlText w:val="•"/>
      <w:lvlJc w:val="left"/>
      <w:pPr>
        <w:ind w:left="5157" w:hanging="720"/>
      </w:pPr>
      <w:rPr>
        <w:rFonts w:hint="default"/>
        <w:lang w:val="en-US" w:eastAsia="en-US" w:bidi="ar-SA"/>
      </w:rPr>
    </w:lvl>
  </w:abstractNum>
  <w:abstractNum w:abstractNumId="69" w15:restartNumberingAfterBreak="0">
    <w:nsid w:val="54DD6060"/>
    <w:multiLevelType w:val="hybridMultilevel"/>
    <w:tmpl w:val="2A76493C"/>
    <w:lvl w:ilvl="0" w:tplc="D1DA219C">
      <w:numFmt w:val="bullet"/>
      <w:lvlText w:val="•"/>
      <w:lvlJc w:val="left"/>
      <w:pPr>
        <w:ind w:left="255" w:hanging="256"/>
      </w:pPr>
      <w:rPr>
        <w:rFonts w:ascii="Arial" w:eastAsia="Arial" w:hAnsi="Arial" w:cs="Arial" w:hint="default"/>
        <w:b/>
        <w:bCs/>
        <w:i/>
        <w:iCs/>
        <w:color w:val="00ACA1"/>
        <w:w w:val="105"/>
        <w:sz w:val="24"/>
        <w:szCs w:val="24"/>
        <w:lang w:val="en-US" w:eastAsia="en-US" w:bidi="ar-SA"/>
      </w:rPr>
    </w:lvl>
    <w:lvl w:ilvl="1" w:tplc="CFF6A5F6">
      <w:numFmt w:val="bullet"/>
      <w:lvlText w:val="•"/>
      <w:lvlJc w:val="left"/>
      <w:pPr>
        <w:ind w:left="847" w:hanging="256"/>
      </w:pPr>
      <w:rPr>
        <w:rFonts w:hint="default"/>
        <w:lang w:val="en-US" w:eastAsia="en-US" w:bidi="ar-SA"/>
      </w:rPr>
    </w:lvl>
    <w:lvl w:ilvl="2" w:tplc="52DAE580">
      <w:numFmt w:val="bullet"/>
      <w:lvlText w:val="•"/>
      <w:lvlJc w:val="left"/>
      <w:pPr>
        <w:ind w:left="1434" w:hanging="256"/>
      </w:pPr>
      <w:rPr>
        <w:rFonts w:hint="default"/>
        <w:lang w:val="en-US" w:eastAsia="en-US" w:bidi="ar-SA"/>
      </w:rPr>
    </w:lvl>
    <w:lvl w:ilvl="3" w:tplc="1D325BC2">
      <w:numFmt w:val="bullet"/>
      <w:lvlText w:val="•"/>
      <w:lvlJc w:val="left"/>
      <w:pPr>
        <w:ind w:left="2022" w:hanging="256"/>
      </w:pPr>
      <w:rPr>
        <w:rFonts w:hint="default"/>
        <w:lang w:val="en-US" w:eastAsia="en-US" w:bidi="ar-SA"/>
      </w:rPr>
    </w:lvl>
    <w:lvl w:ilvl="4" w:tplc="8B92D9EA">
      <w:numFmt w:val="bullet"/>
      <w:lvlText w:val="•"/>
      <w:lvlJc w:val="left"/>
      <w:pPr>
        <w:ind w:left="2609" w:hanging="256"/>
      </w:pPr>
      <w:rPr>
        <w:rFonts w:hint="default"/>
        <w:lang w:val="en-US" w:eastAsia="en-US" w:bidi="ar-SA"/>
      </w:rPr>
    </w:lvl>
    <w:lvl w:ilvl="5" w:tplc="7944BC4C">
      <w:numFmt w:val="bullet"/>
      <w:lvlText w:val="•"/>
      <w:lvlJc w:val="left"/>
      <w:pPr>
        <w:ind w:left="3196" w:hanging="256"/>
      </w:pPr>
      <w:rPr>
        <w:rFonts w:hint="default"/>
        <w:lang w:val="en-US" w:eastAsia="en-US" w:bidi="ar-SA"/>
      </w:rPr>
    </w:lvl>
    <w:lvl w:ilvl="6" w:tplc="36302E88">
      <w:numFmt w:val="bullet"/>
      <w:lvlText w:val="•"/>
      <w:lvlJc w:val="left"/>
      <w:pPr>
        <w:ind w:left="3784" w:hanging="256"/>
      </w:pPr>
      <w:rPr>
        <w:rFonts w:hint="default"/>
        <w:lang w:val="en-US" w:eastAsia="en-US" w:bidi="ar-SA"/>
      </w:rPr>
    </w:lvl>
    <w:lvl w:ilvl="7" w:tplc="676E686A">
      <w:numFmt w:val="bullet"/>
      <w:lvlText w:val="•"/>
      <w:lvlJc w:val="left"/>
      <w:pPr>
        <w:ind w:left="4371" w:hanging="256"/>
      </w:pPr>
      <w:rPr>
        <w:rFonts w:hint="default"/>
        <w:lang w:val="en-US" w:eastAsia="en-US" w:bidi="ar-SA"/>
      </w:rPr>
    </w:lvl>
    <w:lvl w:ilvl="8" w:tplc="28BE71D6">
      <w:numFmt w:val="bullet"/>
      <w:lvlText w:val="•"/>
      <w:lvlJc w:val="left"/>
      <w:pPr>
        <w:ind w:left="4958" w:hanging="256"/>
      </w:pPr>
      <w:rPr>
        <w:rFonts w:hint="default"/>
        <w:lang w:val="en-US" w:eastAsia="en-US" w:bidi="ar-SA"/>
      </w:rPr>
    </w:lvl>
  </w:abstractNum>
  <w:abstractNum w:abstractNumId="70" w15:restartNumberingAfterBreak="0">
    <w:nsid w:val="55E618B4"/>
    <w:multiLevelType w:val="hybridMultilevel"/>
    <w:tmpl w:val="D82835B6"/>
    <w:lvl w:ilvl="0" w:tplc="18C0CFE4">
      <w:numFmt w:val="bullet"/>
      <w:lvlText w:val="•"/>
      <w:lvlJc w:val="left"/>
      <w:pPr>
        <w:ind w:left="255" w:hanging="256"/>
      </w:pPr>
      <w:rPr>
        <w:rFonts w:ascii="Arial" w:eastAsia="Arial" w:hAnsi="Arial" w:cs="Arial" w:hint="default"/>
        <w:b/>
        <w:bCs/>
        <w:i/>
        <w:iCs/>
        <w:color w:val="00ACA1"/>
        <w:w w:val="105"/>
        <w:sz w:val="24"/>
        <w:szCs w:val="24"/>
        <w:lang w:val="en-US" w:eastAsia="en-US" w:bidi="ar-SA"/>
      </w:rPr>
    </w:lvl>
    <w:lvl w:ilvl="1" w:tplc="F196B340">
      <w:numFmt w:val="bullet"/>
      <w:lvlText w:val="•"/>
      <w:lvlJc w:val="left"/>
      <w:pPr>
        <w:ind w:left="960" w:hanging="256"/>
      </w:pPr>
      <w:rPr>
        <w:rFonts w:hint="default"/>
        <w:lang w:val="en-US" w:eastAsia="en-US" w:bidi="ar-SA"/>
      </w:rPr>
    </w:lvl>
    <w:lvl w:ilvl="2" w:tplc="4636039A">
      <w:numFmt w:val="bullet"/>
      <w:lvlText w:val="•"/>
      <w:lvlJc w:val="left"/>
      <w:pPr>
        <w:ind w:left="1660" w:hanging="256"/>
      </w:pPr>
      <w:rPr>
        <w:rFonts w:hint="default"/>
        <w:lang w:val="en-US" w:eastAsia="en-US" w:bidi="ar-SA"/>
      </w:rPr>
    </w:lvl>
    <w:lvl w:ilvl="3" w:tplc="A17CB3F4">
      <w:numFmt w:val="bullet"/>
      <w:lvlText w:val="•"/>
      <w:lvlJc w:val="left"/>
      <w:pPr>
        <w:ind w:left="2360" w:hanging="256"/>
      </w:pPr>
      <w:rPr>
        <w:rFonts w:hint="default"/>
        <w:lang w:val="en-US" w:eastAsia="en-US" w:bidi="ar-SA"/>
      </w:rPr>
    </w:lvl>
    <w:lvl w:ilvl="4" w:tplc="3B50F6D0">
      <w:numFmt w:val="bullet"/>
      <w:lvlText w:val="•"/>
      <w:lvlJc w:val="left"/>
      <w:pPr>
        <w:ind w:left="3060" w:hanging="256"/>
      </w:pPr>
      <w:rPr>
        <w:rFonts w:hint="default"/>
        <w:lang w:val="en-US" w:eastAsia="en-US" w:bidi="ar-SA"/>
      </w:rPr>
    </w:lvl>
    <w:lvl w:ilvl="5" w:tplc="1F80F7F8">
      <w:numFmt w:val="bullet"/>
      <w:lvlText w:val="•"/>
      <w:lvlJc w:val="left"/>
      <w:pPr>
        <w:ind w:left="3760" w:hanging="256"/>
      </w:pPr>
      <w:rPr>
        <w:rFonts w:hint="default"/>
        <w:lang w:val="en-US" w:eastAsia="en-US" w:bidi="ar-SA"/>
      </w:rPr>
    </w:lvl>
    <w:lvl w:ilvl="6" w:tplc="863C4C9E">
      <w:numFmt w:val="bullet"/>
      <w:lvlText w:val="•"/>
      <w:lvlJc w:val="left"/>
      <w:pPr>
        <w:ind w:left="4460" w:hanging="256"/>
      </w:pPr>
      <w:rPr>
        <w:rFonts w:hint="default"/>
        <w:lang w:val="en-US" w:eastAsia="en-US" w:bidi="ar-SA"/>
      </w:rPr>
    </w:lvl>
    <w:lvl w:ilvl="7" w:tplc="A4024C30">
      <w:numFmt w:val="bullet"/>
      <w:lvlText w:val="•"/>
      <w:lvlJc w:val="left"/>
      <w:pPr>
        <w:ind w:left="5160" w:hanging="256"/>
      </w:pPr>
      <w:rPr>
        <w:rFonts w:hint="default"/>
        <w:lang w:val="en-US" w:eastAsia="en-US" w:bidi="ar-SA"/>
      </w:rPr>
    </w:lvl>
    <w:lvl w:ilvl="8" w:tplc="26EEFCB4">
      <w:numFmt w:val="bullet"/>
      <w:lvlText w:val="•"/>
      <w:lvlJc w:val="left"/>
      <w:pPr>
        <w:ind w:left="5860" w:hanging="256"/>
      </w:pPr>
      <w:rPr>
        <w:rFonts w:hint="default"/>
        <w:lang w:val="en-US" w:eastAsia="en-US" w:bidi="ar-SA"/>
      </w:rPr>
    </w:lvl>
  </w:abstractNum>
  <w:abstractNum w:abstractNumId="71" w15:restartNumberingAfterBreak="0">
    <w:nsid w:val="5AFB09F0"/>
    <w:multiLevelType w:val="hybridMultilevel"/>
    <w:tmpl w:val="E4424276"/>
    <w:lvl w:ilvl="0" w:tplc="28D4D79C">
      <w:numFmt w:val="bullet"/>
      <w:lvlText w:val="•"/>
      <w:lvlJc w:val="left"/>
      <w:pPr>
        <w:ind w:left="6548" w:hanging="260"/>
      </w:pPr>
      <w:rPr>
        <w:rFonts w:ascii="Arial" w:eastAsia="Arial" w:hAnsi="Arial" w:cs="Arial" w:hint="default"/>
        <w:b/>
        <w:bCs/>
        <w:i w:val="0"/>
        <w:iCs w:val="0"/>
        <w:color w:val="00ACA1"/>
        <w:w w:val="103"/>
        <w:sz w:val="20"/>
        <w:szCs w:val="20"/>
        <w:lang w:val="en-US" w:eastAsia="en-US" w:bidi="ar-SA"/>
      </w:rPr>
    </w:lvl>
    <w:lvl w:ilvl="1" w:tplc="308A672C">
      <w:numFmt w:val="bullet"/>
      <w:lvlText w:val="•"/>
      <w:lvlJc w:val="left"/>
      <w:pPr>
        <w:ind w:left="7110" w:hanging="260"/>
      </w:pPr>
      <w:rPr>
        <w:rFonts w:hint="default"/>
        <w:lang w:val="en-US" w:eastAsia="en-US" w:bidi="ar-SA"/>
      </w:rPr>
    </w:lvl>
    <w:lvl w:ilvl="2" w:tplc="5A9ED28C">
      <w:numFmt w:val="bullet"/>
      <w:lvlText w:val="•"/>
      <w:lvlJc w:val="left"/>
      <w:pPr>
        <w:ind w:left="7680" w:hanging="260"/>
      </w:pPr>
      <w:rPr>
        <w:rFonts w:hint="default"/>
        <w:lang w:val="en-US" w:eastAsia="en-US" w:bidi="ar-SA"/>
      </w:rPr>
    </w:lvl>
    <w:lvl w:ilvl="3" w:tplc="F8F8DFD0">
      <w:numFmt w:val="bullet"/>
      <w:lvlText w:val="•"/>
      <w:lvlJc w:val="left"/>
      <w:pPr>
        <w:ind w:left="8250" w:hanging="260"/>
      </w:pPr>
      <w:rPr>
        <w:rFonts w:hint="default"/>
        <w:lang w:val="en-US" w:eastAsia="en-US" w:bidi="ar-SA"/>
      </w:rPr>
    </w:lvl>
    <w:lvl w:ilvl="4" w:tplc="F0EC5062">
      <w:numFmt w:val="bullet"/>
      <w:lvlText w:val="•"/>
      <w:lvlJc w:val="left"/>
      <w:pPr>
        <w:ind w:left="8820" w:hanging="260"/>
      </w:pPr>
      <w:rPr>
        <w:rFonts w:hint="default"/>
        <w:lang w:val="en-US" w:eastAsia="en-US" w:bidi="ar-SA"/>
      </w:rPr>
    </w:lvl>
    <w:lvl w:ilvl="5" w:tplc="14F8CADC">
      <w:numFmt w:val="bullet"/>
      <w:lvlText w:val="•"/>
      <w:lvlJc w:val="left"/>
      <w:pPr>
        <w:ind w:left="9390" w:hanging="260"/>
      </w:pPr>
      <w:rPr>
        <w:rFonts w:hint="default"/>
        <w:lang w:val="en-US" w:eastAsia="en-US" w:bidi="ar-SA"/>
      </w:rPr>
    </w:lvl>
    <w:lvl w:ilvl="6" w:tplc="E1529992">
      <w:numFmt w:val="bullet"/>
      <w:lvlText w:val="•"/>
      <w:lvlJc w:val="left"/>
      <w:pPr>
        <w:ind w:left="9960" w:hanging="260"/>
      </w:pPr>
      <w:rPr>
        <w:rFonts w:hint="default"/>
        <w:lang w:val="en-US" w:eastAsia="en-US" w:bidi="ar-SA"/>
      </w:rPr>
    </w:lvl>
    <w:lvl w:ilvl="7" w:tplc="11741030">
      <w:numFmt w:val="bullet"/>
      <w:lvlText w:val="•"/>
      <w:lvlJc w:val="left"/>
      <w:pPr>
        <w:ind w:left="10530" w:hanging="260"/>
      </w:pPr>
      <w:rPr>
        <w:rFonts w:hint="default"/>
        <w:lang w:val="en-US" w:eastAsia="en-US" w:bidi="ar-SA"/>
      </w:rPr>
    </w:lvl>
    <w:lvl w:ilvl="8" w:tplc="48647804">
      <w:numFmt w:val="bullet"/>
      <w:lvlText w:val="•"/>
      <w:lvlJc w:val="left"/>
      <w:pPr>
        <w:ind w:left="11100" w:hanging="260"/>
      </w:pPr>
      <w:rPr>
        <w:rFonts w:hint="default"/>
        <w:lang w:val="en-US" w:eastAsia="en-US" w:bidi="ar-SA"/>
      </w:rPr>
    </w:lvl>
  </w:abstractNum>
  <w:abstractNum w:abstractNumId="72" w15:restartNumberingAfterBreak="0">
    <w:nsid w:val="5C6A15A4"/>
    <w:multiLevelType w:val="hybridMultilevel"/>
    <w:tmpl w:val="0860AD2E"/>
    <w:lvl w:ilvl="0" w:tplc="25F4880A">
      <w:numFmt w:val="bullet"/>
      <w:lvlText w:val="•"/>
      <w:lvlJc w:val="left"/>
      <w:pPr>
        <w:ind w:left="420" w:hanging="420"/>
      </w:pPr>
      <w:rPr>
        <w:rFonts w:ascii="Arial" w:eastAsia="Arial" w:hAnsi="Arial" w:cs="Arial" w:hint="default"/>
        <w:b/>
        <w:bCs/>
        <w:i w:val="0"/>
        <w:iCs w:val="0"/>
        <w:color w:val="00ACA1"/>
        <w:w w:val="103"/>
        <w:sz w:val="20"/>
        <w:szCs w:val="20"/>
        <w:lang w:val="en-US" w:eastAsia="en-US" w:bidi="ar-S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3" w15:restartNumberingAfterBreak="0">
    <w:nsid w:val="5CBC570A"/>
    <w:multiLevelType w:val="hybridMultilevel"/>
    <w:tmpl w:val="DFC2B140"/>
    <w:lvl w:ilvl="0" w:tplc="5972CDD4">
      <w:numFmt w:val="bullet"/>
      <w:lvlText w:val="•"/>
      <w:lvlJc w:val="left"/>
      <w:pPr>
        <w:ind w:left="255" w:hanging="256"/>
      </w:pPr>
      <w:rPr>
        <w:rFonts w:ascii="Arial" w:eastAsia="Arial" w:hAnsi="Arial" w:cs="Arial" w:hint="default"/>
        <w:b/>
        <w:bCs/>
        <w:i/>
        <w:iCs/>
        <w:color w:val="00ACA1"/>
        <w:w w:val="105"/>
        <w:sz w:val="24"/>
        <w:szCs w:val="24"/>
        <w:lang w:val="en-US" w:eastAsia="en-US" w:bidi="ar-SA"/>
      </w:rPr>
    </w:lvl>
    <w:lvl w:ilvl="1" w:tplc="E3C208BC">
      <w:numFmt w:val="bullet"/>
      <w:lvlText w:val="•"/>
      <w:lvlJc w:val="left"/>
      <w:pPr>
        <w:ind w:left="949" w:hanging="256"/>
      </w:pPr>
      <w:rPr>
        <w:rFonts w:hint="default"/>
        <w:lang w:val="en-US" w:eastAsia="en-US" w:bidi="ar-SA"/>
      </w:rPr>
    </w:lvl>
    <w:lvl w:ilvl="2" w:tplc="5D1EE54C">
      <w:numFmt w:val="bullet"/>
      <w:lvlText w:val="•"/>
      <w:lvlJc w:val="left"/>
      <w:pPr>
        <w:ind w:left="1638" w:hanging="256"/>
      </w:pPr>
      <w:rPr>
        <w:rFonts w:hint="default"/>
        <w:lang w:val="en-US" w:eastAsia="en-US" w:bidi="ar-SA"/>
      </w:rPr>
    </w:lvl>
    <w:lvl w:ilvl="3" w:tplc="2EC6B4EE">
      <w:numFmt w:val="bullet"/>
      <w:lvlText w:val="•"/>
      <w:lvlJc w:val="left"/>
      <w:pPr>
        <w:ind w:left="2327" w:hanging="256"/>
      </w:pPr>
      <w:rPr>
        <w:rFonts w:hint="default"/>
        <w:lang w:val="en-US" w:eastAsia="en-US" w:bidi="ar-SA"/>
      </w:rPr>
    </w:lvl>
    <w:lvl w:ilvl="4" w:tplc="C44AD038">
      <w:numFmt w:val="bullet"/>
      <w:lvlText w:val="•"/>
      <w:lvlJc w:val="left"/>
      <w:pPr>
        <w:ind w:left="3016" w:hanging="256"/>
      </w:pPr>
      <w:rPr>
        <w:rFonts w:hint="default"/>
        <w:lang w:val="en-US" w:eastAsia="en-US" w:bidi="ar-SA"/>
      </w:rPr>
    </w:lvl>
    <w:lvl w:ilvl="5" w:tplc="701AF200">
      <w:numFmt w:val="bullet"/>
      <w:lvlText w:val="•"/>
      <w:lvlJc w:val="left"/>
      <w:pPr>
        <w:ind w:left="3705" w:hanging="256"/>
      </w:pPr>
      <w:rPr>
        <w:rFonts w:hint="default"/>
        <w:lang w:val="en-US" w:eastAsia="en-US" w:bidi="ar-SA"/>
      </w:rPr>
    </w:lvl>
    <w:lvl w:ilvl="6" w:tplc="B1BE5B10">
      <w:numFmt w:val="bullet"/>
      <w:lvlText w:val="•"/>
      <w:lvlJc w:val="left"/>
      <w:pPr>
        <w:ind w:left="4394" w:hanging="256"/>
      </w:pPr>
      <w:rPr>
        <w:rFonts w:hint="default"/>
        <w:lang w:val="en-US" w:eastAsia="en-US" w:bidi="ar-SA"/>
      </w:rPr>
    </w:lvl>
    <w:lvl w:ilvl="7" w:tplc="1248D664">
      <w:numFmt w:val="bullet"/>
      <w:lvlText w:val="•"/>
      <w:lvlJc w:val="left"/>
      <w:pPr>
        <w:ind w:left="5083" w:hanging="256"/>
      </w:pPr>
      <w:rPr>
        <w:rFonts w:hint="default"/>
        <w:lang w:val="en-US" w:eastAsia="en-US" w:bidi="ar-SA"/>
      </w:rPr>
    </w:lvl>
    <w:lvl w:ilvl="8" w:tplc="34064E5E">
      <w:numFmt w:val="bullet"/>
      <w:lvlText w:val="•"/>
      <w:lvlJc w:val="left"/>
      <w:pPr>
        <w:ind w:left="5772" w:hanging="256"/>
      </w:pPr>
      <w:rPr>
        <w:rFonts w:hint="default"/>
        <w:lang w:val="en-US" w:eastAsia="en-US" w:bidi="ar-SA"/>
      </w:rPr>
    </w:lvl>
  </w:abstractNum>
  <w:abstractNum w:abstractNumId="74" w15:restartNumberingAfterBreak="0">
    <w:nsid w:val="5D17727E"/>
    <w:multiLevelType w:val="hybridMultilevel"/>
    <w:tmpl w:val="EC8A0446"/>
    <w:lvl w:ilvl="0" w:tplc="A43E7766">
      <w:start w:val="2"/>
      <w:numFmt w:val="decimal"/>
      <w:lvlText w:val="%1"/>
      <w:lvlJc w:val="left"/>
      <w:pPr>
        <w:ind w:left="471" w:hanging="227"/>
      </w:pPr>
      <w:rPr>
        <w:rFonts w:ascii="Microsoft Sans Serif" w:eastAsia="Microsoft Sans Serif" w:hAnsi="Microsoft Sans Serif" w:cs="Microsoft Sans Serif" w:hint="default"/>
        <w:b w:val="0"/>
        <w:bCs w:val="0"/>
        <w:i w:val="0"/>
        <w:iCs w:val="0"/>
        <w:color w:val="545456"/>
        <w:w w:val="101"/>
        <w:sz w:val="16"/>
        <w:szCs w:val="16"/>
        <w:lang w:val="en-US" w:eastAsia="en-US" w:bidi="ar-SA"/>
      </w:rPr>
    </w:lvl>
    <w:lvl w:ilvl="1" w:tplc="F1946C2A">
      <w:numFmt w:val="bullet"/>
      <w:lvlText w:val="•"/>
      <w:lvlJc w:val="left"/>
      <w:pPr>
        <w:ind w:left="1051" w:hanging="227"/>
      </w:pPr>
      <w:rPr>
        <w:rFonts w:hint="default"/>
        <w:lang w:val="en-US" w:eastAsia="en-US" w:bidi="ar-SA"/>
      </w:rPr>
    </w:lvl>
    <w:lvl w:ilvl="2" w:tplc="1D84B0A0">
      <w:numFmt w:val="bullet"/>
      <w:lvlText w:val="•"/>
      <w:lvlJc w:val="left"/>
      <w:pPr>
        <w:ind w:left="1623" w:hanging="227"/>
      </w:pPr>
      <w:rPr>
        <w:rFonts w:hint="default"/>
        <w:lang w:val="en-US" w:eastAsia="en-US" w:bidi="ar-SA"/>
      </w:rPr>
    </w:lvl>
    <w:lvl w:ilvl="3" w:tplc="89E22CD2">
      <w:numFmt w:val="bullet"/>
      <w:lvlText w:val="•"/>
      <w:lvlJc w:val="left"/>
      <w:pPr>
        <w:ind w:left="2194" w:hanging="227"/>
      </w:pPr>
      <w:rPr>
        <w:rFonts w:hint="default"/>
        <w:lang w:val="en-US" w:eastAsia="en-US" w:bidi="ar-SA"/>
      </w:rPr>
    </w:lvl>
    <w:lvl w:ilvl="4" w:tplc="C6DC7D6A">
      <w:numFmt w:val="bullet"/>
      <w:lvlText w:val="•"/>
      <w:lvlJc w:val="left"/>
      <w:pPr>
        <w:ind w:left="2766" w:hanging="227"/>
      </w:pPr>
      <w:rPr>
        <w:rFonts w:hint="default"/>
        <w:lang w:val="en-US" w:eastAsia="en-US" w:bidi="ar-SA"/>
      </w:rPr>
    </w:lvl>
    <w:lvl w:ilvl="5" w:tplc="B3160528">
      <w:numFmt w:val="bullet"/>
      <w:lvlText w:val="•"/>
      <w:lvlJc w:val="left"/>
      <w:pPr>
        <w:ind w:left="3338" w:hanging="227"/>
      </w:pPr>
      <w:rPr>
        <w:rFonts w:hint="default"/>
        <w:lang w:val="en-US" w:eastAsia="en-US" w:bidi="ar-SA"/>
      </w:rPr>
    </w:lvl>
    <w:lvl w:ilvl="6" w:tplc="332C9AB8">
      <w:numFmt w:val="bullet"/>
      <w:lvlText w:val="•"/>
      <w:lvlJc w:val="left"/>
      <w:pPr>
        <w:ind w:left="3909" w:hanging="227"/>
      </w:pPr>
      <w:rPr>
        <w:rFonts w:hint="default"/>
        <w:lang w:val="en-US" w:eastAsia="en-US" w:bidi="ar-SA"/>
      </w:rPr>
    </w:lvl>
    <w:lvl w:ilvl="7" w:tplc="2BB29490">
      <w:numFmt w:val="bullet"/>
      <w:lvlText w:val="•"/>
      <w:lvlJc w:val="left"/>
      <w:pPr>
        <w:ind w:left="4481" w:hanging="227"/>
      </w:pPr>
      <w:rPr>
        <w:rFonts w:hint="default"/>
        <w:lang w:val="en-US" w:eastAsia="en-US" w:bidi="ar-SA"/>
      </w:rPr>
    </w:lvl>
    <w:lvl w:ilvl="8" w:tplc="EE584C14">
      <w:numFmt w:val="bullet"/>
      <w:lvlText w:val="•"/>
      <w:lvlJc w:val="left"/>
      <w:pPr>
        <w:ind w:left="5053" w:hanging="227"/>
      </w:pPr>
      <w:rPr>
        <w:rFonts w:hint="default"/>
        <w:lang w:val="en-US" w:eastAsia="en-US" w:bidi="ar-SA"/>
      </w:rPr>
    </w:lvl>
  </w:abstractNum>
  <w:abstractNum w:abstractNumId="75" w15:restartNumberingAfterBreak="0">
    <w:nsid w:val="5DA676D9"/>
    <w:multiLevelType w:val="hybridMultilevel"/>
    <w:tmpl w:val="8C8C8136"/>
    <w:lvl w:ilvl="0" w:tplc="927E927E">
      <w:numFmt w:val="bullet"/>
      <w:lvlText w:val="•"/>
      <w:lvlJc w:val="left"/>
      <w:pPr>
        <w:ind w:left="1371" w:hanging="260"/>
      </w:pPr>
      <w:rPr>
        <w:rFonts w:ascii="Arial" w:eastAsia="Arial" w:hAnsi="Arial" w:cs="Arial" w:hint="default"/>
        <w:b/>
        <w:bCs/>
        <w:i w:val="0"/>
        <w:iCs w:val="0"/>
        <w:color w:val="00ACA1"/>
        <w:w w:val="103"/>
        <w:sz w:val="20"/>
        <w:szCs w:val="20"/>
        <w:lang w:val="en-US" w:eastAsia="en-US" w:bidi="ar-SA"/>
      </w:rPr>
    </w:lvl>
    <w:lvl w:ilvl="1" w:tplc="86445878">
      <w:numFmt w:val="bullet"/>
      <w:lvlText w:val="•"/>
      <w:lvlJc w:val="left"/>
      <w:pPr>
        <w:ind w:left="1830" w:hanging="260"/>
      </w:pPr>
      <w:rPr>
        <w:rFonts w:hint="default"/>
        <w:lang w:val="en-US" w:eastAsia="en-US" w:bidi="ar-SA"/>
      </w:rPr>
    </w:lvl>
    <w:lvl w:ilvl="2" w:tplc="4A5E5718">
      <w:numFmt w:val="bullet"/>
      <w:lvlText w:val="•"/>
      <w:lvlJc w:val="left"/>
      <w:pPr>
        <w:ind w:left="2281" w:hanging="260"/>
      </w:pPr>
      <w:rPr>
        <w:rFonts w:hint="default"/>
        <w:lang w:val="en-US" w:eastAsia="en-US" w:bidi="ar-SA"/>
      </w:rPr>
    </w:lvl>
    <w:lvl w:ilvl="3" w:tplc="A00693BA">
      <w:numFmt w:val="bullet"/>
      <w:lvlText w:val="•"/>
      <w:lvlJc w:val="left"/>
      <w:pPr>
        <w:ind w:left="2731" w:hanging="260"/>
      </w:pPr>
      <w:rPr>
        <w:rFonts w:hint="default"/>
        <w:lang w:val="en-US" w:eastAsia="en-US" w:bidi="ar-SA"/>
      </w:rPr>
    </w:lvl>
    <w:lvl w:ilvl="4" w:tplc="F4BC940A">
      <w:numFmt w:val="bullet"/>
      <w:lvlText w:val="•"/>
      <w:lvlJc w:val="left"/>
      <w:pPr>
        <w:ind w:left="3182" w:hanging="260"/>
      </w:pPr>
      <w:rPr>
        <w:rFonts w:hint="default"/>
        <w:lang w:val="en-US" w:eastAsia="en-US" w:bidi="ar-SA"/>
      </w:rPr>
    </w:lvl>
    <w:lvl w:ilvl="5" w:tplc="C308ACE0">
      <w:numFmt w:val="bullet"/>
      <w:lvlText w:val="•"/>
      <w:lvlJc w:val="left"/>
      <w:pPr>
        <w:ind w:left="3632" w:hanging="260"/>
      </w:pPr>
      <w:rPr>
        <w:rFonts w:hint="default"/>
        <w:lang w:val="en-US" w:eastAsia="en-US" w:bidi="ar-SA"/>
      </w:rPr>
    </w:lvl>
    <w:lvl w:ilvl="6" w:tplc="99D61A3E">
      <w:numFmt w:val="bullet"/>
      <w:lvlText w:val="•"/>
      <w:lvlJc w:val="left"/>
      <w:pPr>
        <w:ind w:left="4083" w:hanging="260"/>
      </w:pPr>
      <w:rPr>
        <w:rFonts w:hint="default"/>
        <w:lang w:val="en-US" w:eastAsia="en-US" w:bidi="ar-SA"/>
      </w:rPr>
    </w:lvl>
    <w:lvl w:ilvl="7" w:tplc="456EFEBC">
      <w:numFmt w:val="bullet"/>
      <w:lvlText w:val="•"/>
      <w:lvlJc w:val="left"/>
      <w:pPr>
        <w:ind w:left="4534" w:hanging="260"/>
      </w:pPr>
      <w:rPr>
        <w:rFonts w:hint="default"/>
        <w:lang w:val="en-US" w:eastAsia="en-US" w:bidi="ar-SA"/>
      </w:rPr>
    </w:lvl>
    <w:lvl w:ilvl="8" w:tplc="0428E3D0">
      <w:numFmt w:val="bullet"/>
      <w:lvlText w:val="•"/>
      <w:lvlJc w:val="left"/>
      <w:pPr>
        <w:ind w:left="4984" w:hanging="260"/>
      </w:pPr>
      <w:rPr>
        <w:rFonts w:hint="default"/>
        <w:lang w:val="en-US" w:eastAsia="en-US" w:bidi="ar-SA"/>
      </w:rPr>
    </w:lvl>
  </w:abstractNum>
  <w:abstractNum w:abstractNumId="76" w15:restartNumberingAfterBreak="0">
    <w:nsid w:val="5DDA444B"/>
    <w:multiLevelType w:val="hybridMultilevel"/>
    <w:tmpl w:val="6F685040"/>
    <w:lvl w:ilvl="0" w:tplc="25F4880A">
      <w:numFmt w:val="bullet"/>
      <w:lvlText w:val="•"/>
      <w:lvlJc w:val="left"/>
      <w:pPr>
        <w:ind w:left="1553" w:hanging="420"/>
      </w:pPr>
      <w:rPr>
        <w:rFonts w:ascii="Arial" w:eastAsia="Arial" w:hAnsi="Arial" w:cs="Arial" w:hint="default"/>
        <w:b/>
        <w:bCs/>
        <w:i w:val="0"/>
        <w:iCs w:val="0"/>
        <w:color w:val="00ACA1"/>
        <w:w w:val="103"/>
        <w:sz w:val="20"/>
        <w:szCs w:val="20"/>
        <w:lang w:val="en-US" w:eastAsia="en-US" w:bidi="ar-SA"/>
      </w:rPr>
    </w:lvl>
    <w:lvl w:ilvl="1" w:tplc="0409000B" w:tentative="1">
      <w:start w:val="1"/>
      <w:numFmt w:val="bullet"/>
      <w:lvlText w:val=""/>
      <w:lvlJc w:val="left"/>
      <w:pPr>
        <w:ind w:left="1973" w:hanging="420"/>
      </w:pPr>
      <w:rPr>
        <w:rFonts w:ascii="Wingdings" w:hAnsi="Wingdings" w:hint="default"/>
      </w:rPr>
    </w:lvl>
    <w:lvl w:ilvl="2" w:tplc="0409000D" w:tentative="1">
      <w:start w:val="1"/>
      <w:numFmt w:val="bullet"/>
      <w:lvlText w:val=""/>
      <w:lvlJc w:val="left"/>
      <w:pPr>
        <w:ind w:left="2393" w:hanging="420"/>
      </w:pPr>
      <w:rPr>
        <w:rFonts w:ascii="Wingdings" w:hAnsi="Wingdings" w:hint="default"/>
      </w:rPr>
    </w:lvl>
    <w:lvl w:ilvl="3" w:tplc="04090001" w:tentative="1">
      <w:start w:val="1"/>
      <w:numFmt w:val="bullet"/>
      <w:lvlText w:val=""/>
      <w:lvlJc w:val="left"/>
      <w:pPr>
        <w:ind w:left="2813" w:hanging="420"/>
      </w:pPr>
      <w:rPr>
        <w:rFonts w:ascii="Wingdings" w:hAnsi="Wingdings" w:hint="default"/>
      </w:rPr>
    </w:lvl>
    <w:lvl w:ilvl="4" w:tplc="0409000B" w:tentative="1">
      <w:start w:val="1"/>
      <w:numFmt w:val="bullet"/>
      <w:lvlText w:val=""/>
      <w:lvlJc w:val="left"/>
      <w:pPr>
        <w:ind w:left="3233" w:hanging="420"/>
      </w:pPr>
      <w:rPr>
        <w:rFonts w:ascii="Wingdings" w:hAnsi="Wingdings" w:hint="default"/>
      </w:rPr>
    </w:lvl>
    <w:lvl w:ilvl="5" w:tplc="0409000D" w:tentative="1">
      <w:start w:val="1"/>
      <w:numFmt w:val="bullet"/>
      <w:lvlText w:val=""/>
      <w:lvlJc w:val="left"/>
      <w:pPr>
        <w:ind w:left="3653" w:hanging="420"/>
      </w:pPr>
      <w:rPr>
        <w:rFonts w:ascii="Wingdings" w:hAnsi="Wingdings" w:hint="default"/>
      </w:rPr>
    </w:lvl>
    <w:lvl w:ilvl="6" w:tplc="04090001" w:tentative="1">
      <w:start w:val="1"/>
      <w:numFmt w:val="bullet"/>
      <w:lvlText w:val=""/>
      <w:lvlJc w:val="left"/>
      <w:pPr>
        <w:ind w:left="4073" w:hanging="420"/>
      </w:pPr>
      <w:rPr>
        <w:rFonts w:ascii="Wingdings" w:hAnsi="Wingdings" w:hint="default"/>
      </w:rPr>
    </w:lvl>
    <w:lvl w:ilvl="7" w:tplc="0409000B" w:tentative="1">
      <w:start w:val="1"/>
      <w:numFmt w:val="bullet"/>
      <w:lvlText w:val=""/>
      <w:lvlJc w:val="left"/>
      <w:pPr>
        <w:ind w:left="4493" w:hanging="420"/>
      </w:pPr>
      <w:rPr>
        <w:rFonts w:ascii="Wingdings" w:hAnsi="Wingdings" w:hint="default"/>
      </w:rPr>
    </w:lvl>
    <w:lvl w:ilvl="8" w:tplc="0409000D" w:tentative="1">
      <w:start w:val="1"/>
      <w:numFmt w:val="bullet"/>
      <w:lvlText w:val=""/>
      <w:lvlJc w:val="left"/>
      <w:pPr>
        <w:ind w:left="4913" w:hanging="420"/>
      </w:pPr>
      <w:rPr>
        <w:rFonts w:ascii="Wingdings" w:hAnsi="Wingdings" w:hint="default"/>
      </w:rPr>
    </w:lvl>
  </w:abstractNum>
  <w:abstractNum w:abstractNumId="77" w15:restartNumberingAfterBreak="0">
    <w:nsid w:val="5E5D6E97"/>
    <w:multiLevelType w:val="hybridMultilevel"/>
    <w:tmpl w:val="A7923B3E"/>
    <w:lvl w:ilvl="0" w:tplc="25F4880A">
      <w:numFmt w:val="bullet"/>
      <w:lvlText w:val="•"/>
      <w:lvlJc w:val="left"/>
      <w:pPr>
        <w:ind w:left="646" w:hanging="420"/>
      </w:pPr>
      <w:rPr>
        <w:rFonts w:ascii="Arial" w:eastAsia="Arial" w:hAnsi="Arial" w:cs="Arial" w:hint="default"/>
        <w:b/>
        <w:bCs/>
        <w:i w:val="0"/>
        <w:iCs w:val="0"/>
        <w:color w:val="00ACA1"/>
        <w:w w:val="103"/>
        <w:sz w:val="20"/>
        <w:szCs w:val="20"/>
        <w:lang w:val="en-US" w:eastAsia="en-US" w:bidi="ar-SA"/>
      </w:rPr>
    </w:lvl>
    <w:lvl w:ilvl="1" w:tplc="0409000B" w:tentative="1">
      <w:start w:val="1"/>
      <w:numFmt w:val="bullet"/>
      <w:lvlText w:val=""/>
      <w:lvlJc w:val="left"/>
      <w:pPr>
        <w:ind w:left="1066" w:hanging="420"/>
      </w:pPr>
      <w:rPr>
        <w:rFonts w:ascii="Wingdings" w:hAnsi="Wingdings" w:hint="default"/>
      </w:rPr>
    </w:lvl>
    <w:lvl w:ilvl="2" w:tplc="0409000D" w:tentative="1">
      <w:start w:val="1"/>
      <w:numFmt w:val="bullet"/>
      <w:lvlText w:val=""/>
      <w:lvlJc w:val="left"/>
      <w:pPr>
        <w:ind w:left="1486" w:hanging="420"/>
      </w:pPr>
      <w:rPr>
        <w:rFonts w:ascii="Wingdings" w:hAnsi="Wingdings" w:hint="default"/>
      </w:rPr>
    </w:lvl>
    <w:lvl w:ilvl="3" w:tplc="04090001" w:tentative="1">
      <w:start w:val="1"/>
      <w:numFmt w:val="bullet"/>
      <w:lvlText w:val=""/>
      <w:lvlJc w:val="left"/>
      <w:pPr>
        <w:ind w:left="1906" w:hanging="420"/>
      </w:pPr>
      <w:rPr>
        <w:rFonts w:ascii="Wingdings" w:hAnsi="Wingdings" w:hint="default"/>
      </w:rPr>
    </w:lvl>
    <w:lvl w:ilvl="4" w:tplc="0409000B" w:tentative="1">
      <w:start w:val="1"/>
      <w:numFmt w:val="bullet"/>
      <w:lvlText w:val=""/>
      <w:lvlJc w:val="left"/>
      <w:pPr>
        <w:ind w:left="2326" w:hanging="420"/>
      </w:pPr>
      <w:rPr>
        <w:rFonts w:ascii="Wingdings" w:hAnsi="Wingdings" w:hint="default"/>
      </w:rPr>
    </w:lvl>
    <w:lvl w:ilvl="5" w:tplc="0409000D" w:tentative="1">
      <w:start w:val="1"/>
      <w:numFmt w:val="bullet"/>
      <w:lvlText w:val=""/>
      <w:lvlJc w:val="left"/>
      <w:pPr>
        <w:ind w:left="2746" w:hanging="420"/>
      </w:pPr>
      <w:rPr>
        <w:rFonts w:ascii="Wingdings" w:hAnsi="Wingdings" w:hint="default"/>
      </w:rPr>
    </w:lvl>
    <w:lvl w:ilvl="6" w:tplc="04090001" w:tentative="1">
      <w:start w:val="1"/>
      <w:numFmt w:val="bullet"/>
      <w:lvlText w:val=""/>
      <w:lvlJc w:val="left"/>
      <w:pPr>
        <w:ind w:left="3166" w:hanging="420"/>
      </w:pPr>
      <w:rPr>
        <w:rFonts w:ascii="Wingdings" w:hAnsi="Wingdings" w:hint="default"/>
      </w:rPr>
    </w:lvl>
    <w:lvl w:ilvl="7" w:tplc="0409000B" w:tentative="1">
      <w:start w:val="1"/>
      <w:numFmt w:val="bullet"/>
      <w:lvlText w:val=""/>
      <w:lvlJc w:val="left"/>
      <w:pPr>
        <w:ind w:left="3586" w:hanging="420"/>
      </w:pPr>
      <w:rPr>
        <w:rFonts w:ascii="Wingdings" w:hAnsi="Wingdings" w:hint="default"/>
      </w:rPr>
    </w:lvl>
    <w:lvl w:ilvl="8" w:tplc="0409000D" w:tentative="1">
      <w:start w:val="1"/>
      <w:numFmt w:val="bullet"/>
      <w:lvlText w:val=""/>
      <w:lvlJc w:val="left"/>
      <w:pPr>
        <w:ind w:left="4006" w:hanging="420"/>
      </w:pPr>
      <w:rPr>
        <w:rFonts w:ascii="Wingdings" w:hAnsi="Wingdings" w:hint="default"/>
      </w:rPr>
    </w:lvl>
  </w:abstractNum>
  <w:abstractNum w:abstractNumId="78" w15:restartNumberingAfterBreak="0">
    <w:nsid w:val="5EEF3FAB"/>
    <w:multiLevelType w:val="hybridMultilevel"/>
    <w:tmpl w:val="8BB88044"/>
    <w:lvl w:ilvl="0" w:tplc="157C87F4">
      <w:start w:val="1"/>
      <w:numFmt w:val="decimal"/>
      <w:lvlText w:val="%1"/>
      <w:lvlJc w:val="left"/>
      <w:pPr>
        <w:ind w:left="470" w:hanging="227"/>
      </w:pPr>
      <w:rPr>
        <w:rFonts w:ascii="Microsoft Sans Serif" w:eastAsia="Microsoft Sans Serif" w:hAnsi="Microsoft Sans Serif" w:cs="Microsoft Sans Serif" w:hint="default"/>
        <w:b w:val="0"/>
        <w:bCs w:val="0"/>
        <w:i w:val="0"/>
        <w:iCs w:val="0"/>
        <w:color w:val="545456"/>
        <w:w w:val="101"/>
        <w:sz w:val="16"/>
        <w:szCs w:val="16"/>
        <w:lang w:val="en-US" w:eastAsia="en-US" w:bidi="ar-SA"/>
      </w:rPr>
    </w:lvl>
    <w:lvl w:ilvl="1" w:tplc="34BA387C">
      <w:numFmt w:val="bullet"/>
      <w:lvlText w:val="•"/>
      <w:lvlJc w:val="left"/>
      <w:pPr>
        <w:ind w:left="1393" w:hanging="260"/>
      </w:pPr>
      <w:rPr>
        <w:rFonts w:ascii="Arial" w:eastAsia="Arial" w:hAnsi="Arial" w:cs="Arial" w:hint="default"/>
        <w:b/>
        <w:bCs/>
        <w:i w:val="0"/>
        <w:iCs w:val="0"/>
        <w:color w:val="00ACA1"/>
        <w:w w:val="103"/>
        <w:sz w:val="20"/>
        <w:szCs w:val="20"/>
        <w:lang w:val="en-US" w:eastAsia="en-US" w:bidi="ar-SA"/>
      </w:rPr>
    </w:lvl>
    <w:lvl w:ilvl="2" w:tplc="59F09F48">
      <w:numFmt w:val="bullet"/>
      <w:lvlText w:val="•"/>
      <w:lvlJc w:val="left"/>
      <w:pPr>
        <w:ind w:left="1233" w:hanging="260"/>
      </w:pPr>
      <w:rPr>
        <w:rFonts w:hint="default"/>
        <w:lang w:val="en-US" w:eastAsia="en-US" w:bidi="ar-SA"/>
      </w:rPr>
    </w:lvl>
    <w:lvl w:ilvl="3" w:tplc="1DD2436E">
      <w:numFmt w:val="bullet"/>
      <w:lvlText w:val="•"/>
      <w:lvlJc w:val="left"/>
      <w:pPr>
        <w:ind w:left="1066" w:hanging="260"/>
      </w:pPr>
      <w:rPr>
        <w:rFonts w:hint="default"/>
        <w:lang w:val="en-US" w:eastAsia="en-US" w:bidi="ar-SA"/>
      </w:rPr>
    </w:lvl>
    <w:lvl w:ilvl="4" w:tplc="54301E7C">
      <w:numFmt w:val="bullet"/>
      <w:lvlText w:val="•"/>
      <w:lvlJc w:val="left"/>
      <w:pPr>
        <w:ind w:left="900" w:hanging="260"/>
      </w:pPr>
      <w:rPr>
        <w:rFonts w:hint="default"/>
        <w:lang w:val="en-US" w:eastAsia="en-US" w:bidi="ar-SA"/>
      </w:rPr>
    </w:lvl>
    <w:lvl w:ilvl="5" w:tplc="D16EE5BA">
      <w:numFmt w:val="bullet"/>
      <w:lvlText w:val="•"/>
      <w:lvlJc w:val="left"/>
      <w:pPr>
        <w:ind w:left="733" w:hanging="260"/>
      </w:pPr>
      <w:rPr>
        <w:rFonts w:hint="default"/>
        <w:lang w:val="en-US" w:eastAsia="en-US" w:bidi="ar-SA"/>
      </w:rPr>
    </w:lvl>
    <w:lvl w:ilvl="6" w:tplc="99F26450">
      <w:numFmt w:val="bullet"/>
      <w:lvlText w:val="•"/>
      <w:lvlJc w:val="left"/>
      <w:pPr>
        <w:ind w:left="567" w:hanging="260"/>
      </w:pPr>
      <w:rPr>
        <w:rFonts w:hint="default"/>
        <w:lang w:val="en-US" w:eastAsia="en-US" w:bidi="ar-SA"/>
      </w:rPr>
    </w:lvl>
    <w:lvl w:ilvl="7" w:tplc="CEEE0988">
      <w:numFmt w:val="bullet"/>
      <w:lvlText w:val="•"/>
      <w:lvlJc w:val="left"/>
      <w:pPr>
        <w:ind w:left="400" w:hanging="260"/>
      </w:pPr>
      <w:rPr>
        <w:rFonts w:hint="default"/>
        <w:lang w:val="en-US" w:eastAsia="en-US" w:bidi="ar-SA"/>
      </w:rPr>
    </w:lvl>
    <w:lvl w:ilvl="8" w:tplc="1FE605E0">
      <w:numFmt w:val="bullet"/>
      <w:lvlText w:val="•"/>
      <w:lvlJc w:val="left"/>
      <w:pPr>
        <w:ind w:left="234" w:hanging="260"/>
      </w:pPr>
      <w:rPr>
        <w:rFonts w:hint="default"/>
        <w:lang w:val="en-US" w:eastAsia="en-US" w:bidi="ar-SA"/>
      </w:rPr>
    </w:lvl>
  </w:abstractNum>
  <w:abstractNum w:abstractNumId="79" w15:restartNumberingAfterBreak="0">
    <w:nsid w:val="626871A0"/>
    <w:multiLevelType w:val="multilevel"/>
    <w:tmpl w:val="C3FAF78C"/>
    <w:lvl w:ilvl="0">
      <w:start w:val="8"/>
      <w:numFmt w:val="decimal"/>
      <w:lvlText w:val="%1"/>
      <w:lvlJc w:val="left"/>
      <w:pPr>
        <w:ind w:left="1853" w:hanging="720"/>
      </w:pPr>
      <w:rPr>
        <w:rFonts w:hint="default"/>
        <w:lang w:val="en-US" w:eastAsia="en-US" w:bidi="ar-SA"/>
      </w:rPr>
    </w:lvl>
    <w:lvl w:ilvl="1">
      <w:start w:val="1"/>
      <w:numFmt w:val="decimal"/>
      <w:lvlText w:val="%1.%2"/>
      <w:lvlJc w:val="left"/>
      <w:pPr>
        <w:ind w:left="1853" w:hanging="720"/>
      </w:pPr>
      <w:rPr>
        <w:rFonts w:ascii="Arial" w:eastAsia="Arial" w:hAnsi="Arial" w:cs="Arial" w:hint="default"/>
        <w:b/>
        <w:bCs/>
        <w:i/>
        <w:iCs/>
        <w:color w:val="00ACA1"/>
        <w:w w:val="99"/>
        <w:sz w:val="24"/>
        <w:szCs w:val="24"/>
        <w:lang w:val="en-US" w:eastAsia="en-US" w:bidi="ar-SA"/>
      </w:rPr>
    </w:lvl>
    <w:lvl w:ilvl="2">
      <w:numFmt w:val="bullet"/>
      <w:lvlText w:val="•"/>
      <w:lvlJc w:val="left"/>
      <w:pPr>
        <w:ind w:left="3936" w:hanging="720"/>
      </w:pPr>
      <w:rPr>
        <w:rFonts w:hint="default"/>
        <w:lang w:val="en-US" w:eastAsia="en-US" w:bidi="ar-SA"/>
      </w:rPr>
    </w:lvl>
    <w:lvl w:ilvl="3">
      <w:numFmt w:val="bullet"/>
      <w:lvlText w:val="•"/>
      <w:lvlJc w:val="left"/>
      <w:pPr>
        <w:ind w:left="4974" w:hanging="720"/>
      </w:pPr>
      <w:rPr>
        <w:rFonts w:hint="default"/>
        <w:lang w:val="en-US" w:eastAsia="en-US" w:bidi="ar-SA"/>
      </w:rPr>
    </w:lvl>
    <w:lvl w:ilvl="4">
      <w:numFmt w:val="bullet"/>
      <w:lvlText w:val="•"/>
      <w:lvlJc w:val="left"/>
      <w:pPr>
        <w:ind w:left="6012" w:hanging="720"/>
      </w:pPr>
      <w:rPr>
        <w:rFonts w:hint="default"/>
        <w:lang w:val="en-US" w:eastAsia="en-US" w:bidi="ar-SA"/>
      </w:rPr>
    </w:lvl>
    <w:lvl w:ilvl="5">
      <w:numFmt w:val="bullet"/>
      <w:lvlText w:val="•"/>
      <w:lvlJc w:val="left"/>
      <w:pPr>
        <w:ind w:left="7050" w:hanging="720"/>
      </w:pPr>
      <w:rPr>
        <w:rFonts w:hint="default"/>
        <w:lang w:val="en-US" w:eastAsia="en-US" w:bidi="ar-SA"/>
      </w:rPr>
    </w:lvl>
    <w:lvl w:ilvl="6">
      <w:numFmt w:val="bullet"/>
      <w:lvlText w:val="•"/>
      <w:lvlJc w:val="left"/>
      <w:pPr>
        <w:ind w:left="8088" w:hanging="720"/>
      </w:pPr>
      <w:rPr>
        <w:rFonts w:hint="default"/>
        <w:lang w:val="en-US" w:eastAsia="en-US" w:bidi="ar-SA"/>
      </w:rPr>
    </w:lvl>
    <w:lvl w:ilvl="7">
      <w:numFmt w:val="bullet"/>
      <w:lvlText w:val="•"/>
      <w:lvlJc w:val="left"/>
      <w:pPr>
        <w:ind w:left="9126" w:hanging="720"/>
      </w:pPr>
      <w:rPr>
        <w:rFonts w:hint="default"/>
        <w:lang w:val="en-US" w:eastAsia="en-US" w:bidi="ar-SA"/>
      </w:rPr>
    </w:lvl>
    <w:lvl w:ilvl="8">
      <w:numFmt w:val="bullet"/>
      <w:lvlText w:val="•"/>
      <w:lvlJc w:val="left"/>
      <w:pPr>
        <w:ind w:left="10164" w:hanging="720"/>
      </w:pPr>
      <w:rPr>
        <w:rFonts w:hint="default"/>
        <w:lang w:val="en-US" w:eastAsia="en-US" w:bidi="ar-SA"/>
      </w:rPr>
    </w:lvl>
  </w:abstractNum>
  <w:abstractNum w:abstractNumId="80" w15:restartNumberingAfterBreak="0">
    <w:nsid w:val="63016129"/>
    <w:multiLevelType w:val="hybridMultilevel"/>
    <w:tmpl w:val="3846581E"/>
    <w:lvl w:ilvl="0" w:tplc="1362DCA0">
      <w:start w:val="1"/>
      <w:numFmt w:val="decimal"/>
      <w:lvlText w:val="%1."/>
      <w:lvlJc w:val="left"/>
      <w:pPr>
        <w:ind w:left="566" w:hanging="260"/>
        <w:jc w:val="right"/>
      </w:pPr>
      <w:rPr>
        <w:rFonts w:ascii="Arial" w:eastAsia="Arial" w:hAnsi="Arial" w:cs="Arial" w:hint="default"/>
        <w:b/>
        <w:bCs/>
        <w:i w:val="0"/>
        <w:iCs w:val="0"/>
        <w:color w:val="00ACA1"/>
        <w:spacing w:val="-1"/>
        <w:w w:val="97"/>
        <w:sz w:val="20"/>
        <w:szCs w:val="20"/>
        <w:lang w:val="en-US" w:eastAsia="en-US" w:bidi="ar-SA"/>
      </w:rPr>
    </w:lvl>
    <w:lvl w:ilvl="1" w:tplc="715C3C08">
      <w:numFmt w:val="bullet"/>
      <w:lvlText w:val="•"/>
      <w:lvlJc w:val="left"/>
      <w:pPr>
        <w:ind w:left="1129" w:hanging="260"/>
      </w:pPr>
      <w:rPr>
        <w:rFonts w:hint="default"/>
        <w:lang w:val="en-US" w:eastAsia="en-US" w:bidi="ar-SA"/>
      </w:rPr>
    </w:lvl>
    <w:lvl w:ilvl="2" w:tplc="5B44C092">
      <w:numFmt w:val="bullet"/>
      <w:lvlText w:val="•"/>
      <w:lvlJc w:val="left"/>
      <w:pPr>
        <w:ind w:left="1699" w:hanging="260"/>
      </w:pPr>
      <w:rPr>
        <w:rFonts w:hint="default"/>
        <w:lang w:val="en-US" w:eastAsia="en-US" w:bidi="ar-SA"/>
      </w:rPr>
    </w:lvl>
    <w:lvl w:ilvl="3" w:tplc="3F3A29C6">
      <w:numFmt w:val="bullet"/>
      <w:lvlText w:val="•"/>
      <w:lvlJc w:val="left"/>
      <w:pPr>
        <w:ind w:left="2269" w:hanging="260"/>
      </w:pPr>
      <w:rPr>
        <w:rFonts w:hint="default"/>
        <w:lang w:val="en-US" w:eastAsia="en-US" w:bidi="ar-SA"/>
      </w:rPr>
    </w:lvl>
    <w:lvl w:ilvl="4" w:tplc="E5D6E566">
      <w:numFmt w:val="bullet"/>
      <w:lvlText w:val="•"/>
      <w:lvlJc w:val="left"/>
      <w:pPr>
        <w:ind w:left="2839" w:hanging="260"/>
      </w:pPr>
      <w:rPr>
        <w:rFonts w:hint="default"/>
        <w:lang w:val="en-US" w:eastAsia="en-US" w:bidi="ar-SA"/>
      </w:rPr>
    </w:lvl>
    <w:lvl w:ilvl="5" w:tplc="324A88B0">
      <w:numFmt w:val="bullet"/>
      <w:lvlText w:val="•"/>
      <w:lvlJc w:val="left"/>
      <w:pPr>
        <w:ind w:left="3408" w:hanging="260"/>
      </w:pPr>
      <w:rPr>
        <w:rFonts w:hint="default"/>
        <w:lang w:val="en-US" w:eastAsia="en-US" w:bidi="ar-SA"/>
      </w:rPr>
    </w:lvl>
    <w:lvl w:ilvl="6" w:tplc="4F6C5F6C">
      <w:numFmt w:val="bullet"/>
      <w:lvlText w:val="•"/>
      <w:lvlJc w:val="left"/>
      <w:pPr>
        <w:ind w:left="3978" w:hanging="260"/>
      </w:pPr>
      <w:rPr>
        <w:rFonts w:hint="default"/>
        <w:lang w:val="en-US" w:eastAsia="en-US" w:bidi="ar-SA"/>
      </w:rPr>
    </w:lvl>
    <w:lvl w:ilvl="7" w:tplc="440CED90">
      <w:numFmt w:val="bullet"/>
      <w:lvlText w:val="•"/>
      <w:lvlJc w:val="left"/>
      <w:pPr>
        <w:ind w:left="4548" w:hanging="260"/>
      </w:pPr>
      <w:rPr>
        <w:rFonts w:hint="default"/>
        <w:lang w:val="en-US" w:eastAsia="en-US" w:bidi="ar-SA"/>
      </w:rPr>
    </w:lvl>
    <w:lvl w:ilvl="8" w:tplc="597ECDA8">
      <w:numFmt w:val="bullet"/>
      <w:lvlText w:val="•"/>
      <w:lvlJc w:val="left"/>
      <w:pPr>
        <w:ind w:left="5118" w:hanging="260"/>
      </w:pPr>
      <w:rPr>
        <w:rFonts w:hint="default"/>
        <w:lang w:val="en-US" w:eastAsia="en-US" w:bidi="ar-SA"/>
      </w:rPr>
    </w:lvl>
  </w:abstractNum>
  <w:abstractNum w:abstractNumId="81" w15:restartNumberingAfterBreak="0">
    <w:nsid w:val="63B96BD3"/>
    <w:multiLevelType w:val="hybridMultilevel"/>
    <w:tmpl w:val="562C6488"/>
    <w:lvl w:ilvl="0" w:tplc="25F4880A">
      <w:numFmt w:val="bullet"/>
      <w:lvlText w:val="•"/>
      <w:lvlJc w:val="left"/>
      <w:pPr>
        <w:ind w:left="420" w:hanging="420"/>
      </w:pPr>
      <w:rPr>
        <w:rFonts w:ascii="Arial" w:eastAsia="Arial" w:hAnsi="Arial" w:cs="Arial" w:hint="default"/>
        <w:b/>
        <w:bCs/>
        <w:i w:val="0"/>
        <w:iCs w:val="0"/>
        <w:color w:val="00ACA1"/>
        <w:w w:val="103"/>
        <w:sz w:val="20"/>
        <w:szCs w:val="20"/>
        <w:lang w:val="en-US" w:eastAsia="en-US" w:bidi="ar-S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2" w15:restartNumberingAfterBreak="0">
    <w:nsid w:val="64F71C24"/>
    <w:multiLevelType w:val="hybridMultilevel"/>
    <w:tmpl w:val="A4F4C446"/>
    <w:lvl w:ilvl="0" w:tplc="0409000F">
      <w:start w:val="1"/>
      <w:numFmt w:val="decimal"/>
      <w:lvlText w:val="%1."/>
      <w:lvlJc w:val="left"/>
      <w:pPr>
        <w:ind w:left="1696" w:hanging="420"/>
      </w:pPr>
    </w:lvl>
    <w:lvl w:ilvl="1" w:tplc="FFFFFFFF" w:tentative="1">
      <w:start w:val="1"/>
      <w:numFmt w:val="aiueoFullWidth"/>
      <w:lvlText w:val="(%2)"/>
      <w:lvlJc w:val="left"/>
      <w:pPr>
        <w:ind w:left="2116" w:hanging="420"/>
      </w:pPr>
    </w:lvl>
    <w:lvl w:ilvl="2" w:tplc="FFFFFFFF" w:tentative="1">
      <w:start w:val="1"/>
      <w:numFmt w:val="decimalEnclosedCircle"/>
      <w:lvlText w:val="%3"/>
      <w:lvlJc w:val="left"/>
      <w:pPr>
        <w:ind w:left="2536" w:hanging="420"/>
      </w:pPr>
    </w:lvl>
    <w:lvl w:ilvl="3" w:tplc="FFFFFFFF" w:tentative="1">
      <w:start w:val="1"/>
      <w:numFmt w:val="decimal"/>
      <w:lvlText w:val="%4."/>
      <w:lvlJc w:val="left"/>
      <w:pPr>
        <w:ind w:left="2956" w:hanging="420"/>
      </w:pPr>
    </w:lvl>
    <w:lvl w:ilvl="4" w:tplc="FFFFFFFF" w:tentative="1">
      <w:start w:val="1"/>
      <w:numFmt w:val="aiueoFullWidth"/>
      <w:lvlText w:val="(%5)"/>
      <w:lvlJc w:val="left"/>
      <w:pPr>
        <w:ind w:left="3376" w:hanging="420"/>
      </w:pPr>
    </w:lvl>
    <w:lvl w:ilvl="5" w:tplc="FFFFFFFF" w:tentative="1">
      <w:start w:val="1"/>
      <w:numFmt w:val="decimalEnclosedCircle"/>
      <w:lvlText w:val="%6"/>
      <w:lvlJc w:val="left"/>
      <w:pPr>
        <w:ind w:left="3796" w:hanging="420"/>
      </w:pPr>
    </w:lvl>
    <w:lvl w:ilvl="6" w:tplc="FFFFFFFF" w:tentative="1">
      <w:start w:val="1"/>
      <w:numFmt w:val="decimal"/>
      <w:lvlText w:val="%7."/>
      <w:lvlJc w:val="left"/>
      <w:pPr>
        <w:ind w:left="4216" w:hanging="420"/>
      </w:pPr>
    </w:lvl>
    <w:lvl w:ilvl="7" w:tplc="FFFFFFFF" w:tentative="1">
      <w:start w:val="1"/>
      <w:numFmt w:val="aiueoFullWidth"/>
      <w:lvlText w:val="(%8)"/>
      <w:lvlJc w:val="left"/>
      <w:pPr>
        <w:ind w:left="4636" w:hanging="420"/>
      </w:pPr>
    </w:lvl>
    <w:lvl w:ilvl="8" w:tplc="FFFFFFFF" w:tentative="1">
      <w:start w:val="1"/>
      <w:numFmt w:val="decimalEnclosedCircle"/>
      <w:lvlText w:val="%9"/>
      <w:lvlJc w:val="left"/>
      <w:pPr>
        <w:ind w:left="5056" w:hanging="420"/>
      </w:pPr>
    </w:lvl>
  </w:abstractNum>
  <w:abstractNum w:abstractNumId="83" w15:restartNumberingAfterBreak="0">
    <w:nsid w:val="67AC085A"/>
    <w:multiLevelType w:val="hybridMultilevel"/>
    <w:tmpl w:val="2C1A2FF2"/>
    <w:lvl w:ilvl="0" w:tplc="25F4880A">
      <w:numFmt w:val="bullet"/>
      <w:lvlText w:val="•"/>
      <w:lvlJc w:val="left"/>
      <w:pPr>
        <w:ind w:left="420" w:hanging="420"/>
      </w:pPr>
      <w:rPr>
        <w:rFonts w:ascii="Arial" w:eastAsia="Arial" w:hAnsi="Arial" w:cs="Arial" w:hint="default"/>
        <w:b/>
        <w:bCs/>
        <w:i w:val="0"/>
        <w:iCs w:val="0"/>
        <w:color w:val="00ACA1"/>
        <w:w w:val="103"/>
        <w:sz w:val="20"/>
        <w:szCs w:val="20"/>
        <w:lang w:val="en-US" w:eastAsia="en-US" w:bidi="ar-S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4" w15:restartNumberingAfterBreak="0">
    <w:nsid w:val="67B6741F"/>
    <w:multiLevelType w:val="hybridMultilevel"/>
    <w:tmpl w:val="ABD6D272"/>
    <w:lvl w:ilvl="0" w:tplc="25F4880A">
      <w:numFmt w:val="bullet"/>
      <w:lvlText w:val="•"/>
      <w:lvlJc w:val="left"/>
      <w:pPr>
        <w:ind w:left="1790" w:hanging="420"/>
      </w:pPr>
      <w:rPr>
        <w:rFonts w:ascii="Arial" w:eastAsia="Arial" w:hAnsi="Arial" w:cs="Arial" w:hint="default"/>
        <w:b/>
        <w:bCs/>
        <w:i w:val="0"/>
        <w:iCs w:val="0"/>
        <w:color w:val="00ACA1"/>
        <w:w w:val="103"/>
        <w:sz w:val="20"/>
        <w:szCs w:val="20"/>
        <w:lang w:val="en-US" w:eastAsia="en-US" w:bidi="ar-SA"/>
      </w:rPr>
    </w:lvl>
    <w:lvl w:ilvl="1" w:tplc="0409000B" w:tentative="1">
      <w:start w:val="1"/>
      <w:numFmt w:val="bullet"/>
      <w:lvlText w:val=""/>
      <w:lvlJc w:val="left"/>
      <w:pPr>
        <w:ind w:left="2210" w:hanging="420"/>
      </w:pPr>
      <w:rPr>
        <w:rFonts w:ascii="Wingdings" w:hAnsi="Wingdings" w:hint="default"/>
      </w:rPr>
    </w:lvl>
    <w:lvl w:ilvl="2" w:tplc="0409000D" w:tentative="1">
      <w:start w:val="1"/>
      <w:numFmt w:val="bullet"/>
      <w:lvlText w:val=""/>
      <w:lvlJc w:val="left"/>
      <w:pPr>
        <w:ind w:left="2630" w:hanging="420"/>
      </w:pPr>
      <w:rPr>
        <w:rFonts w:ascii="Wingdings" w:hAnsi="Wingdings" w:hint="default"/>
      </w:rPr>
    </w:lvl>
    <w:lvl w:ilvl="3" w:tplc="25F4880A">
      <w:numFmt w:val="bullet"/>
      <w:lvlText w:val="•"/>
      <w:lvlJc w:val="left"/>
      <w:pPr>
        <w:ind w:left="1553" w:hanging="420"/>
      </w:pPr>
      <w:rPr>
        <w:rFonts w:ascii="Arial" w:eastAsia="Arial" w:hAnsi="Arial" w:cs="Arial" w:hint="default"/>
        <w:b/>
        <w:bCs/>
        <w:i w:val="0"/>
        <w:iCs w:val="0"/>
        <w:color w:val="00ACA1"/>
        <w:w w:val="103"/>
        <w:sz w:val="20"/>
        <w:szCs w:val="20"/>
        <w:lang w:val="en-US" w:eastAsia="en-US" w:bidi="ar-SA"/>
      </w:rPr>
    </w:lvl>
    <w:lvl w:ilvl="4" w:tplc="0409000B" w:tentative="1">
      <w:start w:val="1"/>
      <w:numFmt w:val="bullet"/>
      <w:lvlText w:val=""/>
      <w:lvlJc w:val="left"/>
      <w:pPr>
        <w:ind w:left="3470" w:hanging="420"/>
      </w:pPr>
      <w:rPr>
        <w:rFonts w:ascii="Wingdings" w:hAnsi="Wingdings" w:hint="default"/>
      </w:rPr>
    </w:lvl>
    <w:lvl w:ilvl="5" w:tplc="0409000D" w:tentative="1">
      <w:start w:val="1"/>
      <w:numFmt w:val="bullet"/>
      <w:lvlText w:val=""/>
      <w:lvlJc w:val="left"/>
      <w:pPr>
        <w:ind w:left="3890" w:hanging="420"/>
      </w:pPr>
      <w:rPr>
        <w:rFonts w:ascii="Wingdings" w:hAnsi="Wingdings" w:hint="default"/>
      </w:rPr>
    </w:lvl>
    <w:lvl w:ilvl="6" w:tplc="04090001" w:tentative="1">
      <w:start w:val="1"/>
      <w:numFmt w:val="bullet"/>
      <w:lvlText w:val=""/>
      <w:lvlJc w:val="left"/>
      <w:pPr>
        <w:ind w:left="4310" w:hanging="420"/>
      </w:pPr>
      <w:rPr>
        <w:rFonts w:ascii="Wingdings" w:hAnsi="Wingdings" w:hint="default"/>
      </w:rPr>
    </w:lvl>
    <w:lvl w:ilvl="7" w:tplc="0409000B" w:tentative="1">
      <w:start w:val="1"/>
      <w:numFmt w:val="bullet"/>
      <w:lvlText w:val=""/>
      <w:lvlJc w:val="left"/>
      <w:pPr>
        <w:ind w:left="4730" w:hanging="420"/>
      </w:pPr>
      <w:rPr>
        <w:rFonts w:ascii="Wingdings" w:hAnsi="Wingdings" w:hint="default"/>
      </w:rPr>
    </w:lvl>
    <w:lvl w:ilvl="8" w:tplc="0409000D" w:tentative="1">
      <w:start w:val="1"/>
      <w:numFmt w:val="bullet"/>
      <w:lvlText w:val=""/>
      <w:lvlJc w:val="left"/>
      <w:pPr>
        <w:ind w:left="5150" w:hanging="420"/>
      </w:pPr>
      <w:rPr>
        <w:rFonts w:ascii="Wingdings" w:hAnsi="Wingdings" w:hint="default"/>
      </w:rPr>
    </w:lvl>
  </w:abstractNum>
  <w:abstractNum w:abstractNumId="85" w15:restartNumberingAfterBreak="0">
    <w:nsid w:val="67D238FC"/>
    <w:multiLevelType w:val="hybridMultilevel"/>
    <w:tmpl w:val="04B60DAA"/>
    <w:lvl w:ilvl="0" w:tplc="FFFFFFFF">
      <w:numFmt w:val="bullet"/>
      <w:lvlText w:val="•"/>
      <w:lvlJc w:val="left"/>
      <w:pPr>
        <w:ind w:left="553" w:hanging="260"/>
      </w:pPr>
      <w:rPr>
        <w:rFonts w:ascii="Arial" w:eastAsia="Arial" w:hAnsi="Arial" w:cs="Arial" w:hint="default"/>
        <w:b/>
        <w:bCs/>
        <w:i w:val="0"/>
        <w:iCs w:val="0"/>
        <w:color w:val="00ACA1"/>
        <w:w w:val="103"/>
        <w:sz w:val="20"/>
        <w:szCs w:val="20"/>
        <w:lang w:val="en-US" w:eastAsia="en-US" w:bidi="ar-SA"/>
      </w:rPr>
    </w:lvl>
    <w:lvl w:ilvl="1" w:tplc="25F4880A">
      <w:numFmt w:val="bullet"/>
      <w:lvlText w:val="•"/>
      <w:lvlJc w:val="left"/>
      <w:pPr>
        <w:ind w:left="1553" w:hanging="420"/>
      </w:pPr>
      <w:rPr>
        <w:rFonts w:ascii="Arial" w:eastAsia="Arial" w:hAnsi="Arial" w:cs="Arial" w:hint="default"/>
        <w:b/>
        <w:bCs/>
        <w:i w:val="0"/>
        <w:iCs w:val="0"/>
        <w:color w:val="00ACA1"/>
        <w:w w:val="103"/>
        <w:sz w:val="20"/>
        <w:szCs w:val="20"/>
        <w:lang w:val="en-US" w:eastAsia="en-US" w:bidi="ar-SA"/>
      </w:rPr>
    </w:lvl>
    <w:lvl w:ilvl="2" w:tplc="FFFFFFFF">
      <w:numFmt w:val="bullet"/>
      <w:lvlText w:val="•"/>
      <w:lvlJc w:val="left"/>
      <w:pPr>
        <w:ind w:left="1644" w:hanging="256"/>
      </w:pPr>
      <w:rPr>
        <w:rFonts w:ascii="Arial" w:eastAsia="Arial" w:hAnsi="Arial" w:cs="Arial" w:hint="default"/>
        <w:b/>
        <w:bCs/>
        <w:i w:val="0"/>
        <w:iCs w:val="0"/>
        <w:color w:val="545456"/>
        <w:w w:val="103"/>
        <w:sz w:val="19"/>
        <w:szCs w:val="19"/>
        <w:lang w:val="en-US" w:eastAsia="en-US" w:bidi="ar-SA"/>
      </w:rPr>
    </w:lvl>
    <w:lvl w:ilvl="3" w:tplc="FFFFFFFF">
      <w:numFmt w:val="bullet"/>
      <w:lvlText w:val="•"/>
      <w:lvlJc w:val="left"/>
      <w:pPr>
        <w:ind w:left="1640" w:hanging="256"/>
      </w:pPr>
      <w:rPr>
        <w:rFonts w:hint="default"/>
        <w:lang w:val="en-US" w:eastAsia="en-US" w:bidi="ar-SA"/>
      </w:rPr>
    </w:lvl>
    <w:lvl w:ilvl="4" w:tplc="FFFFFFFF">
      <w:numFmt w:val="bullet"/>
      <w:lvlText w:val="•"/>
      <w:lvlJc w:val="left"/>
      <w:pPr>
        <w:ind w:left="1400" w:hanging="256"/>
      </w:pPr>
      <w:rPr>
        <w:rFonts w:hint="default"/>
        <w:lang w:val="en-US" w:eastAsia="en-US" w:bidi="ar-SA"/>
      </w:rPr>
    </w:lvl>
    <w:lvl w:ilvl="5" w:tplc="FFFFFFFF">
      <w:numFmt w:val="bullet"/>
      <w:lvlText w:val="•"/>
      <w:lvlJc w:val="left"/>
      <w:pPr>
        <w:ind w:left="1160" w:hanging="256"/>
      </w:pPr>
      <w:rPr>
        <w:rFonts w:hint="default"/>
        <w:lang w:val="en-US" w:eastAsia="en-US" w:bidi="ar-SA"/>
      </w:rPr>
    </w:lvl>
    <w:lvl w:ilvl="6" w:tplc="FFFFFFFF">
      <w:numFmt w:val="bullet"/>
      <w:lvlText w:val="•"/>
      <w:lvlJc w:val="left"/>
      <w:pPr>
        <w:ind w:left="920" w:hanging="256"/>
      </w:pPr>
      <w:rPr>
        <w:rFonts w:hint="default"/>
        <w:lang w:val="en-US" w:eastAsia="en-US" w:bidi="ar-SA"/>
      </w:rPr>
    </w:lvl>
    <w:lvl w:ilvl="7" w:tplc="FFFFFFFF">
      <w:numFmt w:val="bullet"/>
      <w:lvlText w:val="•"/>
      <w:lvlJc w:val="left"/>
      <w:pPr>
        <w:ind w:left="680" w:hanging="256"/>
      </w:pPr>
      <w:rPr>
        <w:rFonts w:hint="default"/>
        <w:lang w:val="en-US" w:eastAsia="en-US" w:bidi="ar-SA"/>
      </w:rPr>
    </w:lvl>
    <w:lvl w:ilvl="8" w:tplc="FFFFFFFF">
      <w:numFmt w:val="bullet"/>
      <w:lvlText w:val="•"/>
      <w:lvlJc w:val="left"/>
      <w:pPr>
        <w:ind w:left="440" w:hanging="256"/>
      </w:pPr>
      <w:rPr>
        <w:rFonts w:hint="default"/>
        <w:lang w:val="en-US" w:eastAsia="en-US" w:bidi="ar-SA"/>
      </w:rPr>
    </w:lvl>
  </w:abstractNum>
  <w:abstractNum w:abstractNumId="86" w15:restartNumberingAfterBreak="0">
    <w:nsid w:val="69077826"/>
    <w:multiLevelType w:val="multilevel"/>
    <w:tmpl w:val="53D68E22"/>
    <w:lvl w:ilvl="0">
      <w:start w:val="2"/>
      <w:numFmt w:val="upperLetter"/>
      <w:lvlText w:val="%1"/>
      <w:lvlJc w:val="left"/>
      <w:pPr>
        <w:ind w:left="1853" w:hanging="720"/>
      </w:pPr>
      <w:rPr>
        <w:rFonts w:hint="default"/>
        <w:lang w:val="en-US" w:eastAsia="en-US" w:bidi="ar-SA"/>
      </w:rPr>
    </w:lvl>
    <w:lvl w:ilvl="1">
      <w:start w:val="1"/>
      <w:numFmt w:val="decimal"/>
      <w:lvlText w:val="%1.%2"/>
      <w:lvlJc w:val="left"/>
      <w:pPr>
        <w:ind w:left="1853" w:hanging="720"/>
      </w:pPr>
      <w:rPr>
        <w:rFonts w:ascii="Arial" w:eastAsia="Arial" w:hAnsi="Arial" w:cs="Arial" w:hint="default"/>
        <w:b/>
        <w:bCs/>
        <w:i/>
        <w:iCs/>
        <w:color w:val="00ACA1"/>
        <w:w w:val="94"/>
        <w:sz w:val="24"/>
        <w:szCs w:val="24"/>
        <w:lang w:val="en-US" w:eastAsia="en-US" w:bidi="ar-SA"/>
      </w:rPr>
    </w:lvl>
    <w:lvl w:ilvl="2">
      <w:start w:val="1"/>
      <w:numFmt w:val="decimal"/>
      <w:lvlText w:val="%1.%2.%3"/>
      <w:lvlJc w:val="left"/>
      <w:pPr>
        <w:ind w:left="1133" w:hanging="720"/>
        <w:jc w:val="right"/>
      </w:pPr>
      <w:rPr>
        <w:rFonts w:ascii="Arial" w:eastAsia="Arial" w:hAnsi="Arial" w:cs="Arial" w:hint="default"/>
        <w:b/>
        <w:bCs/>
        <w:i/>
        <w:iCs/>
        <w:color w:val="00B8B1"/>
        <w:w w:val="96"/>
        <w:sz w:val="20"/>
        <w:szCs w:val="20"/>
        <w:lang w:val="en-US" w:eastAsia="en-US" w:bidi="ar-SA"/>
      </w:rPr>
    </w:lvl>
    <w:lvl w:ilvl="3">
      <w:numFmt w:val="bullet"/>
      <w:lvlText w:val="•"/>
      <w:lvlJc w:val="left"/>
      <w:pPr>
        <w:ind w:left="2774" w:hanging="720"/>
      </w:pPr>
      <w:rPr>
        <w:rFonts w:hint="default"/>
        <w:lang w:val="en-US" w:eastAsia="en-US" w:bidi="ar-SA"/>
      </w:rPr>
    </w:lvl>
    <w:lvl w:ilvl="4">
      <w:numFmt w:val="bullet"/>
      <w:lvlText w:val="•"/>
      <w:lvlJc w:val="left"/>
      <w:pPr>
        <w:ind w:left="3231" w:hanging="720"/>
      </w:pPr>
      <w:rPr>
        <w:rFonts w:hint="default"/>
        <w:lang w:val="en-US" w:eastAsia="en-US" w:bidi="ar-SA"/>
      </w:rPr>
    </w:lvl>
    <w:lvl w:ilvl="5">
      <w:numFmt w:val="bullet"/>
      <w:lvlText w:val="•"/>
      <w:lvlJc w:val="left"/>
      <w:pPr>
        <w:ind w:left="3688" w:hanging="720"/>
      </w:pPr>
      <w:rPr>
        <w:rFonts w:hint="default"/>
        <w:lang w:val="en-US" w:eastAsia="en-US" w:bidi="ar-SA"/>
      </w:rPr>
    </w:lvl>
    <w:lvl w:ilvl="6">
      <w:numFmt w:val="bullet"/>
      <w:lvlText w:val="•"/>
      <w:lvlJc w:val="left"/>
      <w:pPr>
        <w:ind w:left="4146" w:hanging="720"/>
      </w:pPr>
      <w:rPr>
        <w:rFonts w:hint="default"/>
        <w:lang w:val="en-US" w:eastAsia="en-US" w:bidi="ar-SA"/>
      </w:rPr>
    </w:lvl>
    <w:lvl w:ilvl="7">
      <w:numFmt w:val="bullet"/>
      <w:lvlText w:val="•"/>
      <w:lvlJc w:val="left"/>
      <w:pPr>
        <w:ind w:left="4603" w:hanging="720"/>
      </w:pPr>
      <w:rPr>
        <w:rFonts w:hint="default"/>
        <w:lang w:val="en-US" w:eastAsia="en-US" w:bidi="ar-SA"/>
      </w:rPr>
    </w:lvl>
    <w:lvl w:ilvl="8">
      <w:numFmt w:val="bullet"/>
      <w:lvlText w:val="•"/>
      <w:lvlJc w:val="left"/>
      <w:pPr>
        <w:ind w:left="5060" w:hanging="720"/>
      </w:pPr>
      <w:rPr>
        <w:rFonts w:hint="default"/>
        <w:lang w:val="en-US" w:eastAsia="en-US" w:bidi="ar-SA"/>
      </w:rPr>
    </w:lvl>
  </w:abstractNum>
  <w:abstractNum w:abstractNumId="87" w15:restartNumberingAfterBreak="0">
    <w:nsid w:val="6CBC3A7D"/>
    <w:multiLevelType w:val="hybridMultilevel"/>
    <w:tmpl w:val="31944708"/>
    <w:lvl w:ilvl="0" w:tplc="25F4880A">
      <w:numFmt w:val="bullet"/>
      <w:lvlText w:val="•"/>
      <w:lvlJc w:val="left"/>
      <w:pPr>
        <w:ind w:left="420" w:hanging="420"/>
      </w:pPr>
      <w:rPr>
        <w:rFonts w:ascii="Arial" w:eastAsia="Arial" w:hAnsi="Arial" w:cs="Arial" w:hint="default"/>
        <w:b/>
        <w:bCs/>
        <w:i w:val="0"/>
        <w:iCs w:val="0"/>
        <w:color w:val="00ACA1"/>
        <w:w w:val="103"/>
        <w:sz w:val="20"/>
        <w:szCs w:val="20"/>
        <w:lang w:val="en-US" w:eastAsia="en-US" w:bidi="ar-S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8" w15:restartNumberingAfterBreak="0">
    <w:nsid w:val="6CC506FB"/>
    <w:multiLevelType w:val="hybridMultilevel"/>
    <w:tmpl w:val="EB7ED674"/>
    <w:lvl w:ilvl="0" w:tplc="DF32307E">
      <w:numFmt w:val="bullet"/>
      <w:lvlText w:val="•"/>
      <w:lvlJc w:val="left"/>
      <w:pPr>
        <w:ind w:left="770" w:hanging="256"/>
      </w:pPr>
      <w:rPr>
        <w:rFonts w:ascii="Arial" w:eastAsia="Arial" w:hAnsi="Arial" w:cs="Arial" w:hint="default"/>
        <w:b/>
        <w:bCs/>
        <w:i/>
        <w:iCs/>
        <w:color w:val="00ACA1"/>
        <w:w w:val="105"/>
        <w:sz w:val="24"/>
        <w:szCs w:val="24"/>
        <w:lang w:val="en-US" w:eastAsia="en-US" w:bidi="ar-SA"/>
      </w:rPr>
    </w:lvl>
    <w:lvl w:ilvl="1" w:tplc="E304D024">
      <w:numFmt w:val="bullet"/>
      <w:lvlText w:val="•"/>
      <w:lvlJc w:val="left"/>
      <w:pPr>
        <w:ind w:left="1457" w:hanging="199"/>
      </w:pPr>
      <w:rPr>
        <w:rFonts w:ascii="Arial" w:eastAsia="Arial" w:hAnsi="Arial" w:cs="Arial" w:hint="default"/>
        <w:b/>
        <w:bCs/>
        <w:i/>
        <w:iCs/>
        <w:color w:val="00ACA1"/>
        <w:w w:val="105"/>
        <w:sz w:val="24"/>
        <w:szCs w:val="24"/>
        <w:lang w:val="en-US" w:eastAsia="en-US" w:bidi="ar-SA"/>
      </w:rPr>
    </w:lvl>
    <w:lvl w:ilvl="2" w:tplc="7C38EC64">
      <w:numFmt w:val="bullet"/>
      <w:lvlText w:val="•"/>
      <w:lvlJc w:val="left"/>
      <w:pPr>
        <w:ind w:left="1460" w:hanging="199"/>
      </w:pPr>
      <w:rPr>
        <w:rFonts w:hint="default"/>
        <w:lang w:val="en-US" w:eastAsia="en-US" w:bidi="ar-SA"/>
      </w:rPr>
    </w:lvl>
    <w:lvl w:ilvl="3" w:tplc="77BE287C">
      <w:numFmt w:val="bullet"/>
      <w:lvlText w:val="•"/>
      <w:lvlJc w:val="left"/>
      <w:pPr>
        <w:ind w:left="1267" w:hanging="199"/>
      </w:pPr>
      <w:rPr>
        <w:rFonts w:hint="default"/>
        <w:lang w:val="en-US" w:eastAsia="en-US" w:bidi="ar-SA"/>
      </w:rPr>
    </w:lvl>
    <w:lvl w:ilvl="4" w:tplc="6F4646A0">
      <w:numFmt w:val="bullet"/>
      <w:lvlText w:val="•"/>
      <w:lvlJc w:val="left"/>
      <w:pPr>
        <w:ind w:left="1074" w:hanging="199"/>
      </w:pPr>
      <w:rPr>
        <w:rFonts w:hint="default"/>
        <w:lang w:val="en-US" w:eastAsia="en-US" w:bidi="ar-SA"/>
      </w:rPr>
    </w:lvl>
    <w:lvl w:ilvl="5" w:tplc="E8163466">
      <w:numFmt w:val="bullet"/>
      <w:lvlText w:val="•"/>
      <w:lvlJc w:val="left"/>
      <w:pPr>
        <w:ind w:left="882" w:hanging="199"/>
      </w:pPr>
      <w:rPr>
        <w:rFonts w:hint="default"/>
        <w:lang w:val="en-US" w:eastAsia="en-US" w:bidi="ar-SA"/>
      </w:rPr>
    </w:lvl>
    <w:lvl w:ilvl="6" w:tplc="9F82B862">
      <w:numFmt w:val="bullet"/>
      <w:lvlText w:val="•"/>
      <w:lvlJc w:val="left"/>
      <w:pPr>
        <w:ind w:left="689" w:hanging="199"/>
      </w:pPr>
      <w:rPr>
        <w:rFonts w:hint="default"/>
        <w:lang w:val="en-US" w:eastAsia="en-US" w:bidi="ar-SA"/>
      </w:rPr>
    </w:lvl>
    <w:lvl w:ilvl="7" w:tplc="322ABC72">
      <w:numFmt w:val="bullet"/>
      <w:lvlText w:val="•"/>
      <w:lvlJc w:val="left"/>
      <w:pPr>
        <w:ind w:left="496" w:hanging="199"/>
      </w:pPr>
      <w:rPr>
        <w:rFonts w:hint="default"/>
        <w:lang w:val="en-US" w:eastAsia="en-US" w:bidi="ar-SA"/>
      </w:rPr>
    </w:lvl>
    <w:lvl w:ilvl="8" w:tplc="FC7CDAB0">
      <w:numFmt w:val="bullet"/>
      <w:lvlText w:val="•"/>
      <w:lvlJc w:val="left"/>
      <w:pPr>
        <w:ind w:left="304" w:hanging="199"/>
      </w:pPr>
      <w:rPr>
        <w:rFonts w:hint="default"/>
        <w:lang w:val="en-US" w:eastAsia="en-US" w:bidi="ar-SA"/>
      </w:rPr>
    </w:lvl>
  </w:abstractNum>
  <w:abstractNum w:abstractNumId="89" w15:restartNumberingAfterBreak="0">
    <w:nsid w:val="6F444A02"/>
    <w:multiLevelType w:val="hybridMultilevel"/>
    <w:tmpl w:val="80107D5A"/>
    <w:lvl w:ilvl="0" w:tplc="25F4880A">
      <w:numFmt w:val="bullet"/>
      <w:lvlText w:val="•"/>
      <w:lvlJc w:val="left"/>
      <w:pPr>
        <w:ind w:left="420" w:hanging="420"/>
      </w:pPr>
      <w:rPr>
        <w:rFonts w:ascii="Arial" w:eastAsia="Arial" w:hAnsi="Arial" w:cs="Arial" w:hint="default"/>
        <w:b/>
        <w:bCs/>
        <w:i w:val="0"/>
        <w:iCs w:val="0"/>
        <w:color w:val="00ACA1"/>
        <w:w w:val="103"/>
        <w:sz w:val="20"/>
        <w:szCs w:val="20"/>
        <w:lang w:val="en-US" w:eastAsia="en-US" w:bidi="ar-S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0" w15:restartNumberingAfterBreak="0">
    <w:nsid w:val="70D20B28"/>
    <w:multiLevelType w:val="hybridMultilevel"/>
    <w:tmpl w:val="01186A3A"/>
    <w:lvl w:ilvl="0" w:tplc="25F4880A">
      <w:numFmt w:val="bullet"/>
      <w:lvlText w:val="•"/>
      <w:lvlJc w:val="left"/>
      <w:pPr>
        <w:ind w:left="420" w:hanging="420"/>
      </w:pPr>
      <w:rPr>
        <w:rFonts w:ascii="Arial" w:eastAsia="Arial" w:hAnsi="Arial" w:cs="Arial" w:hint="default"/>
        <w:b/>
        <w:bCs/>
        <w:i w:val="0"/>
        <w:iCs w:val="0"/>
        <w:color w:val="00ACA1"/>
        <w:w w:val="103"/>
        <w:sz w:val="20"/>
        <w:szCs w:val="20"/>
        <w:lang w:val="en-US" w:eastAsia="en-US" w:bidi="ar-S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1" w15:restartNumberingAfterBreak="0">
    <w:nsid w:val="74401373"/>
    <w:multiLevelType w:val="hybridMultilevel"/>
    <w:tmpl w:val="356E412C"/>
    <w:lvl w:ilvl="0" w:tplc="25F4880A">
      <w:numFmt w:val="bullet"/>
      <w:lvlText w:val="•"/>
      <w:lvlJc w:val="left"/>
      <w:pPr>
        <w:ind w:left="420" w:hanging="420"/>
      </w:pPr>
      <w:rPr>
        <w:rFonts w:ascii="Arial" w:eastAsia="Arial" w:hAnsi="Arial" w:cs="Arial" w:hint="default"/>
        <w:b/>
        <w:bCs/>
        <w:i w:val="0"/>
        <w:iCs w:val="0"/>
        <w:color w:val="00ACA1"/>
        <w:w w:val="103"/>
        <w:sz w:val="20"/>
        <w:szCs w:val="20"/>
        <w:lang w:val="en-US" w:eastAsia="en-US" w:bidi="ar-S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2" w15:restartNumberingAfterBreak="0">
    <w:nsid w:val="745C387E"/>
    <w:multiLevelType w:val="hybridMultilevel"/>
    <w:tmpl w:val="F7F6203A"/>
    <w:lvl w:ilvl="0" w:tplc="A5983C0A">
      <w:numFmt w:val="bullet"/>
      <w:lvlText w:val="•"/>
      <w:lvlJc w:val="left"/>
      <w:pPr>
        <w:ind w:left="1025" w:hanging="227"/>
      </w:pPr>
      <w:rPr>
        <w:rFonts w:ascii="Arial" w:eastAsia="Arial" w:hAnsi="Arial" w:cs="Arial" w:hint="default"/>
        <w:b/>
        <w:bCs/>
        <w:i w:val="0"/>
        <w:iCs w:val="0"/>
        <w:color w:val="00ACA1"/>
        <w:w w:val="103"/>
        <w:sz w:val="20"/>
        <w:szCs w:val="20"/>
        <w:lang w:val="en-US" w:eastAsia="en-US" w:bidi="ar-SA"/>
      </w:rPr>
    </w:lvl>
    <w:lvl w:ilvl="1" w:tplc="9BB860F8">
      <w:numFmt w:val="bullet"/>
      <w:lvlText w:val="•"/>
      <w:lvlJc w:val="left"/>
      <w:pPr>
        <w:ind w:left="1393" w:hanging="260"/>
      </w:pPr>
      <w:rPr>
        <w:rFonts w:ascii="Arial" w:eastAsia="Arial" w:hAnsi="Arial" w:cs="Arial" w:hint="default"/>
        <w:b/>
        <w:bCs/>
        <w:i w:val="0"/>
        <w:iCs w:val="0"/>
        <w:color w:val="00ACA1"/>
        <w:w w:val="103"/>
        <w:sz w:val="20"/>
        <w:szCs w:val="20"/>
        <w:lang w:val="en-US" w:eastAsia="en-US" w:bidi="ar-SA"/>
      </w:rPr>
    </w:lvl>
    <w:lvl w:ilvl="2" w:tplc="6B225ED6">
      <w:numFmt w:val="bullet"/>
      <w:lvlText w:val="•"/>
      <w:lvlJc w:val="left"/>
      <w:pPr>
        <w:ind w:left="1279" w:hanging="260"/>
      </w:pPr>
      <w:rPr>
        <w:rFonts w:hint="default"/>
        <w:lang w:val="en-US" w:eastAsia="en-US" w:bidi="ar-SA"/>
      </w:rPr>
    </w:lvl>
    <w:lvl w:ilvl="3" w:tplc="8EF4CE04">
      <w:numFmt w:val="bullet"/>
      <w:lvlText w:val="•"/>
      <w:lvlJc w:val="left"/>
      <w:pPr>
        <w:ind w:left="1158" w:hanging="260"/>
      </w:pPr>
      <w:rPr>
        <w:rFonts w:hint="default"/>
        <w:lang w:val="en-US" w:eastAsia="en-US" w:bidi="ar-SA"/>
      </w:rPr>
    </w:lvl>
    <w:lvl w:ilvl="4" w:tplc="F5D693B2">
      <w:numFmt w:val="bullet"/>
      <w:lvlText w:val="•"/>
      <w:lvlJc w:val="left"/>
      <w:pPr>
        <w:ind w:left="1038" w:hanging="260"/>
      </w:pPr>
      <w:rPr>
        <w:rFonts w:hint="default"/>
        <w:lang w:val="en-US" w:eastAsia="en-US" w:bidi="ar-SA"/>
      </w:rPr>
    </w:lvl>
    <w:lvl w:ilvl="5" w:tplc="9E3CEC86">
      <w:numFmt w:val="bullet"/>
      <w:lvlText w:val="•"/>
      <w:lvlJc w:val="left"/>
      <w:pPr>
        <w:ind w:left="917" w:hanging="260"/>
      </w:pPr>
      <w:rPr>
        <w:rFonts w:hint="default"/>
        <w:lang w:val="en-US" w:eastAsia="en-US" w:bidi="ar-SA"/>
      </w:rPr>
    </w:lvl>
    <w:lvl w:ilvl="6" w:tplc="69F42F48">
      <w:numFmt w:val="bullet"/>
      <w:lvlText w:val="•"/>
      <w:lvlJc w:val="left"/>
      <w:pPr>
        <w:ind w:left="796" w:hanging="260"/>
      </w:pPr>
      <w:rPr>
        <w:rFonts w:hint="default"/>
        <w:lang w:val="en-US" w:eastAsia="en-US" w:bidi="ar-SA"/>
      </w:rPr>
    </w:lvl>
    <w:lvl w:ilvl="7" w:tplc="64848FD6">
      <w:numFmt w:val="bullet"/>
      <w:lvlText w:val="•"/>
      <w:lvlJc w:val="left"/>
      <w:pPr>
        <w:ind w:left="676" w:hanging="260"/>
      </w:pPr>
      <w:rPr>
        <w:rFonts w:hint="default"/>
        <w:lang w:val="en-US" w:eastAsia="en-US" w:bidi="ar-SA"/>
      </w:rPr>
    </w:lvl>
    <w:lvl w:ilvl="8" w:tplc="8926E118">
      <w:numFmt w:val="bullet"/>
      <w:lvlText w:val="•"/>
      <w:lvlJc w:val="left"/>
      <w:pPr>
        <w:ind w:left="555" w:hanging="260"/>
      </w:pPr>
      <w:rPr>
        <w:rFonts w:hint="default"/>
        <w:lang w:val="en-US" w:eastAsia="en-US" w:bidi="ar-SA"/>
      </w:rPr>
    </w:lvl>
  </w:abstractNum>
  <w:abstractNum w:abstractNumId="93" w15:restartNumberingAfterBreak="0">
    <w:nsid w:val="76294917"/>
    <w:multiLevelType w:val="hybridMultilevel"/>
    <w:tmpl w:val="7F7C243E"/>
    <w:lvl w:ilvl="0" w:tplc="25F4880A">
      <w:numFmt w:val="bullet"/>
      <w:lvlText w:val="•"/>
      <w:lvlJc w:val="left"/>
      <w:pPr>
        <w:ind w:left="420" w:hanging="420"/>
      </w:pPr>
      <w:rPr>
        <w:rFonts w:ascii="Arial" w:eastAsia="Arial" w:hAnsi="Arial" w:cs="Arial" w:hint="default"/>
        <w:b/>
        <w:bCs/>
        <w:i w:val="0"/>
        <w:iCs w:val="0"/>
        <w:color w:val="00ACA1"/>
        <w:w w:val="103"/>
        <w:sz w:val="20"/>
        <w:szCs w:val="20"/>
        <w:lang w:val="en-US" w:eastAsia="en-US" w:bidi="ar-S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4" w15:restartNumberingAfterBreak="0">
    <w:nsid w:val="764F15CF"/>
    <w:multiLevelType w:val="hybridMultilevel"/>
    <w:tmpl w:val="AFDE469E"/>
    <w:lvl w:ilvl="0" w:tplc="763A0994">
      <w:start w:val="1"/>
      <w:numFmt w:val="decimal"/>
      <w:lvlText w:val="%1."/>
      <w:lvlJc w:val="left"/>
      <w:pPr>
        <w:ind w:left="1393" w:hanging="260"/>
      </w:pPr>
      <w:rPr>
        <w:rFonts w:ascii="Arial" w:eastAsia="Arial" w:hAnsi="Arial" w:cs="Arial" w:hint="default"/>
        <w:b/>
        <w:bCs/>
        <w:i w:val="0"/>
        <w:iCs w:val="0"/>
        <w:color w:val="00ACA1"/>
        <w:spacing w:val="-1"/>
        <w:w w:val="97"/>
        <w:sz w:val="20"/>
        <w:szCs w:val="20"/>
        <w:lang w:val="en-US" w:eastAsia="en-US" w:bidi="ar-SA"/>
      </w:rPr>
    </w:lvl>
    <w:lvl w:ilvl="1" w:tplc="EF704B68">
      <w:numFmt w:val="bullet"/>
      <w:lvlText w:val="•"/>
      <w:lvlJc w:val="left"/>
      <w:pPr>
        <w:ind w:left="1857" w:hanging="260"/>
      </w:pPr>
      <w:rPr>
        <w:rFonts w:hint="default"/>
        <w:lang w:val="en-US" w:eastAsia="en-US" w:bidi="ar-SA"/>
      </w:rPr>
    </w:lvl>
    <w:lvl w:ilvl="2" w:tplc="2E468628">
      <w:numFmt w:val="bullet"/>
      <w:lvlText w:val="•"/>
      <w:lvlJc w:val="left"/>
      <w:pPr>
        <w:ind w:left="2314" w:hanging="260"/>
      </w:pPr>
      <w:rPr>
        <w:rFonts w:hint="default"/>
        <w:lang w:val="en-US" w:eastAsia="en-US" w:bidi="ar-SA"/>
      </w:rPr>
    </w:lvl>
    <w:lvl w:ilvl="3" w:tplc="3F761C92">
      <w:numFmt w:val="bullet"/>
      <w:lvlText w:val="•"/>
      <w:lvlJc w:val="left"/>
      <w:pPr>
        <w:ind w:left="2772" w:hanging="260"/>
      </w:pPr>
      <w:rPr>
        <w:rFonts w:hint="default"/>
        <w:lang w:val="en-US" w:eastAsia="en-US" w:bidi="ar-SA"/>
      </w:rPr>
    </w:lvl>
    <w:lvl w:ilvl="4" w:tplc="5134B098">
      <w:numFmt w:val="bullet"/>
      <w:lvlText w:val="•"/>
      <w:lvlJc w:val="left"/>
      <w:pPr>
        <w:ind w:left="3229" w:hanging="260"/>
      </w:pPr>
      <w:rPr>
        <w:rFonts w:hint="default"/>
        <w:lang w:val="en-US" w:eastAsia="en-US" w:bidi="ar-SA"/>
      </w:rPr>
    </w:lvl>
    <w:lvl w:ilvl="5" w:tplc="2C76F0E0">
      <w:numFmt w:val="bullet"/>
      <w:lvlText w:val="•"/>
      <w:lvlJc w:val="left"/>
      <w:pPr>
        <w:ind w:left="3687" w:hanging="260"/>
      </w:pPr>
      <w:rPr>
        <w:rFonts w:hint="default"/>
        <w:lang w:val="en-US" w:eastAsia="en-US" w:bidi="ar-SA"/>
      </w:rPr>
    </w:lvl>
    <w:lvl w:ilvl="6" w:tplc="45065C9A">
      <w:numFmt w:val="bullet"/>
      <w:lvlText w:val="•"/>
      <w:lvlJc w:val="left"/>
      <w:pPr>
        <w:ind w:left="4144" w:hanging="260"/>
      </w:pPr>
      <w:rPr>
        <w:rFonts w:hint="default"/>
        <w:lang w:val="en-US" w:eastAsia="en-US" w:bidi="ar-SA"/>
      </w:rPr>
    </w:lvl>
    <w:lvl w:ilvl="7" w:tplc="1B3E74A8">
      <w:numFmt w:val="bullet"/>
      <w:lvlText w:val="•"/>
      <w:lvlJc w:val="left"/>
      <w:pPr>
        <w:ind w:left="4602" w:hanging="260"/>
      </w:pPr>
      <w:rPr>
        <w:rFonts w:hint="default"/>
        <w:lang w:val="en-US" w:eastAsia="en-US" w:bidi="ar-SA"/>
      </w:rPr>
    </w:lvl>
    <w:lvl w:ilvl="8" w:tplc="DA8CEAA2">
      <w:numFmt w:val="bullet"/>
      <w:lvlText w:val="•"/>
      <w:lvlJc w:val="left"/>
      <w:pPr>
        <w:ind w:left="5059" w:hanging="260"/>
      </w:pPr>
      <w:rPr>
        <w:rFonts w:hint="default"/>
        <w:lang w:val="en-US" w:eastAsia="en-US" w:bidi="ar-SA"/>
      </w:rPr>
    </w:lvl>
  </w:abstractNum>
  <w:abstractNum w:abstractNumId="95" w15:restartNumberingAfterBreak="0">
    <w:nsid w:val="77CC16C2"/>
    <w:multiLevelType w:val="hybridMultilevel"/>
    <w:tmpl w:val="A2424294"/>
    <w:lvl w:ilvl="0" w:tplc="7DC8CEE8">
      <w:start w:val="1"/>
      <w:numFmt w:val="decimalZero"/>
      <w:lvlText w:val="%1"/>
      <w:lvlJc w:val="left"/>
      <w:pPr>
        <w:ind w:left="2417" w:hanging="1288"/>
      </w:pPr>
      <w:rPr>
        <w:rFonts w:ascii="Arial" w:eastAsia="Arial" w:hAnsi="Arial" w:cs="Arial" w:hint="default"/>
        <w:b/>
        <w:bCs/>
        <w:i/>
        <w:iCs/>
        <w:color w:val="F3F4F4"/>
        <w:w w:val="102"/>
        <w:sz w:val="64"/>
        <w:szCs w:val="64"/>
        <w:lang w:val="en-US" w:eastAsia="en-US" w:bidi="ar-SA"/>
      </w:rPr>
    </w:lvl>
    <w:lvl w:ilvl="1" w:tplc="3E302486">
      <w:numFmt w:val="bullet"/>
      <w:lvlText w:val="•"/>
      <w:lvlJc w:val="left"/>
      <w:pPr>
        <w:ind w:left="3402" w:hanging="1288"/>
      </w:pPr>
      <w:rPr>
        <w:rFonts w:hint="default"/>
        <w:lang w:val="en-US" w:eastAsia="en-US" w:bidi="ar-SA"/>
      </w:rPr>
    </w:lvl>
    <w:lvl w:ilvl="2" w:tplc="AC641CAA">
      <w:numFmt w:val="bullet"/>
      <w:lvlText w:val="•"/>
      <w:lvlJc w:val="left"/>
      <w:pPr>
        <w:ind w:left="4384" w:hanging="1288"/>
      </w:pPr>
      <w:rPr>
        <w:rFonts w:hint="default"/>
        <w:lang w:val="en-US" w:eastAsia="en-US" w:bidi="ar-SA"/>
      </w:rPr>
    </w:lvl>
    <w:lvl w:ilvl="3" w:tplc="F65EFE72">
      <w:numFmt w:val="bullet"/>
      <w:lvlText w:val="•"/>
      <w:lvlJc w:val="left"/>
      <w:pPr>
        <w:ind w:left="5366" w:hanging="1288"/>
      </w:pPr>
      <w:rPr>
        <w:rFonts w:hint="default"/>
        <w:lang w:val="en-US" w:eastAsia="en-US" w:bidi="ar-SA"/>
      </w:rPr>
    </w:lvl>
    <w:lvl w:ilvl="4" w:tplc="FE303332">
      <w:numFmt w:val="bullet"/>
      <w:lvlText w:val="•"/>
      <w:lvlJc w:val="left"/>
      <w:pPr>
        <w:ind w:left="6348" w:hanging="1288"/>
      </w:pPr>
      <w:rPr>
        <w:rFonts w:hint="default"/>
        <w:lang w:val="en-US" w:eastAsia="en-US" w:bidi="ar-SA"/>
      </w:rPr>
    </w:lvl>
    <w:lvl w:ilvl="5" w:tplc="6284B6EA">
      <w:numFmt w:val="bullet"/>
      <w:lvlText w:val="•"/>
      <w:lvlJc w:val="left"/>
      <w:pPr>
        <w:ind w:left="7330" w:hanging="1288"/>
      </w:pPr>
      <w:rPr>
        <w:rFonts w:hint="default"/>
        <w:lang w:val="en-US" w:eastAsia="en-US" w:bidi="ar-SA"/>
      </w:rPr>
    </w:lvl>
    <w:lvl w:ilvl="6" w:tplc="B336B866">
      <w:numFmt w:val="bullet"/>
      <w:lvlText w:val="•"/>
      <w:lvlJc w:val="left"/>
      <w:pPr>
        <w:ind w:left="8312" w:hanging="1288"/>
      </w:pPr>
      <w:rPr>
        <w:rFonts w:hint="default"/>
        <w:lang w:val="en-US" w:eastAsia="en-US" w:bidi="ar-SA"/>
      </w:rPr>
    </w:lvl>
    <w:lvl w:ilvl="7" w:tplc="9800BF06">
      <w:numFmt w:val="bullet"/>
      <w:lvlText w:val="•"/>
      <w:lvlJc w:val="left"/>
      <w:pPr>
        <w:ind w:left="9294" w:hanging="1288"/>
      </w:pPr>
      <w:rPr>
        <w:rFonts w:hint="default"/>
        <w:lang w:val="en-US" w:eastAsia="en-US" w:bidi="ar-SA"/>
      </w:rPr>
    </w:lvl>
    <w:lvl w:ilvl="8" w:tplc="CE648312">
      <w:numFmt w:val="bullet"/>
      <w:lvlText w:val="•"/>
      <w:lvlJc w:val="left"/>
      <w:pPr>
        <w:ind w:left="10276" w:hanging="1288"/>
      </w:pPr>
      <w:rPr>
        <w:rFonts w:hint="default"/>
        <w:lang w:val="en-US" w:eastAsia="en-US" w:bidi="ar-SA"/>
      </w:rPr>
    </w:lvl>
  </w:abstractNum>
  <w:abstractNum w:abstractNumId="96" w15:restartNumberingAfterBreak="0">
    <w:nsid w:val="7A6A7945"/>
    <w:multiLevelType w:val="hybridMultilevel"/>
    <w:tmpl w:val="39607FDC"/>
    <w:lvl w:ilvl="0" w:tplc="860CF890">
      <w:start w:val="1"/>
      <w:numFmt w:val="decimal"/>
      <w:lvlText w:val="%1."/>
      <w:lvlJc w:val="left"/>
      <w:pPr>
        <w:ind w:left="4017" w:hanging="321"/>
      </w:pPr>
      <w:rPr>
        <w:rFonts w:ascii="Arial" w:eastAsia="Arial" w:hAnsi="Arial" w:cs="Arial" w:hint="default"/>
        <w:b/>
        <w:bCs/>
        <w:i w:val="0"/>
        <w:iCs w:val="0"/>
        <w:color w:val="00ACA1"/>
        <w:spacing w:val="-1"/>
        <w:w w:val="97"/>
        <w:sz w:val="20"/>
        <w:szCs w:val="20"/>
        <w:lang w:val="en-US" w:eastAsia="en-US" w:bidi="ar-SA"/>
      </w:rPr>
    </w:lvl>
    <w:lvl w:ilvl="1" w:tplc="450A0E58">
      <w:start w:val="1"/>
      <w:numFmt w:val="upperLetter"/>
      <w:lvlText w:val="%2."/>
      <w:lvlJc w:val="left"/>
      <w:pPr>
        <w:ind w:left="4017" w:hanging="320"/>
      </w:pPr>
      <w:rPr>
        <w:rFonts w:ascii="Arial" w:eastAsia="Arial" w:hAnsi="Arial" w:cs="Arial" w:hint="default"/>
        <w:b/>
        <w:bCs/>
        <w:i/>
        <w:iCs/>
        <w:color w:val="00ACA1"/>
        <w:w w:val="90"/>
        <w:sz w:val="19"/>
        <w:szCs w:val="19"/>
        <w:lang w:val="en-US" w:eastAsia="en-US" w:bidi="ar-SA"/>
      </w:rPr>
    </w:lvl>
    <w:lvl w:ilvl="2" w:tplc="9BAEDF8C">
      <w:numFmt w:val="bullet"/>
      <w:lvlText w:val="•"/>
      <w:lvlJc w:val="left"/>
      <w:pPr>
        <w:ind w:left="4933" w:hanging="320"/>
      </w:pPr>
      <w:rPr>
        <w:rFonts w:hint="default"/>
        <w:lang w:val="en-US" w:eastAsia="en-US" w:bidi="ar-SA"/>
      </w:rPr>
    </w:lvl>
    <w:lvl w:ilvl="3" w:tplc="BAD882E0">
      <w:numFmt w:val="bullet"/>
      <w:lvlText w:val="•"/>
      <w:lvlJc w:val="left"/>
      <w:pPr>
        <w:ind w:left="5846" w:hanging="320"/>
      </w:pPr>
      <w:rPr>
        <w:rFonts w:hint="default"/>
        <w:lang w:val="en-US" w:eastAsia="en-US" w:bidi="ar-SA"/>
      </w:rPr>
    </w:lvl>
    <w:lvl w:ilvl="4" w:tplc="5608F98C">
      <w:numFmt w:val="bullet"/>
      <w:lvlText w:val="•"/>
      <w:lvlJc w:val="left"/>
      <w:pPr>
        <w:ind w:left="6760" w:hanging="320"/>
      </w:pPr>
      <w:rPr>
        <w:rFonts w:hint="default"/>
        <w:lang w:val="en-US" w:eastAsia="en-US" w:bidi="ar-SA"/>
      </w:rPr>
    </w:lvl>
    <w:lvl w:ilvl="5" w:tplc="3A4E3C5A">
      <w:numFmt w:val="bullet"/>
      <w:lvlText w:val="•"/>
      <w:lvlJc w:val="left"/>
      <w:pPr>
        <w:ind w:left="7673" w:hanging="320"/>
      </w:pPr>
      <w:rPr>
        <w:rFonts w:hint="default"/>
        <w:lang w:val="en-US" w:eastAsia="en-US" w:bidi="ar-SA"/>
      </w:rPr>
    </w:lvl>
    <w:lvl w:ilvl="6" w:tplc="92D2E546">
      <w:numFmt w:val="bullet"/>
      <w:lvlText w:val="•"/>
      <w:lvlJc w:val="left"/>
      <w:pPr>
        <w:ind w:left="8586" w:hanging="320"/>
      </w:pPr>
      <w:rPr>
        <w:rFonts w:hint="default"/>
        <w:lang w:val="en-US" w:eastAsia="en-US" w:bidi="ar-SA"/>
      </w:rPr>
    </w:lvl>
    <w:lvl w:ilvl="7" w:tplc="316AFBDE">
      <w:numFmt w:val="bullet"/>
      <w:lvlText w:val="•"/>
      <w:lvlJc w:val="left"/>
      <w:pPr>
        <w:ind w:left="9500" w:hanging="320"/>
      </w:pPr>
      <w:rPr>
        <w:rFonts w:hint="default"/>
        <w:lang w:val="en-US" w:eastAsia="en-US" w:bidi="ar-SA"/>
      </w:rPr>
    </w:lvl>
    <w:lvl w:ilvl="8" w:tplc="1A4E8FB0">
      <w:numFmt w:val="bullet"/>
      <w:lvlText w:val="•"/>
      <w:lvlJc w:val="left"/>
      <w:pPr>
        <w:ind w:left="10413" w:hanging="320"/>
      </w:pPr>
      <w:rPr>
        <w:rFonts w:hint="default"/>
        <w:lang w:val="en-US" w:eastAsia="en-US" w:bidi="ar-SA"/>
      </w:rPr>
    </w:lvl>
  </w:abstractNum>
  <w:abstractNum w:abstractNumId="97" w15:restartNumberingAfterBreak="0">
    <w:nsid w:val="7C8004A4"/>
    <w:multiLevelType w:val="hybridMultilevel"/>
    <w:tmpl w:val="13F26A12"/>
    <w:lvl w:ilvl="0" w:tplc="25F4880A">
      <w:numFmt w:val="bullet"/>
      <w:lvlText w:val="•"/>
      <w:lvlJc w:val="left"/>
      <w:pPr>
        <w:ind w:left="1962" w:hanging="420"/>
      </w:pPr>
      <w:rPr>
        <w:rFonts w:ascii="Arial" w:eastAsia="Arial" w:hAnsi="Arial" w:cs="Arial" w:hint="default"/>
        <w:b/>
        <w:bCs/>
        <w:i w:val="0"/>
        <w:iCs w:val="0"/>
        <w:color w:val="00ACA1"/>
        <w:w w:val="103"/>
        <w:sz w:val="20"/>
        <w:szCs w:val="20"/>
        <w:lang w:val="en-US" w:eastAsia="en-US" w:bidi="ar-SA"/>
      </w:rPr>
    </w:lvl>
    <w:lvl w:ilvl="1" w:tplc="0409000B" w:tentative="1">
      <w:start w:val="1"/>
      <w:numFmt w:val="bullet"/>
      <w:lvlText w:val=""/>
      <w:lvlJc w:val="left"/>
      <w:pPr>
        <w:ind w:left="2382" w:hanging="420"/>
      </w:pPr>
      <w:rPr>
        <w:rFonts w:ascii="Wingdings" w:hAnsi="Wingdings" w:hint="default"/>
      </w:rPr>
    </w:lvl>
    <w:lvl w:ilvl="2" w:tplc="0409000D" w:tentative="1">
      <w:start w:val="1"/>
      <w:numFmt w:val="bullet"/>
      <w:lvlText w:val=""/>
      <w:lvlJc w:val="left"/>
      <w:pPr>
        <w:ind w:left="2802" w:hanging="420"/>
      </w:pPr>
      <w:rPr>
        <w:rFonts w:ascii="Wingdings" w:hAnsi="Wingdings" w:hint="default"/>
      </w:rPr>
    </w:lvl>
    <w:lvl w:ilvl="3" w:tplc="04090001" w:tentative="1">
      <w:start w:val="1"/>
      <w:numFmt w:val="bullet"/>
      <w:lvlText w:val=""/>
      <w:lvlJc w:val="left"/>
      <w:pPr>
        <w:ind w:left="3222" w:hanging="420"/>
      </w:pPr>
      <w:rPr>
        <w:rFonts w:ascii="Wingdings" w:hAnsi="Wingdings" w:hint="default"/>
      </w:rPr>
    </w:lvl>
    <w:lvl w:ilvl="4" w:tplc="0409000B" w:tentative="1">
      <w:start w:val="1"/>
      <w:numFmt w:val="bullet"/>
      <w:lvlText w:val=""/>
      <w:lvlJc w:val="left"/>
      <w:pPr>
        <w:ind w:left="3642" w:hanging="420"/>
      </w:pPr>
      <w:rPr>
        <w:rFonts w:ascii="Wingdings" w:hAnsi="Wingdings" w:hint="default"/>
      </w:rPr>
    </w:lvl>
    <w:lvl w:ilvl="5" w:tplc="0409000D" w:tentative="1">
      <w:start w:val="1"/>
      <w:numFmt w:val="bullet"/>
      <w:lvlText w:val=""/>
      <w:lvlJc w:val="left"/>
      <w:pPr>
        <w:ind w:left="4062" w:hanging="420"/>
      </w:pPr>
      <w:rPr>
        <w:rFonts w:ascii="Wingdings" w:hAnsi="Wingdings" w:hint="default"/>
      </w:rPr>
    </w:lvl>
    <w:lvl w:ilvl="6" w:tplc="04090001" w:tentative="1">
      <w:start w:val="1"/>
      <w:numFmt w:val="bullet"/>
      <w:lvlText w:val=""/>
      <w:lvlJc w:val="left"/>
      <w:pPr>
        <w:ind w:left="4482" w:hanging="420"/>
      </w:pPr>
      <w:rPr>
        <w:rFonts w:ascii="Wingdings" w:hAnsi="Wingdings" w:hint="default"/>
      </w:rPr>
    </w:lvl>
    <w:lvl w:ilvl="7" w:tplc="0409000B" w:tentative="1">
      <w:start w:val="1"/>
      <w:numFmt w:val="bullet"/>
      <w:lvlText w:val=""/>
      <w:lvlJc w:val="left"/>
      <w:pPr>
        <w:ind w:left="4902" w:hanging="420"/>
      </w:pPr>
      <w:rPr>
        <w:rFonts w:ascii="Wingdings" w:hAnsi="Wingdings" w:hint="default"/>
      </w:rPr>
    </w:lvl>
    <w:lvl w:ilvl="8" w:tplc="0409000D" w:tentative="1">
      <w:start w:val="1"/>
      <w:numFmt w:val="bullet"/>
      <w:lvlText w:val=""/>
      <w:lvlJc w:val="left"/>
      <w:pPr>
        <w:ind w:left="5322" w:hanging="420"/>
      </w:pPr>
      <w:rPr>
        <w:rFonts w:ascii="Wingdings" w:hAnsi="Wingdings" w:hint="default"/>
      </w:rPr>
    </w:lvl>
  </w:abstractNum>
  <w:num w:numId="1" w16cid:durableId="2068185382">
    <w:abstractNumId w:val="53"/>
  </w:num>
  <w:num w:numId="2" w16cid:durableId="139730144">
    <w:abstractNumId w:val="92"/>
  </w:num>
  <w:num w:numId="3" w16cid:durableId="534732026">
    <w:abstractNumId w:val="50"/>
  </w:num>
  <w:num w:numId="4" w16cid:durableId="571932999">
    <w:abstractNumId w:val="44"/>
  </w:num>
  <w:num w:numId="5" w16cid:durableId="341590957">
    <w:abstractNumId w:val="73"/>
  </w:num>
  <w:num w:numId="6" w16cid:durableId="1758358574">
    <w:abstractNumId w:val="70"/>
  </w:num>
  <w:num w:numId="7" w16cid:durableId="1935701916">
    <w:abstractNumId w:val="14"/>
  </w:num>
  <w:num w:numId="8" w16cid:durableId="453328052">
    <w:abstractNumId w:val="69"/>
  </w:num>
  <w:num w:numId="9" w16cid:durableId="422579753">
    <w:abstractNumId w:val="16"/>
  </w:num>
  <w:num w:numId="10" w16cid:durableId="1491409327">
    <w:abstractNumId w:val="88"/>
  </w:num>
  <w:num w:numId="11" w16cid:durableId="1232422017">
    <w:abstractNumId w:val="34"/>
  </w:num>
  <w:num w:numId="12" w16cid:durableId="340664300">
    <w:abstractNumId w:val="38"/>
  </w:num>
  <w:num w:numId="13" w16cid:durableId="917401005">
    <w:abstractNumId w:val="28"/>
  </w:num>
  <w:num w:numId="14" w16cid:durableId="1089351326">
    <w:abstractNumId w:val="41"/>
  </w:num>
  <w:num w:numId="15" w16cid:durableId="1064764323">
    <w:abstractNumId w:val="43"/>
  </w:num>
  <w:num w:numId="16" w16cid:durableId="454445603">
    <w:abstractNumId w:val="17"/>
  </w:num>
  <w:num w:numId="17" w16cid:durableId="75593763">
    <w:abstractNumId w:val="74"/>
  </w:num>
  <w:num w:numId="18" w16cid:durableId="810901814">
    <w:abstractNumId w:val="65"/>
  </w:num>
  <w:num w:numId="19" w16cid:durableId="962996871">
    <w:abstractNumId w:val="66"/>
  </w:num>
  <w:num w:numId="20" w16cid:durableId="1490248843">
    <w:abstractNumId w:val="8"/>
  </w:num>
  <w:num w:numId="21" w16cid:durableId="930621860">
    <w:abstractNumId w:val="94"/>
  </w:num>
  <w:num w:numId="22" w16cid:durableId="1331837445">
    <w:abstractNumId w:val="86"/>
  </w:num>
  <w:num w:numId="23" w16cid:durableId="2140803890">
    <w:abstractNumId w:val="78"/>
  </w:num>
  <w:num w:numId="24" w16cid:durableId="1619873591">
    <w:abstractNumId w:val="36"/>
  </w:num>
  <w:num w:numId="25" w16cid:durableId="760878447">
    <w:abstractNumId w:val="3"/>
  </w:num>
  <w:num w:numId="26" w16cid:durableId="1409500225">
    <w:abstractNumId w:val="9"/>
  </w:num>
  <w:num w:numId="27" w16cid:durableId="1982230115">
    <w:abstractNumId w:val="29"/>
  </w:num>
  <w:num w:numId="28" w16cid:durableId="1450586717">
    <w:abstractNumId w:val="40"/>
  </w:num>
  <w:num w:numId="29" w16cid:durableId="1824808269">
    <w:abstractNumId w:val="27"/>
  </w:num>
  <w:num w:numId="30" w16cid:durableId="1471437660">
    <w:abstractNumId w:val="2"/>
  </w:num>
  <w:num w:numId="31" w16cid:durableId="154030901">
    <w:abstractNumId w:val="20"/>
  </w:num>
  <w:num w:numId="32" w16cid:durableId="515122033">
    <w:abstractNumId w:val="33"/>
  </w:num>
  <w:num w:numId="33" w16cid:durableId="1483348892">
    <w:abstractNumId w:val="57"/>
  </w:num>
  <w:num w:numId="34" w16cid:durableId="2097893272">
    <w:abstractNumId w:val="4"/>
  </w:num>
  <w:num w:numId="35" w16cid:durableId="448625166">
    <w:abstractNumId w:val="68"/>
  </w:num>
  <w:num w:numId="36" w16cid:durableId="2004967422">
    <w:abstractNumId w:val="51"/>
  </w:num>
  <w:num w:numId="37" w16cid:durableId="1215778536">
    <w:abstractNumId w:val="58"/>
  </w:num>
  <w:num w:numId="38" w16cid:durableId="1583367750">
    <w:abstractNumId w:val="22"/>
  </w:num>
  <w:num w:numId="39" w16cid:durableId="243075005">
    <w:abstractNumId w:val="47"/>
  </w:num>
  <w:num w:numId="40" w16cid:durableId="1702321868">
    <w:abstractNumId w:val="26"/>
  </w:num>
  <w:num w:numId="41" w16cid:durableId="1699967511">
    <w:abstractNumId w:val="54"/>
  </w:num>
  <w:num w:numId="42" w16cid:durableId="730663585">
    <w:abstractNumId w:val="56"/>
  </w:num>
  <w:num w:numId="43" w16cid:durableId="2033454339">
    <w:abstractNumId w:val="32"/>
  </w:num>
  <w:num w:numId="44" w16cid:durableId="63069931">
    <w:abstractNumId w:val="75"/>
  </w:num>
  <w:num w:numId="45" w16cid:durableId="499584547">
    <w:abstractNumId w:val="46"/>
  </w:num>
  <w:num w:numId="46" w16cid:durableId="1348872587">
    <w:abstractNumId w:val="31"/>
  </w:num>
  <w:num w:numId="47" w16cid:durableId="2091076066">
    <w:abstractNumId w:val="79"/>
  </w:num>
  <w:num w:numId="48" w16cid:durableId="550650531">
    <w:abstractNumId w:val="80"/>
  </w:num>
  <w:num w:numId="49" w16cid:durableId="519439854">
    <w:abstractNumId w:val="6"/>
  </w:num>
  <w:num w:numId="50" w16cid:durableId="1903978197">
    <w:abstractNumId w:val="71"/>
  </w:num>
  <w:num w:numId="51" w16cid:durableId="68038235">
    <w:abstractNumId w:val="19"/>
  </w:num>
  <w:num w:numId="52" w16cid:durableId="1196117314">
    <w:abstractNumId w:val="30"/>
  </w:num>
  <w:num w:numId="53" w16cid:durableId="1217669002">
    <w:abstractNumId w:val="11"/>
  </w:num>
  <w:num w:numId="54" w16cid:durableId="911695262">
    <w:abstractNumId w:val="61"/>
  </w:num>
  <w:num w:numId="55" w16cid:durableId="991712789">
    <w:abstractNumId w:val="52"/>
  </w:num>
  <w:num w:numId="56" w16cid:durableId="948313974">
    <w:abstractNumId w:val="49"/>
  </w:num>
  <w:num w:numId="57" w16cid:durableId="1782917074">
    <w:abstractNumId w:val="67"/>
  </w:num>
  <w:num w:numId="58" w16cid:durableId="1783987566">
    <w:abstractNumId w:val="95"/>
  </w:num>
  <w:num w:numId="59" w16cid:durableId="1680698033">
    <w:abstractNumId w:val="96"/>
  </w:num>
  <w:num w:numId="60" w16cid:durableId="347952598">
    <w:abstractNumId w:val="59"/>
  </w:num>
  <w:num w:numId="61" w16cid:durableId="966936024">
    <w:abstractNumId w:val="45"/>
  </w:num>
  <w:num w:numId="62" w16cid:durableId="1806583382">
    <w:abstractNumId w:val="21"/>
  </w:num>
  <w:num w:numId="63" w16cid:durableId="1765998672">
    <w:abstractNumId w:val="25"/>
  </w:num>
  <w:num w:numId="64" w16cid:durableId="2080521173">
    <w:abstractNumId w:val="37"/>
  </w:num>
  <w:num w:numId="65" w16cid:durableId="1503204325">
    <w:abstractNumId w:val="72"/>
  </w:num>
  <w:num w:numId="66" w16cid:durableId="191696568">
    <w:abstractNumId w:val="64"/>
  </w:num>
  <w:num w:numId="67" w16cid:durableId="1237671949">
    <w:abstractNumId w:val="24"/>
  </w:num>
  <w:num w:numId="68" w16cid:durableId="1710446477">
    <w:abstractNumId w:val="15"/>
  </w:num>
  <w:num w:numId="69" w16cid:durableId="1394087168">
    <w:abstractNumId w:val="55"/>
  </w:num>
  <w:num w:numId="70" w16cid:durableId="1302073761">
    <w:abstractNumId w:val="39"/>
  </w:num>
  <w:num w:numId="71" w16cid:durableId="1735153455">
    <w:abstractNumId w:val="76"/>
  </w:num>
  <w:num w:numId="72" w16cid:durableId="586352108">
    <w:abstractNumId w:val="83"/>
  </w:num>
  <w:num w:numId="73" w16cid:durableId="1312246407">
    <w:abstractNumId w:val="77"/>
  </w:num>
  <w:num w:numId="74" w16cid:durableId="424304245">
    <w:abstractNumId w:val="10"/>
  </w:num>
  <w:num w:numId="75" w16cid:durableId="947926096">
    <w:abstractNumId w:val="18"/>
  </w:num>
  <w:num w:numId="76" w16cid:durableId="527253136">
    <w:abstractNumId w:val="84"/>
  </w:num>
  <w:num w:numId="77" w16cid:durableId="1681420987">
    <w:abstractNumId w:val="63"/>
  </w:num>
  <w:num w:numId="78" w16cid:durableId="106698153">
    <w:abstractNumId w:val="42"/>
  </w:num>
  <w:num w:numId="79" w16cid:durableId="670330620">
    <w:abstractNumId w:val="97"/>
  </w:num>
  <w:num w:numId="80" w16cid:durableId="441534051">
    <w:abstractNumId w:val="5"/>
  </w:num>
  <w:num w:numId="81" w16cid:durableId="1369066734">
    <w:abstractNumId w:val="7"/>
  </w:num>
  <w:num w:numId="82" w16cid:durableId="1342395449">
    <w:abstractNumId w:val="82"/>
  </w:num>
  <w:num w:numId="83" w16cid:durableId="1390113693">
    <w:abstractNumId w:val="12"/>
  </w:num>
  <w:num w:numId="84" w16cid:durableId="1010911072">
    <w:abstractNumId w:val="91"/>
  </w:num>
  <w:num w:numId="85" w16cid:durableId="1222400686">
    <w:abstractNumId w:val="23"/>
  </w:num>
  <w:num w:numId="86" w16cid:durableId="427896072">
    <w:abstractNumId w:val="62"/>
  </w:num>
  <w:num w:numId="87" w16cid:durableId="1903172754">
    <w:abstractNumId w:val="60"/>
  </w:num>
  <w:num w:numId="88" w16cid:durableId="44723536">
    <w:abstractNumId w:val="48"/>
  </w:num>
  <w:num w:numId="89" w16cid:durableId="1125856879">
    <w:abstractNumId w:val="89"/>
  </w:num>
  <w:num w:numId="90" w16cid:durableId="75832644">
    <w:abstractNumId w:val="90"/>
  </w:num>
  <w:num w:numId="91" w16cid:durableId="160778330">
    <w:abstractNumId w:val="93"/>
  </w:num>
  <w:num w:numId="92" w16cid:durableId="211042510">
    <w:abstractNumId w:val="81"/>
  </w:num>
  <w:num w:numId="93" w16cid:durableId="504134735">
    <w:abstractNumId w:val="35"/>
  </w:num>
  <w:num w:numId="94" w16cid:durableId="1732532850">
    <w:abstractNumId w:val="85"/>
  </w:num>
  <w:num w:numId="95" w16cid:durableId="147134861">
    <w:abstractNumId w:val="87"/>
  </w:num>
  <w:num w:numId="96" w16cid:durableId="451748655">
    <w:abstractNumId w:val="1"/>
  </w:num>
  <w:num w:numId="97" w16cid:durableId="1509715031">
    <w:abstractNumId w:val="13"/>
  </w:num>
  <w:num w:numId="98" w16cid:durableId="72895632">
    <w:abstractNumId w:val="0"/>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bordersDoNotSurroundHeader/>
  <w:bordersDoNotSurroundFooter/>
  <w:proofState w:spelling="clean" w:grammar="dirty"/>
  <w:defaultTabStop w:val="720"/>
  <w:evenAndOddHeaders/>
  <w:drawingGridHorizontalSpacing w:val="110"/>
  <w:displayHorizontalDrawingGridEvery w:val="2"/>
  <w:characterSpacingControl w:val="doNotCompress"/>
  <w:hdrShapeDefaults>
    <o:shapedefaults v:ext="edit" spidmax="3790">
      <v:textbox inset="5.85pt,.7pt,5.85pt,.7pt"/>
    </o:shapedefaults>
    <o:shapelayout v:ext="edit">
      <o:idmap v:ext="edit" data="1"/>
    </o:shapelayout>
  </w:hdrShapeDefault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55291C"/>
    <w:rsid w:val="00000A7A"/>
    <w:rsid w:val="00000C1D"/>
    <w:rsid w:val="000027F9"/>
    <w:rsid w:val="00015531"/>
    <w:rsid w:val="00023420"/>
    <w:rsid w:val="0002463E"/>
    <w:rsid w:val="00024814"/>
    <w:rsid w:val="000337D5"/>
    <w:rsid w:val="000400FF"/>
    <w:rsid w:val="000446E0"/>
    <w:rsid w:val="0004647D"/>
    <w:rsid w:val="000471E3"/>
    <w:rsid w:val="00047236"/>
    <w:rsid w:val="0005532B"/>
    <w:rsid w:val="00065F68"/>
    <w:rsid w:val="00067063"/>
    <w:rsid w:val="00067284"/>
    <w:rsid w:val="000718D8"/>
    <w:rsid w:val="00074563"/>
    <w:rsid w:val="000752AF"/>
    <w:rsid w:val="00081190"/>
    <w:rsid w:val="00093C4E"/>
    <w:rsid w:val="000A59A5"/>
    <w:rsid w:val="000A5DCF"/>
    <w:rsid w:val="000A74F6"/>
    <w:rsid w:val="000B2DCB"/>
    <w:rsid w:val="000B5D34"/>
    <w:rsid w:val="000C572A"/>
    <w:rsid w:val="000C609A"/>
    <w:rsid w:val="000D0583"/>
    <w:rsid w:val="000D211B"/>
    <w:rsid w:val="000D68BB"/>
    <w:rsid w:val="000E5599"/>
    <w:rsid w:val="000E5BB6"/>
    <w:rsid w:val="000E70BB"/>
    <w:rsid w:val="000F12E4"/>
    <w:rsid w:val="000F68D7"/>
    <w:rsid w:val="000F6B3F"/>
    <w:rsid w:val="00106B00"/>
    <w:rsid w:val="00111AC1"/>
    <w:rsid w:val="00112B4F"/>
    <w:rsid w:val="00116001"/>
    <w:rsid w:val="001204A7"/>
    <w:rsid w:val="00121924"/>
    <w:rsid w:val="001365BF"/>
    <w:rsid w:val="00140901"/>
    <w:rsid w:val="0014293F"/>
    <w:rsid w:val="00146F75"/>
    <w:rsid w:val="001506F6"/>
    <w:rsid w:val="00156399"/>
    <w:rsid w:val="00156E24"/>
    <w:rsid w:val="0015794B"/>
    <w:rsid w:val="0015796D"/>
    <w:rsid w:val="00160EDC"/>
    <w:rsid w:val="00174532"/>
    <w:rsid w:val="00175E46"/>
    <w:rsid w:val="00180D01"/>
    <w:rsid w:val="001832F9"/>
    <w:rsid w:val="00193F96"/>
    <w:rsid w:val="00194110"/>
    <w:rsid w:val="001A0EE9"/>
    <w:rsid w:val="001A220A"/>
    <w:rsid w:val="001A6A0E"/>
    <w:rsid w:val="001B0868"/>
    <w:rsid w:val="001B2AF4"/>
    <w:rsid w:val="001B348F"/>
    <w:rsid w:val="001B5028"/>
    <w:rsid w:val="001B612E"/>
    <w:rsid w:val="001B6912"/>
    <w:rsid w:val="001B6DCA"/>
    <w:rsid w:val="001C11DA"/>
    <w:rsid w:val="001C7D25"/>
    <w:rsid w:val="001D3803"/>
    <w:rsid w:val="001D4C01"/>
    <w:rsid w:val="001D6A39"/>
    <w:rsid w:val="001E02F9"/>
    <w:rsid w:val="001F0A55"/>
    <w:rsid w:val="001F2C69"/>
    <w:rsid w:val="002048F4"/>
    <w:rsid w:val="00207484"/>
    <w:rsid w:val="00210AA5"/>
    <w:rsid w:val="002119F1"/>
    <w:rsid w:val="0021240C"/>
    <w:rsid w:val="00217FB1"/>
    <w:rsid w:val="00221F3D"/>
    <w:rsid w:val="002234B3"/>
    <w:rsid w:val="00224692"/>
    <w:rsid w:val="0022499A"/>
    <w:rsid w:val="002262EA"/>
    <w:rsid w:val="002264BD"/>
    <w:rsid w:val="00226710"/>
    <w:rsid w:val="002307CB"/>
    <w:rsid w:val="002360E5"/>
    <w:rsid w:val="00236FAA"/>
    <w:rsid w:val="00241590"/>
    <w:rsid w:val="00243279"/>
    <w:rsid w:val="0024548F"/>
    <w:rsid w:val="002454D1"/>
    <w:rsid w:val="00255AF5"/>
    <w:rsid w:val="0026492B"/>
    <w:rsid w:val="002707D0"/>
    <w:rsid w:val="002712CC"/>
    <w:rsid w:val="0027297E"/>
    <w:rsid w:val="00280524"/>
    <w:rsid w:val="0028556B"/>
    <w:rsid w:val="00287FA6"/>
    <w:rsid w:val="00290DCE"/>
    <w:rsid w:val="00296FB1"/>
    <w:rsid w:val="002A2C2B"/>
    <w:rsid w:val="002A4C84"/>
    <w:rsid w:val="002B19A0"/>
    <w:rsid w:val="002B2A30"/>
    <w:rsid w:val="002B300B"/>
    <w:rsid w:val="002B677A"/>
    <w:rsid w:val="002B7279"/>
    <w:rsid w:val="002C1D6E"/>
    <w:rsid w:val="002C441B"/>
    <w:rsid w:val="002C6825"/>
    <w:rsid w:val="002D3C68"/>
    <w:rsid w:val="002E1274"/>
    <w:rsid w:val="002E209B"/>
    <w:rsid w:val="002E296D"/>
    <w:rsid w:val="002E39D6"/>
    <w:rsid w:val="002E4CDA"/>
    <w:rsid w:val="002F666C"/>
    <w:rsid w:val="00300C8F"/>
    <w:rsid w:val="003010BC"/>
    <w:rsid w:val="003040CC"/>
    <w:rsid w:val="0030459A"/>
    <w:rsid w:val="003058A4"/>
    <w:rsid w:val="00305FC4"/>
    <w:rsid w:val="00306FE3"/>
    <w:rsid w:val="00315EE2"/>
    <w:rsid w:val="003160FB"/>
    <w:rsid w:val="00320E9D"/>
    <w:rsid w:val="00325026"/>
    <w:rsid w:val="003268BA"/>
    <w:rsid w:val="00326D8D"/>
    <w:rsid w:val="0032772F"/>
    <w:rsid w:val="003277B8"/>
    <w:rsid w:val="00332A59"/>
    <w:rsid w:val="00341370"/>
    <w:rsid w:val="0035143C"/>
    <w:rsid w:val="003524E2"/>
    <w:rsid w:val="00355E8C"/>
    <w:rsid w:val="00364979"/>
    <w:rsid w:val="00365E84"/>
    <w:rsid w:val="0037093F"/>
    <w:rsid w:val="00370FAF"/>
    <w:rsid w:val="003766CC"/>
    <w:rsid w:val="00377B8D"/>
    <w:rsid w:val="003850E3"/>
    <w:rsid w:val="003865B1"/>
    <w:rsid w:val="00390EF1"/>
    <w:rsid w:val="00392065"/>
    <w:rsid w:val="0039783D"/>
    <w:rsid w:val="003A13C4"/>
    <w:rsid w:val="003A3411"/>
    <w:rsid w:val="003A35CA"/>
    <w:rsid w:val="003A5BA6"/>
    <w:rsid w:val="003A76E5"/>
    <w:rsid w:val="003A7FD3"/>
    <w:rsid w:val="003B6607"/>
    <w:rsid w:val="003C7C96"/>
    <w:rsid w:val="003D29F0"/>
    <w:rsid w:val="003D3CE4"/>
    <w:rsid w:val="003E3FF4"/>
    <w:rsid w:val="003E677B"/>
    <w:rsid w:val="003F5D25"/>
    <w:rsid w:val="003F7602"/>
    <w:rsid w:val="00400510"/>
    <w:rsid w:val="0040124C"/>
    <w:rsid w:val="004048E5"/>
    <w:rsid w:val="00406726"/>
    <w:rsid w:val="00411D6D"/>
    <w:rsid w:val="00413486"/>
    <w:rsid w:val="00416510"/>
    <w:rsid w:val="00417CA0"/>
    <w:rsid w:val="004373BA"/>
    <w:rsid w:val="004421FB"/>
    <w:rsid w:val="00444937"/>
    <w:rsid w:val="0044516B"/>
    <w:rsid w:val="004453EA"/>
    <w:rsid w:val="004457A4"/>
    <w:rsid w:val="00447D82"/>
    <w:rsid w:val="0045320F"/>
    <w:rsid w:val="00455073"/>
    <w:rsid w:val="00456BE0"/>
    <w:rsid w:val="00456EB4"/>
    <w:rsid w:val="0045764B"/>
    <w:rsid w:val="00460722"/>
    <w:rsid w:val="00461013"/>
    <w:rsid w:val="00462D79"/>
    <w:rsid w:val="004666A2"/>
    <w:rsid w:val="00467E8E"/>
    <w:rsid w:val="00473235"/>
    <w:rsid w:val="00474DE2"/>
    <w:rsid w:val="00475F1C"/>
    <w:rsid w:val="0048361A"/>
    <w:rsid w:val="00486B2E"/>
    <w:rsid w:val="00494BC2"/>
    <w:rsid w:val="004A0931"/>
    <w:rsid w:val="004A2497"/>
    <w:rsid w:val="004A322C"/>
    <w:rsid w:val="004A3460"/>
    <w:rsid w:val="004A384A"/>
    <w:rsid w:val="004A4307"/>
    <w:rsid w:val="004A4816"/>
    <w:rsid w:val="004A5A63"/>
    <w:rsid w:val="004A680E"/>
    <w:rsid w:val="004A7907"/>
    <w:rsid w:val="004C5215"/>
    <w:rsid w:val="004D1E5F"/>
    <w:rsid w:val="004E01FF"/>
    <w:rsid w:val="004E504C"/>
    <w:rsid w:val="004E51CE"/>
    <w:rsid w:val="004E51E7"/>
    <w:rsid w:val="004E58A0"/>
    <w:rsid w:val="004E5CDD"/>
    <w:rsid w:val="004E5DB3"/>
    <w:rsid w:val="004F1887"/>
    <w:rsid w:val="004F2121"/>
    <w:rsid w:val="004F4648"/>
    <w:rsid w:val="004F6019"/>
    <w:rsid w:val="00503E44"/>
    <w:rsid w:val="00503F81"/>
    <w:rsid w:val="00504D04"/>
    <w:rsid w:val="00505870"/>
    <w:rsid w:val="0050597D"/>
    <w:rsid w:val="00506F20"/>
    <w:rsid w:val="00507663"/>
    <w:rsid w:val="00520AC7"/>
    <w:rsid w:val="005331EE"/>
    <w:rsid w:val="005347A7"/>
    <w:rsid w:val="00546B60"/>
    <w:rsid w:val="005518AE"/>
    <w:rsid w:val="00551C21"/>
    <w:rsid w:val="0055291C"/>
    <w:rsid w:val="0055318D"/>
    <w:rsid w:val="00553A4F"/>
    <w:rsid w:val="00554C80"/>
    <w:rsid w:val="00554E5F"/>
    <w:rsid w:val="00560764"/>
    <w:rsid w:val="00563351"/>
    <w:rsid w:val="0056592D"/>
    <w:rsid w:val="00570DAA"/>
    <w:rsid w:val="00571758"/>
    <w:rsid w:val="0057352C"/>
    <w:rsid w:val="0058144C"/>
    <w:rsid w:val="00587034"/>
    <w:rsid w:val="00592878"/>
    <w:rsid w:val="0059535D"/>
    <w:rsid w:val="005A3681"/>
    <w:rsid w:val="005C13A7"/>
    <w:rsid w:val="005C16CA"/>
    <w:rsid w:val="005C1F37"/>
    <w:rsid w:val="005C633F"/>
    <w:rsid w:val="005C7DBF"/>
    <w:rsid w:val="005D0D16"/>
    <w:rsid w:val="005D2C10"/>
    <w:rsid w:val="005D5DAE"/>
    <w:rsid w:val="005D68A2"/>
    <w:rsid w:val="005D7AAB"/>
    <w:rsid w:val="005E0613"/>
    <w:rsid w:val="005E11F1"/>
    <w:rsid w:val="005E23E9"/>
    <w:rsid w:val="005F66BB"/>
    <w:rsid w:val="00605825"/>
    <w:rsid w:val="00605DAD"/>
    <w:rsid w:val="00611EDE"/>
    <w:rsid w:val="006152C6"/>
    <w:rsid w:val="0061724B"/>
    <w:rsid w:val="006210D4"/>
    <w:rsid w:val="006251F4"/>
    <w:rsid w:val="00627DB0"/>
    <w:rsid w:val="00633969"/>
    <w:rsid w:val="00644EA4"/>
    <w:rsid w:val="00645519"/>
    <w:rsid w:val="006469D8"/>
    <w:rsid w:val="00655D4C"/>
    <w:rsid w:val="00657717"/>
    <w:rsid w:val="00660FF7"/>
    <w:rsid w:val="006620EF"/>
    <w:rsid w:val="00665263"/>
    <w:rsid w:val="00666613"/>
    <w:rsid w:val="0066774C"/>
    <w:rsid w:val="0066785D"/>
    <w:rsid w:val="00671DD2"/>
    <w:rsid w:val="006802A5"/>
    <w:rsid w:val="0068212A"/>
    <w:rsid w:val="0068333B"/>
    <w:rsid w:val="006849DD"/>
    <w:rsid w:val="0068617C"/>
    <w:rsid w:val="00687265"/>
    <w:rsid w:val="00694FD8"/>
    <w:rsid w:val="00697660"/>
    <w:rsid w:val="006A1464"/>
    <w:rsid w:val="006B1E59"/>
    <w:rsid w:val="006C02E3"/>
    <w:rsid w:val="006C0BCD"/>
    <w:rsid w:val="006C3C8F"/>
    <w:rsid w:val="006C5BB1"/>
    <w:rsid w:val="006C6B58"/>
    <w:rsid w:val="006C6C8C"/>
    <w:rsid w:val="006D43DE"/>
    <w:rsid w:val="006D6CB1"/>
    <w:rsid w:val="006D7ED2"/>
    <w:rsid w:val="006E1C33"/>
    <w:rsid w:val="006E4028"/>
    <w:rsid w:val="006F26C8"/>
    <w:rsid w:val="007020F0"/>
    <w:rsid w:val="007057AE"/>
    <w:rsid w:val="007128EA"/>
    <w:rsid w:val="00712BA5"/>
    <w:rsid w:val="007147FB"/>
    <w:rsid w:val="00720C52"/>
    <w:rsid w:val="007212AE"/>
    <w:rsid w:val="00721E2C"/>
    <w:rsid w:val="00724EFB"/>
    <w:rsid w:val="00727DA1"/>
    <w:rsid w:val="00737281"/>
    <w:rsid w:val="00737EE5"/>
    <w:rsid w:val="00740354"/>
    <w:rsid w:val="00744669"/>
    <w:rsid w:val="00747AC8"/>
    <w:rsid w:val="00751D0F"/>
    <w:rsid w:val="00754D60"/>
    <w:rsid w:val="00757632"/>
    <w:rsid w:val="007613FA"/>
    <w:rsid w:val="0076224F"/>
    <w:rsid w:val="00765986"/>
    <w:rsid w:val="0076627D"/>
    <w:rsid w:val="0077184C"/>
    <w:rsid w:val="00776ED9"/>
    <w:rsid w:val="00784527"/>
    <w:rsid w:val="00790DCB"/>
    <w:rsid w:val="0079245C"/>
    <w:rsid w:val="00795C43"/>
    <w:rsid w:val="00796849"/>
    <w:rsid w:val="007A004B"/>
    <w:rsid w:val="007A0E94"/>
    <w:rsid w:val="007A2A3D"/>
    <w:rsid w:val="007A3DD0"/>
    <w:rsid w:val="007A6BBE"/>
    <w:rsid w:val="007B0298"/>
    <w:rsid w:val="007B0BA9"/>
    <w:rsid w:val="007B0C63"/>
    <w:rsid w:val="007B2C03"/>
    <w:rsid w:val="007B54DE"/>
    <w:rsid w:val="007C0713"/>
    <w:rsid w:val="007C49B2"/>
    <w:rsid w:val="007C50E9"/>
    <w:rsid w:val="007D0A78"/>
    <w:rsid w:val="007D495F"/>
    <w:rsid w:val="007D5A23"/>
    <w:rsid w:val="007D648A"/>
    <w:rsid w:val="007D7017"/>
    <w:rsid w:val="007E0AF2"/>
    <w:rsid w:val="007E150E"/>
    <w:rsid w:val="007E180A"/>
    <w:rsid w:val="007E401A"/>
    <w:rsid w:val="007F0A63"/>
    <w:rsid w:val="007F2441"/>
    <w:rsid w:val="007F493D"/>
    <w:rsid w:val="007F5149"/>
    <w:rsid w:val="007F6B57"/>
    <w:rsid w:val="007F6CDC"/>
    <w:rsid w:val="007F7176"/>
    <w:rsid w:val="007F7CCF"/>
    <w:rsid w:val="00802E1A"/>
    <w:rsid w:val="00805DE6"/>
    <w:rsid w:val="00806512"/>
    <w:rsid w:val="008161E0"/>
    <w:rsid w:val="008234D7"/>
    <w:rsid w:val="008247D8"/>
    <w:rsid w:val="00827958"/>
    <w:rsid w:val="008346CF"/>
    <w:rsid w:val="00836E5F"/>
    <w:rsid w:val="0084497A"/>
    <w:rsid w:val="00844F7E"/>
    <w:rsid w:val="00845A2A"/>
    <w:rsid w:val="00847956"/>
    <w:rsid w:val="00852287"/>
    <w:rsid w:val="0085251E"/>
    <w:rsid w:val="008529C4"/>
    <w:rsid w:val="00852B61"/>
    <w:rsid w:val="008612E2"/>
    <w:rsid w:val="00867502"/>
    <w:rsid w:val="00870D9E"/>
    <w:rsid w:val="00873F6B"/>
    <w:rsid w:val="00875135"/>
    <w:rsid w:val="00875973"/>
    <w:rsid w:val="00876036"/>
    <w:rsid w:val="008802F3"/>
    <w:rsid w:val="00880595"/>
    <w:rsid w:val="0088080E"/>
    <w:rsid w:val="00881FBE"/>
    <w:rsid w:val="00882AD9"/>
    <w:rsid w:val="00882BB3"/>
    <w:rsid w:val="00885F2A"/>
    <w:rsid w:val="00886CA3"/>
    <w:rsid w:val="008900B9"/>
    <w:rsid w:val="008931E1"/>
    <w:rsid w:val="008956AA"/>
    <w:rsid w:val="00895E8D"/>
    <w:rsid w:val="008A275A"/>
    <w:rsid w:val="008A5E41"/>
    <w:rsid w:val="008A6EFD"/>
    <w:rsid w:val="008B30E1"/>
    <w:rsid w:val="008C3277"/>
    <w:rsid w:val="008C3D94"/>
    <w:rsid w:val="008C4C0A"/>
    <w:rsid w:val="008D4E84"/>
    <w:rsid w:val="008D7343"/>
    <w:rsid w:val="008E00E4"/>
    <w:rsid w:val="008E2353"/>
    <w:rsid w:val="00903391"/>
    <w:rsid w:val="00904C6F"/>
    <w:rsid w:val="0090570D"/>
    <w:rsid w:val="009064CF"/>
    <w:rsid w:val="009065F5"/>
    <w:rsid w:val="00907784"/>
    <w:rsid w:val="009103B1"/>
    <w:rsid w:val="00910F09"/>
    <w:rsid w:val="00912458"/>
    <w:rsid w:val="00926653"/>
    <w:rsid w:val="00926814"/>
    <w:rsid w:val="009268D3"/>
    <w:rsid w:val="00926C31"/>
    <w:rsid w:val="009316C7"/>
    <w:rsid w:val="00932801"/>
    <w:rsid w:val="00934B3D"/>
    <w:rsid w:val="00935383"/>
    <w:rsid w:val="00942130"/>
    <w:rsid w:val="00944004"/>
    <w:rsid w:val="00946F8C"/>
    <w:rsid w:val="0095461D"/>
    <w:rsid w:val="009562D2"/>
    <w:rsid w:val="00956DA3"/>
    <w:rsid w:val="00960B61"/>
    <w:rsid w:val="00965448"/>
    <w:rsid w:val="009673B3"/>
    <w:rsid w:val="00967535"/>
    <w:rsid w:val="009829B8"/>
    <w:rsid w:val="0098592F"/>
    <w:rsid w:val="009863CC"/>
    <w:rsid w:val="009870FD"/>
    <w:rsid w:val="009926A0"/>
    <w:rsid w:val="0099356E"/>
    <w:rsid w:val="009A0E4A"/>
    <w:rsid w:val="009A0F0A"/>
    <w:rsid w:val="009A4C91"/>
    <w:rsid w:val="009A6D47"/>
    <w:rsid w:val="009B4065"/>
    <w:rsid w:val="009B4602"/>
    <w:rsid w:val="009B57A0"/>
    <w:rsid w:val="009B5A33"/>
    <w:rsid w:val="009B6FB1"/>
    <w:rsid w:val="009B7BFB"/>
    <w:rsid w:val="009C24A3"/>
    <w:rsid w:val="009C394C"/>
    <w:rsid w:val="009C44A6"/>
    <w:rsid w:val="009C5933"/>
    <w:rsid w:val="009C7BF7"/>
    <w:rsid w:val="009D157F"/>
    <w:rsid w:val="009D2E37"/>
    <w:rsid w:val="009D4E48"/>
    <w:rsid w:val="009D623F"/>
    <w:rsid w:val="009E0868"/>
    <w:rsid w:val="009E773E"/>
    <w:rsid w:val="00A015D8"/>
    <w:rsid w:val="00A01982"/>
    <w:rsid w:val="00A12130"/>
    <w:rsid w:val="00A13B92"/>
    <w:rsid w:val="00A20F72"/>
    <w:rsid w:val="00A237BE"/>
    <w:rsid w:val="00A24CA0"/>
    <w:rsid w:val="00A24D6C"/>
    <w:rsid w:val="00A314D9"/>
    <w:rsid w:val="00A36975"/>
    <w:rsid w:val="00A373D2"/>
    <w:rsid w:val="00A375AB"/>
    <w:rsid w:val="00A37974"/>
    <w:rsid w:val="00A403E6"/>
    <w:rsid w:val="00A41DD8"/>
    <w:rsid w:val="00A42C27"/>
    <w:rsid w:val="00A440DE"/>
    <w:rsid w:val="00A478A4"/>
    <w:rsid w:val="00A545AB"/>
    <w:rsid w:val="00A565FE"/>
    <w:rsid w:val="00A56715"/>
    <w:rsid w:val="00A64054"/>
    <w:rsid w:val="00A64F66"/>
    <w:rsid w:val="00A66C8E"/>
    <w:rsid w:val="00A8109B"/>
    <w:rsid w:val="00A81BA3"/>
    <w:rsid w:val="00A830C8"/>
    <w:rsid w:val="00A87353"/>
    <w:rsid w:val="00AA0814"/>
    <w:rsid w:val="00AA0876"/>
    <w:rsid w:val="00AA2652"/>
    <w:rsid w:val="00AA6D1E"/>
    <w:rsid w:val="00AA7C93"/>
    <w:rsid w:val="00AB676A"/>
    <w:rsid w:val="00AB75F6"/>
    <w:rsid w:val="00AC0A1F"/>
    <w:rsid w:val="00AC0C2B"/>
    <w:rsid w:val="00AC5536"/>
    <w:rsid w:val="00AC7CF6"/>
    <w:rsid w:val="00AD40B4"/>
    <w:rsid w:val="00AD6805"/>
    <w:rsid w:val="00AF2AC9"/>
    <w:rsid w:val="00AF2B64"/>
    <w:rsid w:val="00AF2D90"/>
    <w:rsid w:val="00AF49FB"/>
    <w:rsid w:val="00AF6BE3"/>
    <w:rsid w:val="00B018D3"/>
    <w:rsid w:val="00B03E8D"/>
    <w:rsid w:val="00B05298"/>
    <w:rsid w:val="00B07933"/>
    <w:rsid w:val="00B112D2"/>
    <w:rsid w:val="00B126C4"/>
    <w:rsid w:val="00B13C36"/>
    <w:rsid w:val="00B258A2"/>
    <w:rsid w:val="00B271BD"/>
    <w:rsid w:val="00B4216D"/>
    <w:rsid w:val="00B427F9"/>
    <w:rsid w:val="00B436F7"/>
    <w:rsid w:val="00B43A54"/>
    <w:rsid w:val="00B538D7"/>
    <w:rsid w:val="00B55298"/>
    <w:rsid w:val="00B6067C"/>
    <w:rsid w:val="00B64F09"/>
    <w:rsid w:val="00B66709"/>
    <w:rsid w:val="00B72C52"/>
    <w:rsid w:val="00B76028"/>
    <w:rsid w:val="00B82FBF"/>
    <w:rsid w:val="00B840C5"/>
    <w:rsid w:val="00B85A41"/>
    <w:rsid w:val="00B93908"/>
    <w:rsid w:val="00B96FB5"/>
    <w:rsid w:val="00BA0839"/>
    <w:rsid w:val="00BA1530"/>
    <w:rsid w:val="00BA4126"/>
    <w:rsid w:val="00BA4C86"/>
    <w:rsid w:val="00BA5F75"/>
    <w:rsid w:val="00BA73A0"/>
    <w:rsid w:val="00BA78D8"/>
    <w:rsid w:val="00BA7FDC"/>
    <w:rsid w:val="00BB251D"/>
    <w:rsid w:val="00BB3491"/>
    <w:rsid w:val="00BB3C93"/>
    <w:rsid w:val="00BC0E84"/>
    <w:rsid w:val="00BC17C0"/>
    <w:rsid w:val="00BC333F"/>
    <w:rsid w:val="00BC3A2B"/>
    <w:rsid w:val="00BC3F98"/>
    <w:rsid w:val="00BC5081"/>
    <w:rsid w:val="00BC5597"/>
    <w:rsid w:val="00BC5AAE"/>
    <w:rsid w:val="00BD122E"/>
    <w:rsid w:val="00BD19AE"/>
    <w:rsid w:val="00BD30CF"/>
    <w:rsid w:val="00BE1F66"/>
    <w:rsid w:val="00BE7417"/>
    <w:rsid w:val="00BE78D4"/>
    <w:rsid w:val="00C01846"/>
    <w:rsid w:val="00C0288F"/>
    <w:rsid w:val="00C04243"/>
    <w:rsid w:val="00C12A14"/>
    <w:rsid w:val="00C134B9"/>
    <w:rsid w:val="00C13E33"/>
    <w:rsid w:val="00C15F40"/>
    <w:rsid w:val="00C16424"/>
    <w:rsid w:val="00C20F11"/>
    <w:rsid w:val="00C258B5"/>
    <w:rsid w:val="00C34D8A"/>
    <w:rsid w:val="00C42F36"/>
    <w:rsid w:val="00C55B74"/>
    <w:rsid w:val="00C55C2A"/>
    <w:rsid w:val="00C64E75"/>
    <w:rsid w:val="00C70F23"/>
    <w:rsid w:val="00C731E8"/>
    <w:rsid w:val="00C753F8"/>
    <w:rsid w:val="00C80874"/>
    <w:rsid w:val="00C86A79"/>
    <w:rsid w:val="00C9093A"/>
    <w:rsid w:val="00C91F0C"/>
    <w:rsid w:val="00C92037"/>
    <w:rsid w:val="00C94B15"/>
    <w:rsid w:val="00C97470"/>
    <w:rsid w:val="00CA21D3"/>
    <w:rsid w:val="00CB12B9"/>
    <w:rsid w:val="00CD13EE"/>
    <w:rsid w:val="00CD2A66"/>
    <w:rsid w:val="00CD3C07"/>
    <w:rsid w:val="00CD6657"/>
    <w:rsid w:val="00CE2BA7"/>
    <w:rsid w:val="00CE4725"/>
    <w:rsid w:val="00CE4EDD"/>
    <w:rsid w:val="00CF34C2"/>
    <w:rsid w:val="00CF41CD"/>
    <w:rsid w:val="00CF5ADF"/>
    <w:rsid w:val="00D00AFE"/>
    <w:rsid w:val="00D01615"/>
    <w:rsid w:val="00D04623"/>
    <w:rsid w:val="00D05606"/>
    <w:rsid w:val="00D16717"/>
    <w:rsid w:val="00D272E0"/>
    <w:rsid w:val="00D366AA"/>
    <w:rsid w:val="00D37A73"/>
    <w:rsid w:val="00D4250F"/>
    <w:rsid w:val="00D457BD"/>
    <w:rsid w:val="00D5032D"/>
    <w:rsid w:val="00D52843"/>
    <w:rsid w:val="00D52955"/>
    <w:rsid w:val="00D52988"/>
    <w:rsid w:val="00D56D7D"/>
    <w:rsid w:val="00D64933"/>
    <w:rsid w:val="00D64D62"/>
    <w:rsid w:val="00D7066E"/>
    <w:rsid w:val="00D73A3F"/>
    <w:rsid w:val="00D74AF8"/>
    <w:rsid w:val="00D8733B"/>
    <w:rsid w:val="00D920D8"/>
    <w:rsid w:val="00DA2DF1"/>
    <w:rsid w:val="00DA40DA"/>
    <w:rsid w:val="00DA47C0"/>
    <w:rsid w:val="00DA63CF"/>
    <w:rsid w:val="00DA69E7"/>
    <w:rsid w:val="00DB1C44"/>
    <w:rsid w:val="00DB3710"/>
    <w:rsid w:val="00DB3B0C"/>
    <w:rsid w:val="00DB4733"/>
    <w:rsid w:val="00DB5EEC"/>
    <w:rsid w:val="00DB612F"/>
    <w:rsid w:val="00DB6545"/>
    <w:rsid w:val="00DC15FC"/>
    <w:rsid w:val="00DC3E83"/>
    <w:rsid w:val="00DC56EF"/>
    <w:rsid w:val="00DE0378"/>
    <w:rsid w:val="00DE1B8E"/>
    <w:rsid w:val="00DE3882"/>
    <w:rsid w:val="00DE38D0"/>
    <w:rsid w:val="00DE51E6"/>
    <w:rsid w:val="00DE55C6"/>
    <w:rsid w:val="00DE6FDA"/>
    <w:rsid w:val="00DF5997"/>
    <w:rsid w:val="00E00935"/>
    <w:rsid w:val="00E00DB4"/>
    <w:rsid w:val="00E12E02"/>
    <w:rsid w:val="00E23F53"/>
    <w:rsid w:val="00E2477E"/>
    <w:rsid w:val="00E3408F"/>
    <w:rsid w:val="00E34DF1"/>
    <w:rsid w:val="00E360F8"/>
    <w:rsid w:val="00E375A5"/>
    <w:rsid w:val="00E376DB"/>
    <w:rsid w:val="00E438FE"/>
    <w:rsid w:val="00E43AEC"/>
    <w:rsid w:val="00E463BC"/>
    <w:rsid w:val="00E51373"/>
    <w:rsid w:val="00E60CBC"/>
    <w:rsid w:val="00E61EB8"/>
    <w:rsid w:val="00E73EA7"/>
    <w:rsid w:val="00E762AF"/>
    <w:rsid w:val="00E766F9"/>
    <w:rsid w:val="00E76AC7"/>
    <w:rsid w:val="00E801D7"/>
    <w:rsid w:val="00E837C9"/>
    <w:rsid w:val="00E84762"/>
    <w:rsid w:val="00E847CF"/>
    <w:rsid w:val="00EA0C8E"/>
    <w:rsid w:val="00EA1970"/>
    <w:rsid w:val="00EA33B6"/>
    <w:rsid w:val="00EA56B8"/>
    <w:rsid w:val="00EA7BE0"/>
    <w:rsid w:val="00EB7758"/>
    <w:rsid w:val="00EC296C"/>
    <w:rsid w:val="00EC4883"/>
    <w:rsid w:val="00EC607F"/>
    <w:rsid w:val="00ED3C25"/>
    <w:rsid w:val="00ED7AD9"/>
    <w:rsid w:val="00EE0F8E"/>
    <w:rsid w:val="00EE30EE"/>
    <w:rsid w:val="00EE463D"/>
    <w:rsid w:val="00EE4C88"/>
    <w:rsid w:val="00EE78D8"/>
    <w:rsid w:val="00EF3658"/>
    <w:rsid w:val="00EF5433"/>
    <w:rsid w:val="00EF7546"/>
    <w:rsid w:val="00F11853"/>
    <w:rsid w:val="00F1406C"/>
    <w:rsid w:val="00F14391"/>
    <w:rsid w:val="00F14576"/>
    <w:rsid w:val="00F23485"/>
    <w:rsid w:val="00F23AE0"/>
    <w:rsid w:val="00F23C61"/>
    <w:rsid w:val="00F34408"/>
    <w:rsid w:val="00F41492"/>
    <w:rsid w:val="00F4433C"/>
    <w:rsid w:val="00F4786F"/>
    <w:rsid w:val="00F5435B"/>
    <w:rsid w:val="00F56D24"/>
    <w:rsid w:val="00F56E16"/>
    <w:rsid w:val="00F56F57"/>
    <w:rsid w:val="00F60F23"/>
    <w:rsid w:val="00F61560"/>
    <w:rsid w:val="00F620BB"/>
    <w:rsid w:val="00F62844"/>
    <w:rsid w:val="00F729F8"/>
    <w:rsid w:val="00F75ECF"/>
    <w:rsid w:val="00F76C6E"/>
    <w:rsid w:val="00F8583F"/>
    <w:rsid w:val="00F91B00"/>
    <w:rsid w:val="00F91DF9"/>
    <w:rsid w:val="00F9351B"/>
    <w:rsid w:val="00F96345"/>
    <w:rsid w:val="00FA5DF4"/>
    <w:rsid w:val="00FB539C"/>
    <w:rsid w:val="00FB5424"/>
    <w:rsid w:val="00FB6ACA"/>
    <w:rsid w:val="00FC0F01"/>
    <w:rsid w:val="00FC14B5"/>
    <w:rsid w:val="00FC2354"/>
    <w:rsid w:val="00FC5976"/>
    <w:rsid w:val="00FC71FE"/>
    <w:rsid w:val="00FC755B"/>
    <w:rsid w:val="00FD4138"/>
    <w:rsid w:val="00FE2A87"/>
    <w:rsid w:val="00FE5064"/>
    <w:rsid w:val="00FE5AFB"/>
    <w:rsid w:val="00FE6EB0"/>
    <w:rsid w:val="00FF09C1"/>
    <w:rsid w:val="00FF4BF6"/>
    <w:rsid w:val="00FF61B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790">
      <v:textbox inset="5.85pt,.7pt,5.85pt,.7pt"/>
    </o:shapedefaults>
    <o:shapelayout v:ext="edit">
      <o:idmap v:ext="edit" data="2,3"/>
    </o:shapelayout>
  </w:shapeDefaults>
  <w:decimalSymbol w:val="."/>
  <w:listSeparator w:val=","/>
  <w14:docId w14:val="692EA138"/>
  <w15:docId w15:val="{DB9E2698-085E-40B9-B2E4-4182188AA6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Microsoft Sans Serif" w:eastAsia="Microsoft Sans Serif" w:hAnsi="Microsoft Sans Serif" w:cs="Microsoft Sans Serif"/>
    </w:rPr>
  </w:style>
  <w:style w:type="paragraph" w:styleId="1">
    <w:name w:val="heading 1"/>
    <w:basedOn w:val="a"/>
    <w:uiPriority w:val="9"/>
    <w:qFormat/>
    <w:pPr>
      <w:spacing w:before="74"/>
      <w:ind w:left="2415"/>
      <w:outlineLvl w:val="0"/>
    </w:pPr>
    <w:rPr>
      <w:rFonts w:ascii="Arial" w:eastAsia="Arial" w:hAnsi="Arial" w:cs="Arial"/>
      <w:b/>
      <w:bCs/>
      <w:i/>
      <w:iCs/>
      <w:sz w:val="56"/>
      <w:szCs w:val="56"/>
    </w:rPr>
  </w:style>
  <w:style w:type="paragraph" w:styleId="2">
    <w:name w:val="heading 2"/>
    <w:basedOn w:val="a"/>
    <w:uiPriority w:val="9"/>
    <w:unhideWhenUsed/>
    <w:qFormat/>
    <w:pPr>
      <w:spacing w:before="178"/>
      <w:ind w:left="968"/>
      <w:outlineLvl w:val="1"/>
    </w:pPr>
    <w:rPr>
      <w:rFonts w:ascii="Arial" w:eastAsia="Arial" w:hAnsi="Arial" w:cs="Arial"/>
      <w:b/>
      <w:bCs/>
      <w:i/>
      <w:iCs/>
      <w:sz w:val="35"/>
      <w:szCs w:val="35"/>
    </w:rPr>
  </w:style>
  <w:style w:type="paragraph" w:styleId="3">
    <w:name w:val="heading 3"/>
    <w:basedOn w:val="a"/>
    <w:link w:val="30"/>
    <w:uiPriority w:val="9"/>
    <w:unhideWhenUsed/>
    <w:qFormat/>
    <w:pPr>
      <w:spacing w:before="99"/>
      <w:ind w:left="1853"/>
      <w:outlineLvl w:val="2"/>
    </w:pPr>
    <w:rPr>
      <w:rFonts w:ascii="Arial" w:eastAsia="Arial" w:hAnsi="Arial" w:cs="Arial"/>
      <w:b/>
      <w:bCs/>
      <w:i/>
      <w:iCs/>
      <w:sz w:val="24"/>
      <w:szCs w:val="24"/>
    </w:rPr>
  </w:style>
  <w:style w:type="paragraph" w:styleId="4">
    <w:name w:val="heading 4"/>
    <w:basedOn w:val="a"/>
    <w:uiPriority w:val="9"/>
    <w:unhideWhenUsed/>
    <w:qFormat/>
    <w:pPr>
      <w:spacing w:before="159"/>
      <w:ind w:left="-3"/>
      <w:outlineLvl w:val="3"/>
    </w:pPr>
    <w:rPr>
      <w:rFonts w:ascii="Arial" w:eastAsia="Arial" w:hAnsi="Arial" w:cs="Arial"/>
      <w:b/>
      <w:bCs/>
      <w:i/>
      <w:iCs/>
      <w:sz w:val="23"/>
      <w:szCs w:val="23"/>
    </w:rPr>
  </w:style>
  <w:style w:type="paragraph" w:styleId="5">
    <w:name w:val="heading 5"/>
    <w:basedOn w:val="a"/>
    <w:uiPriority w:val="9"/>
    <w:unhideWhenUsed/>
    <w:qFormat/>
    <w:pPr>
      <w:spacing w:before="99"/>
      <w:ind w:left="1383"/>
      <w:outlineLvl w:val="4"/>
    </w:pPr>
    <w:rPr>
      <w:rFonts w:ascii="Arial" w:eastAsia="Arial" w:hAnsi="Arial" w:cs="Arial"/>
      <w:b/>
      <w:bCs/>
      <w:i/>
      <w:iCs/>
    </w:rPr>
  </w:style>
  <w:style w:type="paragraph" w:styleId="6">
    <w:name w:val="heading 6"/>
    <w:basedOn w:val="a"/>
    <w:uiPriority w:val="9"/>
    <w:unhideWhenUsed/>
    <w:qFormat/>
    <w:pPr>
      <w:spacing w:before="99"/>
      <w:ind w:left="1133"/>
      <w:outlineLvl w:val="5"/>
    </w:pPr>
    <w:rPr>
      <w:rFonts w:ascii="Arial" w:eastAsia="Arial" w:hAnsi="Arial" w:cs="Arial"/>
      <w:b/>
      <w:bCs/>
      <w:sz w:val="20"/>
      <w:szCs w:val="20"/>
    </w:rPr>
  </w:style>
  <w:style w:type="paragraph" w:styleId="7">
    <w:name w:val="heading 7"/>
    <w:basedOn w:val="a"/>
    <w:uiPriority w:val="1"/>
    <w:qFormat/>
    <w:pPr>
      <w:spacing w:before="130"/>
      <w:ind w:left="1853" w:hanging="721"/>
      <w:outlineLvl w:val="6"/>
    </w:pPr>
    <w:rPr>
      <w:rFonts w:ascii="Arial" w:eastAsia="Arial" w:hAnsi="Arial" w:cs="Arial"/>
      <w:b/>
      <w:bCs/>
      <w:i/>
      <w:iCs/>
      <w:sz w:val="20"/>
      <w:szCs w:val="20"/>
    </w:rPr>
  </w:style>
  <w:style w:type="paragraph" w:styleId="8">
    <w:name w:val="heading 8"/>
    <w:basedOn w:val="a"/>
    <w:uiPriority w:val="1"/>
    <w:qFormat/>
    <w:pPr>
      <w:ind w:left="1209"/>
      <w:outlineLvl w:val="7"/>
    </w:pPr>
    <w:rPr>
      <w:rFonts w:ascii="Arial" w:eastAsia="Arial" w:hAnsi="Arial" w:cs="Arial"/>
      <w:b/>
      <w:bCs/>
      <w:sz w:val="19"/>
      <w:szCs w:val="19"/>
    </w:rPr>
  </w:style>
  <w:style w:type="paragraph" w:styleId="9">
    <w:name w:val="heading 9"/>
    <w:basedOn w:val="a"/>
    <w:uiPriority w:val="1"/>
    <w:qFormat/>
    <w:pPr>
      <w:spacing w:before="19"/>
      <w:ind w:left="20"/>
      <w:outlineLvl w:val="8"/>
    </w:pPr>
    <w:rPr>
      <w:rFonts w:ascii="Arial" w:eastAsia="Arial" w:hAnsi="Arial" w:cs="Arial"/>
      <w:b/>
      <w:bCs/>
      <w:i/>
      <w:iCs/>
      <w:sz w:val="19"/>
      <w:szCs w:val="19"/>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207"/>
      <w:ind w:left="3697"/>
    </w:pPr>
    <w:rPr>
      <w:rFonts w:ascii="Arial" w:eastAsia="Arial" w:hAnsi="Arial" w:cs="Arial"/>
      <w:b/>
      <w:bCs/>
      <w:i/>
      <w:iCs/>
      <w:sz w:val="20"/>
      <w:szCs w:val="20"/>
    </w:rPr>
  </w:style>
  <w:style w:type="paragraph" w:styleId="20">
    <w:name w:val="toc 2"/>
    <w:basedOn w:val="a"/>
    <w:uiPriority w:val="1"/>
    <w:qFormat/>
    <w:pPr>
      <w:spacing w:before="207"/>
      <w:ind w:left="4017" w:hanging="321"/>
    </w:pPr>
    <w:rPr>
      <w:rFonts w:ascii="Arial" w:eastAsia="Arial" w:hAnsi="Arial" w:cs="Arial"/>
      <w:b/>
      <w:bCs/>
      <w:i/>
      <w:iCs/>
      <w:sz w:val="19"/>
      <w:szCs w:val="19"/>
    </w:rPr>
  </w:style>
  <w:style w:type="paragraph" w:styleId="31">
    <w:name w:val="toc 3"/>
    <w:basedOn w:val="a"/>
    <w:uiPriority w:val="1"/>
    <w:qFormat/>
    <w:pPr>
      <w:spacing w:before="207"/>
      <w:ind w:left="3697"/>
    </w:pPr>
    <w:rPr>
      <w:rFonts w:ascii="Arial" w:eastAsia="Arial" w:hAnsi="Arial" w:cs="Arial"/>
      <w:b/>
      <w:bCs/>
      <w:i/>
      <w:iCs/>
    </w:rPr>
  </w:style>
  <w:style w:type="paragraph" w:styleId="a3">
    <w:name w:val="Body Text"/>
    <w:basedOn w:val="a"/>
    <w:link w:val="a4"/>
    <w:uiPriority w:val="1"/>
    <w:qFormat/>
    <w:rPr>
      <w:sz w:val="19"/>
      <w:szCs w:val="19"/>
    </w:rPr>
  </w:style>
  <w:style w:type="paragraph" w:styleId="a5">
    <w:name w:val="List Paragraph"/>
    <w:basedOn w:val="a"/>
    <w:uiPriority w:val="34"/>
    <w:qFormat/>
    <w:pPr>
      <w:ind w:left="1393" w:hanging="256"/>
    </w:pPr>
  </w:style>
  <w:style w:type="paragraph" w:customStyle="1" w:styleId="TableParagraph">
    <w:name w:val="Table Paragraph"/>
    <w:basedOn w:val="a"/>
    <w:uiPriority w:val="1"/>
    <w:qFormat/>
  </w:style>
  <w:style w:type="paragraph" w:styleId="a6">
    <w:name w:val="footnote text"/>
    <w:basedOn w:val="a"/>
    <w:link w:val="a7"/>
    <w:uiPriority w:val="99"/>
    <w:semiHidden/>
    <w:unhideWhenUsed/>
    <w:rsid w:val="002F666C"/>
    <w:pPr>
      <w:snapToGrid w:val="0"/>
    </w:pPr>
  </w:style>
  <w:style w:type="character" w:customStyle="1" w:styleId="a7">
    <w:name w:val="脚注文字列 (文字)"/>
    <w:basedOn w:val="a0"/>
    <w:link w:val="a6"/>
    <w:uiPriority w:val="99"/>
    <w:semiHidden/>
    <w:rsid w:val="002F666C"/>
    <w:rPr>
      <w:rFonts w:ascii="Microsoft Sans Serif" w:eastAsia="Microsoft Sans Serif" w:hAnsi="Microsoft Sans Serif" w:cs="Microsoft Sans Serif"/>
    </w:rPr>
  </w:style>
  <w:style w:type="character" w:styleId="a8">
    <w:name w:val="footnote reference"/>
    <w:basedOn w:val="a0"/>
    <w:uiPriority w:val="99"/>
    <w:semiHidden/>
    <w:unhideWhenUsed/>
    <w:rsid w:val="002F666C"/>
    <w:rPr>
      <w:vertAlign w:val="superscript"/>
    </w:rPr>
  </w:style>
  <w:style w:type="paragraph" w:styleId="a9">
    <w:name w:val="endnote text"/>
    <w:basedOn w:val="a"/>
    <w:link w:val="aa"/>
    <w:uiPriority w:val="99"/>
    <w:semiHidden/>
    <w:unhideWhenUsed/>
    <w:rsid w:val="002F666C"/>
    <w:pPr>
      <w:snapToGrid w:val="0"/>
    </w:pPr>
  </w:style>
  <w:style w:type="character" w:customStyle="1" w:styleId="aa">
    <w:name w:val="文末脚注文字列 (文字)"/>
    <w:basedOn w:val="a0"/>
    <w:link w:val="a9"/>
    <w:uiPriority w:val="99"/>
    <w:semiHidden/>
    <w:rsid w:val="002F666C"/>
    <w:rPr>
      <w:rFonts w:ascii="Microsoft Sans Serif" w:eastAsia="Microsoft Sans Serif" w:hAnsi="Microsoft Sans Serif" w:cs="Microsoft Sans Serif"/>
    </w:rPr>
  </w:style>
  <w:style w:type="character" w:styleId="ab">
    <w:name w:val="endnote reference"/>
    <w:basedOn w:val="a0"/>
    <w:uiPriority w:val="99"/>
    <w:semiHidden/>
    <w:unhideWhenUsed/>
    <w:rsid w:val="002F666C"/>
    <w:rPr>
      <w:vertAlign w:val="superscript"/>
    </w:rPr>
  </w:style>
  <w:style w:type="character" w:styleId="ac">
    <w:name w:val="Hyperlink"/>
    <w:basedOn w:val="a0"/>
    <w:uiPriority w:val="99"/>
    <w:unhideWhenUsed/>
    <w:rsid w:val="00DC3E83"/>
    <w:rPr>
      <w:color w:val="0000FF" w:themeColor="hyperlink"/>
      <w:u w:val="single"/>
    </w:rPr>
  </w:style>
  <w:style w:type="character" w:styleId="ad">
    <w:name w:val="Unresolved Mention"/>
    <w:basedOn w:val="a0"/>
    <w:uiPriority w:val="99"/>
    <w:semiHidden/>
    <w:unhideWhenUsed/>
    <w:rsid w:val="00DC3E83"/>
    <w:rPr>
      <w:color w:val="605E5C"/>
      <w:shd w:val="clear" w:color="auto" w:fill="E1DFDD"/>
    </w:rPr>
  </w:style>
  <w:style w:type="character" w:styleId="ae">
    <w:name w:val="FollowedHyperlink"/>
    <w:basedOn w:val="a0"/>
    <w:uiPriority w:val="99"/>
    <w:semiHidden/>
    <w:unhideWhenUsed/>
    <w:rsid w:val="00DC3E83"/>
    <w:rPr>
      <w:color w:val="800080" w:themeColor="followedHyperlink"/>
      <w:u w:val="single"/>
    </w:rPr>
  </w:style>
  <w:style w:type="character" w:customStyle="1" w:styleId="30">
    <w:name w:val="見出し 3 (文字)"/>
    <w:basedOn w:val="a0"/>
    <w:link w:val="3"/>
    <w:uiPriority w:val="9"/>
    <w:rsid w:val="007A0E94"/>
    <w:rPr>
      <w:rFonts w:ascii="Arial" w:eastAsia="Arial" w:hAnsi="Arial" w:cs="Arial"/>
      <w:b/>
      <w:bCs/>
      <w:i/>
      <w:iCs/>
      <w:sz w:val="24"/>
      <w:szCs w:val="24"/>
    </w:rPr>
  </w:style>
  <w:style w:type="character" w:customStyle="1" w:styleId="a4">
    <w:name w:val="本文 (文字)"/>
    <w:basedOn w:val="a0"/>
    <w:link w:val="a3"/>
    <w:uiPriority w:val="1"/>
    <w:rsid w:val="007A0E94"/>
    <w:rPr>
      <w:rFonts w:ascii="Microsoft Sans Serif" w:eastAsia="Microsoft Sans Serif" w:hAnsi="Microsoft Sans Serif" w:cs="Microsoft Sans Serif"/>
      <w:sz w:val="19"/>
      <w:szCs w:val="19"/>
    </w:rPr>
  </w:style>
  <w:style w:type="paragraph" w:styleId="af">
    <w:name w:val="header"/>
    <w:basedOn w:val="a"/>
    <w:link w:val="af0"/>
    <w:uiPriority w:val="99"/>
    <w:unhideWhenUsed/>
    <w:rsid w:val="009E0868"/>
    <w:pPr>
      <w:tabs>
        <w:tab w:val="center" w:pos="4252"/>
        <w:tab w:val="right" w:pos="8504"/>
      </w:tabs>
      <w:snapToGrid w:val="0"/>
    </w:pPr>
  </w:style>
  <w:style w:type="character" w:customStyle="1" w:styleId="af0">
    <w:name w:val="ヘッダー (文字)"/>
    <w:basedOn w:val="a0"/>
    <w:link w:val="af"/>
    <w:uiPriority w:val="99"/>
    <w:rsid w:val="009E0868"/>
    <w:rPr>
      <w:rFonts w:ascii="Microsoft Sans Serif" w:eastAsia="Microsoft Sans Serif" w:hAnsi="Microsoft Sans Serif" w:cs="Microsoft Sans Serif"/>
    </w:rPr>
  </w:style>
  <w:style w:type="paragraph" w:styleId="af1">
    <w:name w:val="footer"/>
    <w:basedOn w:val="a"/>
    <w:link w:val="af2"/>
    <w:uiPriority w:val="99"/>
    <w:unhideWhenUsed/>
    <w:rsid w:val="009E0868"/>
    <w:pPr>
      <w:tabs>
        <w:tab w:val="center" w:pos="4252"/>
        <w:tab w:val="right" w:pos="8504"/>
      </w:tabs>
      <w:snapToGrid w:val="0"/>
    </w:pPr>
  </w:style>
  <w:style w:type="character" w:customStyle="1" w:styleId="af2">
    <w:name w:val="フッター (文字)"/>
    <w:basedOn w:val="a0"/>
    <w:link w:val="af1"/>
    <w:uiPriority w:val="99"/>
    <w:rsid w:val="009E0868"/>
    <w:rPr>
      <w:rFonts w:ascii="Microsoft Sans Serif" w:eastAsia="Microsoft Sans Serif" w:hAnsi="Microsoft Sans Serif" w:cs="Microsoft Sans Serif"/>
    </w:rPr>
  </w:style>
  <w:style w:type="character" w:styleId="af3">
    <w:name w:val="Placeholder Text"/>
    <w:basedOn w:val="a0"/>
    <w:uiPriority w:val="99"/>
    <w:semiHidden/>
    <w:rsid w:val="00E3408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65285">
      <w:bodyDiv w:val="1"/>
      <w:marLeft w:val="0"/>
      <w:marRight w:val="0"/>
      <w:marTop w:val="0"/>
      <w:marBottom w:val="0"/>
      <w:divBdr>
        <w:top w:val="none" w:sz="0" w:space="0" w:color="auto"/>
        <w:left w:val="none" w:sz="0" w:space="0" w:color="auto"/>
        <w:bottom w:val="none" w:sz="0" w:space="0" w:color="auto"/>
        <w:right w:val="none" w:sz="0" w:space="0" w:color="auto"/>
      </w:divBdr>
    </w:div>
    <w:div w:id="839084191">
      <w:bodyDiv w:val="1"/>
      <w:marLeft w:val="0"/>
      <w:marRight w:val="0"/>
      <w:marTop w:val="0"/>
      <w:marBottom w:val="0"/>
      <w:divBdr>
        <w:top w:val="none" w:sz="0" w:space="0" w:color="auto"/>
        <w:left w:val="none" w:sz="0" w:space="0" w:color="auto"/>
        <w:bottom w:val="none" w:sz="0" w:space="0" w:color="auto"/>
        <w:right w:val="none" w:sz="0" w:space="0" w:color="auto"/>
      </w:divBdr>
    </w:div>
    <w:div w:id="16150892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jpeg"/><Relationship Id="rId299" Type="http://schemas.openxmlformats.org/officeDocument/2006/relationships/footer" Target="footer89.xml"/><Relationship Id="rId21" Type="http://schemas.openxmlformats.org/officeDocument/2006/relationships/image" Target="media/image14.png"/><Relationship Id="rId63" Type="http://schemas.openxmlformats.org/officeDocument/2006/relationships/image" Target="media/image47.png"/><Relationship Id="rId159" Type="http://schemas.openxmlformats.org/officeDocument/2006/relationships/image" Target="media/image76.png"/><Relationship Id="rId324" Type="http://schemas.openxmlformats.org/officeDocument/2006/relationships/image" Target="media/image117.jpeg"/><Relationship Id="rId366" Type="http://schemas.openxmlformats.org/officeDocument/2006/relationships/hyperlink" Target="http://faostat.fao.org/site/567/DesktopDefault.aspx?PageID=567&amp;ancor" TargetMode="External"/><Relationship Id="rId170" Type="http://schemas.openxmlformats.org/officeDocument/2006/relationships/footer" Target="footer43.xml"/><Relationship Id="rId226" Type="http://schemas.openxmlformats.org/officeDocument/2006/relationships/header" Target="header64.xml"/><Relationship Id="rId433" Type="http://schemas.openxmlformats.org/officeDocument/2006/relationships/image" Target="media/image158.png"/><Relationship Id="rId268" Type="http://schemas.openxmlformats.org/officeDocument/2006/relationships/header" Target="header79.xml"/><Relationship Id="rId32" Type="http://schemas.openxmlformats.org/officeDocument/2006/relationships/image" Target="media/image25.png"/><Relationship Id="rId74" Type="http://schemas.openxmlformats.org/officeDocument/2006/relationships/image" Target="media/image50.jpeg"/><Relationship Id="rId128" Type="http://schemas.openxmlformats.org/officeDocument/2006/relationships/header" Target="header27.xml"/><Relationship Id="rId335" Type="http://schemas.openxmlformats.org/officeDocument/2006/relationships/footer" Target="footer103.xml"/><Relationship Id="rId377" Type="http://schemas.openxmlformats.org/officeDocument/2006/relationships/image" Target="media/image132.png"/><Relationship Id="rId5" Type="http://schemas.openxmlformats.org/officeDocument/2006/relationships/webSettings" Target="webSettings.xml"/><Relationship Id="rId181" Type="http://schemas.openxmlformats.org/officeDocument/2006/relationships/footer" Target="footer47.xml"/><Relationship Id="rId237" Type="http://schemas.openxmlformats.org/officeDocument/2006/relationships/image" Target="media/image99.png"/><Relationship Id="rId402" Type="http://schemas.openxmlformats.org/officeDocument/2006/relationships/hyperlink" Target="http://earthtrends.wri.org/" TargetMode="External"/><Relationship Id="rId279" Type="http://schemas.openxmlformats.org/officeDocument/2006/relationships/header" Target="header83.xml"/><Relationship Id="rId43" Type="http://schemas.openxmlformats.org/officeDocument/2006/relationships/image" Target="media/image36.png"/><Relationship Id="rId139" Type="http://schemas.openxmlformats.org/officeDocument/2006/relationships/header" Target="header30.xml"/><Relationship Id="rId290" Type="http://schemas.openxmlformats.org/officeDocument/2006/relationships/header" Target="header88.xml"/><Relationship Id="rId304" Type="http://schemas.openxmlformats.org/officeDocument/2006/relationships/footer" Target="footer91.xml"/><Relationship Id="rId346" Type="http://schemas.openxmlformats.org/officeDocument/2006/relationships/header" Target="header110.xml"/><Relationship Id="rId388" Type="http://schemas.openxmlformats.org/officeDocument/2006/relationships/footer" Target="footer118.xml"/><Relationship Id="rId85" Type="http://schemas.openxmlformats.org/officeDocument/2006/relationships/image" Target="media/image55.png"/><Relationship Id="rId150" Type="http://schemas.openxmlformats.org/officeDocument/2006/relationships/footer" Target="footer37.xml"/><Relationship Id="rId192" Type="http://schemas.openxmlformats.org/officeDocument/2006/relationships/footer" Target="footer51.xml"/><Relationship Id="rId206" Type="http://schemas.openxmlformats.org/officeDocument/2006/relationships/header" Target="header55.xml"/><Relationship Id="rId413" Type="http://schemas.openxmlformats.org/officeDocument/2006/relationships/image" Target="media/image140.png"/><Relationship Id="rId248" Type="http://schemas.openxmlformats.org/officeDocument/2006/relationships/footer" Target="footer71.xml"/><Relationship Id="rId12" Type="http://schemas.openxmlformats.org/officeDocument/2006/relationships/image" Target="media/image5.png"/><Relationship Id="rId108" Type="http://schemas.openxmlformats.org/officeDocument/2006/relationships/footer" Target="footer22.xml"/><Relationship Id="rId315" Type="http://schemas.openxmlformats.org/officeDocument/2006/relationships/image" Target="media/image113.png"/><Relationship Id="rId357" Type="http://schemas.openxmlformats.org/officeDocument/2006/relationships/image" Target="media/image128.png"/><Relationship Id="rId54" Type="http://schemas.openxmlformats.org/officeDocument/2006/relationships/footer" Target="footer2.xml"/><Relationship Id="rId96" Type="http://schemas.openxmlformats.org/officeDocument/2006/relationships/header" Target="header15.xml"/><Relationship Id="rId161" Type="http://schemas.openxmlformats.org/officeDocument/2006/relationships/image" Target="media/image78.png"/><Relationship Id="rId217" Type="http://schemas.openxmlformats.org/officeDocument/2006/relationships/header" Target="header60.xml"/><Relationship Id="rId399" Type="http://schemas.openxmlformats.org/officeDocument/2006/relationships/footer" Target="footer123.xml"/><Relationship Id="rId259" Type="http://schemas.openxmlformats.org/officeDocument/2006/relationships/header" Target="header76.xml"/><Relationship Id="rId424" Type="http://schemas.openxmlformats.org/officeDocument/2006/relationships/image" Target="media/image149.png"/><Relationship Id="rId23" Type="http://schemas.openxmlformats.org/officeDocument/2006/relationships/image" Target="media/image16.png"/><Relationship Id="rId119" Type="http://schemas.openxmlformats.org/officeDocument/2006/relationships/footer" Target="footer25.xml"/><Relationship Id="rId270" Type="http://schemas.openxmlformats.org/officeDocument/2006/relationships/footer" Target="footer79.xml"/><Relationship Id="rId326" Type="http://schemas.openxmlformats.org/officeDocument/2006/relationships/footer" Target="footer99.xml"/><Relationship Id="rId65" Type="http://schemas.openxmlformats.org/officeDocument/2006/relationships/footer" Target="footer7.xml"/><Relationship Id="rId130" Type="http://schemas.openxmlformats.org/officeDocument/2006/relationships/image" Target="media/image67.jpeg"/><Relationship Id="rId368" Type="http://schemas.openxmlformats.org/officeDocument/2006/relationships/footer" Target="footer111.xml"/><Relationship Id="rId172" Type="http://schemas.openxmlformats.org/officeDocument/2006/relationships/image" Target="media/image81.jpeg"/><Relationship Id="rId228" Type="http://schemas.openxmlformats.org/officeDocument/2006/relationships/footer" Target="footer65.xml"/><Relationship Id="rId435" Type="http://schemas.openxmlformats.org/officeDocument/2006/relationships/image" Target="media/image160.png"/><Relationship Id="rId281" Type="http://schemas.openxmlformats.org/officeDocument/2006/relationships/footer" Target="footer82.xml"/><Relationship Id="rId337" Type="http://schemas.openxmlformats.org/officeDocument/2006/relationships/header" Target="header107.xml"/><Relationship Id="rId34" Type="http://schemas.openxmlformats.org/officeDocument/2006/relationships/image" Target="media/image27.png"/><Relationship Id="rId76" Type="http://schemas.openxmlformats.org/officeDocument/2006/relationships/footer" Target="footer11.xml"/><Relationship Id="rId141" Type="http://schemas.openxmlformats.org/officeDocument/2006/relationships/header" Target="header31.xml"/><Relationship Id="rId379" Type="http://schemas.openxmlformats.org/officeDocument/2006/relationships/image" Target="media/image134.png"/><Relationship Id="rId7" Type="http://schemas.openxmlformats.org/officeDocument/2006/relationships/endnotes" Target="endnotes.xml"/><Relationship Id="rId183" Type="http://schemas.openxmlformats.org/officeDocument/2006/relationships/header" Target="header46.xml"/><Relationship Id="rId239" Type="http://schemas.openxmlformats.org/officeDocument/2006/relationships/footer" Target="footer66.xml"/><Relationship Id="rId390" Type="http://schemas.openxmlformats.org/officeDocument/2006/relationships/header" Target="header123.xml"/><Relationship Id="rId404" Type="http://schemas.openxmlformats.org/officeDocument/2006/relationships/footer" Target="footer124.xml"/><Relationship Id="rId250" Type="http://schemas.openxmlformats.org/officeDocument/2006/relationships/image" Target="media/image100.jpeg"/><Relationship Id="rId292" Type="http://schemas.openxmlformats.org/officeDocument/2006/relationships/header" Target="header90.xml"/><Relationship Id="rId306" Type="http://schemas.openxmlformats.org/officeDocument/2006/relationships/footer" Target="footer92.xml"/><Relationship Id="rId45" Type="http://schemas.openxmlformats.org/officeDocument/2006/relationships/image" Target="media/image38.png"/><Relationship Id="rId87" Type="http://schemas.openxmlformats.org/officeDocument/2006/relationships/header" Target="header12.xml"/><Relationship Id="rId110" Type="http://schemas.openxmlformats.org/officeDocument/2006/relationships/header" Target="header20.xml"/><Relationship Id="rId348" Type="http://schemas.openxmlformats.org/officeDocument/2006/relationships/header" Target="header112.xml"/><Relationship Id="rId152" Type="http://schemas.openxmlformats.org/officeDocument/2006/relationships/header" Target="header35.xml"/><Relationship Id="rId194" Type="http://schemas.openxmlformats.org/officeDocument/2006/relationships/header" Target="header51.xml"/><Relationship Id="rId208" Type="http://schemas.openxmlformats.org/officeDocument/2006/relationships/footer" Target="footer57.xml"/><Relationship Id="rId415" Type="http://schemas.openxmlformats.org/officeDocument/2006/relationships/image" Target="media/image142.png"/><Relationship Id="rId261" Type="http://schemas.openxmlformats.org/officeDocument/2006/relationships/footer" Target="footer76.xml"/><Relationship Id="rId14" Type="http://schemas.openxmlformats.org/officeDocument/2006/relationships/image" Target="media/image7.png"/><Relationship Id="rId56" Type="http://schemas.openxmlformats.org/officeDocument/2006/relationships/image" Target="media/image46.png"/><Relationship Id="rId317" Type="http://schemas.openxmlformats.org/officeDocument/2006/relationships/image" Target="media/image115.jpeg"/><Relationship Id="rId359" Type="http://schemas.openxmlformats.org/officeDocument/2006/relationships/image" Target="media/image130.png"/><Relationship Id="rId98" Type="http://schemas.openxmlformats.org/officeDocument/2006/relationships/image" Target="media/image59.png"/><Relationship Id="rId121" Type="http://schemas.openxmlformats.org/officeDocument/2006/relationships/image" Target="media/image65.jpeg"/><Relationship Id="rId163" Type="http://schemas.openxmlformats.org/officeDocument/2006/relationships/image" Target="media/image80.png"/><Relationship Id="rId219" Type="http://schemas.openxmlformats.org/officeDocument/2006/relationships/footer" Target="footer61.xml"/><Relationship Id="rId370" Type="http://schemas.openxmlformats.org/officeDocument/2006/relationships/hyperlink" Target="http://faostat.fao.org/" TargetMode="External"/><Relationship Id="rId426" Type="http://schemas.openxmlformats.org/officeDocument/2006/relationships/image" Target="media/image151.png"/><Relationship Id="rId230" Type="http://schemas.openxmlformats.org/officeDocument/2006/relationships/image" Target="media/image92.png"/><Relationship Id="rId25" Type="http://schemas.openxmlformats.org/officeDocument/2006/relationships/image" Target="media/image18.png"/><Relationship Id="rId67" Type="http://schemas.openxmlformats.org/officeDocument/2006/relationships/footer" Target="footer8.xml"/><Relationship Id="rId272" Type="http://schemas.openxmlformats.org/officeDocument/2006/relationships/header" Target="header80.xml"/><Relationship Id="rId328" Type="http://schemas.openxmlformats.org/officeDocument/2006/relationships/footer" Target="footer100.xml"/><Relationship Id="rId132" Type="http://schemas.openxmlformats.org/officeDocument/2006/relationships/footer" Target="footer30.xml"/><Relationship Id="rId174" Type="http://schemas.openxmlformats.org/officeDocument/2006/relationships/header" Target="header42.xml"/><Relationship Id="rId381" Type="http://schemas.openxmlformats.org/officeDocument/2006/relationships/header" Target="header119.xml"/><Relationship Id="rId241" Type="http://schemas.openxmlformats.org/officeDocument/2006/relationships/header" Target="header67.xml"/><Relationship Id="rId437" Type="http://schemas.openxmlformats.org/officeDocument/2006/relationships/hyperlink" Target="http://www.wri.org/" TargetMode="External"/><Relationship Id="rId36" Type="http://schemas.openxmlformats.org/officeDocument/2006/relationships/image" Target="media/image29.png"/><Relationship Id="rId283" Type="http://schemas.openxmlformats.org/officeDocument/2006/relationships/header" Target="header85.xml"/><Relationship Id="rId339" Type="http://schemas.openxmlformats.org/officeDocument/2006/relationships/image" Target="media/image121.png"/><Relationship Id="rId78" Type="http://schemas.openxmlformats.org/officeDocument/2006/relationships/footer" Target="footer12.xml"/><Relationship Id="rId101" Type="http://schemas.openxmlformats.org/officeDocument/2006/relationships/header" Target="header17.xml"/><Relationship Id="rId143" Type="http://schemas.openxmlformats.org/officeDocument/2006/relationships/image" Target="media/image72.png"/><Relationship Id="rId185" Type="http://schemas.openxmlformats.org/officeDocument/2006/relationships/header" Target="header47.xml"/><Relationship Id="rId350" Type="http://schemas.openxmlformats.org/officeDocument/2006/relationships/footer" Target="footer107.xml"/><Relationship Id="rId406" Type="http://schemas.openxmlformats.org/officeDocument/2006/relationships/header" Target="header128.xml"/><Relationship Id="rId9" Type="http://schemas.openxmlformats.org/officeDocument/2006/relationships/image" Target="media/image2.png"/><Relationship Id="rId210" Type="http://schemas.openxmlformats.org/officeDocument/2006/relationships/image" Target="media/image89.png"/><Relationship Id="rId392" Type="http://schemas.openxmlformats.org/officeDocument/2006/relationships/footer" Target="footer120.xml"/><Relationship Id="rId252" Type="http://schemas.openxmlformats.org/officeDocument/2006/relationships/footer" Target="footer72.xml"/><Relationship Id="rId294" Type="http://schemas.openxmlformats.org/officeDocument/2006/relationships/footer" Target="footer88.xml"/><Relationship Id="rId308" Type="http://schemas.openxmlformats.org/officeDocument/2006/relationships/header" Target="header96.xml"/><Relationship Id="rId47" Type="http://schemas.openxmlformats.org/officeDocument/2006/relationships/image" Target="media/image40.png"/><Relationship Id="rId89" Type="http://schemas.openxmlformats.org/officeDocument/2006/relationships/footer" Target="footer15.xml"/><Relationship Id="rId112" Type="http://schemas.openxmlformats.org/officeDocument/2006/relationships/header" Target="header21.xml"/><Relationship Id="rId154" Type="http://schemas.openxmlformats.org/officeDocument/2006/relationships/footer" Target="footer38.xml"/><Relationship Id="rId361" Type="http://schemas.openxmlformats.org/officeDocument/2006/relationships/header" Target="header114.xml"/><Relationship Id="rId196" Type="http://schemas.openxmlformats.org/officeDocument/2006/relationships/header" Target="header53.xml"/><Relationship Id="rId417" Type="http://schemas.openxmlformats.org/officeDocument/2006/relationships/footer" Target="footer128.xml"/><Relationship Id="rId16" Type="http://schemas.openxmlformats.org/officeDocument/2006/relationships/image" Target="media/image9.png"/><Relationship Id="rId221" Type="http://schemas.openxmlformats.org/officeDocument/2006/relationships/header" Target="header62.xml"/><Relationship Id="rId263" Type="http://schemas.openxmlformats.org/officeDocument/2006/relationships/image" Target="media/image103.png"/><Relationship Id="rId319" Type="http://schemas.openxmlformats.org/officeDocument/2006/relationships/header" Target="header100.xml"/><Relationship Id="rId58" Type="http://schemas.openxmlformats.org/officeDocument/2006/relationships/footer" Target="footer4.xml"/><Relationship Id="rId123" Type="http://schemas.openxmlformats.org/officeDocument/2006/relationships/header" Target="header25.xml"/><Relationship Id="rId330" Type="http://schemas.openxmlformats.org/officeDocument/2006/relationships/image" Target="media/image118.png"/><Relationship Id="rId165" Type="http://schemas.openxmlformats.org/officeDocument/2006/relationships/footer" Target="footer40.xml"/><Relationship Id="rId372" Type="http://schemas.openxmlformats.org/officeDocument/2006/relationships/header" Target="header117.xml"/><Relationship Id="rId428" Type="http://schemas.openxmlformats.org/officeDocument/2006/relationships/image" Target="media/image153.png"/><Relationship Id="rId232" Type="http://schemas.openxmlformats.org/officeDocument/2006/relationships/image" Target="media/image94.png"/><Relationship Id="rId274" Type="http://schemas.openxmlformats.org/officeDocument/2006/relationships/footer" Target="footer80.xml"/><Relationship Id="rId27" Type="http://schemas.openxmlformats.org/officeDocument/2006/relationships/image" Target="media/image20.png"/><Relationship Id="rId69" Type="http://schemas.openxmlformats.org/officeDocument/2006/relationships/footer" Target="footer9.xml"/><Relationship Id="rId134" Type="http://schemas.openxmlformats.org/officeDocument/2006/relationships/footer" Target="footer31.xml"/><Relationship Id="rId80" Type="http://schemas.openxmlformats.org/officeDocument/2006/relationships/image" Target="media/image51.png"/><Relationship Id="rId176" Type="http://schemas.openxmlformats.org/officeDocument/2006/relationships/header" Target="header43.xml"/><Relationship Id="rId341" Type="http://schemas.openxmlformats.org/officeDocument/2006/relationships/footer" Target="footer104.xml"/><Relationship Id="rId383" Type="http://schemas.openxmlformats.org/officeDocument/2006/relationships/footer" Target="footer116.xml"/><Relationship Id="rId439" Type="http://schemas.openxmlformats.org/officeDocument/2006/relationships/hyperlink" Target="http://www.ghgprotocol.org/" TargetMode="External"/><Relationship Id="rId201" Type="http://schemas.openxmlformats.org/officeDocument/2006/relationships/image" Target="media/image86.jpeg"/><Relationship Id="rId243" Type="http://schemas.openxmlformats.org/officeDocument/2006/relationships/footer" Target="footer68.xml"/><Relationship Id="rId285" Type="http://schemas.openxmlformats.org/officeDocument/2006/relationships/header" Target="header86.xml"/><Relationship Id="rId38" Type="http://schemas.openxmlformats.org/officeDocument/2006/relationships/image" Target="media/image31.png"/><Relationship Id="rId103" Type="http://schemas.openxmlformats.org/officeDocument/2006/relationships/footer" Target="footer20.xml"/><Relationship Id="rId310" Type="http://schemas.openxmlformats.org/officeDocument/2006/relationships/footer" Target="footer94.xml"/><Relationship Id="rId91" Type="http://schemas.openxmlformats.org/officeDocument/2006/relationships/header" Target="header13.xml"/><Relationship Id="rId145" Type="http://schemas.openxmlformats.org/officeDocument/2006/relationships/footer" Target="footer34.xml"/><Relationship Id="rId187" Type="http://schemas.openxmlformats.org/officeDocument/2006/relationships/footer" Target="footer49.xml"/><Relationship Id="rId352" Type="http://schemas.openxmlformats.org/officeDocument/2006/relationships/image" Target="media/image123.png"/><Relationship Id="rId394" Type="http://schemas.openxmlformats.org/officeDocument/2006/relationships/header" Target="header124.xml"/><Relationship Id="rId408" Type="http://schemas.openxmlformats.org/officeDocument/2006/relationships/header" Target="header130.xml"/><Relationship Id="rId212" Type="http://schemas.openxmlformats.org/officeDocument/2006/relationships/header" Target="header58.xml"/><Relationship Id="rId254" Type="http://schemas.openxmlformats.org/officeDocument/2006/relationships/footer" Target="footer73.xml"/><Relationship Id="rId49" Type="http://schemas.openxmlformats.org/officeDocument/2006/relationships/image" Target="media/image42.png"/><Relationship Id="rId114" Type="http://schemas.openxmlformats.org/officeDocument/2006/relationships/image" Target="media/image63.jpeg"/><Relationship Id="rId296" Type="http://schemas.openxmlformats.org/officeDocument/2006/relationships/header" Target="header91.xml"/><Relationship Id="rId60" Type="http://schemas.openxmlformats.org/officeDocument/2006/relationships/header" Target="header2.xml"/><Relationship Id="rId156" Type="http://schemas.openxmlformats.org/officeDocument/2006/relationships/image" Target="media/image74.png"/><Relationship Id="rId198" Type="http://schemas.openxmlformats.org/officeDocument/2006/relationships/footer" Target="footer54.xml"/><Relationship Id="rId321" Type="http://schemas.openxmlformats.org/officeDocument/2006/relationships/footer" Target="footer98.xml"/><Relationship Id="rId363" Type="http://schemas.openxmlformats.org/officeDocument/2006/relationships/footer" Target="footer109.xml"/><Relationship Id="rId419" Type="http://schemas.openxmlformats.org/officeDocument/2006/relationships/image" Target="media/image144.png"/><Relationship Id="rId202" Type="http://schemas.openxmlformats.org/officeDocument/2006/relationships/image" Target="media/image87.jpeg"/><Relationship Id="rId223" Type="http://schemas.openxmlformats.org/officeDocument/2006/relationships/footer" Target="footer63.xml"/><Relationship Id="rId244" Type="http://schemas.openxmlformats.org/officeDocument/2006/relationships/footer" Target="footer69.xml"/><Relationship Id="rId430" Type="http://schemas.openxmlformats.org/officeDocument/2006/relationships/image" Target="media/image155.png"/><Relationship Id="rId18" Type="http://schemas.openxmlformats.org/officeDocument/2006/relationships/image" Target="media/image11.jpeg"/><Relationship Id="rId39" Type="http://schemas.openxmlformats.org/officeDocument/2006/relationships/image" Target="media/image32.png"/><Relationship Id="rId265" Type="http://schemas.openxmlformats.org/officeDocument/2006/relationships/image" Target="media/image104.jpeg"/><Relationship Id="rId286" Type="http://schemas.openxmlformats.org/officeDocument/2006/relationships/footer" Target="footer84.xml"/><Relationship Id="rId50" Type="http://schemas.openxmlformats.org/officeDocument/2006/relationships/image" Target="media/image43.png"/><Relationship Id="rId104" Type="http://schemas.openxmlformats.org/officeDocument/2006/relationships/image" Target="media/image60.jpeg"/><Relationship Id="rId125" Type="http://schemas.openxmlformats.org/officeDocument/2006/relationships/footer" Target="footer28.xml"/><Relationship Id="rId146" Type="http://schemas.openxmlformats.org/officeDocument/2006/relationships/footer" Target="footer35.xml"/><Relationship Id="rId167" Type="http://schemas.openxmlformats.org/officeDocument/2006/relationships/header" Target="header39.xml"/><Relationship Id="rId188" Type="http://schemas.openxmlformats.org/officeDocument/2006/relationships/footer" Target="footer50.xml"/><Relationship Id="rId311" Type="http://schemas.openxmlformats.org/officeDocument/2006/relationships/image" Target="media/image112.jpeg"/><Relationship Id="rId332" Type="http://schemas.openxmlformats.org/officeDocument/2006/relationships/header" Target="header105.xml"/><Relationship Id="rId353" Type="http://schemas.openxmlformats.org/officeDocument/2006/relationships/image" Target="media/image124.png"/><Relationship Id="rId374" Type="http://schemas.openxmlformats.org/officeDocument/2006/relationships/footer" Target="footer113.xml"/><Relationship Id="rId395" Type="http://schemas.openxmlformats.org/officeDocument/2006/relationships/footer" Target="footer121.xml"/><Relationship Id="rId409" Type="http://schemas.openxmlformats.org/officeDocument/2006/relationships/footer" Target="footer126.xml"/><Relationship Id="rId71" Type="http://schemas.openxmlformats.org/officeDocument/2006/relationships/image" Target="media/image49.emf"/><Relationship Id="rId92" Type="http://schemas.openxmlformats.org/officeDocument/2006/relationships/image" Target="media/image57.png"/><Relationship Id="rId213" Type="http://schemas.openxmlformats.org/officeDocument/2006/relationships/footer" Target="footer58.xml"/><Relationship Id="rId234" Type="http://schemas.openxmlformats.org/officeDocument/2006/relationships/image" Target="media/image96.png"/><Relationship Id="rId420" Type="http://schemas.openxmlformats.org/officeDocument/2006/relationships/image" Target="media/image145.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footer" Target="footer74.xml"/><Relationship Id="rId276" Type="http://schemas.openxmlformats.org/officeDocument/2006/relationships/image" Target="media/image106.png"/><Relationship Id="rId297" Type="http://schemas.openxmlformats.org/officeDocument/2006/relationships/image" Target="media/image110.png"/><Relationship Id="rId441" Type="http://schemas.openxmlformats.org/officeDocument/2006/relationships/footer" Target="footer129.xml"/><Relationship Id="rId40" Type="http://schemas.openxmlformats.org/officeDocument/2006/relationships/image" Target="media/image33.png"/><Relationship Id="rId115" Type="http://schemas.openxmlformats.org/officeDocument/2006/relationships/header" Target="header22.xml"/><Relationship Id="rId136" Type="http://schemas.openxmlformats.org/officeDocument/2006/relationships/image" Target="media/image68.png"/><Relationship Id="rId157" Type="http://schemas.openxmlformats.org/officeDocument/2006/relationships/header" Target="header37.xml"/><Relationship Id="rId178" Type="http://schemas.openxmlformats.org/officeDocument/2006/relationships/footer" Target="footer46.xml"/><Relationship Id="rId301" Type="http://schemas.openxmlformats.org/officeDocument/2006/relationships/header" Target="header93.xml"/><Relationship Id="rId322" Type="http://schemas.openxmlformats.org/officeDocument/2006/relationships/image" Target="media/image116.png"/><Relationship Id="rId343" Type="http://schemas.openxmlformats.org/officeDocument/2006/relationships/footer" Target="footer105.xml"/><Relationship Id="rId364" Type="http://schemas.openxmlformats.org/officeDocument/2006/relationships/footer" Target="footer110.xml"/><Relationship Id="rId61" Type="http://schemas.openxmlformats.org/officeDocument/2006/relationships/header" Target="header3.xml"/><Relationship Id="rId82" Type="http://schemas.openxmlformats.org/officeDocument/2006/relationships/header" Target="header10.xml"/><Relationship Id="rId199" Type="http://schemas.openxmlformats.org/officeDocument/2006/relationships/image" Target="media/image84.png"/><Relationship Id="rId203" Type="http://schemas.openxmlformats.org/officeDocument/2006/relationships/image" Target="media/image88.jpeg"/><Relationship Id="rId385" Type="http://schemas.openxmlformats.org/officeDocument/2006/relationships/header" Target="header120.xml"/><Relationship Id="rId19" Type="http://schemas.openxmlformats.org/officeDocument/2006/relationships/image" Target="media/image12.png"/><Relationship Id="rId224" Type="http://schemas.openxmlformats.org/officeDocument/2006/relationships/image" Target="media/image91.png"/><Relationship Id="rId245" Type="http://schemas.openxmlformats.org/officeDocument/2006/relationships/header" Target="header69.xml"/><Relationship Id="rId266" Type="http://schemas.openxmlformats.org/officeDocument/2006/relationships/header" Target="header78.xml"/><Relationship Id="rId287" Type="http://schemas.openxmlformats.org/officeDocument/2006/relationships/header" Target="header87.xml"/><Relationship Id="rId410" Type="http://schemas.openxmlformats.org/officeDocument/2006/relationships/header" Target="header131.xml"/><Relationship Id="rId431" Type="http://schemas.openxmlformats.org/officeDocument/2006/relationships/image" Target="media/image156.png"/><Relationship Id="rId30" Type="http://schemas.openxmlformats.org/officeDocument/2006/relationships/image" Target="media/image23.png"/><Relationship Id="rId105" Type="http://schemas.openxmlformats.org/officeDocument/2006/relationships/header" Target="header18.xml"/><Relationship Id="rId126" Type="http://schemas.openxmlformats.org/officeDocument/2006/relationships/header" Target="header26.xml"/><Relationship Id="rId147" Type="http://schemas.openxmlformats.org/officeDocument/2006/relationships/header" Target="header33.xml"/><Relationship Id="rId168" Type="http://schemas.openxmlformats.org/officeDocument/2006/relationships/header" Target="header40.xml"/><Relationship Id="rId312" Type="http://schemas.openxmlformats.org/officeDocument/2006/relationships/header" Target="header98.xml"/><Relationship Id="rId333" Type="http://schemas.openxmlformats.org/officeDocument/2006/relationships/header" Target="header106.xml"/><Relationship Id="rId354" Type="http://schemas.openxmlformats.org/officeDocument/2006/relationships/image" Target="media/image125.png"/><Relationship Id="rId51" Type="http://schemas.openxmlformats.org/officeDocument/2006/relationships/image" Target="media/image44.png"/><Relationship Id="rId72" Type="http://schemas.openxmlformats.org/officeDocument/2006/relationships/header" Target="header7.xml"/><Relationship Id="rId93" Type="http://schemas.openxmlformats.org/officeDocument/2006/relationships/image" Target="media/image58.jpeg"/><Relationship Id="rId189" Type="http://schemas.openxmlformats.org/officeDocument/2006/relationships/hyperlink" Target="http://www.ghgprotocol.org/" TargetMode="External"/><Relationship Id="rId375" Type="http://schemas.openxmlformats.org/officeDocument/2006/relationships/footer" Target="footer114.xml"/><Relationship Id="rId396" Type="http://schemas.openxmlformats.org/officeDocument/2006/relationships/image" Target="media/image138.jpeg"/><Relationship Id="rId3" Type="http://schemas.openxmlformats.org/officeDocument/2006/relationships/styles" Target="styles.xml"/><Relationship Id="rId214" Type="http://schemas.openxmlformats.org/officeDocument/2006/relationships/footer" Target="footer59.xml"/><Relationship Id="rId235" Type="http://schemas.openxmlformats.org/officeDocument/2006/relationships/image" Target="media/image97.png"/><Relationship Id="rId256" Type="http://schemas.openxmlformats.org/officeDocument/2006/relationships/image" Target="media/image101.png"/><Relationship Id="rId277" Type="http://schemas.openxmlformats.org/officeDocument/2006/relationships/header" Target="header82.xml"/><Relationship Id="rId298" Type="http://schemas.openxmlformats.org/officeDocument/2006/relationships/header" Target="header92.xml"/><Relationship Id="rId400" Type="http://schemas.openxmlformats.org/officeDocument/2006/relationships/header" Target="header126.xml"/><Relationship Id="rId421" Type="http://schemas.openxmlformats.org/officeDocument/2006/relationships/image" Target="media/image146.png"/><Relationship Id="rId442" Type="http://schemas.openxmlformats.org/officeDocument/2006/relationships/fontTable" Target="fontTable.xml"/><Relationship Id="rId116" Type="http://schemas.openxmlformats.org/officeDocument/2006/relationships/footer" Target="footer24.xml"/><Relationship Id="rId137" Type="http://schemas.openxmlformats.org/officeDocument/2006/relationships/image" Target="media/image69.png"/><Relationship Id="rId158" Type="http://schemas.openxmlformats.org/officeDocument/2006/relationships/image" Target="media/image75.png"/><Relationship Id="rId302" Type="http://schemas.openxmlformats.org/officeDocument/2006/relationships/image" Target="media/image111.jpeg"/><Relationship Id="rId323" Type="http://schemas.openxmlformats.org/officeDocument/2006/relationships/header" Target="header101.xml"/><Relationship Id="rId344" Type="http://schemas.openxmlformats.org/officeDocument/2006/relationships/footer" Target="footer106.xm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footer" Target="footer6.xml"/><Relationship Id="rId83" Type="http://schemas.openxmlformats.org/officeDocument/2006/relationships/image" Target="media/image53.emf"/><Relationship Id="rId179" Type="http://schemas.openxmlformats.org/officeDocument/2006/relationships/header" Target="header44.xml"/><Relationship Id="rId365" Type="http://schemas.openxmlformats.org/officeDocument/2006/relationships/hyperlink" Target="http://faostat.fao.org/site/567/" TargetMode="External"/><Relationship Id="rId386" Type="http://schemas.openxmlformats.org/officeDocument/2006/relationships/header" Target="header121.xml"/><Relationship Id="rId190" Type="http://schemas.openxmlformats.org/officeDocument/2006/relationships/header" Target="header49.xml"/><Relationship Id="rId204" Type="http://schemas.openxmlformats.org/officeDocument/2006/relationships/header" Target="header54.xml"/><Relationship Id="rId225" Type="http://schemas.openxmlformats.org/officeDocument/2006/relationships/header" Target="header63.xml"/><Relationship Id="rId246" Type="http://schemas.openxmlformats.org/officeDocument/2006/relationships/header" Target="header70.xml"/><Relationship Id="rId267" Type="http://schemas.openxmlformats.org/officeDocument/2006/relationships/footer" Target="footer77.xml"/><Relationship Id="rId288" Type="http://schemas.openxmlformats.org/officeDocument/2006/relationships/footer" Target="footer85.xml"/><Relationship Id="rId411" Type="http://schemas.openxmlformats.org/officeDocument/2006/relationships/footer" Target="footer127.xml"/><Relationship Id="rId432" Type="http://schemas.openxmlformats.org/officeDocument/2006/relationships/image" Target="media/image157.png"/><Relationship Id="rId106" Type="http://schemas.openxmlformats.org/officeDocument/2006/relationships/header" Target="header19.xml"/><Relationship Id="rId127" Type="http://schemas.openxmlformats.org/officeDocument/2006/relationships/image" Target="media/image66.jpeg"/><Relationship Id="rId313" Type="http://schemas.openxmlformats.org/officeDocument/2006/relationships/footer" Target="footer95.xml"/><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footer" Target="footer1.xml"/><Relationship Id="rId73" Type="http://schemas.openxmlformats.org/officeDocument/2006/relationships/footer" Target="footer10.xml"/><Relationship Id="rId94" Type="http://schemas.openxmlformats.org/officeDocument/2006/relationships/header" Target="header14.xml"/><Relationship Id="rId148" Type="http://schemas.openxmlformats.org/officeDocument/2006/relationships/header" Target="header34.xml"/><Relationship Id="rId169" Type="http://schemas.openxmlformats.org/officeDocument/2006/relationships/footer" Target="footer42.xml"/><Relationship Id="rId334" Type="http://schemas.openxmlformats.org/officeDocument/2006/relationships/footer" Target="footer102.xml"/><Relationship Id="rId355" Type="http://schemas.openxmlformats.org/officeDocument/2006/relationships/image" Target="media/image126.png"/><Relationship Id="rId376" Type="http://schemas.openxmlformats.org/officeDocument/2006/relationships/image" Target="media/image131.png"/><Relationship Id="rId397" Type="http://schemas.openxmlformats.org/officeDocument/2006/relationships/header" Target="header125.xml"/><Relationship Id="rId4" Type="http://schemas.openxmlformats.org/officeDocument/2006/relationships/settings" Target="settings.xml"/><Relationship Id="rId180" Type="http://schemas.openxmlformats.org/officeDocument/2006/relationships/header" Target="header45.xml"/><Relationship Id="rId215" Type="http://schemas.openxmlformats.org/officeDocument/2006/relationships/image" Target="media/image90.jpeg"/><Relationship Id="rId236" Type="http://schemas.openxmlformats.org/officeDocument/2006/relationships/image" Target="media/image98.png"/><Relationship Id="rId257" Type="http://schemas.openxmlformats.org/officeDocument/2006/relationships/header" Target="header74.xml"/><Relationship Id="rId278" Type="http://schemas.openxmlformats.org/officeDocument/2006/relationships/image" Target="media/image107.jpeg"/><Relationship Id="rId401" Type="http://schemas.openxmlformats.org/officeDocument/2006/relationships/hyperlink" Target="http://faostat.fao.org/" TargetMode="External"/><Relationship Id="rId422" Type="http://schemas.openxmlformats.org/officeDocument/2006/relationships/image" Target="media/image147.png"/><Relationship Id="rId443" Type="http://schemas.openxmlformats.org/officeDocument/2006/relationships/theme" Target="theme/theme1.xml"/><Relationship Id="rId303" Type="http://schemas.openxmlformats.org/officeDocument/2006/relationships/header" Target="header94.xml"/><Relationship Id="rId42" Type="http://schemas.openxmlformats.org/officeDocument/2006/relationships/image" Target="media/image35.png"/><Relationship Id="rId84" Type="http://schemas.openxmlformats.org/officeDocument/2006/relationships/image" Target="media/image54.emf"/><Relationship Id="rId138" Type="http://schemas.openxmlformats.org/officeDocument/2006/relationships/image" Target="media/image70.png"/><Relationship Id="rId345" Type="http://schemas.openxmlformats.org/officeDocument/2006/relationships/image" Target="media/image122.png"/><Relationship Id="rId387" Type="http://schemas.openxmlformats.org/officeDocument/2006/relationships/footer" Target="footer117.xml"/><Relationship Id="rId191" Type="http://schemas.openxmlformats.org/officeDocument/2006/relationships/header" Target="header50.xml"/><Relationship Id="rId205" Type="http://schemas.openxmlformats.org/officeDocument/2006/relationships/footer" Target="footer55.xml"/><Relationship Id="rId247" Type="http://schemas.openxmlformats.org/officeDocument/2006/relationships/footer" Target="footer70.xml"/><Relationship Id="rId412" Type="http://schemas.openxmlformats.org/officeDocument/2006/relationships/image" Target="media/image139.jpeg"/><Relationship Id="rId107" Type="http://schemas.openxmlformats.org/officeDocument/2006/relationships/footer" Target="footer21.xml"/><Relationship Id="rId289" Type="http://schemas.openxmlformats.org/officeDocument/2006/relationships/footer" Target="footer86.xml"/><Relationship Id="rId11" Type="http://schemas.openxmlformats.org/officeDocument/2006/relationships/image" Target="media/image4.png"/><Relationship Id="rId53" Type="http://schemas.openxmlformats.org/officeDocument/2006/relationships/image" Target="media/image45.png"/><Relationship Id="rId149" Type="http://schemas.openxmlformats.org/officeDocument/2006/relationships/footer" Target="footer36.xml"/><Relationship Id="rId314" Type="http://schemas.openxmlformats.org/officeDocument/2006/relationships/footer" Target="footer96.xml"/><Relationship Id="rId356" Type="http://schemas.openxmlformats.org/officeDocument/2006/relationships/image" Target="media/image127.png"/><Relationship Id="rId398" Type="http://schemas.openxmlformats.org/officeDocument/2006/relationships/footer" Target="footer122.xml"/><Relationship Id="rId95" Type="http://schemas.openxmlformats.org/officeDocument/2006/relationships/footer" Target="footer16.xml"/><Relationship Id="rId160" Type="http://schemas.openxmlformats.org/officeDocument/2006/relationships/image" Target="media/image77.png"/><Relationship Id="rId216" Type="http://schemas.openxmlformats.org/officeDocument/2006/relationships/header" Target="header59.xml"/><Relationship Id="rId423" Type="http://schemas.openxmlformats.org/officeDocument/2006/relationships/image" Target="media/image148.png"/><Relationship Id="rId258" Type="http://schemas.openxmlformats.org/officeDocument/2006/relationships/header" Target="header75.xml"/><Relationship Id="rId22" Type="http://schemas.openxmlformats.org/officeDocument/2006/relationships/image" Target="media/image15.png"/><Relationship Id="rId64" Type="http://schemas.openxmlformats.org/officeDocument/2006/relationships/header" Target="header4.xml"/><Relationship Id="rId118" Type="http://schemas.openxmlformats.org/officeDocument/2006/relationships/header" Target="header23.xml"/><Relationship Id="rId325" Type="http://schemas.openxmlformats.org/officeDocument/2006/relationships/header" Target="header102.xml"/><Relationship Id="rId367" Type="http://schemas.openxmlformats.org/officeDocument/2006/relationships/header" Target="header116.xml"/><Relationship Id="rId171" Type="http://schemas.openxmlformats.org/officeDocument/2006/relationships/header" Target="header41.xml"/><Relationship Id="rId227" Type="http://schemas.openxmlformats.org/officeDocument/2006/relationships/footer" Target="footer64.xml"/><Relationship Id="rId269" Type="http://schemas.openxmlformats.org/officeDocument/2006/relationships/footer" Target="footer78.xml"/><Relationship Id="rId434" Type="http://schemas.openxmlformats.org/officeDocument/2006/relationships/image" Target="media/image159.png"/><Relationship Id="rId33" Type="http://schemas.openxmlformats.org/officeDocument/2006/relationships/image" Target="media/image26.png"/><Relationship Id="rId129" Type="http://schemas.openxmlformats.org/officeDocument/2006/relationships/footer" Target="footer29.xml"/><Relationship Id="rId280" Type="http://schemas.openxmlformats.org/officeDocument/2006/relationships/header" Target="header84.xml"/><Relationship Id="rId336" Type="http://schemas.openxmlformats.org/officeDocument/2006/relationships/image" Target="media/image119.jpeg"/><Relationship Id="rId75" Type="http://schemas.openxmlformats.org/officeDocument/2006/relationships/header" Target="header8.xml"/><Relationship Id="rId140" Type="http://schemas.openxmlformats.org/officeDocument/2006/relationships/image" Target="media/image71.png"/><Relationship Id="rId182" Type="http://schemas.openxmlformats.org/officeDocument/2006/relationships/footer" Target="footer48.xml"/><Relationship Id="rId378" Type="http://schemas.openxmlformats.org/officeDocument/2006/relationships/image" Target="media/image133.png"/><Relationship Id="rId403" Type="http://schemas.openxmlformats.org/officeDocument/2006/relationships/header" Target="header127.xml"/><Relationship Id="rId6" Type="http://schemas.openxmlformats.org/officeDocument/2006/relationships/footnotes" Target="footnotes.xml"/><Relationship Id="rId238" Type="http://schemas.openxmlformats.org/officeDocument/2006/relationships/header" Target="header66.xml"/><Relationship Id="rId291" Type="http://schemas.openxmlformats.org/officeDocument/2006/relationships/header" Target="header89.xml"/><Relationship Id="rId305" Type="http://schemas.openxmlformats.org/officeDocument/2006/relationships/header" Target="header95.xml"/><Relationship Id="rId347" Type="http://schemas.openxmlformats.org/officeDocument/2006/relationships/header" Target="header111.xml"/><Relationship Id="rId44" Type="http://schemas.openxmlformats.org/officeDocument/2006/relationships/image" Target="media/image37.png"/><Relationship Id="rId86" Type="http://schemas.openxmlformats.org/officeDocument/2006/relationships/header" Target="header11.xml"/><Relationship Id="rId151" Type="http://schemas.openxmlformats.org/officeDocument/2006/relationships/image" Target="media/image73.png"/><Relationship Id="rId389" Type="http://schemas.openxmlformats.org/officeDocument/2006/relationships/header" Target="header122.xml"/><Relationship Id="rId193" Type="http://schemas.openxmlformats.org/officeDocument/2006/relationships/footer" Target="footer52.xml"/><Relationship Id="rId207" Type="http://schemas.openxmlformats.org/officeDocument/2006/relationships/footer" Target="footer56.xml"/><Relationship Id="rId249" Type="http://schemas.openxmlformats.org/officeDocument/2006/relationships/header" Target="header71.xml"/><Relationship Id="rId414" Type="http://schemas.openxmlformats.org/officeDocument/2006/relationships/image" Target="media/image141.png"/><Relationship Id="rId13" Type="http://schemas.openxmlformats.org/officeDocument/2006/relationships/image" Target="media/image6.png"/><Relationship Id="rId109" Type="http://schemas.openxmlformats.org/officeDocument/2006/relationships/image" Target="media/image61.png"/><Relationship Id="rId260" Type="http://schemas.openxmlformats.org/officeDocument/2006/relationships/footer" Target="footer75.xml"/><Relationship Id="rId316" Type="http://schemas.openxmlformats.org/officeDocument/2006/relationships/image" Target="media/image114.png"/><Relationship Id="rId55" Type="http://schemas.openxmlformats.org/officeDocument/2006/relationships/footer" Target="footer3.xml"/><Relationship Id="rId97" Type="http://schemas.openxmlformats.org/officeDocument/2006/relationships/footer" Target="footer17.xml"/><Relationship Id="rId120" Type="http://schemas.openxmlformats.org/officeDocument/2006/relationships/footer" Target="footer26.xml"/><Relationship Id="rId358" Type="http://schemas.openxmlformats.org/officeDocument/2006/relationships/image" Target="media/image129.png"/><Relationship Id="rId162" Type="http://schemas.openxmlformats.org/officeDocument/2006/relationships/image" Target="media/image79.png"/><Relationship Id="rId218" Type="http://schemas.openxmlformats.org/officeDocument/2006/relationships/footer" Target="footer60.xml"/><Relationship Id="rId425" Type="http://schemas.openxmlformats.org/officeDocument/2006/relationships/image" Target="media/image150.png"/><Relationship Id="rId271" Type="http://schemas.openxmlformats.org/officeDocument/2006/relationships/image" Target="media/image105.jpeg"/><Relationship Id="rId24" Type="http://schemas.openxmlformats.org/officeDocument/2006/relationships/image" Target="media/image17.png"/><Relationship Id="rId66" Type="http://schemas.openxmlformats.org/officeDocument/2006/relationships/header" Target="header5.xml"/><Relationship Id="rId131" Type="http://schemas.openxmlformats.org/officeDocument/2006/relationships/header" Target="header28.xml"/><Relationship Id="rId327" Type="http://schemas.openxmlformats.org/officeDocument/2006/relationships/header" Target="header103.xml"/><Relationship Id="rId369" Type="http://schemas.openxmlformats.org/officeDocument/2006/relationships/footer" Target="footer112.xml"/><Relationship Id="rId173" Type="http://schemas.openxmlformats.org/officeDocument/2006/relationships/image" Target="media/image82.jpeg"/><Relationship Id="rId229" Type="http://schemas.openxmlformats.org/officeDocument/2006/relationships/header" Target="header65.xml"/><Relationship Id="rId380" Type="http://schemas.openxmlformats.org/officeDocument/2006/relationships/image" Target="media/image135.jpeg"/><Relationship Id="rId436" Type="http://schemas.openxmlformats.org/officeDocument/2006/relationships/image" Target="media/image161.png"/><Relationship Id="rId240" Type="http://schemas.openxmlformats.org/officeDocument/2006/relationships/footer" Target="footer67.xml"/><Relationship Id="rId35" Type="http://schemas.openxmlformats.org/officeDocument/2006/relationships/image" Target="media/image28.png"/><Relationship Id="rId77" Type="http://schemas.openxmlformats.org/officeDocument/2006/relationships/header" Target="header9.xml"/><Relationship Id="rId100" Type="http://schemas.openxmlformats.org/officeDocument/2006/relationships/footer" Target="footer18.xml"/><Relationship Id="rId282" Type="http://schemas.openxmlformats.org/officeDocument/2006/relationships/footer" Target="footer83.xml"/><Relationship Id="rId338" Type="http://schemas.openxmlformats.org/officeDocument/2006/relationships/image" Target="media/image120.jpeg"/><Relationship Id="rId8" Type="http://schemas.openxmlformats.org/officeDocument/2006/relationships/image" Target="media/image1.png"/><Relationship Id="rId142" Type="http://schemas.openxmlformats.org/officeDocument/2006/relationships/footer" Target="footer33.xml"/><Relationship Id="rId184" Type="http://schemas.openxmlformats.org/officeDocument/2006/relationships/image" Target="media/image83.png"/><Relationship Id="rId391" Type="http://schemas.openxmlformats.org/officeDocument/2006/relationships/footer" Target="footer119.xml"/><Relationship Id="rId405" Type="http://schemas.openxmlformats.org/officeDocument/2006/relationships/footer" Target="footer125.xml"/><Relationship Id="rId251" Type="http://schemas.openxmlformats.org/officeDocument/2006/relationships/header" Target="header72.xml"/><Relationship Id="rId46" Type="http://schemas.openxmlformats.org/officeDocument/2006/relationships/image" Target="media/image39.png"/><Relationship Id="rId293" Type="http://schemas.openxmlformats.org/officeDocument/2006/relationships/footer" Target="footer87.xml"/><Relationship Id="rId307" Type="http://schemas.openxmlformats.org/officeDocument/2006/relationships/footer" Target="footer93.xml"/><Relationship Id="rId349" Type="http://schemas.openxmlformats.org/officeDocument/2006/relationships/header" Target="header113.xml"/><Relationship Id="rId88" Type="http://schemas.openxmlformats.org/officeDocument/2006/relationships/footer" Target="footer14.xml"/><Relationship Id="rId111" Type="http://schemas.openxmlformats.org/officeDocument/2006/relationships/image" Target="media/image62.png"/><Relationship Id="rId153" Type="http://schemas.openxmlformats.org/officeDocument/2006/relationships/header" Target="header36.xml"/><Relationship Id="rId195" Type="http://schemas.openxmlformats.org/officeDocument/2006/relationships/header" Target="header52.xml"/><Relationship Id="rId209" Type="http://schemas.openxmlformats.org/officeDocument/2006/relationships/header" Target="header56.xml"/><Relationship Id="rId360" Type="http://schemas.openxmlformats.org/officeDocument/2006/relationships/hyperlink" Target="http://faostat.fao.org/site/567/DesktopDefault.aspx?PageID=567" TargetMode="External"/><Relationship Id="rId416" Type="http://schemas.openxmlformats.org/officeDocument/2006/relationships/header" Target="header132.xml"/><Relationship Id="rId220" Type="http://schemas.openxmlformats.org/officeDocument/2006/relationships/header" Target="header61.xml"/><Relationship Id="rId15" Type="http://schemas.openxmlformats.org/officeDocument/2006/relationships/image" Target="media/image8.png"/><Relationship Id="rId57" Type="http://schemas.openxmlformats.org/officeDocument/2006/relationships/header" Target="header1.xml"/><Relationship Id="rId262" Type="http://schemas.openxmlformats.org/officeDocument/2006/relationships/image" Target="media/image102.png"/><Relationship Id="rId318" Type="http://schemas.openxmlformats.org/officeDocument/2006/relationships/header" Target="header99.xml"/><Relationship Id="rId99" Type="http://schemas.openxmlformats.org/officeDocument/2006/relationships/header" Target="header16.xml"/><Relationship Id="rId122" Type="http://schemas.openxmlformats.org/officeDocument/2006/relationships/header" Target="header24.xml"/><Relationship Id="rId164" Type="http://schemas.openxmlformats.org/officeDocument/2006/relationships/header" Target="header38.xml"/><Relationship Id="rId371" Type="http://schemas.openxmlformats.org/officeDocument/2006/relationships/hyperlink" Target="http://earthtrends.wri.org/" TargetMode="External"/><Relationship Id="rId427" Type="http://schemas.openxmlformats.org/officeDocument/2006/relationships/image" Target="media/image152.png"/><Relationship Id="rId26" Type="http://schemas.openxmlformats.org/officeDocument/2006/relationships/image" Target="media/image19.png"/><Relationship Id="rId231" Type="http://schemas.openxmlformats.org/officeDocument/2006/relationships/image" Target="media/image93.png"/><Relationship Id="rId273" Type="http://schemas.openxmlformats.org/officeDocument/2006/relationships/header" Target="header81.xml"/><Relationship Id="rId329" Type="http://schemas.openxmlformats.org/officeDocument/2006/relationships/footer" Target="footer101.xml"/><Relationship Id="rId68" Type="http://schemas.openxmlformats.org/officeDocument/2006/relationships/header" Target="header6.xml"/><Relationship Id="rId133" Type="http://schemas.openxmlformats.org/officeDocument/2006/relationships/header" Target="header29.xml"/><Relationship Id="rId175" Type="http://schemas.openxmlformats.org/officeDocument/2006/relationships/footer" Target="footer44.xml"/><Relationship Id="rId340" Type="http://schemas.openxmlformats.org/officeDocument/2006/relationships/header" Target="header108.xml"/><Relationship Id="rId200" Type="http://schemas.openxmlformats.org/officeDocument/2006/relationships/image" Target="media/image85.png"/><Relationship Id="rId382" Type="http://schemas.openxmlformats.org/officeDocument/2006/relationships/footer" Target="footer115.xml"/><Relationship Id="rId438" Type="http://schemas.openxmlformats.org/officeDocument/2006/relationships/hyperlink" Target="http://www.wbcsd.org/" TargetMode="External"/><Relationship Id="rId242" Type="http://schemas.openxmlformats.org/officeDocument/2006/relationships/header" Target="header68.xml"/><Relationship Id="rId284" Type="http://schemas.openxmlformats.org/officeDocument/2006/relationships/image" Target="media/image108.jpeg"/><Relationship Id="rId37" Type="http://schemas.openxmlformats.org/officeDocument/2006/relationships/image" Target="media/image30.png"/><Relationship Id="rId79" Type="http://schemas.openxmlformats.org/officeDocument/2006/relationships/footer" Target="footer13.xml"/><Relationship Id="rId102" Type="http://schemas.openxmlformats.org/officeDocument/2006/relationships/footer" Target="footer19.xml"/><Relationship Id="rId144" Type="http://schemas.openxmlformats.org/officeDocument/2006/relationships/header" Target="header32.xml"/><Relationship Id="rId90" Type="http://schemas.openxmlformats.org/officeDocument/2006/relationships/image" Target="media/image56.png"/><Relationship Id="rId186" Type="http://schemas.openxmlformats.org/officeDocument/2006/relationships/header" Target="header48.xml"/><Relationship Id="rId351" Type="http://schemas.openxmlformats.org/officeDocument/2006/relationships/footer" Target="footer108.xml"/><Relationship Id="rId393" Type="http://schemas.openxmlformats.org/officeDocument/2006/relationships/image" Target="media/image137.jpeg"/><Relationship Id="rId407" Type="http://schemas.openxmlformats.org/officeDocument/2006/relationships/header" Target="header129.xml"/><Relationship Id="rId211" Type="http://schemas.openxmlformats.org/officeDocument/2006/relationships/header" Target="header57.xml"/><Relationship Id="rId253" Type="http://schemas.openxmlformats.org/officeDocument/2006/relationships/header" Target="header73.xml"/><Relationship Id="rId295" Type="http://schemas.openxmlformats.org/officeDocument/2006/relationships/image" Target="media/image109.png"/><Relationship Id="rId309" Type="http://schemas.openxmlformats.org/officeDocument/2006/relationships/header" Target="header97.xml"/><Relationship Id="rId48" Type="http://schemas.openxmlformats.org/officeDocument/2006/relationships/image" Target="media/image41.png"/><Relationship Id="rId113" Type="http://schemas.openxmlformats.org/officeDocument/2006/relationships/footer" Target="footer23.xml"/><Relationship Id="rId320" Type="http://schemas.openxmlformats.org/officeDocument/2006/relationships/footer" Target="footer97.xml"/><Relationship Id="rId155" Type="http://schemas.openxmlformats.org/officeDocument/2006/relationships/footer" Target="footer39.xml"/><Relationship Id="rId197" Type="http://schemas.openxmlformats.org/officeDocument/2006/relationships/footer" Target="footer53.xml"/><Relationship Id="rId362" Type="http://schemas.openxmlformats.org/officeDocument/2006/relationships/header" Target="header115.xml"/><Relationship Id="rId418" Type="http://schemas.openxmlformats.org/officeDocument/2006/relationships/image" Target="media/image143.png"/><Relationship Id="rId222" Type="http://schemas.openxmlformats.org/officeDocument/2006/relationships/footer" Target="footer62.xml"/><Relationship Id="rId264" Type="http://schemas.openxmlformats.org/officeDocument/2006/relationships/header" Target="header77.xml"/><Relationship Id="rId17" Type="http://schemas.openxmlformats.org/officeDocument/2006/relationships/image" Target="media/image10.png"/><Relationship Id="rId59" Type="http://schemas.openxmlformats.org/officeDocument/2006/relationships/footer" Target="footer5.xml"/><Relationship Id="rId124" Type="http://schemas.openxmlformats.org/officeDocument/2006/relationships/footer" Target="footer27.xml"/><Relationship Id="rId70" Type="http://schemas.openxmlformats.org/officeDocument/2006/relationships/image" Target="media/image48.emf"/><Relationship Id="rId166" Type="http://schemas.openxmlformats.org/officeDocument/2006/relationships/footer" Target="footer41.xml"/><Relationship Id="rId331" Type="http://schemas.openxmlformats.org/officeDocument/2006/relationships/header" Target="header104.xml"/><Relationship Id="rId373" Type="http://schemas.openxmlformats.org/officeDocument/2006/relationships/header" Target="header118.xml"/><Relationship Id="rId429" Type="http://schemas.openxmlformats.org/officeDocument/2006/relationships/image" Target="media/image154.png"/><Relationship Id="rId1" Type="http://schemas.openxmlformats.org/officeDocument/2006/relationships/customXml" Target="../customXml/item1.xml"/><Relationship Id="rId233" Type="http://schemas.openxmlformats.org/officeDocument/2006/relationships/image" Target="media/image95.png"/><Relationship Id="rId440" Type="http://schemas.openxmlformats.org/officeDocument/2006/relationships/header" Target="header133.xml"/><Relationship Id="rId28" Type="http://schemas.openxmlformats.org/officeDocument/2006/relationships/image" Target="media/image21.png"/><Relationship Id="rId275" Type="http://schemas.openxmlformats.org/officeDocument/2006/relationships/footer" Target="footer81.xml"/><Relationship Id="rId300" Type="http://schemas.openxmlformats.org/officeDocument/2006/relationships/footer" Target="footer90.xml"/><Relationship Id="rId81" Type="http://schemas.openxmlformats.org/officeDocument/2006/relationships/image" Target="media/image52.png"/><Relationship Id="rId135" Type="http://schemas.openxmlformats.org/officeDocument/2006/relationships/footer" Target="footer32.xml"/><Relationship Id="rId177" Type="http://schemas.openxmlformats.org/officeDocument/2006/relationships/footer" Target="footer45.xml"/><Relationship Id="rId342" Type="http://schemas.openxmlformats.org/officeDocument/2006/relationships/header" Target="header109.xml"/><Relationship Id="rId384" Type="http://schemas.openxmlformats.org/officeDocument/2006/relationships/image" Target="media/image1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F5B8B5-8577-4CF1-88F7-BD8F0426AE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4426</TotalTime>
  <Pages>150</Pages>
  <Words>20747</Words>
  <Characters>118261</Characters>
  <Application>Microsoft Office Word</Application>
  <DocSecurity>0</DocSecurity>
  <Lines>985</Lines>
  <Paragraphs>277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138731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岩佐聡司</cp:lastModifiedBy>
  <cp:revision>103</cp:revision>
  <cp:lastPrinted>2022-09-15T02:04:00Z</cp:lastPrinted>
  <dcterms:created xsi:type="dcterms:W3CDTF">2022-06-30T02:00:00Z</dcterms:created>
  <dcterms:modified xsi:type="dcterms:W3CDTF">2022-09-15T05:54:00Z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2013-04-16T00:00:00Z</vt:filetime>
  </property>
  <property fmtid="{D5CDD505-2E9C-101B-9397-08002B2CF9AE}" pid="3" name="Creator">
    <vt:lpwstr>Adobe InDesign CS6 (Macintosh)</vt:lpwstr>
  </property>
  <property fmtid="{D5CDD505-2E9C-101B-9397-08002B2CF9AE}" pid="4" name="LastSaved">
    <vt:filetime>2022-06-30T00:00:00Z</vt:filetime>
  </property>
</Properties>
</file>